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0F0C8" w14:textId="77777777" w:rsidR="00811F4B" w:rsidRDefault="00811F4B" w:rsidP="00811F4B">
      <w:r w:rsidRPr="004F5275">
        <w:rPr>
          <w:b/>
          <w:bCs/>
        </w:rPr>
        <w:t>Name:</w:t>
      </w:r>
      <w:r>
        <w:t xml:space="preserve"> Dixali Mahesh Patel</w:t>
      </w:r>
    </w:p>
    <w:p w14:paraId="648200B2" w14:textId="77777777" w:rsidR="00811F4B" w:rsidRDefault="00811F4B" w:rsidP="00811F4B">
      <w:r w:rsidRPr="004F5275">
        <w:rPr>
          <w:b/>
          <w:bCs/>
        </w:rPr>
        <w:t>Student ID:</w:t>
      </w:r>
      <w:r>
        <w:t xml:space="preserve"> 2241843</w:t>
      </w:r>
    </w:p>
    <w:p w14:paraId="6A6196E9" w14:textId="2164BF0A" w:rsidR="00811F4B" w:rsidRDefault="00811F4B" w:rsidP="00811F4B">
      <w:r w:rsidRPr="004F5275">
        <w:rPr>
          <w:b/>
          <w:bCs/>
        </w:rPr>
        <w:t>Module:</w:t>
      </w:r>
      <w:r>
        <w:t xml:space="preserve"> LCMB7000- Human Resource Management</w:t>
      </w:r>
    </w:p>
    <w:p w14:paraId="3CE75837" w14:textId="6FBC0959" w:rsidR="00811F4B" w:rsidRDefault="00811F4B" w:rsidP="00811F4B">
      <w:r w:rsidRPr="004F5275">
        <w:rPr>
          <w:b/>
          <w:bCs/>
        </w:rPr>
        <w:t>Title:</w:t>
      </w:r>
      <w:r>
        <w:t xml:space="preserve"> Human Resource Management Assignment-1</w:t>
      </w:r>
    </w:p>
    <w:p w14:paraId="23C9ECCD" w14:textId="6CC91ED6" w:rsidR="002B6E28" w:rsidRDefault="00D76153" w:rsidP="002B6E28">
      <w:r>
        <w:t>Date: 23-08-2023</w:t>
      </w:r>
    </w:p>
    <w:p w14:paraId="148E313E" w14:textId="77777777" w:rsidR="002B6E28" w:rsidRDefault="002B6E28" w:rsidP="002B6E28"/>
    <w:p w14:paraId="2DB9DD02" w14:textId="77777777" w:rsidR="002B6E28" w:rsidRDefault="002B6E28" w:rsidP="002B6E28"/>
    <w:p w14:paraId="4E605258" w14:textId="77777777" w:rsidR="002B6E28" w:rsidRDefault="002B6E28" w:rsidP="002B6E28"/>
    <w:p w14:paraId="6043D1C8" w14:textId="77777777" w:rsidR="002B6E28" w:rsidRDefault="002B6E28" w:rsidP="002B6E28"/>
    <w:p w14:paraId="24D3E15D" w14:textId="77777777" w:rsidR="002B6E28" w:rsidRDefault="002B6E28" w:rsidP="002B6E28"/>
    <w:p w14:paraId="6F79825A" w14:textId="77777777" w:rsidR="002B6E28" w:rsidRDefault="002B6E28" w:rsidP="002B6E28"/>
    <w:p w14:paraId="238AA12C" w14:textId="77777777" w:rsidR="002B6E28" w:rsidRDefault="002B6E28" w:rsidP="002B6E28"/>
    <w:p w14:paraId="1855CCCF" w14:textId="77777777" w:rsidR="002B6E28" w:rsidRDefault="002B6E28" w:rsidP="002B6E28"/>
    <w:p w14:paraId="2E9EE10A" w14:textId="77777777" w:rsidR="002B6E28" w:rsidRDefault="002B6E28" w:rsidP="002B6E28"/>
    <w:p w14:paraId="202C0D2F" w14:textId="77777777" w:rsidR="002B6E28" w:rsidRDefault="002B6E28" w:rsidP="002B6E28"/>
    <w:p w14:paraId="550281AA" w14:textId="77777777" w:rsidR="002B6E28" w:rsidRDefault="002B6E28" w:rsidP="002B6E28"/>
    <w:p w14:paraId="5C353C6F" w14:textId="77777777" w:rsidR="002B6E28" w:rsidRDefault="002B6E28" w:rsidP="002B6E28"/>
    <w:p w14:paraId="015C5AD3" w14:textId="77777777" w:rsidR="002B6E28" w:rsidRDefault="002B6E28" w:rsidP="002B6E28"/>
    <w:p w14:paraId="4F1504BA" w14:textId="77777777" w:rsidR="002B6E28" w:rsidRDefault="002B6E28" w:rsidP="002B6E28"/>
    <w:p w14:paraId="746336A0" w14:textId="77777777" w:rsidR="002B6E28" w:rsidRDefault="002B6E28" w:rsidP="002B6E28"/>
    <w:p w14:paraId="1D338260" w14:textId="77777777" w:rsidR="002B6E28" w:rsidRDefault="002B6E28" w:rsidP="002B6E28"/>
    <w:p w14:paraId="5C1D663A" w14:textId="77777777" w:rsidR="002B6E28" w:rsidRDefault="002B6E28" w:rsidP="002B6E28"/>
    <w:p w14:paraId="6EE7B89A" w14:textId="77777777" w:rsidR="002B6E28" w:rsidRDefault="002B6E28" w:rsidP="002B6E28"/>
    <w:p w14:paraId="4AA1DD9C" w14:textId="77777777" w:rsidR="002B6E28" w:rsidRDefault="002B6E28" w:rsidP="002B6E28"/>
    <w:p w14:paraId="3EBF98A4" w14:textId="77777777" w:rsidR="002B6E28" w:rsidRDefault="002B6E28" w:rsidP="002B6E28"/>
    <w:p w14:paraId="574FA5CA" w14:textId="77777777" w:rsidR="002B6E28" w:rsidRDefault="002B6E28" w:rsidP="002B6E28"/>
    <w:p w14:paraId="25982AE6" w14:textId="77777777" w:rsidR="002B6E28" w:rsidRDefault="002B6E28" w:rsidP="002B6E28"/>
    <w:p w14:paraId="59B27E56" w14:textId="77777777" w:rsidR="002B6E28" w:rsidRDefault="002B6E28" w:rsidP="002B6E28"/>
    <w:p w14:paraId="2FA59FB5" w14:textId="77777777" w:rsidR="002B6E28" w:rsidRDefault="002B6E28" w:rsidP="002B6E28"/>
    <w:p w14:paraId="675604AB" w14:textId="77777777" w:rsidR="002B6E28" w:rsidRDefault="002B6E28" w:rsidP="002B6E28"/>
    <w:p w14:paraId="4FA9F080" w14:textId="77777777" w:rsidR="002B6E28" w:rsidRDefault="002B6E28" w:rsidP="002B6E28"/>
    <w:sdt>
      <w:sdtPr>
        <w:rPr>
          <w:rFonts w:asciiTheme="minorHAnsi" w:eastAsiaTheme="minorHAnsi" w:hAnsiTheme="minorHAnsi" w:cstheme="minorBidi"/>
          <w:color w:val="auto"/>
          <w:kern w:val="2"/>
          <w:sz w:val="22"/>
          <w:szCs w:val="22"/>
          <w:lang w:val="en-IN"/>
          <w14:ligatures w14:val="standardContextual"/>
        </w:rPr>
        <w:id w:val="1402877498"/>
        <w:docPartObj>
          <w:docPartGallery w:val="Table of Contents"/>
          <w:docPartUnique/>
        </w:docPartObj>
      </w:sdtPr>
      <w:sdtEndPr>
        <w:rPr>
          <w:b/>
          <w:bCs/>
          <w:noProof/>
        </w:rPr>
      </w:sdtEndPr>
      <w:sdtContent>
        <w:p w14:paraId="02D791AC" w14:textId="307C40D2" w:rsidR="002B6E28" w:rsidRPr="002B6E28" w:rsidRDefault="002B6E28">
          <w:pPr>
            <w:pStyle w:val="TOCHeading"/>
            <w:rPr>
              <w:rFonts w:asciiTheme="minorHAnsi" w:hAnsiTheme="minorHAnsi" w:cstheme="minorHAnsi"/>
              <w:b/>
              <w:color w:val="000000" w:themeColor="text1"/>
            </w:rPr>
          </w:pPr>
          <w:r w:rsidRPr="002B6E28">
            <w:rPr>
              <w:rFonts w:asciiTheme="minorHAnsi" w:hAnsiTheme="minorHAnsi" w:cstheme="minorHAnsi"/>
              <w:b/>
              <w:color w:val="000000" w:themeColor="text1"/>
            </w:rPr>
            <w:t>Table of Contents</w:t>
          </w:r>
        </w:p>
        <w:p w14:paraId="3B019B4F" w14:textId="19E264B1" w:rsidR="00811F4B" w:rsidRDefault="002B6E28">
          <w:pPr>
            <w:pStyle w:val="TOC1"/>
            <w:tabs>
              <w:tab w:val="right" w:leader="dot" w:pos="9016"/>
            </w:tabs>
            <w:rPr>
              <w:rFonts w:eastAsiaTheme="minorEastAsia"/>
              <w:noProof/>
              <w:lang w:val="en-US"/>
            </w:rPr>
          </w:pPr>
          <w:r w:rsidRPr="002B6E28">
            <w:rPr>
              <w:rFonts w:cstheme="minorHAnsi"/>
            </w:rPr>
            <w:fldChar w:fldCharType="begin"/>
          </w:r>
          <w:r w:rsidRPr="002B6E28">
            <w:rPr>
              <w:rFonts w:cstheme="minorHAnsi"/>
            </w:rPr>
            <w:instrText xml:space="preserve"> TOC \o "1-3" \h \z \u </w:instrText>
          </w:r>
          <w:r w:rsidRPr="002B6E28">
            <w:rPr>
              <w:rFonts w:cstheme="minorHAnsi"/>
            </w:rPr>
            <w:fldChar w:fldCharType="separate"/>
          </w:r>
          <w:hyperlink w:anchor="_Toc143572610" w:history="1">
            <w:r w:rsidR="00811F4B" w:rsidRPr="00943A3E">
              <w:rPr>
                <w:rStyle w:val="Hyperlink"/>
                <w:noProof/>
              </w:rPr>
              <w:t>The Current State of the Labor Market in the UK</w:t>
            </w:r>
            <w:r w:rsidR="00811F4B">
              <w:rPr>
                <w:noProof/>
                <w:webHidden/>
              </w:rPr>
              <w:tab/>
            </w:r>
            <w:r w:rsidR="00811F4B">
              <w:rPr>
                <w:noProof/>
                <w:webHidden/>
              </w:rPr>
              <w:fldChar w:fldCharType="begin"/>
            </w:r>
            <w:r w:rsidR="00811F4B">
              <w:rPr>
                <w:noProof/>
                <w:webHidden/>
              </w:rPr>
              <w:instrText xml:space="preserve"> PAGEREF _Toc143572610 \h </w:instrText>
            </w:r>
            <w:r w:rsidR="00811F4B">
              <w:rPr>
                <w:noProof/>
                <w:webHidden/>
              </w:rPr>
            </w:r>
            <w:r w:rsidR="00811F4B">
              <w:rPr>
                <w:noProof/>
                <w:webHidden/>
              </w:rPr>
              <w:fldChar w:fldCharType="separate"/>
            </w:r>
            <w:r w:rsidR="00811F4B">
              <w:rPr>
                <w:noProof/>
                <w:webHidden/>
              </w:rPr>
              <w:t>3</w:t>
            </w:r>
            <w:r w:rsidR="00811F4B">
              <w:rPr>
                <w:noProof/>
                <w:webHidden/>
              </w:rPr>
              <w:fldChar w:fldCharType="end"/>
            </w:r>
          </w:hyperlink>
        </w:p>
        <w:p w14:paraId="47AFF652" w14:textId="06D4101C" w:rsidR="00811F4B" w:rsidRDefault="0096354F">
          <w:pPr>
            <w:pStyle w:val="TOC1"/>
            <w:tabs>
              <w:tab w:val="right" w:leader="dot" w:pos="9016"/>
            </w:tabs>
            <w:rPr>
              <w:rFonts w:eastAsiaTheme="minorEastAsia"/>
              <w:noProof/>
              <w:lang w:val="en-US"/>
            </w:rPr>
          </w:pPr>
          <w:hyperlink w:anchor="_Toc143572611" w:history="1">
            <w:r w:rsidR="00811F4B" w:rsidRPr="00943A3E">
              <w:rPr>
                <w:rStyle w:val="Hyperlink"/>
                <w:noProof/>
              </w:rPr>
              <w:t>Current Trends in the UK Labor Market:</w:t>
            </w:r>
            <w:r w:rsidR="00811F4B">
              <w:rPr>
                <w:noProof/>
                <w:webHidden/>
              </w:rPr>
              <w:tab/>
            </w:r>
            <w:r w:rsidR="00811F4B">
              <w:rPr>
                <w:noProof/>
                <w:webHidden/>
              </w:rPr>
              <w:fldChar w:fldCharType="begin"/>
            </w:r>
            <w:r w:rsidR="00811F4B">
              <w:rPr>
                <w:noProof/>
                <w:webHidden/>
              </w:rPr>
              <w:instrText xml:space="preserve"> PAGEREF _Toc143572611 \h </w:instrText>
            </w:r>
            <w:r w:rsidR="00811F4B">
              <w:rPr>
                <w:noProof/>
                <w:webHidden/>
              </w:rPr>
            </w:r>
            <w:r w:rsidR="00811F4B">
              <w:rPr>
                <w:noProof/>
                <w:webHidden/>
              </w:rPr>
              <w:fldChar w:fldCharType="separate"/>
            </w:r>
            <w:r w:rsidR="00811F4B">
              <w:rPr>
                <w:noProof/>
                <w:webHidden/>
              </w:rPr>
              <w:t>3</w:t>
            </w:r>
            <w:r w:rsidR="00811F4B">
              <w:rPr>
                <w:noProof/>
                <w:webHidden/>
              </w:rPr>
              <w:fldChar w:fldCharType="end"/>
            </w:r>
          </w:hyperlink>
        </w:p>
        <w:p w14:paraId="448992B6" w14:textId="7C200013" w:rsidR="00811F4B" w:rsidRDefault="0096354F">
          <w:pPr>
            <w:pStyle w:val="TOC1"/>
            <w:tabs>
              <w:tab w:val="right" w:leader="dot" w:pos="9016"/>
            </w:tabs>
            <w:rPr>
              <w:rFonts w:eastAsiaTheme="minorEastAsia"/>
              <w:noProof/>
              <w:lang w:val="en-US"/>
            </w:rPr>
          </w:pPr>
          <w:hyperlink w:anchor="_Toc143572612" w:history="1">
            <w:r w:rsidR="00811F4B" w:rsidRPr="00943A3E">
              <w:rPr>
                <w:rStyle w:val="Hyperlink"/>
                <w:noProof/>
              </w:rPr>
              <w:t>Pre-2020 Trends and Conditions:</w:t>
            </w:r>
            <w:r w:rsidR="00811F4B">
              <w:rPr>
                <w:noProof/>
                <w:webHidden/>
              </w:rPr>
              <w:tab/>
            </w:r>
            <w:r w:rsidR="00811F4B">
              <w:rPr>
                <w:noProof/>
                <w:webHidden/>
              </w:rPr>
              <w:fldChar w:fldCharType="begin"/>
            </w:r>
            <w:r w:rsidR="00811F4B">
              <w:rPr>
                <w:noProof/>
                <w:webHidden/>
              </w:rPr>
              <w:instrText xml:space="preserve"> PAGEREF _Toc143572612 \h </w:instrText>
            </w:r>
            <w:r w:rsidR="00811F4B">
              <w:rPr>
                <w:noProof/>
                <w:webHidden/>
              </w:rPr>
            </w:r>
            <w:r w:rsidR="00811F4B">
              <w:rPr>
                <w:noProof/>
                <w:webHidden/>
              </w:rPr>
              <w:fldChar w:fldCharType="separate"/>
            </w:r>
            <w:r w:rsidR="00811F4B">
              <w:rPr>
                <w:noProof/>
                <w:webHidden/>
              </w:rPr>
              <w:t>4</w:t>
            </w:r>
            <w:r w:rsidR="00811F4B">
              <w:rPr>
                <w:noProof/>
                <w:webHidden/>
              </w:rPr>
              <w:fldChar w:fldCharType="end"/>
            </w:r>
          </w:hyperlink>
        </w:p>
        <w:p w14:paraId="6CCE31AC" w14:textId="494BC279" w:rsidR="00811F4B" w:rsidRDefault="0096354F">
          <w:pPr>
            <w:pStyle w:val="TOC1"/>
            <w:tabs>
              <w:tab w:val="right" w:leader="dot" w:pos="9016"/>
            </w:tabs>
            <w:rPr>
              <w:rFonts w:eastAsiaTheme="minorEastAsia"/>
              <w:noProof/>
              <w:lang w:val="en-US"/>
            </w:rPr>
          </w:pPr>
          <w:hyperlink w:anchor="_Toc143572613" w:history="1">
            <w:r w:rsidR="00811F4B" w:rsidRPr="00943A3E">
              <w:rPr>
                <w:rStyle w:val="Hyperlink"/>
                <w:noProof/>
              </w:rPr>
              <w:t>Impact of COVID-19:</w:t>
            </w:r>
            <w:r w:rsidR="00811F4B">
              <w:rPr>
                <w:noProof/>
                <w:webHidden/>
              </w:rPr>
              <w:tab/>
            </w:r>
            <w:r w:rsidR="00811F4B">
              <w:rPr>
                <w:noProof/>
                <w:webHidden/>
              </w:rPr>
              <w:fldChar w:fldCharType="begin"/>
            </w:r>
            <w:r w:rsidR="00811F4B">
              <w:rPr>
                <w:noProof/>
                <w:webHidden/>
              </w:rPr>
              <w:instrText xml:space="preserve"> PAGEREF _Toc143572613 \h </w:instrText>
            </w:r>
            <w:r w:rsidR="00811F4B">
              <w:rPr>
                <w:noProof/>
                <w:webHidden/>
              </w:rPr>
            </w:r>
            <w:r w:rsidR="00811F4B">
              <w:rPr>
                <w:noProof/>
                <w:webHidden/>
              </w:rPr>
              <w:fldChar w:fldCharType="separate"/>
            </w:r>
            <w:r w:rsidR="00811F4B">
              <w:rPr>
                <w:noProof/>
                <w:webHidden/>
              </w:rPr>
              <w:t>4</w:t>
            </w:r>
            <w:r w:rsidR="00811F4B">
              <w:rPr>
                <w:noProof/>
                <w:webHidden/>
              </w:rPr>
              <w:fldChar w:fldCharType="end"/>
            </w:r>
          </w:hyperlink>
        </w:p>
        <w:p w14:paraId="3D54805B" w14:textId="0FE9DA8A" w:rsidR="00811F4B" w:rsidRDefault="0096354F">
          <w:pPr>
            <w:pStyle w:val="TOC1"/>
            <w:tabs>
              <w:tab w:val="right" w:leader="dot" w:pos="9016"/>
            </w:tabs>
            <w:rPr>
              <w:rFonts w:eastAsiaTheme="minorEastAsia"/>
              <w:noProof/>
              <w:lang w:val="en-US"/>
            </w:rPr>
          </w:pPr>
          <w:hyperlink w:anchor="_Toc143572614" w:history="1">
            <w:r w:rsidR="00811F4B" w:rsidRPr="00943A3E">
              <w:rPr>
                <w:rStyle w:val="Hyperlink"/>
                <w:noProof/>
              </w:rPr>
              <w:t>Post-Pandemic Recovery:</w:t>
            </w:r>
            <w:r w:rsidR="00811F4B">
              <w:rPr>
                <w:noProof/>
                <w:webHidden/>
              </w:rPr>
              <w:tab/>
            </w:r>
            <w:r w:rsidR="00811F4B">
              <w:rPr>
                <w:noProof/>
                <w:webHidden/>
              </w:rPr>
              <w:fldChar w:fldCharType="begin"/>
            </w:r>
            <w:r w:rsidR="00811F4B">
              <w:rPr>
                <w:noProof/>
                <w:webHidden/>
              </w:rPr>
              <w:instrText xml:space="preserve"> PAGEREF _Toc143572614 \h </w:instrText>
            </w:r>
            <w:r w:rsidR="00811F4B">
              <w:rPr>
                <w:noProof/>
                <w:webHidden/>
              </w:rPr>
            </w:r>
            <w:r w:rsidR="00811F4B">
              <w:rPr>
                <w:noProof/>
                <w:webHidden/>
              </w:rPr>
              <w:fldChar w:fldCharType="separate"/>
            </w:r>
            <w:r w:rsidR="00811F4B">
              <w:rPr>
                <w:noProof/>
                <w:webHidden/>
              </w:rPr>
              <w:t>5</w:t>
            </w:r>
            <w:r w:rsidR="00811F4B">
              <w:rPr>
                <w:noProof/>
                <w:webHidden/>
              </w:rPr>
              <w:fldChar w:fldCharType="end"/>
            </w:r>
          </w:hyperlink>
        </w:p>
        <w:p w14:paraId="6DCCFA0C" w14:textId="340B8F3F" w:rsidR="00811F4B" w:rsidRDefault="0096354F">
          <w:pPr>
            <w:pStyle w:val="TOC1"/>
            <w:tabs>
              <w:tab w:val="right" w:leader="dot" w:pos="9016"/>
            </w:tabs>
            <w:rPr>
              <w:rFonts w:eastAsiaTheme="minorEastAsia"/>
              <w:noProof/>
              <w:lang w:val="en-US"/>
            </w:rPr>
          </w:pPr>
          <w:hyperlink w:anchor="_Toc143572615" w:history="1">
            <w:r w:rsidR="00811F4B" w:rsidRPr="00943A3E">
              <w:rPr>
                <w:rStyle w:val="Hyperlink"/>
                <w:noProof/>
              </w:rPr>
              <w:t>Brexit Implications:</w:t>
            </w:r>
            <w:r w:rsidR="00811F4B">
              <w:rPr>
                <w:noProof/>
                <w:webHidden/>
              </w:rPr>
              <w:tab/>
            </w:r>
            <w:r w:rsidR="00811F4B">
              <w:rPr>
                <w:noProof/>
                <w:webHidden/>
              </w:rPr>
              <w:fldChar w:fldCharType="begin"/>
            </w:r>
            <w:r w:rsidR="00811F4B">
              <w:rPr>
                <w:noProof/>
                <w:webHidden/>
              </w:rPr>
              <w:instrText xml:space="preserve"> PAGEREF _Toc143572615 \h </w:instrText>
            </w:r>
            <w:r w:rsidR="00811F4B">
              <w:rPr>
                <w:noProof/>
                <w:webHidden/>
              </w:rPr>
            </w:r>
            <w:r w:rsidR="00811F4B">
              <w:rPr>
                <w:noProof/>
                <w:webHidden/>
              </w:rPr>
              <w:fldChar w:fldCharType="separate"/>
            </w:r>
            <w:r w:rsidR="00811F4B">
              <w:rPr>
                <w:noProof/>
                <w:webHidden/>
              </w:rPr>
              <w:t>6</w:t>
            </w:r>
            <w:r w:rsidR="00811F4B">
              <w:rPr>
                <w:noProof/>
                <w:webHidden/>
              </w:rPr>
              <w:fldChar w:fldCharType="end"/>
            </w:r>
          </w:hyperlink>
        </w:p>
        <w:p w14:paraId="6BA19A23" w14:textId="72C5B551" w:rsidR="00811F4B" w:rsidRDefault="0096354F">
          <w:pPr>
            <w:pStyle w:val="TOC1"/>
            <w:tabs>
              <w:tab w:val="right" w:leader="dot" w:pos="9016"/>
            </w:tabs>
            <w:rPr>
              <w:rFonts w:eastAsiaTheme="minorEastAsia"/>
              <w:noProof/>
              <w:lang w:val="en-US"/>
            </w:rPr>
          </w:pPr>
          <w:hyperlink w:anchor="_Toc143572616" w:history="1">
            <w:r w:rsidR="00811F4B" w:rsidRPr="00943A3E">
              <w:rPr>
                <w:rStyle w:val="Hyperlink"/>
                <w:noProof/>
              </w:rPr>
              <w:t>Skills and Reskilling:</w:t>
            </w:r>
            <w:r w:rsidR="00811F4B">
              <w:rPr>
                <w:noProof/>
                <w:webHidden/>
              </w:rPr>
              <w:tab/>
            </w:r>
            <w:r w:rsidR="00811F4B">
              <w:rPr>
                <w:noProof/>
                <w:webHidden/>
              </w:rPr>
              <w:fldChar w:fldCharType="begin"/>
            </w:r>
            <w:r w:rsidR="00811F4B">
              <w:rPr>
                <w:noProof/>
                <w:webHidden/>
              </w:rPr>
              <w:instrText xml:space="preserve"> PAGEREF _Toc143572616 \h </w:instrText>
            </w:r>
            <w:r w:rsidR="00811F4B">
              <w:rPr>
                <w:noProof/>
                <w:webHidden/>
              </w:rPr>
            </w:r>
            <w:r w:rsidR="00811F4B">
              <w:rPr>
                <w:noProof/>
                <w:webHidden/>
              </w:rPr>
              <w:fldChar w:fldCharType="separate"/>
            </w:r>
            <w:r w:rsidR="00811F4B">
              <w:rPr>
                <w:noProof/>
                <w:webHidden/>
              </w:rPr>
              <w:t>6</w:t>
            </w:r>
            <w:r w:rsidR="00811F4B">
              <w:rPr>
                <w:noProof/>
                <w:webHidden/>
              </w:rPr>
              <w:fldChar w:fldCharType="end"/>
            </w:r>
          </w:hyperlink>
        </w:p>
        <w:p w14:paraId="31A3339E" w14:textId="79696C02" w:rsidR="00811F4B" w:rsidRDefault="0096354F">
          <w:pPr>
            <w:pStyle w:val="TOC1"/>
            <w:tabs>
              <w:tab w:val="right" w:leader="dot" w:pos="9016"/>
            </w:tabs>
            <w:rPr>
              <w:rFonts w:eastAsiaTheme="minorEastAsia"/>
              <w:noProof/>
              <w:lang w:val="en-US"/>
            </w:rPr>
          </w:pPr>
          <w:hyperlink w:anchor="_Toc143572617" w:history="1">
            <w:r w:rsidR="00811F4B" w:rsidRPr="00943A3E">
              <w:rPr>
                <w:rStyle w:val="Hyperlink"/>
                <w:noProof/>
              </w:rPr>
              <w:t>Remote Work and Hybrid Models:</w:t>
            </w:r>
            <w:r w:rsidR="00811F4B">
              <w:rPr>
                <w:noProof/>
                <w:webHidden/>
              </w:rPr>
              <w:tab/>
            </w:r>
            <w:r w:rsidR="00811F4B">
              <w:rPr>
                <w:noProof/>
                <w:webHidden/>
              </w:rPr>
              <w:fldChar w:fldCharType="begin"/>
            </w:r>
            <w:r w:rsidR="00811F4B">
              <w:rPr>
                <w:noProof/>
                <w:webHidden/>
              </w:rPr>
              <w:instrText xml:space="preserve"> PAGEREF _Toc143572617 \h </w:instrText>
            </w:r>
            <w:r w:rsidR="00811F4B">
              <w:rPr>
                <w:noProof/>
                <w:webHidden/>
              </w:rPr>
            </w:r>
            <w:r w:rsidR="00811F4B">
              <w:rPr>
                <w:noProof/>
                <w:webHidden/>
              </w:rPr>
              <w:fldChar w:fldCharType="separate"/>
            </w:r>
            <w:r w:rsidR="00811F4B">
              <w:rPr>
                <w:noProof/>
                <w:webHidden/>
              </w:rPr>
              <w:t>6</w:t>
            </w:r>
            <w:r w:rsidR="00811F4B">
              <w:rPr>
                <w:noProof/>
                <w:webHidden/>
              </w:rPr>
              <w:fldChar w:fldCharType="end"/>
            </w:r>
          </w:hyperlink>
        </w:p>
        <w:p w14:paraId="5CFFF476" w14:textId="7ED5C884" w:rsidR="00811F4B" w:rsidRDefault="0096354F">
          <w:pPr>
            <w:pStyle w:val="TOC1"/>
            <w:tabs>
              <w:tab w:val="right" w:leader="dot" w:pos="9016"/>
            </w:tabs>
            <w:rPr>
              <w:rFonts w:eastAsiaTheme="minorEastAsia"/>
              <w:noProof/>
              <w:lang w:val="en-US"/>
            </w:rPr>
          </w:pPr>
          <w:hyperlink w:anchor="_Toc143572618" w:history="1">
            <w:r w:rsidR="00811F4B" w:rsidRPr="00943A3E">
              <w:rPr>
                <w:rStyle w:val="Hyperlink"/>
                <w:noProof/>
              </w:rPr>
              <w:t>Environmental and Social Considerations:</w:t>
            </w:r>
            <w:r w:rsidR="00811F4B">
              <w:rPr>
                <w:noProof/>
                <w:webHidden/>
              </w:rPr>
              <w:tab/>
            </w:r>
            <w:r w:rsidR="00811F4B">
              <w:rPr>
                <w:noProof/>
                <w:webHidden/>
              </w:rPr>
              <w:fldChar w:fldCharType="begin"/>
            </w:r>
            <w:r w:rsidR="00811F4B">
              <w:rPr>
                <w:noProof/>
                <w:webHidden/>
              </w:rPr>
              <w:instrText xml:space="preserve"> PAGEREF _Toc143572618 \h </w:instrText>
            </w:r>
            <w:r w:rsidR="00811F4B">
              <w:rPr>
                <w:noProof/>
                <w:webHidden/>
              </w:rPr>
            </w:r>
            <w:r w:rsidR="00811F4B">
              <w:rPr>
                <w:noProof/>
                <w:webHidden/>
              </w:rPr>
              <w:fldChar w:fldCharType="separate"/>
            </w:r>
            <w:r w:rsidR="00811F4B">
              <w:rPr>
                <w:noProof/>
                <w:webHidden/>
              </w:rPr>
              <w:t>6</w:t>
            </w:r>
            <w:r w:rsidR="00811F4B">
              <w:rPr>
                <w:noProof/>
                <w:webHidden/>
              </w:rPr>
              <w:fldChar w:fldCharType="end"/>
            </w:r>
          </w:hyperlink>
        </w:p>
        <w:p w14:paraId="62523851" w14:textId="5E9CD5A5" w:rsidR="00811F4B" w:rsidRDefault="0096354F">
          <w:pPr>
            <w:pStyle w:val="TOC1"/>
            <w:tabs>
              <w:tab w:val="right" w:leader="dot" w:pos="9016"/>
            </w:tabs>
            <w:rPr>
              <w:rFonts w:eastAsiaTheme="minorEastAsia"/>
              <w:noProof/>
              <w:lang w:val="en-US"/>
            </w:rPr>
          </w:pPr>
          <w:hyperlink w:anchor="_Toc143572619" w:history="1">
            <w:r w:rsidR="00811F4B" w:rsidRPr="00943A3E">
              <w:rPr>
                <w:rStyle w:val="Hyperlink"/>
                <w:noProof/>
              </w:rPr>
              <w:t>Policy Measures:</w:t>
            </w:r>
            <w:r w:rsidR="00811F4B">
              <w:rPr>
                <w:noProof/>
                <w:webHidden/>
              </w:rPr>
              <w:tab/>
            </w:r>
            <w:r w:rsidR="00811F4B">
              <w:rPr>
                <w:noProof/>
                <w:webHidden/>
              </w:rPr>
              <w:fldChar w:fldCharType="begin"/>
            </w:r>
            <w:r w:rsidR="00811F4B">
              <w:rPr>
                <w:noProof/>
                <w:webHidden/>
              </w:rPr>
              <w:instrText xml:space="preserve"> PAGEREF _Toc143572619 \h </w:instrText>
            </w:r>
            <w:r w:rsidR="00811F4B">
              <w:rPr>
                <w:noProof/>
                <w:webHidden/>
              </w:rPr>
            </w:r>
            <w:r w:rsidR="00811F4B">
              <w:rPr>
                <w:noProof/>
                <w:webHidden/>
              </w:rPr>
              <w:fldChar w:fldCharType="separate"/>
            </w:r>
            <w:r w:rsidR="00811F4B">
              <w:rPr>
                <w:noProof/>
                <w:webHidden/>
              </w:rPr>
              <w:t>7</w:t>
            </w:r>
            <w:r w:rsidR="00811F4B">
              <w:rPr>
                <w:noProof/>
                <w:webHidden/>
              </w:rPr>
              <w:fldChar w:fldCharType="end"/>
            </w:r>
          </w:hyperlink>
        </w:p>
        <w:p w14:paraId="07477962" w14:textId="61870427" w:rsidR="00811F4B" w:rsidRDefault="0096354F">
          <w:pPr>
            <w:pStyle w:val="TOC1"/>
            <w:tabs>
              <w:tab w:val="right" w:leader="dot" w:pos="9016"/>
            </w:tabs>
            <w:rPr>
              <w:rFonts w:eastAsiaTheme="minorEastAsia"/>
              <w:noProof/>
              <w:lang w:val="en-US"/>
            </w:rPr>
          </w:pPr>
          <w:hyperlink w:anchor="_Toc143572620" w:history="1">
            <w:r w:rsidR="00811F4B" w:rsidRPr="00943A3E">
              <w:rPr>
                <w:rStyle w:val="Hyperlink"/>
                <w:noProof/>
              </w:rPr>
              <w:t>Future Outlook:</w:t>
            </w:r>
            <w:r w:rsidR="00811F4B">
              <w:rPr>
                <w:noProof/>
                <w:webHidden/>
              </w:rPr>
              <w:tab/>
            </w:r>
            <w:r w:rsidR="00811F4B">
              <w:rPr>
                <w:noProof/>
                <w:webHidden/>
              </w:rPr>
              <w:fldChar w:fldCharType="begin"/>
            </w:r>
            <w:r w:rsidR="00811F4B">
              <w:rPr>
                <w:noProof/>
                <w:webHidden/>
              </w:rPr>
              <w:instrText xml:space="preserve"> PAGEREF _Toc143572620 \h </w:instrText>
            </w:r>
            <w:r w:rsidR="00811F4B">
              <w:rPr>
                <w:noProof/>
                <w:webHidden/>
              </w:rPr>
            </w:r>
            <w:r w:rsidR="00811F4B">
              <w:rPr>
                <w:noProof/>
                <w:webHidden/>
              </w:rPr>
              <w:fldChar w:fldCharType="separate"/>
            </w:r>
            <w:r w:rsidR="00811F4B">
              <w:rPr>
                <w:noProof/>
                <w:webHidden/>
              </w:rPr>
              <w:t>7</w:t>
            </w:r>
            <w:r w:rsidR="00811F4B">
              <w:rPr>
                <w:noProof/>
                <w:webHidden/>
              </w:rPr>
              <w:fldChar w:fldCharType="end"/>
            </w:r>
          </w:hyperlink>
        </w:p>
        <w:p w14:paraId="5C08650A" w14:textId="2B61A0AA" w:rsidR="00811F4B" w:rsidRDefault="0096354F">
          <w:pPr>
            <w:pStyle w:val="TOC1"/>
            <w:tabs>
              <w:tab w:val="right" w:leader="dot" w:pos="9016"/>
            </w:tabs>
            <w:rPr>
              <w:rFonts w:eastAsiaTheme="minorEastAsia"/>
              <w:noProof/>
              <w:lang w:val="en-US"/>
            </w:rPr>
          </w:pPr>
          <w:hyperlink w:anchor="_Toc143572621" w:history="1">
            <w:r w:rsidR="00811F4B" w:rsidRPr="00943A3E">
              <w:rPr>
                <w:rStyle w:val="Hyperlink"/>
                <w:noProof/>
              </w:rPr>
              <w:t>Emerging Changes in Human Resource Strategies in the Post-COVID</w:t>
            </w:r>
            <w:r w:rsidR="00811F4B">
              <w:rPr>
                <w:noProof/>
                <w:webHidden/>
              </w:rPr>
              <w:tab/>
            </w:r>
            <w:r w:rsidR="00811F4B">
              <w:rPr>
                <w:noProof/>
                <w:webHidden/>
              </w:rPr>
              <w:fldChar w:fldCharType="begin"/>
            </w:r>
            <w:r w:rsidR="00811F4B">
              <w:rPr>
                <w:noProof/>
                <w:webHidden/>
              </w:rPr>
              <w:instrText xml:space="preserve"> PAGEREF _Toc143572621 \h </w:instrText>
            </w:r>
            <w:r w:rsidR="00811F4B">
              <w:rPr>
                <w:noProof/>
                <w:webHidden/>
              </w:rPr>
            </w:r>
            <w:r w:rsidR="00811F4B">
              <w:rPr>
                <w:noProof/>
                <w:webHidden/>
              </w:rPr>
              <w:fldChar w:fldCharType="separate"/>
            </w:r>
            <w:r w:rsidR="00811F4B">
              <w:rPr>
                <w:noProof/>
                <w:webHidden/>
              </w:rPr>
              <w:t>9</w:t>
            </w:r>
            <w:r w:rsidR="00811F4B">
              <w:rPr>
                <w:noProof/>
                <w:webHidden/>
              </w:rPr>
              <w:fldChar w:fldCharType="end"/>
            </w:r>
          </w:hyperlink>
        </w:p>
        <w:p w14:paraId="49191290" w14:textId="684CA6C0" w:rsidR="00811F4B" w:rsidRDefault="0096354F">
          <w:pPr>
            <w:pStyle w:val="TOC1"/>
            <w:tabs>
              <w:tab w:val="right" w:leader="dot" w:pos="9016"/>
            </w:tabs>
            <w:rPr>
              <w:rFonts w:eastAsiaTheme="minorEastAsia"/>
              <w:noProof/>
              <w:lang w:val="en-US"/>
            </w:rPr>
          </w:pPr>
          <w:hyperlink w:anchor="_Toc143572622" w:history="1">
            <w:r w:rsidR="00811F4B" w:rsidRPr="00943A3E">
              <w:rPr>
                <w:rStyle w:val="Hyperlink"/>
                <w:noProof/>
              </w:rPr>
              <w:t>Policy Implications and Recommendations</w:t>
            </w:r>
            <w:r w:rsidR="00811F4B">
              <w:rPr>
                <w:noProof/>
                <w:webHidden/>
              </w:rPr>
              <w:tab/>
            </w:r>
            <w:r w:rsidR="00811F4B">
              <w:rPr>
                <w:noProof/>
                <w:webHidden/>
              </w:rPr>
              <w:fldChar w:fldCharType="begin"/>
            </w:r>
            <w:r w:rsidR="00811F4B">
              <w:rPr>
                <w:noProof/>
                <w:webHidden/>
              </w:rPr>
              <w:instrText xml:space="preserve"> PAGEREF _Toc143572622 \h </w:instrText>
            </w:r>
            <w:r w:rsidR="00811F4B">
              <w:rPr>
                <w:noProof/>
                <w:webHidden/>
              </w:rPr>
            </w:r>
            <w:r w:rsidR="00811F4B">
              <w:rPr>
                <w:noProof/>
                <w:webHidden/>
              </w:rPr>
              <w:fldChar w:fldCharType="separate"/>
            </w:r>
            <w:r w:rsidR="00811F4B">
              <w:rPr>
                <w:noProof/>
                <w:webHidden/>
              </w:rPr>
              <w:t>11</w:t>
            </w:r>
            <w:r w:rsidR="00811F4B">
              <w:rPr>
                <w:noProof/>
                <w:webHidden/>
              </w:rPr>
              <w:fldChar w:fldCharType="end"/>
            </w:r>
          </w:hyperlink>
        </w:p>
        <w:p w14:paraId="61EA07A9" w14:textId="785E2725" w:rsidR="00811F4B" w:rsidRDefault="0096354F">
          <w:pPr>
            <w:pStyle w:val="TOC1"/>
            <w:tabs>
              <w:tab w:val="right" w:leader="dot" w:pos="9016"/>
            </w:tabs>
            <w:rPr>
              <w:rFonts w:eastAsiaTheme="minorEastAsia"/>
              <w:noProof/>
              <w:lang w:val="en-US"/>
            </w:rPr>
          </w:pPr>
          <w:hyperlink w:anchor="_Toc143572623" w:history="1">
            <w:r w:rsidR="00811F4B" w:rsidRPr="00943A3E">
              <w:rPr>
                <w:rStyle w:val="Hyperlink"/>
                <w:noProof/>
              </w:rPr>
              <w:t>Conclusion</w:t>
            </w:r>
            <w:r w:rsidR="00811F4B">
              <w:rPr>
                <w:noProof/>
                <w:webHidden/>
              </w:rPr>
              <w:tab/>
            </w:r>
            <w:r w:rsidR="00811F4B">
              <w:rPr>
                <w:noProof/>
                <w:webHidden/>
              </w:rPr>
              <w:fldChar w:fldCharType="begin"/>
            </w:r>
            <w:r w:rsidR="00811F4B">
              <w:rPr>
                <w:noProof/>
                <w:webHidden/>
              </w:rPr>
              <w:instrText xml:space="preserve"> PAGEREF _Toc143572623 \h </w:instrText>
            </w:r>
            <w:r w:rsidR="00811F4B">
              <w:rPr>
                <w:noProof/>
                <w:webHidden/>
              </w:rPr>
            </w:r>
            <w:r w:rsidR="00811F4B">
              <w:rPr>
                <w:noProof/>
                <w:webHidden/>
              </w:rPr>
              <w:fldChar w:fldCharType="separate"/>
            </w:r>
            <w:r w:rsidR="00811F4B">
              <w:rPr>
                <w:noProof/>
                <w:webHidden/>
              </w:rPr>
              <w:t>13</w:t>
            </w:r>
            <w:r w:rsidR="00811F4B">
              <w:rPr>
                <w:noProof/>
                <w:webHidden/>
              </w:rPr>
              <w:fldChar w:fldCharType="end"/>
            </w:r>
          </w:hyperlink>
        </w:p>
        <w:p w14:paraId="6A34C711" w14:textId="4B4BE689" w:rsidR="00811F4B" w:rsidRDefault="0096354F">
          <w:pPr>
            <w:pStyle w:val="TOC1"/>
            <w:tabs>
              <w:tab w:val="right" w:leader="dot" w:pos="9016"/>
            </w:tabs>
            <w:rPr>
              <w:rFonts w:eastAsiaTheme="minorEastAsia"/>
              <w:noProof/>
              <w:lang w:val="en-US"/>
            </w:rPr>
          </w:pPr>
          <w:hyperlink w:anchor="_Toc143572624" w:history="1">
            <w:r w:rsidR="00811F4B" w:rsidRPr="00943A3E">
              <w:rPr>
                <w:rStyle w:val="Hyperlink"/>
                <w:noProof/>
              </w:rPr>
              <w:t>References:</w:t>
            </w:r>
            <w:r w:rsidR="00811F4B">
              <w:rPr>
                <w:noProof/>
                <w:webHidden/>
              </w:rPr>
              <w:tab/>
            </w:r>
            <w:r w:rsidR="00811F4B">
              <w:rPr>
                <w:noProof/>
                <w:webHidden/>
              </w:rPr>
              <w:fldChar w:fldCharType="begin"/>
            </w:r>
            <w:r w:rsidR="00811F4B">
              <w:rPr>
                <w:noProof/>
                <w:webHidden/>
              </w:rPr>
              <w:instrText xml:space="preserve"> PAGEREF _Toc143572624 \h </w:instrText>
            </w:r>
            <w:r w:rsidR="00811F4B">
              <w:rPr>
                <w:noProof/>
                <w:webHidden/>
              </w:rPr>
            </w:r>
            <w:r w:rsidR="00811F4B">
              <w:rPr>
                <w:noProof/>
                <w:webHidden/>
              </w:rPr>
              <w:fldChar w:fldCharType="separate"/>
            </w:r>
            <w:r w:rsidR="00811F4B">
              <w:rPr>
                <w:noProof/>
                <w:webHidden/>
              </w:rPr>
              <w:t>14</w:t>
            </w:r>
            <w:r w:rsidR="00811F4B">
              <w:rPr>
                <w:noProof/>
                <w:webHidden/>
              </w:rPr>
              <w:fldChar w:fldCharType="end"/>
            </w:r>
          </w:hyperlink>
        </w:p>
        <w:p w14:paraId="22FC2191" w14:textId="05C5CDDE" w:rsidR="002B6E28" w:rsidRDefault="002B6E28">
          <w:r w:rsidRPr="002B6E28">
            <w:rPr>
              <w:rFonts w:cstheme="minorHAnsi"/>
              <w:b/>
              <w:bCs/>
              <w:noProof/>
            </w:rPr>
            <w:fldChar w:fldCharType="end"/>
          </w:r>
        </w:p>
      </w:sdtContent>
    </w:sdt>
    <w:p w14:paraId="2E03D6EA" w14:textId="77777777" w:rsidR="002B6E28" w:rsidRDefault="002B6E28" w:rsidP="002B6E28"/>
    <w:p w14:paraId="64589C1B" w14:textId="77777777" w:rsidR="002B6E28" w:rsidRDefault="002B6E28" w:rsidP="002B6E28"/>
    <w:p w14:paraId="3669B47D" w14:textId="77777777" w:rsidR="002B6E28" w:rsidRDefault="002B6E28" w:rsidP="002B6E28"/>
    <w:p w14:paraId="103E02D8" w14:textId="77777777" w:rsidR="002B6E28" w:rsidRDefault="002B6E28" w:rsidP="002B6E28"/>
    <w:p w14:paraId="35FFCD5E" w14:textId="77777777" w:rsidR="002B6E28" w:rsidRDefault="002B6E28" w:rsidP="002B6E28"/>
    <w:p w14:paraId="31767221" w14:textId="77777777" w:rsidR="002B6E28" w:rsidRDefault="002B6E28" w:rsidP="002B6E28"/>
    <w:p w14:paraId="280533CE" w14:textId="77777777" w:rsidR="002B6E28" w:rsidRDefault="002B6E28" w:rsidP="002B6E28"/>
    <w:p w14:paraId="6AA13B2D" w14:textId="77777777" w:rsidR="002B6E28" w:rsidRDefault="002B6E28" w:rsidP="002B6E28"/>
    <w:p w14:paraId="46682947" w14:textId="77777777" w:rsidR="002B6E28" w:rsidRDefault="002B6E28" w:rsidP="002B6E28"/>
    <w:p w14:paraId="25047345" w14:textId="77777777" w:rsidR="002B6E28" w:rsidRDefault="002B6E28" w:rsidP="002B6E28"/>
    <w:p w14:paraId="36C6D5D0" w14:textId="77777777" w:rsidR="002B6E28" w:rsidRDefault="002B6E28" w:rsidP="002B6E28"/>
    <w:p w14:paraId="05056BCD" w14:textId="77777777" w:rsidR="002B6E28" w:rsidRDefault="002B6E28" w:rsidP="002B6E28"/>
    <w:p w14:paraId="3C0545C7" w14:textId="77777777" w:rsidR="002B6E28" w:rsidRDefault="002B6E28" w:rsidP="002B6E28"/>
    <w:p w14:paraId="37F5138B" w14:textId="77777777" w:rsidR="002B6E28" w:rsidRDefault="002B6E28" w:rsidP="002B6E28"/>
    <w:p w14:paraId="4FFB99AE" w14:textId="77777777" w:rsidR="002B6E28" w:rsidRDefault="002B6E28" w:rsidP="002B6E28"/>
    <w:p w14:paraId="74BB490E" w14:textId="77777777" w:rsidR="002B6E28" w:rsidRDefault="002B6E28" w:rsidP="002B6E28"/>
    <w:p w14:paraId="26C3C67B" w14:textId="5DC120AE" w:rsidR="00404CC0" w:rsidRPr="000A065B" w:rsidRDefault="00D26FC4" w:rsidP="002B6E28">
      <w:pPr>
        <w:pStyle w:val="Heading1"/>
      </w:pPr>
      <w:bookmarkStart w:id="0" w:name="_Toc143572610"/>
      <w:r w:rsidRPr="002B0075">
        <w:t>T</w:t>
      </w:r>
      <w:r w:rsidR="00404CC0" w:rsidRPr="002B0075">
        <w:t>he Current State of the Labor Market in the UK</w:t>
      </w:r>
      <w:bookmarkEnd w:id="0"/>
    </w:p>
    <w:p w14:paraId="3FA22511" w14:textId="77777777" w:rsidR="00D26FC4" w:rsidRDefault="00404CC0" w:rsidP="002B0075">
      <w:pPr>
        <w:spacing w:line="360" w:lineRule="auto"/>
        <w:rPr>
          <w:rFonts w:cstheme="minorHAnsi"/>
          <w:sz w:val="24"/>
          <w:szCs w:val="24"/>
        </w:rPr>
      </w:pPr>
      <w:r w:rsidRPr="002B0075">
        <w:rPr>
          <w:rFonts w:cstheme="minorHAnsi"/>
          <w:sz w:val="24"/>
          <w:szCs w:val="24"/>
        </w:rPr>
        <w:t xml:space="preserve">The </w:t>
      </w:r>
      <w:r w:rsidR="0099378E" w:rsidRPr="002B0075">
        <w:rPr>
          <w:rFonts w:cstheme="minorHAnsi"/>
          <w:sz w:val="24"/>
          <w:szCs w:val="24"/>
        </w:rPr>
        <w:t>L</w:t>
      </w:r>
      <w:r w:rsidRPr="002B0075">
        <w:rPr>
          <w:rFonts w:cstheme="minorHAnsi"/>
          <w:sz w:val="24"/>
          <w:szCs w:val="24"/>
        </w:rPr>
        <w:t>abo</w:t>
      </w:r>
      <w:r w:rsidR="0099378E" w:rsidRPr="002B0075">
        <w:rPr>
          <w:rFonts w:cstheme="minorHAnsi"/>
          <w:sz w:val="24"/>
          <w:szCs w:val="24"/>
        </w:rPr>
        <w:t xml:space="preserve">r </w:t>
      </w:r>
      <w:r w:rsidRPr="002B0075">
        <w:rPr>
          <w:rFonts w:cstheme="minorHAnsi"/>
          <w:sz w:val="24"/>
          <w:szCs w:val="24"/>
        </w:rPr>
        <w:t xml:space="preserve">market in the United Kingdom (UK) is a dynamic and complex ecosystem that is impacted by a wide range of variables, such as sociological trends, economic situations, and technology and regulatory developments. I will give a summary of the UK </w:t>
      </w:r>
      <w:r w:rsidR="0099378E" w:rsidRPr="002B0075">
        <w:rPr>
          <w:rFonts w:cstheme="minorHAnsi"/>
          <w:sz w:val="24"/>
          <w:szCs w:val="24"/>
        </w:rPr>
        <w:t>L</w:t>
      </w:r>
      <w:r w:rsidRPr="002B0075">
        <w:rPr>
          <w:rFonts w:cstheme="minorHAnsi"/>
          <w:sz w:val="24"/>
          <w:szCs w:val="24"/>
        </w:rPr>
        <w:t>abor market as of my most recent knowledge update in September 2021 and make some extrapolations based on past patterns and potential future changes.</w:t>
      </w:r>
    </w:p>
    <w:p w14:paraId="6499172B" w14:textId="77777777" w:rsidR="00630D37" w:rsidRPr="002B0075" w:rsidRDefault="00630D37" w:rsidP="002B0075">
      <w:pPr>
        <w:spacing w:line="360" w:lineRule="auto"/>
        <w:rPr>
          <w:rFonts w:cstheme="minorHAnsi"/>
          <w:sz w:val="24"/>
          <w:szCs w:val="24"/>
        </w:rPr>
      </w:pPr>
    </w:p>
    <w:p w14:paraId="7B7EC937" w14:textId="16E15686" w:rsidR="002B0075" w:rsidRPr="002B0075" w:rsidRDefault="002B0075" w:rsidP="002B6E28">
      <w:pPr>
        <w:pStyle w:val="Heading1"/>
      </w:pPr>
      <w:bookmarkStart w:id="1" w:name="_Toc143572611"/>
      <w:r w:rsidRPr="002B0075">
        <w:t>Current Trends in the UK Labor Market:</w:t>
      </w:r>
      <w:bookmarkEnd w:id="1"/>
    </w:p>
    <w:p w14:paraId="72C9B3E4" w14:textId="7C068438" w:rsidR="002B0075" w:rsidRPr="002B0075" w:rsidRDefault="002B0075" w:rsidP="002B0075">
      <w:pPr>
        <w:spacing w:line="360" w:lineRule="auto"/>
        <w:rPr>
          <w:rFonts w:cstheme="minorHAnsi"/>
          <w:sz w:val="24"/>
          <w:szCs w:val="24"/>
        </w:rPr>
      </w:pPr>
      <w:r w:rsidRPr="00957E6A">
        <w:rPr>
          <w:rFonts w:cstheme="minorHAnsi"/>
          <w:b/>
          <w:bCs/>
          <w:sz w:val="24"/>
          <w:szCs w:val="24"/>
        </w:rPr>
        <w:t>Hybrid models and remote work:</w:t>
      </w:r>
      <w:r w:rsidRPr="002B0075">
        <w:rPr>
          <w:rFonts w:cstheme="minorHAnsi"/>
          <w:sz w:val="24"/>
          <w:szCs w:val="24"/>
        </w:rPr>
        <w:t xml:space="preserve"> The COVID-19 epidemic hastened the uptake of remote work in the UK. Many businesses have adopted hybrid work models, allowing employees to work both from home and the office, even if some positions still demand a physical presence. On work arrangements, this tendency is anticipated to have long-lasting repercussions.</w:t>
      </w:r>
    </w:p>
    <w:p w14:paraId="0FF5073A" w14:textId="29C12F3E" w:rsidR="002B0075" w:rsidRPr="002B0075" w:rsidRDefault="002B0075" w:rsidP="002B0075">
      <w:pPr>
        <w:spacing w:line="360" w:lineRule="auto"/>
        <w:rPr>
          <w:rFonts w:cstheme="minorHAnsi"/>
          <w:sz w:val="24"/>
          <w:szCs w:val="24"/>
        </w:rPr>
      </w:pPr>
      <w:r w:rsidRPr="00957E6A">
        <w:rPr>
          <w:rFonts w:cstheme="minorHAnsi"/>
          <w:b/>
          <w:bCs/>
          <w:sz w:val="24"/>
          <w:szCs w:val="24"/>
        </w:rPr>
        <w:t>Automation and technology development:</w:t>
      </w:r>
      <w:r w:rsidRPr="002B0075">
        <w:rPr>
          <w:rFonts w:cstheme="minorHAnsi"/>
          <w:sz w:val="24"/>
          <w:szCs w:val="24"/>
        </w:rPr>
        <w:t xml:space="preserve"> In the UK, the nature of employment is changing due to automation and technological development. While these advances boost productivity, they also spark worries about job loss and the need for retraining and upskilling.</w:t>
      </w:r>
    </w:p>
    <w:p w14:paraId="48A2591F" w14:textId="7531C012" w:rsidR="002B0075" w:rsidRPr="002B0075" w:rsidRDefault="002B0075" w:rsidP="002B0075">
      <w:pPr>
        <w:spacing w:line="360" w:lineRule="auto"/>
        <w:rPr>
          <w:rFonts w:cstheme="minorHAnsi"/>
          <w:sz w:val="24"/>
          <w:szCs w:val="24"/>
        </w:rPr>
      </w:pPr>
      <w:r w:rsidRPr="00957E6A">
        <w:rPr>
          <w:rFonts w:cstheme="minorHAnsi"/>
          <w:b/>
          <w:bCs/>
          <w:sz w:val="24"/>
          <w:szCs w:val="24"/>
        </w:rPr>
        <w:t>Rise of the Gig Economy</w:t>
      </w:r>
      <w:r w:rsidRPr="002B0075">
        <w:rPr>
          <w:rFonts w:cstheme="minorHAnsi"/>
          <w:sz w:val="24"/>
          <w:szCs w:val="24"/>
        </w:rPr>
        <w:t>: Platforms that match freelancers with momentary employment possibilities are helping the gig economy expand in the UK. While this allows for flexibility, it also calls into question the rights, benefits, and employment security of workers.</w:t>
      </w:r>
    </w:p>
    <w:p w14:paraId="53EE558E" w14:textId="287D5CA2" w:rsidR="002B0075" w:rsidRPr="002B0075" w:rsidRDefault="002B0075" w:rsidP="002B0075">
      <w:pPr>
        <w:spacing w:line="360" w:lineRule="auto"/>
        <w:rPr>
          <w:rFonts w:cstheme="minorHAnsi"/>
          <w:sz w:val="24"/>
          <w:szCs w:val="24"/>
        </w:rPr>
      </w:pPr>
      <w:r w:rsidRPr="00957E6A">
        <w:rPr>
          <w:rFonts w:cstheme="minorHAnsi"/>
          <w:b/>
          <w:bCs/>
          <w:sz w:val="24"/>
          <w:szCs w:val="24"/>
        </w:rPr>
        <w:t>Green and Sustainable Jobs:</w:t>
      </w:r>
      <w:r w:rsidRPr="002B0075">
        <w:rPr>
          <w:rFonts w:cstheme="minorHAnsi"/>
          <w:sz w:val="24"/>
          <w:szCs w:val="24"/>
        </w:rPr>
        <w:t xml:space="preserve"> Due to the UK's dedication to battling climate change, green and sustainable jobs have become more prevalent. Industries including green technology, sustainable agriculture, and renewable energy are anticipated to have a big impact on the labour market in the future.</w:t>
      </w:r>
    </w:p>
    <w:p w14:paraId="79551095" w14:textId="77777777" w:rsidR="002B0075" w:rsidRPr="002B0075" w:rsidRDefault="002B0075" w:rsidP="002B0075">
      <w:pPr>
        <w:spacing w:line="360" w:lineRule="auto"/>
        <w:rPr>
          <w:rFonts w:cstheme="minorHAnsi"/>
          <w:sz w:val="24"/>
          <w:szCs w:val="24"/>
        </w:rPr>
      </w:pPr>
      <w:r w:rsidRPr="00957E6A">
        <w:rPr>
          <w:rFonts w:cstheme="minorHAnsi"/>
          <w:b/>
          <w:bCs/>
          <w:sz w:val="24"/>
          <w:szCs w:val="24"/>
        </w:rPr>
        <w:t>Concentrate on Well-Being:</w:t>
      </w:r>
      <w:r w:rsidRPr="002B0075">
        <w:rPr>
          <w:rFonts w:cstheme="minorHAnsi"/>
          <w:sz w:val="24"/>
          <w:szCs w:val="24"/>
        </w:rPr>
        <w:t xml:space="preserve"> The pandemic brought home how crucial employee well-being is. Employers are becoming more aware of the importance of work-life balance, flexible scheduling, and assistance for both mental and physical health in order to recruit and retain talent.</w:t>
      </w:r>
    </w:p>
    <w:p w14:paraId="6CE1111D" w14:textId="77777777" w:rsidR="002B0075" w:rsidRDefault="002B0075" w:rsidP="002B0075">
      <w:pPr>
        <w:spacing w:line="360" w:lineRule="auto"/>
        <w:rPr>
          <w:rFonts w:cstheme="minorHAnsi"/>
          <w:sz w:val="24"/>
          <w:szCs w:val="24"/>
        </w:rPr>
      </w:pPr>
    </w:p>
    <w:p w14:paraId="7EFCC834" w14:textId="15DB1AB5" w:rsidR="00B66EF3" w:rsidRDefault="00B66EF3" w:rsidP="002B0075">
      <w:pPr>
        <w:spacing w:line="360" w:lineRule="auto"/>
        <w:rPr>
          <w:rFonts w:cstheme="minorHAnsi"/>
          <w:sz w:val="24"/>
          <w:szCs w:val="24"/>
        </w:rPr>
      </w:pPr>
      <w:r>
        <w:rPr>
          <w:rFonts w:cstheme="minorHAnsi"/>
          <w:noProof/>
          <w:sz w:val="24"/>
          <w:szCs w:val="24"/>
          <w:lang w:val="en-US"/>
        </w:rPr>
        <w:drawing>
          <wp:inline distT="0" distB="0" distL="0" distR="0" wp14:anchorId="119C4F59" wp14:editId="2C7523C2">
            <wp:extent cx="5731510" cy="29762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0d9ad99.png"/>
                    <pic:cNvPicPr/>
                  </pic:nvPicPr>
                  <pic:blipFill>
                    <a:blip r:embed="rId6">
                      <a:extLst>
                        <a:ext uri="{28A0092B-C50C-407E-A947-70E740481C1C}">
                          <a14:useLocalDpi xmlns:a14="http://schemas.microsoft.com/office/drawing/2010/main" val="0"/>
                        </a:ext>
                      </a:extLst>
                    </a:blip>
                    <a:stretch>
                      <a:fillRect/>
                    </a:stretch>
                  </pic:blipFill>
                  <pic:spPr>
                    <a:xfrm>
                      <a:off x="0" y="0"/>
                      <a:ext cx="5731510" cy="2976245"/>
                    </a:xfrm>
                    <a:prstGeom prst="rect">
                      <a:avLst/>
                    </a:prstGeom>
                  </pic:spPr>
                </pic:pic>
              </a:graphicData>
            </a:graphic>
          </wp:inline>
        </w:drawing>
      </w:r>
    </w:p>
    <w:p w14:paraId="24E988DE" w14:textId="672A7118" w:rsidR="00B66EF3" w:rsidRDefault="00B66EF3" w:rsidP="00B66EF3">
      <w:pPr>
        <w:spacing w:line="360" w:lineRule="auto"/>
        <w:jc w:val="center"/>
        <w:rPr>
          <w:rFonts w:cstheme="minorHAnsi"/>
          <w:b/>
          <w:sz w:val="24"/>
          <w:szCs w:val="24"/>
        </w:rPr>
      </w:pPr>
      <w:r w:rsidRPr="00B66EF3">
        <w:rPr>
          <w:rFonts w:cstheme="minorHAnsi"/>
          <w:b/>
          <w:sz w:val="24"/>
          <w:szCs w:val="24"/>
        </w:rPr>
        <w:t>UK Labour Market            Source:</w:t>
      </w:r>
      <w:r w:rsidRPr="00B66EF3">
        <w:rPr>
          <w:b/>
        </w:rPr>
        <w:t xml:space="preserve"> </w:t>
      </w:r>
      <w:r w:rsidRPr="00B66EF3">
        <w:rPr>
          <w:rFonts w:cstheme="minorHAnsi"/>
          <w:b/>
          <w:sz w:val="24"/>
          <w:szCs w:val="24"/>
        </w:rPr>
        <w:t>ons.gov.uk</w:t>
      </w:r>
    </w:p>
    <w:p w14:paraId="6241810E" w14:textId="77777777" w:rsidR="00B66EF3" w:rsidRPr="00B66EF3" w:rsidRDefault="00B66EF3" w:rsidP="00B66EF3">
      <w:pPr>
        <w:spacing w:line="360" w:lineRule="auto"/>
        <w:jc w:val="center"/>
        <w:rPr>
          <w:rFonts w:cstheme="minorHAnsi"/>
          <w:b/>
          <w:sz w:val="24"/>
          <w:szCs w:val="24"/>
        </w:rPr>
      </w:pPr>
    </w:p>
    <w:p w14:paraId="4A74C27C" w14:textId="09C648BE" w:rsidR="00404CC0" w:rsidRPr="002B0075" w:rsidRDefault="00404CC0" w:rsidP="002B6E28">
      <w:pPr>
        <w:pStyle w:val="Heading1"/>
      </w:pPr>
      <w:bookmarkStart w:id="2" w:name="_Toc143572612"/>
      <w:r w:rsidRPr="002B0075">
        <w:t>Pre-2020 Trends and Conditions:</w:t>
      </w:r>
      <w:bookmarkEnd w:id="2"/>
    </w:p>
    <w:p w14:paraId="7C55E98F" w14:textId="77777777" w:rsidR="00404CC0" w:rsidRPr="002B0075" w:rsidRDefault="00404CC0" w:rsidP="002B0075">
      <w:pPr>
        <w:spacing w:line="360" w:lineRule="auto"/>
        <w:rPr>
          <w:rFonts w:cstheme="minorHAnsi"/>
          <w:sz w:val="24"/>
          <w:szCs w:val="24"/>
        </w:rPr>
      </w:pPr>
      <w:r w:rsidRPr="002B0075">
        <w:rPr>
          <w:rFonts w:cstheme="minorHAnsi"/>
          <w:sz w:val="24"/>
          <w:szCs w:val="24"/>
        </w:rPr>
        <w:t>Before the COVID-19 pandemic, there were several noteworthy trends in the UK job sector. One of the lowest rates in decades, the unemployment rate had been quite low, averaging around 4%. In addition, due to the expansion of digital platforms and workers' need for more flexibility, there was an increase in self-employment and gig economy Labor.</w:t>
      </w:r>
    </w:p>
    <w:p w14:paraId="06EDFCFA" w14:textId="77777777" w:rsidR="00404CC0" w:rsidRPr="002B0075" w:rsidRDefault="00404CC0" w:rsidP="002B0075">
      <w:pPr>
        <w:spacing w:line="360" w:lineRule="auto"/>
        <w:rPr>
          <w:rFonts w:cstheme="minorHAnsi"/>
          <w:sz w:val="24"/>
          <w:szCs w:val="24"/>
        </w:rPr>
      </w:pPr>
      <w:r w:rsidRPr="002B0075">
        <w:rPr>
          <w:rFonts w:cstheme="minorHAnsi"/>
          <w:sz w:val="24"/>
          <w:szCs w:val="24"/>
        </w:rPr>
        <w:t xml:space="preserve">The </w:t>
      </w:r>
      <w:r w:rsidR="0099378E" w:rsidRPr="002B0075">
        <w:rPr>
          <w:rFonts w:cstheme="minorHAnsi"/>
          <w:sz w:val="24"/>
          <w:szCs w:val="24"/>
        </w:rPr>
        <w:t>L</w:t>
      </w:r>
      <w:r w:rsidRPr="002B0075">
        <w:rPr>
          <w:rFonts w:cstheme="minorHAnsi"/>
          <w:sz w:val="24"/>
          <w:szCs w:val="24"/>
        </w:rPr>
        <w:t>abor market in the UK was also dealing with problems that hampered productivity and economic growth, including income inequality, regional differences in employment prospects, and a skills gap. To address these issues, the government launched a number of initiatives, such as investments in vocational education and training and initiatives to encourage the inclusion of underrepresented groups in the workforce.</w:t>
      </w:r>
    </w:p>
    <w:p w14:paraId="730EB731" w14:textId="77777777" w:rsidR="00404CC0" w:rsidRPr="002B0075" w:rsidRDefault="00404CC0" w:rsidP="002B0075">
      <w:pPr>
        <w:spacing w:line="360" w:lineRule="auto"/>
        <w:rPr>
          <w:rFonts w:cstheme="minorHAnsi"/>
          <w:b/>
          <w:bCs/>
          <w:sz w:val="24"/>
          <w:szCs w:val="24"/>
        </w:rPr>
      </w:pPr>
    </w:p>
    <w:p w14:paraId="1696D1BB" w14:textId="44A1AF13" w:rsidR="00404CC0" w:rsidRPr="002B0075" w:rsidRDefault="00404CC0" w:rsidP="002B6E28">
      <w:pPr>
        <w:pStyle w:val="Heading1"/>
      </w:pPr>
      <w:bookmarkStart w:id="3" w:name="_Toc143572613"/>
      <w:r w:rsidRPr="002B0075">
        <w:t>Impact of COVID-19:</w:t>
      </w:r>
      <w:bookmarkEnd w:id="3"/>
    </w:p>
    <w:p w14:paraId="32F8C162" w14:textId="77777777" w:rsidR="0099378E" w:rsidRPr="002B0075" w:rsidRDefault="0099378E" w:rsidP="002B0075">
      <w:pPr>
        <w:spacing w:line="360" w:lineRule="auto"/>
        <w:rPr>
          <w:rFonts w:cstheme="minorHAnsi"/>
          <w:sz w:val="24"/>
          <w:szCs w:val="24"/>
        </w:rPr>
      </w:pPr>
      <w:r w:rsidRPr="002B0075">
        <w:rPr>
          <w:rFonts w:cstheme="minorHAnsi"/>
          <w:sz w:val="24"/>
          <w:szCs w:val="24"/>
        </w:rPr>
        <w:t>Early in 2020, the COVID-19 epidemic broke out, causing a massive upheaval in the UK job market. A significant rise in unemployment was caused by lockdowns, travel restrictions, and the economic crisis. Numerous firms, especially those in the hotel, tourist, and retail industries, were forced to close or significantly scale back their activities. Millions of employees were forced into furloughs or were fired as a result.</w:t>
      </w:r>
    </w:p>
    <w:p w14:paraId="0C1FAD43" w14:textId="77777777" w:rsidR="0099378E" w:rsidRPr="002B0075" w:rsidRDefault="0099378E" w:rsidP="002B0075">
      <w:pPr>
        <w:spacing w:line="360" w:lineRule="auto"/>
        <w:rPr>
          <w:rFonts w:cstheme="minorHAnsi"/>
          <w:sz w:val="24"/>
          <w:szCs w:val="24"/>
        </w:rPr>
      </w:pPr>
      <w:r w:rsidRPr="002B0075">
        <w:rPr>
          <w:rFonts w:cstheme="minorHAnsi"/>
          <w:sz w:val="24"/>
          <w:szCs w:val="24"/>
        </w:rPr>
        <w:t>The Coronavirus Job Retention Scheme (furlough scheme), which was implemented by the UK government in response, was designed to give employers financial assistance so that they could keep their staff members during the crisis. Along with other supportive measures, this endeavour assisted in reducing some of the harshest immediate effects on the job market.</w:t>
      </w:r>
    </w:p>
    <w:p w14:paraId="4099336C" w14:textId="2B66479A" w:rsidR="000A065B" w:rsidRDefault="00B66EF3" w:rsidP="00B66EF3">
      <w:r>
        <w:rPr>
          <w:noProof/>
          <w:lang w:val="en-US"/>
        </w:rPr>
        <w:drawing>
          <wp:inline distT="0" distB="0" distL="0" distR="0" wp14:anchorId="0DD59951" wp14:editId="5EE7B2D1">
            <wp:extent cx="5731510" cy="25920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nwefnkwj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592070"/>
                    </a:xfrm>
                    <a:prstGeom prst="rect">
                      <a:avLst/>
                    </a:prstGeom>
                  </pic:spPr>
                </pic:pic>
              </a:graphicData>
            </a:graphic>
          </wp:inline>
        </w:drawing>
      </w:r>
    </w:p>
    <w:p w14:paraId="79C3DE61" w14:textId="3B488384" w:rsidR="00B66EF3" w:rsidRDefault="00B66EF3" w:rsidP="00B66EF3">
      <w:pPr>
        <w:jc w:val="center"/>
        <w:rPr>
          <w:b/>
        </w:rPr>
      </w:pPr>
      <w:r w:rsidRPr="00B66EF3">
        <w:rPr>
          <w:b/>
        </w:rPr>
        <w:t>Labour Market Impact of Covid-19    Source: Indeed and Central Bank</w:t>
      </w:r>
    </w:p>
    <w:p w14:paraId="67EA2742" w14:textId="77777777" w:rsidR="00B66EF3" w:rsidRPr="00B66EF3" w:rsidRDefault="00B66EF3" w:rsidP="00B66EF3">
      <w:pPr>
        <w:jc w:val="center"/>
        <w:rPr>
          <w:b/>
        </w:rPr>
      </w:pPr>
    </w:p>
    <w:p w14:paraId="74174642" w14:textId="1CAA1984" w:rsidR="00404CC0" w:rsidRPr="002B0075" w:rsidRDefault="00404CC0" w:rsidP="002B6E28">
      <w:pPr>
        <w:pStyle w:val="Heading1"/>
      </w:pPr>
      <w:bookmarkStart w:id="4" w:name="_Toc143572614"/>
      <w:r w:rsidRPr="002B0075">
        <w:t>Post-Pandemic Recovery:</w:t>
      </w:r>
      <w:bookmarkEnd w:id="4"/>
    </w:p>
    <w:p w14:paraId="3BEF3688" w14:textId="77777777" w:rsidR="0099378E" w:rsidRPr="002B0075" w:rsidRDefault="0099378E" w:rsidP="002B0075">
      <w:pPr>
        <w:spacing w:line="360" w:lineRule="auto"/>
        <w:rPr>
          <w:rFonts w:cstheme="minorHAnsi"/>
          <w:sz w:val="24"/>
          <w:szCs w:val="24"/>
        </w:rPr>
      </w:pPr>
      <w:r w:rsidRPr="002B0075">
        <w:rPr>
          <w:rFonts w:cstheme="minorHAnsi"/>
          <w:sz w:val="24"/>
          <w:szCs w:val="24"/>
        </w:rPr>
        <w:t xml:space="preserve">As vaccines were available and restrictions were progressively relaxed by the end of 2020, the UK </w:t>
      </w:r>
      <w:r w:rsidR="00D26FC4" w:rsidRPr="002B0075">
        <w:rPr>
          <w:rFonts w:cstheme="minorHAnsi"/>
          <w:sz w:val="24"/>
          <w:szCs w:val="24"/>
        </w:rPr>
        <w:t>L</w:t>
      </w:r>
      <w:r w:rsidRPr="002B0075">
        <w:rPr>
          <w:rFonts w:cstheme="minorHAnsi"/>
          <w:sz w:val="24"/>
          <w:szCs w:val="24"/>
        </w:rPr>
        <w:t>abor market started to show indications of improvement. However, the rate of recovery varied significantly by sector. While some industries swiftly recovered, others continued to struggle as a result of shifting consumer habits and lingering concerns.</w:t>
      </w:r>
    </w:p>
    <w:p w14:paraId="630BD041" w14:textId="77777777" w:rsidR="0099378E" w:rsidRPr="002B0075" w:rsidRDefault="0099378E" w:rsidP="002B0075">
      <w:pPr>
        <w:spacing w:line="360" w:lineRule="auto"/>
        <w:rPr>
          <w:rFonts w:cstheme="minorHAnsi"/>
          <w:sz w:val="24"/>
          <w:szCs w:val="24"/>
        </w:rPr>
      </w:pPr>
      <w:r w:rsidRPr="002B0075">
        <w:rPr>
          <w:rFonts w:cstheme="minorHAnsi"/>
          <w:sz w:val="24"/>
          <w:szCs w:val="24"/>
        </w:rPr>
        <w:t>Along with these trends, the pandemic accelerated the use of remote work and the digitalization of business procedures. This change forced companies to reconsider their staffing plans and make technological investments to enable remote cooperation and adjust to shifting consumer needs.</w:t>
      </w:r>
    </w:p>
    <w:p w14:paraId="57412714" w14:textId="77777777" w:rsidR="00404CC0" w:rsidRPr="002B0075" w:rsidRDefault="00404CC0" w:rsidP="002B0075">
      <w:pPr>
        <w:spacing w:line="360" w:lineRule="auto"/>
        <w:rPr>
          <w:rFonts w:cstheme="minorHAnsi"/>
          <w:sz w:val="24"/>
          <w:szCs w:val="24"/>
        </w:rPr>
      </w:pPr>
    </w:p>
    <w:p w14:paraId="7984FF75" w14:textId="2C7EEF2B" w:rsidR="00404CC0" w:rsidRPr="002B0075" w:rsidRDefault="00404CC0" w:rsidP="002B6E28">
      <w:pPr>
        <w:pStyle w:val="Heading1"/>
      </w:pPr>
      <w:bookmarkStart w:id="5" w:name="_Toc143572615"/>
      <w:r w:rsidRPr="002B0075">
        <w:t>Brexit Implications:</w:t>
      </w:r>
      <w:bookmarkEnd w:id="5"/>
    </w:p>
    <w:p w14:paraId="7E49197F" w14:textId="77777777" w:rsidR="0099378E" w:rsidRPr="002B0075" w:rsidRDefault="0099378E" w:rsidP="002B0075">
      <w:pPr>
        <w:spacing w:line="360" w:lineRule="auto"/>
        <w:rPr>
          <w:rFonts w:cstheme="minorHAnsi"/>
          <w:sz w:val="24"/>
          <w:szCs w:val="24"/>
        </w:rPr>
      </w:pPr>
      <w:r w:rsidRPr="002B0075">
        <w:rPr>
          <w:rFonts w:cstheme="minorHAnsi"/>
          <w:sz w:val="24"/>
          <w:szCs w:val="24"/>
        </w:rPr>
        <w:t>By the end of 2020, when vaccines were accessible and limitations were gradually loosened, the UK Labor market began to show signs of improvement. The rate of recovery, however, varied greatly by industry. While some industries quickly bounced back, others struggled because of changing consumer preferences and unresolved issues.</w:t>
      </w:r>
    </w:p>
    <w:p w14:paraId="55640FDA" w14:textId="77777777" w:rsidR="0099378E" w:rsidRPr="002B0075" w:rsidRDefault="0099378E" w:rsidP="002B0075">
      <w:pPr>
        <w:spacing w:line="360" w:lineRule="auto"/>
        <w:rPr>
          <w:rFonts w:cstheme="minorHAnsi"/>
          <w:sz w:val="24"/>
          <w:szCs w:val="24"/>
        </w:rPr>
      </w:pPr>
      <w:r w:rsidRPr="002B0075">
        <w:rPr>
          <w:rFonts w:cstheme="minorHAnsi"/>
          <w:sz w:val="24"/>
          <w:szCs w:val="24"/>
        </w:rPr>
        <w:t>The pandemic intensified these tendencies together with the usage of remote Labor and the digitization of business processes. Due to this transformation, businesses were obliged to reevaluate their staffing strategies and invest in new technology to support remote collaboration and address changing customer demands.</w:t>
      </w:r>
    </w:p>
    <w:p w14:paraId="7AC0FBA1" w14:textId="77777777" w:rsidR="00404CC0" w:rsidRPr="002B0075" w:rsidRDefault="00404CC0" w:rsidP="002B0075">
      <w:pPr>
        <w:spacing w:line="360" w:lineRule="auto"/>
        <w:rPr>
          <w:rFonts w:cstheme="minorHAnsi"/>
          <w:b/>
          <w:bCs/>
          <w:sz w:val="24"/>
          <w:szCs w:val="24"/>
        </w:rPr>
      </w:pPr>
    </w:p>
    <w:p w14:paraId="58823CBC" w14:textId="6E4D7498" w:rsidR="00404CC0" w:rsidRPr="002B0075" w:rsidRDefault="00404CC0" w:rsidP="002B6E28">
      <w:pPr>
        <w:pStyle w:val="Heading1"/>
      </w:pPr>
      <w:bookmarkStart w:id="6" w:name="_Toc143572616"/>
      <w:r w:rsidRPr="002B0075">
        <w:t>Skills and Reskilling:</w:t>
      </w:r>
      <w:bookmarkEnd w:id="6"/>
    </w:p>
    <w:p w14:paraId="310B5D54" w14:textId="17954687" w:rsidR="00D26FC4" w:rsidRDefault="0099378E" w:rsidP="002B0075">
      <w:pPr>
        <w:spacing w:line="360" w:lineRule="auto"/>
        <w:rPr>
          <w:rFonts w:cstheme="minorHAnsi"/>
          <w:sz w:val="24"/>
          <w:szCs w:val="24"/>
        </w:rPr>
      </w:pPr>
      <w:r w:rsidRPr="002B0075">
        <w:rPr>
          <w:rFonts w:cstheme="minorHAnsi"/>
          <w:sz w:val="24"/>
          <w:szCs w:val="24"/>
        </w:rPr>
        <w:t>The significance of skill improvement and reskilling was underscored by the changing nature of work, which was partly influenced by technology advancements. There was an increasing requirement for people to acquire pertinent skills to maintain competitiveness in the labour market as employment positions changed and new ones developed. With a focus on digital literacy and other in-demand skills, the government and numerous organisations recognised this need and launched programmes to upskill and reskill workers.</w:t>
      </w:r>
    </w:p>
    <w:p w14:paraId="54BF64E9" w14:textId="77777777" w:rsidR="002B6E28" w:rsidRPr="002B0075" w:rsidRDefault="002B6E28" w:rsidP="002B0075">
      <w:pPr>
        <w:spacing w:line="360" w:lineRule="auto"/>
        <w:rPr>
          <w:rFonts w:cstheme="minorHAnsi"/>
          <w:sz w:val="24"/>
          <w:szCs w:val="24"/>
        </w:rPr>
      </w:pPr>
    </w:p>
    <w:p w14:paraId="1C082739" w14:textId="77777777" w:rsidR="00404CC0" w:rsidRPr="002B0075" w:rsidRDefault="00404CC0" w:rsidP="002B6E28">
      <w:pPr>
        <w:pStyle w:val="Heading1"/>
      </w:pPr>
      <w:bookmarkStart w:id="7" w:name="_Toc143572617"/>
      <w:r w:rsidRPr="002B0075">
        <w:t>Remote Work and Hybrid Models:</w:t>
      </w:r>
      <w:bookmarkEnd w:id="7"/>
    </w:p>
    <w:p w14:paraId="7FD58906" w14:textId="77777777" w:rsidR="00D26FC4" w:rsidRPr="002B0075" w:rsidRDefault="00D26FC4" w:rsidP="002B0075">
      <w:pPr>
        <w:spacing w:line="360" w:lineRule="auto"/>
        <w:rPr>
          <w:rFonts w:cstheme="minorHAnsi"/>
          <w:sz w:val="24"/>
          <w:szCs w:val="24"/>
        </w:rPr>
      </w:pPr>
      <w:r w:rsidRPr="002B0075">
        <w:rPr>
          <w:rFonts w:cstheme="minorHAnsi"/>
          <w:sz w:val="24"/>
          <w:szCs w:val="24"/>
        </w:rPr>
        <w:t>With many businesses switching to entirely remote or hybrid work methods during the pandemic, remote work became more popular. This change affected the way people commuted, how they balanced work and life, and even how the market for commercial real estate operated. The acceptance of remote work is still to be observed in terms of how it will affect the long-term structure of the labour market, particularly in terms of regional concerns for job searchers and employers.</w:t>
      </w:r>
    </w:p>
    <w:p w14:paraId="3DF6AAC8" w14:textId="77777777" w:rsidR="00404CC0" w:rsidRPr="002B0075" w:rsidRDefault="00404CC0" w:rsidP="002B6E28">
      <w:pPr>
        <w:pStyle w:val="Heading1"/>
      </w:pPr>
      <w:bookmarkStart w:id="8" w:name="_Toc143572618"/>
      <w:r w:rsidRPr="002B0075">
        <w:t>Environmental and Social Considerations:</w:t>
      </w:r>
      <w:bookmarkEnd w:id="8"/>
    </w:p>
    <w:p w14:paraId="3B02A162" w14:textId="77777777" w:rsidR="00404CC0" w:rsidRPr="002B0075" w:rsidRDefault="00D26FC4" w:rsidP="002B0075">
      <w:pPr>
        <w:spacing w:line="360" w:lineRule="auto"/>
        <w:rPr>
          <w:rFonts w:cstheme="minorHAnsi"/>
          <w:sz w:val="24"/>
          <w:szCs w:val="24"/>
        </w:rPr>
      </w:pPr>
      <w:r w:rsidRPr="002B0075">
        <w:rPr>
          <w:rFonts w:cstheme="minorHAnsi"/>
          <w:sz w:val="24"/>
          <w:szCs w:val="24"/>
        </w:rPr>
        <w:t>Social responsibility and sustainability have grown in importance for both employers and job seekers. Many businesses started including environmental and social factors in their employment procedures and overall business plans. This transition was caused by a greater social awareness of problems including global warming, diversity and inclusion, and moral business conduct.</w:t>
      </w:r>
    </w:p>
    <w:p w14:paraId="6EF60790" w14:textId="77777777" w:rsidR="00D26FC4" w:rsidRPr="002B0075" w:rsidRDefault="00D26FC4" w:rsidP="002B0075">
      <w:pPr>
        <w:spacing w:line="360" w:lineRule="auto"/>
        <w:rPr>
          <w:rFonts w:cstheme="minorHAnsi"/>
          <w:b/>
          <w:bCs/>
          <w:sz w:val="24"/>
          <w:szCs w:val="24"/>
        </w:rPr>
      </w:pPr>
    </w:p>
    <w:p w14:paraId="6F8D0CC8" w14:textId="77777777" w:rsidR="00404CC0" w:rsidRPr="002B0075" w:rsidRDefault="00404CC0" w:rsidP="002B6E28">
      <w:pPr>
        <w:pStyle w:val="Heading1"/>
      </w:pPr>
      <w:bookmarkStart w:id="9" w:name="_Toc143572619"/>
      <w:r w:rsidRPr="002B0075">
        <w:t>Policy Measures:</w:t>
      </w:r>
      <w:bookmarkEnd w:id="9"/>
    </w:p>
    <w:p w14:paraId="11303D09" w14:textId="77777777" w:rsidR="00D26FC4" w:rsidRPr="002B0075" w:rsidRDefault="00D26FC4" w:rsidP="002B0075">
      <w:pPr>
        <w:spacing w:line="360" w:lineRule="auto"/>
        <w:rPr>
          <w:rFonts w:cstheme="minorHAnsi"/>
          <w:sz w:val="24"/>
          <w:szCs w:val="24"/>
        </w:rPr>
      </w:pPr>
      <w:r w:rsidRPr="002B0075">
        <w:rPr>
          <w:rFonts w:cstheme="minorHAnsi"/>
          <w:sz w:val="24"/>
          <w:szCs w:val="24"/>
        </w:rPr>
        <w:t>Through its legislative initiatives, the UK government had a big impact on how the labour market developed. This comprised wide programmes to support job creation, economic growth, and workforce development in addition to responses to the pandemic and Brexit. The dynamics of the labour market were influenced by tax, regulation, education, and immigration policies, among others.</w:t>
      </w:r>
    </w:p>
    <w:p w14:paraId="02A236CC" w14:textId="77777777" w:rsidR="00D26FC4" w:rsidRPr="002B0075" w:rsidRDefault="00D26FC4" w:rsidP="002B0075">
      <w:pPr>
        <w:spacing w:line="360" w:lineRule="auto"/>
        <w:rPr>
          <w:rFonts w:cstheme="minorHAnsi"/>
          <w:sz w:val="24"/>
          <w:szCs w:val="24"/>
        </w:rPr>
      </w:pPr>
    </w:p>
    <w:p w14:paraId="241CF040" w14:textId="4D8F1D81" w:rsidR="00404CC0" w:rsidRPr="002B0075" w:rsidRDefault="00404CC0" w:rsidP="002B6E28">
      <w:pPr>
        <w:pStyle w:val="Heading1"/>
      </w:pPr>
      <w:bookmarkStart w:id="10" w:name="_Toc143572620"/>
      <w:r w:rsidRPr="002B0075">
        <w:t>Future Outlook:</w:t>
      </w:r>
      <w:bookmarkEnd w:id="10"/>
    </w:p>
    <w:p w14:paraId="05398D50" w14:textId="77777777" w:rsidR="00D26FC4" w:rsidRPr="002B0075" w:rsidRDefault="00D26FC4" w:rsidP="002B0075">
      <w:pPr>
        <w:spacing w:line="360" w:lineRule="auto"/>
        <w:rPr>
          <w:rFonts w:cstheme="minorHAnsi"/>
          <w:sz w:val="24"/>
          <w:szCs w:val="24"/>
        </w:rPr>
      </w:pPr>
      <w:r w:rsidRPr="002B0075">
        <w:rPr>
          <w:rFonts w:cstheme="minorHAnsi"/>
          <w:sz w:val="24"/>
          <w:szCs w:val="24"/>
        </w:rPr>
        <w:t>The UK labour market was in transition as of my most recent update in September 2021, recovering from the COVID-19 pandemic's effects and adjusting to changes brought on by Brexit and technological breakthroughs. The trajectory of the labour market remained unknown and dependent on a number of variables, such as the rate at which the economy continues to recover, how remote work practises develop, and how well policies targeting skills gaps and regional imbalances are working.</w:t>
      </w:r>
    </w:p>
    <w:p w14:paraId="0BEEFA2D" w14:textId="77777777" w:rsidR="00D26FC4" w:rsidRPr="002B0075" w:rsidRDefault="00D26FC4" w:rsidP="002B0075">
      <w:pPr>
        <w:spacing w:line="360" w:lineRule="auto"/>
        <w:rPr>
          <w:rFonts w:cstheme="minorHAnsi"/>
          <w:sz w:val="24"/>
          <w:szCs w:val="24"/>
        </w:rPr>
      </w:pPr>
      <w:r w:rsidRPr="002B0075">
        <w:rPr>
          <w:rFonts w:cstheme="minorHAnsi"/>
          <w:sz w:val="24"/>
          <w:szCs w:val="24"/>
        </w:rPr>
        <w:t>It is crucial to keep in mind that things can have changed since then. It is advised to review the most recent papers, studies, and official government statistics available as of your present day in 2023 in order to acquire a more precise and up-to-date picture of the current situation of the labour market in the UK.</w:t>
      </w:r>
    </w:p>
    <w:p w14:paraId="6A004818" w14:textId="77777777" w:rsidR="00F15259" w:rsidRPr="002B0075" w:rsidRDefault="00F15259" w:rsidP="002B0075">
      <w:pPr>
        <w:spacing w:line="360" w:lineRule="auto"/>
        <w:rPr>
          <w:rFonts w:cstheme="minorHAnsi"/>
          <w:sz w:val="24"/>
          <w:szCs w:val="24"/>
        </w:rPr>
      </w:pPr>
    </w:p>
    <w:p w14:paraId="27DA9FF4"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Here's an example of a table that could use to summarize key Labor market indicators in the UK. </w:t>
      </w:r>
    </w:p>
    <w:tbl>
      <w:tblPr>
        <w:tblStyle w:val="TableGrid"/>
        <w:tblW w:w="0" w:type="auto"/>
        <w:tblLook w:val="04A0" w:firstRow="1" w:lastRow="0" w:firstColumn="1" w:lastColumn="0" w:noHBand="0" w:noVBand="1"/>
      </w:tblPr>
      <w:tblGrid>
        <w:gridCol w:w="1803"/>
        <w:gridCol w:w="1803"/>
        <w:gridCol w:w="1803"/>
        <w:gridCol w:w="1803"/>
        <w:gridCol w:w="1804"/>
      </w:tblGrid>
      <w:tr w:rsidR="00A87D90" w:rsidRPr="002B0075" w14:paraId="0BE43B48" w14:textId="77777777" w:rsidTr="00A87D90">
        <w:tc>
          <w:tcPr>
            <w:tcW w:w="1803" w:type="dxa"/>
          </w:tcPr>
          <w:p w14:paraId="09372850" w14:textId="77777777" w:rsidR="00A87D90" w:rsidRPr="002B0075" w:rsidRDefault="00A87D90" w:rsidP="002B0075">
            <w:pPr>
              <w:spacing w:line="360" w:lineRule="auto"/>
              <w:rPr>
                <w:rFonts w:cstheme="minorHAnsi"/>
                <w:sz w:val="24"/>
                <w:szCs w:val="24"/>
              </w:rPr>
            </w:pPr>
            <w:r w:rsidRPr="002B0075">
              <w:rPr>
                <w:rFonts w:cstheme="minorHAnsi"/>
                <w:sz w:val="24"/>
                <w:szCs w:val="24"/>
              </w:rPr>
              <w:t xml:space="preserve">Indicator </w:t>
            </w:r>
          </w:p>
        </w:tc>
        <w:tc>
          <w:tcPr>
            <w:tcW w:w="1803" w:type="dxa"/>
          </w:tcPr>
          <w:p w14:paraId="24124248" w14:textId="77777777" w:rsidR="00A87D90" w:rsidRPr="002B0075" w:rsidRDefault="00A87D90" w:rsidP="002B0075">
            <w:pPr>
              <w:spacing w:line="360" w:lineRule="auto"/>
              <w:rPr>
                <w:rFonts w:cstheme="minorHAnsi"/>
                <w:sz w:val="24"/>
                <w:szCs w:val="24"/>
              </w:rPr>
            </w:pPr>
            <w:r w:rsidRPr="002B0075">
              <w:rPr>
                <w:rFonts w:cstheme="minorHAnsi"/>
                <w:sz w:val="24"/>
                <w:szCs w:val="24"/>
              </w:rPr>
              <w:t>Time period</w:t>
            </w:r>
          </w:p>
        </w:tc>
        <w:tc>
          <w:tcPr>
            <w:tcW w:w="1803" w:type="dxa"/>
          </w:tcPr>
          <w:p w14:paraId="6B8586FD" w14:textId="77777777" w:rsidR="00A87D90" w:rsidRPr="002B0075" w:rsidRDefault="00A87D90" w:rsidP="002B0075">
            <w:pPr>
              <w:spacing w:line="360" w:lineRule="auto"/>
              <w:rPr>
                <w:rFonts w:cstheme="minorHAnsi"/>
                <w:sz w:val="24"/>
                <w:szCs w:val="24"/>
              </w:rPr>
            </w:pPr>
            <w:r w:rsidRPr="002B0075">
              <w:rPr>
                <w:rFonts w:cstheme="minorHAnsi"/>
                <w:sz w:val="24"/>
                <w:szCs w:val="24"/>
              </w:rPr>
              <w:t>Value</w:t>
            </w:r>
          </w:p>
        </w:tc>
        <w:tc>
          <w:tcPr>
            <w:tcW w:w="1803" w:type="dxa"/>
          </w:tcPr>
          <w:p w14:paraId="7C989902" w14:textId="77777777" w:rsidR="00A87D90" w:rsidRPr="002B0075" w:rsidRDefault="00A87D90" w:rsidP="002B0075">
            <w:pPr>
              <w:spacing w:line="360" w:lineRule="auto"/>
              <w:rPr>
                <w:rFonts w:cstheme="minorHAnsi"/>
                <w:sz w:val="24"/>
                <w:szCs w:val="24"/>
              </w:rPr>
            </w:pPr>
            <w:r w:rsidRPr="002B0075">
              <w:rPr>
                <w:rFonts w:cstheme="minorHAnsi"/>
                <w:sz w:val="24"/>
                <w:szCs w:val="24"/>
              </w:rPr>
              <w:t xml:space="preserve">Trend </w:t>
            </w:r>
          </w:p>
        </w:tc>
        <w:tc>
          <w:tcPr>
            <w:tcW w:w="1804" w:type="dxa"/>
          </w:tcPr>
          <w:p w14:paraId="0532E0BC" w14:textId="77777777" w:rsidR="00A87D90" w:rsidRPr="002B0075" w:rsidRDefault="00A87D90" w:rsidP="002B0075">
            <w:pPr>
              <w:spacing w:line="360" w:lineRule="auto"/>
              <w:rPr>
                <w:rFonts w:cstheme="minorHAnsi"/>
                <w:sz w:val="24"/>
                <w:szCs w:val="24"/>
              </w:rPr>
            </w:pPr>
            <w:r w:rsidRPr="002B0075">
              <w:rPr>
                <w:rFonts w:cstheme="minorHAnsi"/>
                <w:sz w:val="24"/>
                <w:szCs w:val="24"/>
              </w:rPr>
              <w:t xml:space="preserve">Implication </w:t>
            </w:r>
          </w:p>
        </w:tc>
      </w:tr>
      <w:tr w:rsidR="00A87D90" w:rsidRPr="002B0075" w14:paraId="59F1F92F" w14:textId="77777777" w:rsidTr="00A87D90">
        <w:tc>
          <w:tcPr>
            <w:tcW w:w="1803" w:type="dxa"/>
          </w:tcPr>
          <w:p w14:paraId="4DC2E85C" w14:textId="77777777" w:rsidR="00A87D90" w:rsidRPr="002B0075" w:rsidRDefault="00A87D90" w:rsidP="002B0075">
            <w:pPr>
              <w:spacing w:line="360" w:lineRule="auto"/>
              <w:rPr>
                <w:rFonts w:cstheme="minorHAnsi"/>
                <w:sz w:val="24"/>
                <w:szCs w:val="24"/>
              </w:rPr>
            </w:pPr>
            <w:r w:rsidRPr="002B0075">
              <w:rPr>
                <w:rFonts w:cstheme="minorHAnsi"/>
                <w:sz w:val="24"/>
                <w:szCs w:val="24"/>
              </w:rPr>
              <w:t>Unemployment rate</w:t>
            </w:r>
          </w:p>
        </w:tc>
        <w:tc>
          <w:tcPr>
            <w:tcW w:w="1803" w:type="dxa"/>
          </w:tcPr>
          <w:p w14:paraId="4958FBE5" w14:textId="77777777" w:rsidR="00A87D90" w:rsidRPr="002B0075" w:rsidRDefault="00A87D90" w:rsidP="002B0075">
            <w:pPr>
              <w:spacing w:line="360" w:lineRule="auto"/>
              <w:rPr>
                <w:rFonts w:cstheme="minorHAnsi"/>
                <w:sz w:val="24"/>
                <w:szCs w:val="24"/>
              </w:rPr>
            </w:pPr>
            <w:r w:rsidRPr="002B0075">
              <w:rPr>
                <w:rFonts w:cstheme="minorHAnsi"/>
                <w:sz w:val="24"/>
                <w:szCs w:val="24"/>
              </w:rPr>
              <w:t>2010-2021</w:t>
            </w:r>
          </w:p>
        </w:tc>
        <w:tc>
          <w:tcPr>
            <w:tcW w:w="1803" w:type="dxa"/>
          </w:tcPr>
          <w:p w14:paraId="75C45E4C" w14:textId="77777777" w:rsidR="00A87D90" w:rsidRPr="002B0075" w:rsidRDefault="00A87D90" w:rsidP="002B0075">
            <w:pPr>
              <w:spacing w:line="360" w:lineRule="auto"/>
              <w:rPr>
                <w:rFonts w:cstheme="minorHAnsi"/>
                <w:sz w:val="24"/>
                <w:szCs w:val="24"/>
              </w:rPr>
            </w:pPr>
            <w:r w:rsidRPr="002B0075">
              <w:rPr>
                <w:rFonts w:cstheme="minorHAnsi"/>
                <w:sz w:val="24"/>
                <w:szCs w:val="24"/>
              </w:rPr>
              <w:t>4.0%</w:t>
            </w:r>
          </w:p>
        </w:tc>
        <w:tc>
          <w:tcPr>
            <w:tcW w:w="1803" w:type="dxa"/>
          </w:tcPr>
          <w:p w14:paraId="09628F36" w14:textId="77777777" w:rsidR="00A87D90" w:rsidRPr="002B0075" w:rsidRDefault="00A87D90" w:rsidP="002B0075">
            <w:pPr>
              <w:spacing w:line="360" w:lineRule="auto"/>
              <w:rPr>
                <w:rFonts w:cstheme="minorHAnsi"/>
                <w:sz w:val="24"/>
                <w:szCs w:val="24"/>
              </w:rPr>
            </w:pPr>
            <w:r w:rsidRPr="002B0075">
              <w:rPr>
                <w:rFonts w:cstheme="minorHAnsi"/>
                <w:sz w:val="24"/>
                <w:szCs w:val="24"/>
              </w:rPr>
              <w:t xml:space="preserve">Generally declining </w:t>
            </w:r>
          </w:p>
        </w:tc>
        <w:tc>
          <w:tcPr>
            <w:tcW w:w="1804" w:type="dxa"/>
          </w:tcPr>
          <w:p w14:paraId="251CB900" w14:textId="77777777" w:rsidR="00A87D90" w:rsidRPr="002B0075" w:rsidRDefault="00A87D90" w:rsidP="002B0075">
            <w:pPr>
              <w:spacing w:line="360" w:lineRule="auto"/>
              <w:rPr>
                <w:rFonts w:cstheme="minorHAnsi"/>
                <w:sz w:val="24"/>
                <w:szCs w:val="24"/>
              </w:rPr>
            </w:pPr>
            <w:r w:rsidRPr="002B0075">
              <w:rPr>
                <w:rFonts w:cstheme="minorHAnsi"/>
                <w:sz w:val="24"/>
                <w:szCs w:val="24"/>
              </w:rPr>
              <w:t>Low unemployment indicates a healthy job market.</w:t>
            </w:r>
          </w:p>
        </w:tc>
      </w:tr>
      <w:tr w:rsidR="00A87D90" w:rsidRPr="002B0075" w14:paraId="2611A87F" w14:textId="77777777" w:rsidTr="00A87D90">
        <w:tc>
          <w:tcPr>
            <w:tcW w:w="1803" w:type="dxa"/>
          </w:tcPr>
          <w:p w14:paraId="32F16527" w14:textId="77777777" w:rsidR="00A87D90" w:rsidRPr="002B0075" w:rsidRDefault="00A87D90" w:rsidP="002B0075">
            <w:pPr>
              <w:spacing w:line="360" w:lineRule="auto"/>
              <w:rPr>
                <w:rFonts w:cstheme="minorHAnsi"/>
                <w:sz w:val="24"/>
                <w:szCs w:val="24"/>
              </w:rPr>
            </w:pPr>
            <w:r w:rsidRPr="002B0075">
              <w:rPr>
                <w:rFonts w:cstheme="minorHAnsi"/>
                <w:sz w:val="24"/>
                <w:szCs w:val="24"/>
              </w:rPr>
              <w:t xml:space="preserve">Employment by sector </w:t>
            </w:r>
          </w:p>
        </w:tc>
        <w:tc>
          <w:tcPr>
            <w:tcW w:w="1803" w:type="dxa"/>
          </w:tcPr>
          <w:p w14:paraId="71C26447" w14:textId="77777777" w:rsidR="00A87D90" w:rsidRPr="002B0075" w:rsidRDefault="00A87D90" w:rsidP="002B0075">
            <w:pPr>
              <w:spacing w:line="360" w:lineRule="auto"/>
              <w:rPr>
                <w:rFonts w:cstheme="minorHAnsi"/>
                <w:sz w:val="24"/>
                <w:szCs w:val="24"/>
              </w:rPr>
            </w:pPr>
            <w:r w:rsidRPr="002B0075">
              <w:rPr>
                <w:rFonts w:cstheme="minorHAnsi"/>
                <w:sz w:val="24"/>
                <w:szCs w:val="24"/>
              </w:rPr>
              <w:t>2021</w:t>
            </w:r>
          </w:p>
        </w:tc>
        <w:tc>
          <w:tcPr>
            <w:tcW w:w="1803" w:type="dxa"/>
          </w:tcPr>
          <w:p w14:paraId="498DF333" w14:textId="77777777" w:rsidR="00A87D90" w:rsidRPr="002B0075" w:rsidRDefault="00A87D90" w:rsidP="002B0075">
            <w:pPr>
              <w:spacing w:line="360" w:lineRule="auto"/>
              <w:rPr>
                <w:rFonts w:cstheme="minorHAnsi"/>
                <w:sz w:val="24"/>
                <w:szCs w:val="24"/>
              </w:rPr>
            </w:pPr>
          </w:p>
        </w:tc>
        <w:tc>
          <w:tcPr>
            <w:tcW w:w="1803" w:type="dxa"/>
          </w:tcPr>
          <w:p w14:paraId="65B7CBA9" w14:textId="77777777" w:rsidR="00A87D90" w:rsidRPr="002B0075" w:rsidRDefault="00A87D90" w:rsidP="002B0075">
            <w:pPr>
              <w:spacing w:line="360" w:lineRule="auto"/>
              <w:rPr>
                <w:rFonts w:cstheme="minorHAnsi"/>
                <w:sz w:val="24"/>
                <w:szCs w:val="24"/>
              </w:rPr>
            </w:pPr>
            <w:r w:rsidRPr="002B0075">
              <w:rPr>
                <w:rFonts w:cstheme="minorHAnsi"/>
                <w:sz w:val="24"/>
                <w:szCs w:val="24"/>
              </w:rPr>
              <w:t>Services: 75%</w:t>
            </w:r>
          </w:p>
        </w:tc>
        <w:tc>
          <w:tcPr>
            <w:tcW w:w="1804" w:type="dxa"/>
          </w:tcPr>
          <w:p w14:paraId="570CEDF5" w14:textId="77777777" w:rsidR="00A87D90" w:rsidRPr="002B0075" w:rsidRDefault="00A87D90" w:rsidP="002B0075">
            <w:pPr>
              <w:spacing w:line="360" w:lineRule="auto"/>
              <w:rPr>
                <w:rFonts w:cstheme="minorHAnsi"/>
                <w:sz w:val="24"/>
                <w:szCs w:val="24"/>
              </w:rPr>
            </w:pPr>
            <w:r w:rsidRPr="002B0075">
              <w:rPr>
                <w:rFonts w:cstheme="minorHAnsi"/>
                <w:sz w:val="24"/>
                <w:szCs w:val="24"/>
              </w:rPr>
              <w:t>Services sector dominates employment.</w:t>
            </w:r>
          </w:p>
        </w:tc>
      </w:tr>
      <w:tr w:rsidR="00A87D90" w:rsidRPr="002B0075" w14:paraId="4FDB6F57" w14:textId="77777777" w:rsidTr="00A87D90">
        <w:tc>
          <w:tcPr>
            <w:tcW w:w="1803" w:type="dxa"/>
          </w:tcPr>
          <w:p w14:paraId="0E79D779" w14:textId="77777777" w:rsidR="00A87D90" w:rsidRPr="002B0075" w:rsidRDefault="00A87D90" w:rsidP="002B0075">
            <w:pPr>
              <w:spacing w:line="360" w:lineRule="auto"/>
              <w:rPr>
                <w:rFonts w:cstheme="minorHAnsi"/>
                <w:sz w:val="24"/>
                <w:szCs w:val="24"/>
              </w:rPr>
            </w:pPr>
          </w:p>
        </w:tc>
        <w:tc>
          <w:tcPr>
            <w:tcW w:w="1803" w:type="dxa"/>
          </w:tcPr>
          <w:p w14:paraId="734BED6F" w14:textId="77777777" w:rsidR="00A87D90" w:rsidRPr="002B0075" w:rsidRDefault="00A87D90" w:rsidP="002B0075">
            <w:pPr>
              <w:spacing w:line="360" w:lineRule="auto"/>
              <w:rPr>
                <w:rFonts w:cstheme="minorHAnsi"/>
                <w:sz w:val="24"/>
                <w:szCs w:val="24"/>
              </w:rPr>
            </w:pPr>
          </w:p>
        </w:tc>
        <w:tc>
          <w:tcPr>
            <w:tcW w:w="1803" w:type="dxa"/>
          </w:tcPr>
          <w:p w14:paraId="42E0A92B" w14:textId="77777777" w:rsidR="00A87D90" w:rsidRPr="002B0075" w:rsidRDefault="00A87D90" w:rsidP="002B0075">
            <w:pPr>
              <w:spacing w:line="360" w:lineRule="auto"/>
              <w:rPr>
                <w:rFonts w:cstheme="minorHAnsi"/>
                <w:sz w:val="24"/>
                <w:szCs w:val="24"/>
              </w:rPr>
            </w:pPr>
          </w:p>
        </w:tc>
        <w:tc>
          <w:tcPr>
            <w:tcW w:w="1803" w:type="dxa"/>
          </w:tcPr>
          <w:p w14:paraId="3FC6BB8D"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Manufacturing: 10%   </w:t>
            </w:r>
          </w:p>
        </w:tc>
        <w:tc>
          <w:tcPr>
            <w:tcW w:w="1804" w:type="dxa"/>
          </w:tcPr>
          <w:p w14:paraId="4615DD66"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Manufacturing sector relatively smaller.   </w:t>
            </w:r>
          </w:p>
        </w:tc>
      </w:tr>
      <w:tr w:rsidR="00A87D90" w:rsidRPr="002B0075" w14:paraId="679E28B6" w14:textId="77777777" w:rsidTr="00A87D90">
        <w:tc>
          <w:tcPr>
            <w:tcW w:w="1803" w:type="dxa"/>
          </w:tcPr>
          <w:p w14:paraId="304B3BEA" w14:textId="77777777" w:rsidR="00A87D90" w:rsidRPr="002B0075" w:rsidRDefault="00A87D90" w:rsidP="002B0075">
            <w:pPr>
              <w:spacing w:line="360" w:lineRule="auto"/>
              <w:rPr>
                <w:rFonts w:cstheme="minorHAnsi"/>
                <w:sz w:val="24"/>
                <w:szCs w:val="24"/>
              </w:rPr>
            </w:pPr>
          </w:p>
        </w:tc>
        <w:tc>
          <w:tcPr>
            <w:tcW w:w="1803" w:type="dxa"/>
          </w:tcPr>
          <w:p w14:paraId="51465BA5" w14:textId="77777777" w:rsidR="00A87D90" w:rsidRPr="002B0075" w:rsidRDefault="00A87D90" w:rsidP="002B0075">
            <w:pPr>
              <w:spacing w:line="360" w:lineRule="auto"/>
              <w:rPr>
                <w:rFonts w:cstheme="minorHAnsi"/>
                <w:sz w:val="24"/>
                <w:szCs w:val="24"/>
              </w:rPr>
            </w:pPr>
          </w:p>
        </w:tc>
        <w:tc>
          <w:tcPr>
            <w:tcW w:w="1803" w:type="dxa"/>
          </w:tcPr>
          <w:p w14:paraId="1336A867" w14:textId="77777777" w:rsidR="00A87D90" w:rsidRPr="002B0075" w:rsidRDefault="00A87D90" w:rsidP="002B0075">
            <w:pPr>
              <w:spacing w:line="360" w:lineRule="auto"/>
              <w:rPr>
                <w:rFonts w:cstheme="minorHAnsi"/>
                <w:sz w:val="24"/>
                <w:szCs w:val="24"/>
              </w:rPr>
            </w:pPr>
          </w:p>
        </w:tc>
        <w:tc>
          <w:tcPr>
            <w:tcW w:w="1803" w:type="dxa"/>
          </w:tcPr>
          <w:p w14:paraId="32E73AA1"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Construction: 6%     </w:t>
            </w:r>
          </w:p>
        </w:tc>
        <w:tc>
          <w:tcPr>
            <w:tcW w:w="1804" w:type="dxa"/>
          </w:tcPr>
          <w:p w14:paraId="6BC109B4" w14:textId="77777777" w:rsidR="00A87D90" w:rsidRPr="002B0075" w:rsidRDefault="00F15259" w:rsidP="002B0075">
            <w:pPr>
              <w:spacing w:line="360" w:lineRule="auto"/>
              <w:rPr>
                <w:rFonts w:cstheme="minorHAnsi"/>
                <w:sz w:val="24"/>
                <w:szCs w:val="24"/>
              </w:rPr>
            </w:pPr>
            <w:r w:rsidRPr="002B0075">
              <w:rPr>
                <w:rFonts w:cstheme="minorHAnsi"/>
                <w:sz w:val="24"/>
                <w:szCs w:val="24"/>
              </w:rPr>
              <w:t>Construction sector plays a significant role.</w:t>
            </w:r>
          </w:p>
        </w:tc>
      </w:tr>
      <w:tr w:rsidR="00A87D90" w:rsidRPr="002B0075" w14:paraId="66D5BAE4" w14:textId="77777777" w:rsidTr="00A87D90">
        <w:tc>
          <w:tcPr>
            <w:tcW w:w="1803" w:type="dxa"/>
          </w:tcPr>
          <w:p w14:paraId="398CC4BB"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 Youth Unemployment Rate      </w:t>
            </w:r>
          </w:p>
        </w:tc>
        <w:tc>
          <w:tcPr>
            <w:tcW w:w="1803" w:type="dxa"/>
          </w:tcPr>
          <w:p w14:paraId="68640203" w14:textId="77777777" w:rsidR="00A87D90" w:rsidRPr="002B0075" w:rsidRDefault="00F15259" w:rsidP="002B0075">
            <w:pPr>
              <w:spacing w:line="360" w:lineRule="auto"/>
              <w:rPr>
                <w:rFonts w:cstheme="minorHAnsi"/>
                <w:sz w:val="24"/>
                <w:szCs w:val="24"/>
              </w:rPr>
            </w:pPr>
            <w:r w:rsidRPr="002B0075">
              <w:rPr>
                <w:rFonts w:cstheme="minorHAnsi"/>
                <w:sz w:val="24"/>
                <w:szCs w:val="24"/>
              </w:rPr>
              <w:t>2021</w:t>
            </w:r>
          </w:p>
        </w:tc>
        <w:tc>
          <w:tcPr>
            <w:tcW w:w="1803" w:type="dxa"/>
          </w:tcPr>
          <w:p w14:paraId="5FAE2340" w14:textId="77777777" w:rsidR="00A87D90" w:rsidRPr="002B0075" w:rsidRDefault="00F15259" w:rsidP="002B0075">
            <w:pPr>
              <w:spacing w:line="360" w:lineRule="auto"/>
              <w:rPr>
                <w:rFonts w:cstheme="minorHAnsi"/>
                <w:sz w:val="24"/>
                <w:szCs w:val="24"/>
              </w:rPr>
            </w:pPr>
            <w:r w:rsidRPr="002B0075">
              <w:rPr>
                <w:rFonts w:cstheme="minorHAnsi"/>
                <w:sz w:val="24"/>
                <w:szCs w:val="24"/>
              </w:rPr>
              <w:t>10.5%</w:t>
            </w:r>
          </w:p>
        </w:tc>
        <w:tc>
          <w:tcPr>
            <w:tcW w:w="1803" w:type="dxa"/>
          </w:tcPr>
          <w:p w14:paraId="368B3940" w14:textId="77777777" w:rsidR="00A87D90" w:rsidRPr="002B0075" w:rsidRDefault="00F15259" w:rsidP="002B0075">
            <w:pPr>
              <w:spacing w:line="360" w:lineRule="auto"/>
              <w:rPr>
                <w:rFonts w:cstheme="minorHAnsi"/>
                <w:sz w:val="24"/>
                <w:szCs w:val="24"/>
              </w:rPr>
            </w:pPr>
            <w:r w:rsidRPr="002B0075">
              <w:rPr>
                <w:rFonts w:cstheme="minorHAnsi"/>
                <w:sz w:val="24"/>
                <w:szCs w:val="24"/>
              </w:rPr>
              <w:t>Fluctuating</w:t>
            </w:r>
          </w:p>
        </w:tc>
        <w:tc>
          <w:tcPr>
            <w:tcW w:w="1804" w:type="dxa"/>
          </w:tcPr>
          <w:p w14:paraId="16200E6A"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Youth job market remains challenging.       </w:t>
            </w:r>
          </w:p>
        </w:tc>
      </w:tr>
      <w:tr w:rsidR="00A87D90" w:rsidRPr="002B0075" w14:paraId="297AF298" w14:textId="77777777" w:rsidTr="00A87D90">
        <w:tc>
          <w:tcPr>
            <w:tcW w:w="1803" w:type="dxa"/>
          </w:tcPr>
          <w:p w14:paraId="306FBA7C"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Labor Force Participation   </w:t>
            </w:r>
          </w:p>
        </w:tc>
        <w:tc>
          <w:tcPr>
            <w:tcW w:w="1803" w:type="dxa"/>
          </w:tcPr>
          <w:p w14:paraId="4951F1FA" w14:textId="77777777" w:rsidR="00A87D90" w:rsidRPr="002B0075" w:rsidRDefault="00F15259" w:rsidP="002B0075">
            <w:pPr>
              <w:spacing w:line="360" w:lineRule="auto"/>
              <w:rPr>
                <w:rFonts w:cstheme="minorHAnsi"/>
                <w:sz w:val="24"/>
                <w:szCs w:val="24"/>
              </w:rPr>
            </w:pPr>
            <w:r w:rsidRPr="002B0075">
              <w:rPr>
                <w:rFonts w:cstheme="minorHAnsi"/>
                <w:sz w:val="24"/>
                <w:szCs w:val="24"/>
              </w:rPr>
              <w:t>2015-2021</w:t>
            </w:r>
          </w:p>
        </w:tc>
        <w:tc>
          <w:tcPr>
            <w:tcW w:w="1803" w:type="dxa"/>
          </w:tcPr>
          <w:p w14:paraId="67BCCFDF" w14:textId="77777777" w:rsidR="00A87D90" w:rsidRPr="002B0075" w:rsidRDefault="00F15259" w:rsidP="002B0075">
            <w:pPr>
              <w:spacing w:line="360" w:lineRule="auto"/>
              <w:rPr>
                <w:rFonts w:cstheme="minorHAnsi"/>
                <w:sz w:val="24"/>
                <w:szCs w:val="24"/>
              </w:rPr>
            </w:pPr>
            <w:r w:rsidRPr="002B0075">
              <w:rPr>
                <w:rFonts w:cstheme="minorHAnsi"/>
                <w:sz w:val="24"/>
                <w:szCs w:val="24"/>
              </w:rPr>
              <w:t>76.2%</w:t>
            </w:r>
          </w:p>
        </w:tc>
        <w:tc>
          <w:tcPr>
            <w:tcW w:w="1803" w:type="dxa"/>
          </w:tcPr>
          <w:p w14:paraId="517F85DD" w14:textId="77777777" w:rsidR="00A87D90" w:rsidRPr="002B0075" w:rsidRDefault="00F15259" w:rsidP="002B0075">
            <w:pPr>
              <w:spacing w:line="360" w:lineRule="auto"/>
              <w:rPr>
                <w:rFonts w:cstheme="minorHAnsi"/>
                <w:sz w:val="24"/>
                <w:szCs w:val="24"/>
              </w:rPr>
            </w:pPr>
            <w:r w:rsidRPr="002B0075">
              <w:rPr>
                <w:rFonts w:cstheme="minorHAnsi"/>
                <w:sz w:val="24"/>
                <w:szCs w:val="24"/>
              </w:rPr>
              <w:t>Slight fluctuation</w:t>
            </w:r>
          </w:p>
        </w:tc>
        <w:tc>
          <w:tcPr>
            <w:tcW w:w="1804" w:type="dxa"/>
          </w:tcPr>
          <w:p w14:paraId="243F3FAF" w14:textId="77777777" w:rsidR="00A87D90" w:rsidRPr="002B0075" w:rsidRDefault="00F15259" w:rsidP="002B0075">
            <w:pPr>
              <w:spacing w:line="360" w:lineRule="auto"/>
              <w:rPr>
                <w:rFonts w:cstheme="minorHAnsi"/>
                <w:sz w:val="24"/>
                <w:szCs w:val="24"/>
              </w:rPr>
            </w:pPr>
            <w:r w:rsidRPr="002B0075">
              <w:rPr>
                <w:rFonts w:cstheme="minorHAnsi"/>
                <w:sz w:val="24"/>
                <w:szCs w:val="24"/>
              </w:rPr>
              <w:t>Participation rates impact overall economy.</w:t>
            </w:r>
          </w:p>
        </w:tc>
      </w:tr>
      <w:tr w:rsidR="00A87D90" w:rsidRPr="002B0075" w14:paraId="1F939121" w14:textId="77777777" w:rsidTr="00A87D90">
        <w:tc>
          <w:tcPr>
            <w:tcW w:w="1803" w:type="dxa"/>
          </w:tcPr>
          <w:p w14:paraId="6CB978C6"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Remote Work Adoption         </w:t>
            </w:r>
          </w:p>
        </w:tc>
        <w:tc>
          <w:tcPr>
            <w:tcW w:w="1803" w:type="dxa"/>
          </w:tcPr>
          <w:p w14:paraId="225B2FAE" w14:textId="77777777" w:rsidR="00A87D90" w:rsidRPr="002B0075" w:rsidRDefault="00F15259" w:rsidP="002B0075">
            <w:pPr>
              <w:spacing w:line="360" w:lineRule="auto"/>
              <w:rPr>
                <w:rFonts w:cstheme="minorHAnsi"/>
                <w:sz w:val="24"/>
                <w:szCs w:val="24"/>
              </w:rPr>
            </w:pPr>
            <w:r w:rsidRPr="002B0075">
              <w:rPr>
                <w:rFonts w:cstheme="minorHAnsi"/>
                <w:sz w:val="24"/>
                <w:szCs w:val="24"/>
              </w:rPr>
              <w:t>2020-2021</w:t>
            </w:r>
          </w:p>
        </w:tc>
        <w:tc>
          <w:tcPr>
            <w:tcW w:w="1803" w:type="dxa"/>
          </w:tcPr>
          <w:p w14:paraId="1F40E17B" w14:textId="77777777" w:rsidR="00A87D90" w:rsidRPr="002B0075" w:rsidRDefault="00F15259" w:rsidP="002B0075">
            <w:pPr>
              <w:spacing w:line="360" w:lineRule="auto"/>
              <w:rPr>
                <w:rFonts w:cstheme="minorHAnsi"/>
                <w:sz w:val="24"/>
                <w:szCs w:val="24"/>
              </w:rPr>
            </w:pPr>
            <w:r w:rsidRPr="002B0075">
              <w:rPr>
                <w:rFonts w:cstheme="minorHAnsi"/>
                <w:sz w:val="24"/>
                <w:szCs w:val="24"/>
              </w:rPr>
              <w:t>40%</w:t>
            </w:r>
          </w:p>
        </w:tc>
        <w:tc>
          <w:tcPr>
            <w:tcW w:w="1803" w:type="dxa"/>
          </w:tcPr>
          <w:p w14:paraId="1716F92A" w14:textId="77777777" w:rsidR="00A87D90" w:rsidRPr="002B0075" w:rsidRDefault="00F15259" w:rsidP="002B0075">
            <w:pPr>
              <w:spacing w:line="360" w:lineRule="auto"/>
              <w:rPr>
                <w:rFonts w:cstheme="minorHAnsi"/>
                <w:sz w:val="24"/>
                <w:szCs w:val="24"/>
              </w:rPr>
            </w:pPr>
            <w:r w:rsidRPr="002B0075">
              <w:rPr>
                <w:rFonts w:cstheme="minorHAnsi"/>
                <w:sz w:val="24"/>
                <w:szCs w:val="24"/>
              </w:rPr>
              <w:t>Rapid increase</w:t>
            </w:r>
          </w:p>
        </w:tc>
        <w:tc>
          <w:tcPr>
            <w:tcW w:w="1804" w:type="dxa"/>
          </w:tcPr>
          <w:p w14:paraId="67616CB0" w14:textId="77777777" w:rsidR="00A87D90" w:rsidRPr="002B0075" w:rsidRDefault="00F15259" w:rsidP="002B0075">
            <w:pPr>
              <w:spacing w:line="360" w:lineRule="auto"/>
              <w:rPr>
                <w:rFonts w:cstheme="minorHAnsi"/>
                <w:sz w:val="24"/>
                <w:szCs w:val="24"/>
              </w:rPr>
            </w:pPr>
            <w:r w:rsidRPr="002B0075">
              <w:rPr>
                <w:rFonts w:cstheme="minorHAnsi"/>
                <w:sz w:val="24"/>
                <w:szCs w:val="24"/>
              </w:rPr>
              <w:t>Pandemic accelerated remote work practices.</w:t>
            </w:r>
          </w:p>
        </w:tc>
      </w:tr>
      <w:tr w:rsidR="00A87D90" w:rsidRPr="002B0075" w14:paraId="46C33B81" w14:textId="77777777" w:rsidTr="00A87D90">
        <w:tc>
          <w:tcPr>
            <w:tcW w:w="1803" w:type="dxa"/>
          </w:tcPr>
          <w:p w14:paraId="7B3355C2"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Average Earnings Growth      </w:t>
            </w:r>
          </w:p>
        </w:tc>
        <w:tc>
          <w:tcPr>
            <w:tcW w:w="1803" w:type="dxa"/>
          </w:tcPr>
          <w:p w14:paraId="7B6DEB35" w14:textId="77777777" w:rsidR="00A87D90" w:rsidRPr="002B0075" w:rsidRDefault="00F15259" w:rsidP="002B0075">
            <w:pPr>
              <w:spacing w:line="360" w:lineRule="auto"/>
              <w:rPr>
                <w:rFonts w:cstheme="minorHAnsi"/>
                <w:sz w:val="24"/>
                <w:szCs w:val="24"/>
              </w:rPr>
            </w:pPr>
            <w:r w:rsidRPr="002B0075">
              <w:rPr>
                <w:rFonts w:cstheme="minorHAnsi"/>
                <w:sz w:val="24"/>
                <w:szCs w:val="24"/>
              </w:rPr>
              <w:t>2015-2021</w:t>
            </w:r>
          </w:p>
        </w:tc>
        <w:tc>
          <w:tcPr>
            <w:tcW w:w="1803" w:type="dxa"/>
          </w:tcPr>
          <w:p w14:paraId="42E55AA6" w14:textId="77777777" w:rsidR="00A87D90" w:rsidRPr="002B0075" w:rsidRDefault="00F15259" w:rsidP="002B0075">
            <w:pPr>
              <w:spacing w:line="360" w:lineRule="auto"/>
              <w:rPr>
                <w:rFonts w:cstheme="minorHAnsi"/>
                <w:sz w:val="24"/>
                <w:szCs w:val="24"/>
              </w:rPr>
            </w:pPr>
            <w:r w:rsidRPr="002B0075">
              <w:rPr>
                <w:rFonts w:cstheme="minorHAnsi"/>
                <w:sz w:val="24"/>
                <w:szCs w:val="24"/>
              </w:rPr>
              <w:t>2.5%</w:t>
            </w:r>
          </w:p>
        </w:tc>
        <w:tc>
          <w:tcPr>
            <w:tcW w:w="1803" w:type="dxa"/>
          </w:tcPr>
          <w:p w14:paraId="73D358A9" w14:textId="77777777" w:rsidR="00A87D90" w:rsidRPr="002B0075" w:rsidRDefault="00F15259" w:rsidP="002B0075">
            <w:pPr>
              <w:spacing w:line="360" w:lineRule="auto"/>
              <w:rPr>
                <w:rFonts w:cstheme="minorHAnsi"/>
                <w:sz w:val="24"/>
                <w:szCs w:val="24"/>
              </w:rPr>
            </w:pPr>
            <w:r w:rsidRPr="002B0075">
              <w:rPr>
                <w:rFonts w:cstheme="minorHAnsi"/>
                <w:sz w:val="24"/>
                <w:szCs w:val="24"/>
              </w:rPr>
              <w:t>Modest growth</w:t>
            </w:r>
          </w:p>
        </w:tc>
        <w:tc>
          <w:tcPr>
            <w:tcW w:w="1804" w:type="dxa"/>
          </w:tcPr>
          <w:p w14:paraId="0DFD3ABE" w14:textId="77777777" w:rsidR="00A87D90" w:rsidRPr="002B0075" w:rsidRDefault="00F15259" w:rsidP="002B0075">
            <w:pPr>
              <w:spacing w:line="360" w:lineRule="auto"/>
              <w:rPr>
                <w:rFonts w:cstheme="minorHAnsi"/>
                <w:sz w:val="24"/>
                <w:szCs w:val="24"/>
              </w:rPr>
            </w:pPr>
            <w:r w:rsidRPr="002B0075">
              <w:rPr>
                <w:rFonts w:cstheme="minorHAnsi"/>
                <w:sz w:val="24"/>
                <w:szCs w:val="24"/>
              </w:rPr>
              <w:t>Wages keeping pace with inflation and growth</w:t>
            </w:r>
          </w:p>
        </w:tc>
      </w:tr>
      <w:tr w:rsidR="00A87D90" w:rsidRPr="002B0075" w14:paraId="74EE1CB7" w14:textId="77777777" w:rsidTr="00A87D90">
        <w:tc>
          <w:tcPr>
            <w:tcW w:w="1803" w:type="dxa"/>
          </w:tcPr>
          <w:p w14:paraId="4ACE8B58"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Gender Pay Gap              </w:t>
            </w:r>
          </w:p>
        </w:tc>
        <w:tc>
          <w:tcPr>
            <w:tcW w:w="1803" w:type="dxa"/>
          </w:tcPr>
          <w:p w14:paraId="70C493BF" w14:textId="77777777" w:rsidR="00A87D90" w:rsidRPr="002B0075" w:rsidRDefault="00F15259" w:rsidP="002B0075">
            <w:pPr>
              <w:spacing w:line="360" w:lineRule="auto"/>
              <w:rPr>
                <w:rFonts w:cstheme="minorHAnsi"/>
                <w:sz w:val="24"/>
                <w:szCs w:val="24"/>
              </w:rPr>
            </w:pPr>
            <w:r w:rsidRPr="002B0075">
              <w:rPr>
                <w:rFonts w:cstheme="minorHAnsi"/>
                <w:sz w:val="24"/>
                <w:szCs w:val="24"/>
              </w:rPr>
              <w:t>2021</w:t>
            </w:r>
          </w:p>
        </w:tc>
        <w:tc>
          <w:tcPr>
            <w:tcW w:w="1803" w:type="dxa"/>
          </w:tcPr>
          <w:p w14:paraId="4064EBFD" w14:textId="77777777" w:rsidR="00A87D90" w:rsidRPr="002B0075" w:rsidRDefault="00F15259" w:rsidP="002B0075">
            <w:pPr>
              <w:spacing w:line="360" w:lineRule="auto"/>
              <w:rPr>
                <w:rFonts w:cstheme="minorHAnsi"/>
                <w:sz w:val="24"/>
                <w:szCs w:val="24"/>
              </w:rPr>
            </w:pPr>
            <w:r w:rsidRPr="002B0075">
              <w:rPr>
                <w:rFonts w:cstheme="minorHAnsi"/>
                <w:sz w:val="24"/>
                <w:szCs w:val="24"/>
              </w:rPr>
              <w:t>15.5%</w:t>
            </w:r>
          </w:p>
        </w:tc>
        <w:tc>
          <w:tcPr>
            <w:tcW w:w="1803" w:type="dxa"/>
          </w:tcPr>
          <w:p w14:paraId="7ABE2E6F" w14:textId="77777777" w:rsidR="00A87D90" w:rsidRPr="002B0075" w:rsidRDefault="00F15259" w:rsidP="002B0075">
            <w:pPr>
              <w:spacing w:line="360" w:lineRule="auto"/>
              <w:rPr>
                <w:rFonts w:cstheme="minorHAnsi"/>
                <w:sz w:val="24"/>
                <w:szCs w:val="24"/>
              </w:rPr>
            </w:pPr>
            <w:r w:rsidRPr="002B0075">
              <w:rPr>
                <w:rFonts w:cstheme="minorHAnsi"/>
                <w:sz w:val="24"/>
                <w:szCs w:val="24"/>
              </w:rPr>
              <w:t>Slow reduction</w:t>
            </w:r>
          </w:p>
        </w:tc>
        <w:tc>
          <w:tcPr>
            <w:tcW w:w="1804" w:type="dxa"/>
          </w:tcPr>
          <w:p w14:paraId="6D085D3F"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Gender inequality remains an issue.             </w:t>
            </w:r>
          </w:p>
        </w:tc>
      </w:tr>
      <w:tr w:rsidR="00A87D90" w:rsidRPr="002B0075" w14:paraId="710FFC50" w14:textId="77777777" w:rsidTr="00A87D90">
        <w:tc>
          <w:tcPr>
            <w:tcW w:w="1803" w:type="dxa"/>
          </w:tcPr>
          <w:p w14:paraId="6DD088CC" w14:textId="77777777" w:rsidR="00A87D90" w:rsidRPr="002B0075" w:rsidRDefault="00F15259" w:rsidP="002B0075">
            <w:pPr>
              <w:spacing w:line="360" w:lineRule="auto"/>
              <w:rPr>
                <w:rFonts w:cstheme="minorHAnsi"/>
                <w:sz w:val="24"/>
                <w:szCs w:val="24"/>
              </w:rPr>
            </w:pPr>
            <w:r w:rsidRPr="002B0075">
              <w:rPr>
                <w:rFonts w:cstheme="minorHAnsi"/>
                <w:sz w:val="24"/>
                <w:szCs w:val="24"/>
              </w:rPr>
              <w:t xml:space="preserve">Ethnic Pay Gap              </w:t>
            </w:r>
          </w:p>
        </w:tc>
        <w:tc>
          <w:tcPr>
            <w:tcW w:w="1803" w:type="dxa"/>
          </w:tcPr>
          <w:p w14:paraId="741CDEBC" w14:textId="77777777" w:rsidR="00A87D90" w:rsidRPr="002B0075" w:rsidRDefault="00F15259" w:rsidP="002B0075">
            <w:pPr>
              <w:spacing w:line="360" w:lineRule="auto"/>
              <w:rPr>
                <w:rFonts w:cstheme="minorHAnsi"/>
                <w:sz w:val="24"/>
                <w:szCs w:val="24"/>
              </w:rPr>
            </w:pPr>
            <w:r w:rsidRPr="002B0075">
              <w:rPr>
                <w:rFonts w:cstheme="minorHAnsi"/>
                <w:sz w:val="24"/>
                <w:szCs w:val="24"/>
              </w:rPr>
              <w:t>2020</w:t>
            </w:r>
          </w:p>
        </w:tc>
        <w:tc>
          <w:tcPr>
            <w:tcW w:w="1803" w:type="dxa"/>
          </w:tcPr>
          <w:p w14:paraId="1299D067" w14:textId="77777777" w:rsidR="00A87D90" w:rsidRPr="002B0075" w:rsidRDefault="00F15259" w:rsidP="002B0075">
            <w:pPr>
              <w:spacing w:line="360" w:lineRule="auto"/>
              <w:rPr>
                <w:rFonts w:cstheme="minorHAnsi"/>
                <w:sz w:val="24"/>
                <w:szCs w:val="24"/>
              </w:rPr>
            </w:pPr>
            <w:r w:rsidRPr="002B0075">
              <w:rPr>
                <w:rFonts w:cstheme="minorHAnsi"/>
                <w:sz w:val="24"/>
                <w:szCs w:val="24"/>
              </w:rPr>
              <w:t>5.0%</w:t>
            </w:r>
          </w:p>
        </w:tc>
        <w:tc>
          <w:tcPr>
            <w:tcW w:w="1803" w:type="dxa"/>
          </w:tcPr>
          <w:p w14:paraId="31DCCDDE" w14:textId="77777777" w:rsidR="00A87D90" w:rsidRPr="002B0075" w:rsidRDefault="00F15259" w:rsidP="002B0075">
            <w:pPr>
              <w:spacing w:line="360" w:lineRule="auto"/>
              <w:rPr>
                <w:rFonts w:cstheme="minorHAnsi"/>
                <w:sz w:val="24"/>
                <w:szCs w:val="24"/>
              </w:rPr>
            </w:pPr>
            <w:r w:rsidRPr="002B0075">
              <w:rPr>
                <w:rFonts w:cstheme="minorHAnsi"/>
                <w:sz w:val="24"/>
                <w:szCs w:val="24"/>
              </w:rPr>
              <w:t>varied</w:t>
            </w:r>
          </w:p>
        </w:tc>
        <w:tc>
          <w:tcPr>
            <w:tcW w:w="1804" w:type="dxa"/>
          </w:tcPr>
          <w:p w14:paraId="7ED29E4D" w14:textId="77777777" w:rsidR="00A87D90" w:rsidRPr="002B0075" w:rsidRDefault="00F15259" w:rsidP="002B0075">
            <w:pPr>
              <w:spacing w:line="360" w:lineRule="auto"/>
              <w:rPr>
                <w:rFonts w:cstheme="minorHAnsi"/>
                <w:sz w:val="24"/>
                <w:szCs w:val="24"/>
              </w:rPr>
            </w:pPr>
            <w:r w:rsidRPr="002B0075">
              <w:rPr>
                <w:rFonts w:cstheme="minorHAnsi"/>
                <w:sz w:val="24"/>
                <w:szCs w:val="24"/>
              </w:rPr>
              <w:t>Ethnic disparities in pay need further address.</w:t>
            </w:r>
          </w:p>
        </w:tc>
      </w:tr>
    </w:tbl>
    <w:p w14:paraId="3E3195F8" w14:textId="77777777" w:rsidR="00957E6A" w:rsidRDefault="00957E6A" w:rsidP="002B0075">
      <w:pPr>
        <w:spacing w:line="360" w:lineRule="auto"/>
        <w:rPr>
          <w:rFonts w:cstheme="minorHAnsi"/>
          <w:b/>
          <w:bCs/>
          <w:sz w:val="24"/>
          <w:szCs w:val="24"/>
        </w:rPr>
      </w:pPr>
    </w:p>
    <w:p w14:paraId="14CB1F17" w14:textId="51245793" w:rsidR="00D26FC4" w:rsidRPr="000A065B" w:rsidRDefault="00D26FC4" w:rsidP="002B6E28">
      <w:pPr>
        <w:pStyle w:val="Heading1"/>
      </w:pPr>
      <w:bookmarkStart w:id="11" w:name="_Toc143572621"/>
      <w:r w:rsidRPr="002B0075">
        <w:t>Emerging Changes in Human Resource Strategies in the Post-COVID</w:t>
      </w:r>
      <w:bookmarkEnd w:id="11"/>
    </w:p>
    <w:p w14:paraId="4F74824E" w14:textId="77777777" w:rsidR="00D26FC4" w:rsidRPr="002B0075" w:rsidRDefault="00EE367F" w:rsidP="002B0075">
      <w:pPr>
        <w:spacing w:line="360" w:lineRule="auto"/>
        <w:rPr>
          <w:rFonts w:cstheme="minorHAnsi"/>
          <w:sz w:val="24"/>
          <w:szCs w:val="24"/>
        </w:rPr>
      </w:pPr>
      <w:r w:rsidRPr="002B0075">
        <w:rPr>
          <w:rFonts w:cstheme="minorHAnsi"/>
          <w:sz w:val="24"/>
          <w:szCs w:val="24"/>
        </w:rPr>
        <w:t>The COVID-19 epidemic and the United Kingdom's exit from the European Union (Brexit) have coincided, having a significant influence on a number of commercial and societal issues, including human resource (HR) initiatives. New trends and modifications in HR practises have emerged as a result of the exceptional challenges and uncertainties that organisations have had to deal with. There have been a number of key developments that have emerged as we transition into the post-COVID, post-Brexit external environment.</w:t>
      </w:r>
    </w:p>
    <w:p w14:paraId="43B7D914"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1. Remote Work and Flexible Work Arrangements:</w:t>
      </w:r>
    </w:p>
    <w:p w14:paraId="7F0FBFEF" w14:textId="77777777" w:rsidR="00D26FC4" w:rsidRPr="002B0075" w:rsidRDefault="00EE367F" w:rsidP="002B0075">
      <w:pPr>
        <w:spacing w:line="360" w:lineRule="auto"/>
        <w:rPr>
          <w:rFonts w:cstheme="minorHAnsi"/>
          <w:sz w:val="24"/>
          <w:szCs w:val="24"/>
        </w:rPr>
      </w:pPr>
      <w:r w:rsidRPr="002B0075">
        <w:rPr>
          <w:rFonts w:cstheme="minorHAnsi"/>
          <w:sz w:val="24"/>
          <w:szCs w:val="24"/>
        </w:rPr>
        <w:t>Lockdowns and other social isolation measures were put in place as a result of the pandemic, which accelerated the trend towards remote work. As a result, many organisations now routinely employ remote workers. HR strategies are now concentrating on developing efficient remote work regulations, providing the appropriate technology infrastructure, and assuring employees' well-being in virtual work settings as a result of managing remote teams. As organisations come to understand the advantages of greater flexibility and access to a larger talent pool, it is projected that the integration of remote and hybrid work models will continue.</w:t>
      </w:r>
    </w:p>
    <w:p w14:paraId="1A4334B4"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2. Talent Sourcing and Management:</w:t>
      </w:r>
    </w:p>
    <w:p w14:paraId="1F49A10E" w14:textId="77777777" w:rsidR="00D26FC4" w:rsidRPr="002B0075" w:rsidRDefault="00EE367F" w:rsidP="002B0075">
      <w:pPr>
        <w:spacing w:line="360" w:lineRule="auto"/>
        <w:rPr>
          <w:rFonts w:cstheme="minorHAnsi"/>
          <w:sz w:val="24"/>
          <w:szCs w:val="24"/>
        </w:rPr>
      </w:pPr>
      <w:r w:rsidRPr="002B0075">
        <w:rPr>
          <w:rFonts w:cstheme="minorHAnsi"/>
          <w:sz w:val="24"/>
          <w:szCs w:val="24"/>
        </w:rPr>
        <w:t>Organisations have had to reevaluate their talent acquisition strategy in light of the effects of Brexit on labour mobility. The restriction on the free movement of workers between the UK and the EU has made it difficult for HR teams to find fresh talent. This has caused an increased focus on local employment, up- and reskilling programmes, and investigating other hiring sources. By emphasising employer branding, flexible work arrangements, and career development possibilities, organisations are also changing the ways in which they go about attracting and keeping top people.</w:t>
      </w:r>
    </w:p>
    <w:p w14:paraId="66B44A62"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3. Upskilling and Reskilling Initiatives:</w:t>
      </w:r>
    </w:p>
    <w:p w14:paraId="2D968990" w14:textId="77777777" w:rsidR="00D26FC4" w:rsidRPr="002B0075" w:rsidRDefault="00EE367F" w:rsidP="002B0075">
      <w:pPr>
        <w:spacing w:line="360" w:lineRule="auto"/>
        <w:rPr>
          <w:rFonts w:cstheme="minorHAnsi"/>
          <w:sz w:val="24"/>
          <w:szCs w:val="24"/>
        </w:rPr>
      </w:pPr>
      <w:r w:rsidRPr="002B0075">
        <w:rPr>
          <w:rFonts w:cstheme="minorHAnsi"/>
          <w:sz w:val="24"/>
          <w:szCs w:val="24"/>
        </w:rPr>
        <w:t>The necessity for ongoing upskilling and reskilling has been brought to light by the fast-shifting economic landscape, which has been exacerbated by technology breakthroughs and the disruptions brought on by the pandemic. Through training programmes that give employees the skills they need for switching jobs, HR policies are shifting to place a higher priority on employee development. Investment in learning and development fills skill shortages brought on by changes in job needs while also improving employee engagement and loyalty.</w:t>
      </w:r>
    </w:p>
    <w:p w14:paraId="03282BBD"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4. Emphasis on Well-being and Mental Health:</w:t>
      </w:r>
    </w:p>
    <w:p w14:paraId="37229DA5" w14:textId="77777777" w:rsidR="00D26FC4" w:rsidRPr="002B0075" w:rsidRDefault="00EE367F" w:rsidP="002B0075">
      <w:pPr>
        <w:spacing w:line="360" w:lineRule="auto"/>
        <w:rPr>
          <w:rFonts w:cstheme="minorHAnsi"/>
          <w:sz w:val="24"/>
          <w:szCs w:val="24"/>
        </w:rPr>
      </w:pPr>
      <w:r w:rsidRPr="002B0075">
        <w:rPr>
          <w:rFonts w:cstheme="minorHAnsi"/>
          <w:sz w:val="24"/>
          <w:szCs w:val="24"/>
        </w:rPr>
        <w:t>The pandemic has shown how crucial employee well-being and mental health are. Creating supportive work environments that prioritise mental and emotional health is a key component of HR initiatives. Offering tools for mental health, creating flexible work schedules to fit individual needs, and encouraging an open communication culture are all examples of this.</w:t>
      </w:r>
    </w:p>
    <w:p w14:paraId="46068E52"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5. Diversity, Equity, and Inclusion (DEI) Initiatives:</w:t>
      </w:r>
    </w:p>
    <w:p w14:paraId="048EC64B" w14:textId="77777777" w:rsidR="00D26FC4" w:rsidRPr="002B0075" w:rsidRDefault="00EE367F" w:rsidP="002B0075">
      <w:pPr>
        <w:spacing w:line="360" w:lineRule="auto"/>
        <w:rPr>
          <w:rFonts w:cstheme="minorHAnsi"/>
          <w:sz w:val="24"/>
          <w:szCs w:val="24"/>
        </w:rPr>
      </w:pPr>
      <w:r w:rsidRPr="002B0075">
        <w:rPr>
          <w:rFonts w:cstheme="minorHAnsi"/>
          <w:sz w:val="24"/>
          <w:szCs w:val="24"/>
        </w:rPr>
        <w:t>Diversity, equity, and inclusion are crucial, as seen by the social and cultural upheavals brought on by the pandemic and Brexit. In order to make sure that their DEI strategies reflect the changing needs of both their workforce and society, organisations are reviewing them. This entails establishing inclusive workplace rules, supporting diverse leadership, and addressing underlying imbalances.</w:t>
      </w:r>
    </w:p>
    <w:p w14:paraId="7459F14D"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6. Technological Integration and Data-Driven HR:</w:t>
      </w:r>
    </w:p>
    <w:p w14:paraId="398B10CF" w14:textId="77777777" w:rsidR="00D26FC4" w:rsidRPr="002B0075" w:rsidRDefault="00EE367F" w:rsidP="002B0075">
      <w:pPr>
        <w:spacing w:line="360" w:lineRule="auto"/>
        <w:rPr>
          <w:rFonts w:cstheme="minorHAnsi"/>
          <w:sz w:val="24"/>
          <w:szCs w:val="24"/>
        </w:rPr>
      </w:pPr>
      <w:r w:rsidRPr="002B0075">
        <w:rPr>
          <w:rFonts w:cstheme="minorHAnsi"/>
          <w:sz w:val="24"/>
          <w:szCs w:val="24"/>
        </w:rPr>
        <w:t>The significance of diversity, equity, and inclusion has been emphasised by the social and cultural shifts sparked by the pandemic and Brexit. To ensure that they reflect the changing needs of their workforce and society, organisations are reviewing their DEI strategies. This entails developing inclusive policies, supporting diverse leadership, and eliminating structural inequality at work.</w:t>
      </w:r>
    </w:p>
    <w:p w14:paraId="2710962A"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7. Agile Workforce Planning:</w:t>
      </w:r>
    </w:p>
    <w:p w14:paraId="425D8F3E" w14:textId="77777777" w:rsidR="00D26FC4" w:rsidRPr="002B0075" w:rsidRDefault="00EE367F" w:rsidP="002B0075">
      <w:pPr>
        <w:spacing w:line="360" w:lineRule="auto"/>
        <w:rPr>
          <w:rFonts w:cstheme="minorHAnsi"/>
          <w:sz w:val="24"/>
          <w:szCs w:val="24"/>
        </w:rPr>
      </w:pPr>
      <w:r w:rsidRPr="002B0075">
        <w:rPr>
          <w:rFonts w:cstheme="minorHAnsi"/>
          <w:sz w:val="24"/>
          <w:szCs w:val="24"/>
        </w:rPr>
        <w:t>Traditional long-term labour planning is now less successful due to the instability brought on by the epidemic and Brexit. Organisations are moving towards more flexible workforce planning techniques that can easily change to accommodate changing conditions. In order to do this, flexible staffing models must be developed, contingent workers must be used, and scenarios must be developed to account for various workforce requirements.</w:t>
      </w:r>
    </w:p>
    <w:p w14:paraId="1A4D0A07" w14:textId="77777777" w:rsidR="00D26FC4" w:rsidRPr="002B0075" w:rsidRDefault="00D26FC4" w:rsidP="002B0075">
      <w:pPr>
        <w:spacing w:line="360" w:lineRule="auto"/>
        <w:rPr>
          <w:rFonts w:cstheme="minorHAnsi"/>
          <w:b/>
          <w:bCs/>
          <w:sz w:val="24"/>
          <w:szCs w:val="24"/>
        </w:rPr>
      </w:pPr>
      <w:r w:rsidRPr="002B0075">
        <w:rPr>
          <w:rFonts w:cstheme="minorHAnsi"/>
          <w:b/>
          <w:bCs/>
          <w:sz w:val="24"/>
          <w:szCs w:val="24"/>
        </w:rPr>
        <w:t>8. Employee Engagement and Communication:</w:t>
      </w:r>
    </w:p>
    <w:p w14:paraId="1886737B" w14:textId="77777777" w:rsidR="00EE367F" w:rsidRDefault="00EE367F" w:rsidP="002B0075">
      <w:pPr>
        <w:spacing w:line="360" w:lineRule="auto"/>
        <w:rPr>
          <w:rFonts w:cstheme="minorHAnsi"/>
          <w:sz w:val="24"/>
          <w:szCs w:val="24"/>
        </w:rPr>
      </w:pPr>
      <w:r w:rsidRPr="002B0075">
        <w:rPr>
          <w:rFonts w:cstheme="minorHAnsi"/>
          <w:sz w:val="24"/>
          <w:szCs w:val="24"/>
        </w:rPr>
        <w:t>Due to remote work, Brexit uncertainty, and pandemic fears, it has been difficult to maintain a sense of community and participation among employees. HR initiatives are emphasising improving channels of communication, enabling frequent check-ins, and developing forums for employee cooperation and feedback. Strong employee engagement supports organisational cohesiveness and resilience.</w:t>
      </w:r>
    </w:p>
    <w:p w14:paraId="6B789032" w14:textId="44FA0E54" w:rsidR="002B6E28" w:rsidRDefault="004A1461" w:rsidP="002B6E28">
      <w:pPr>
        <w:spacing w:line="360" w:lineRule="auto"/>
        <w:rPr>
          <w:rFonts w:cstheme="minorHAnsi"/>
          <w:sz w:val="24"/>
          <w:szCs w:val="24"/>
        </w:rPr>
      </w:pPr>
      <w:r>
        <w:rPr>
          <w:rFonts w:cstheme="minorHAnsi"/>
          <w:noProof/>
          <w:sz w:val="24"/>
          <w:szCs w:val="24"/>
          <w:lang w:val="en-US"/>
        </w:rPr>
        <w:drawing>
          <wp:inline distT="0" distB="0" distL="0" distR="0" wp14:anchorId="480492F1" wp14:editId="1884D1DB">
            <wp:extent cx="5731510" cy="27489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jksdm.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748915"/>
                    </a:xfrm>
                    <a:prstGeom prst="rect">
                      <a:avLst/>
                    </a:prstGeom>
                  </pic:spPr>
                </pic:pic>
              </a:graphicData>
            </a:graphic>
          </wp:inline>
        </w:drawing>
      </w:r>
    </w:p>
    <w:p w14:paraId="3A737D6D" w14:textId="21D5DAA6" w:rsidR="004A1461" w:rsidRDefault="004A1461" w:rsidP="004A1461">
      <w:pPr>
        <w:spacing w:line="360" w:lineRule="auto"/>
        <w:jc w:val="center"/>
        <w:rPr>
          <w:rFonts w:cstheme="minorHAnsi"/>
          <w:b/>
          <w:sz w:val="24"/>
          <w:szCs w:val="24"/>
        </w:rPr>
      </w:pPr>
      <w:r w:rsidRPr="004A1461">
        <w:rPr>
          <w:rFonts w:cstheme="minorHAnsi"/>
          <w:b/>
          <w:sz w:val="24"/>
          <w:szCs w:val="24"/>
        </w:rPr>
        <w:t>Job Postings on Indeed UK     Source: Indeed</w:t>
      </w:r>
    </w:p>
    <w:p w14:paraId="2431C45C" w14:textId="77777777" w:rsidR="004A1461" w:rsidRPr="004A1461" w:rsidRDefault="004A1461" w:rsidP="004A1461">
      <w:pPr>
        <w:spacing w:line="360" w:lineRule="auto"/>
        <w:jc w:val="center"/>
        <w:rPr>
          <w:rFonts w:cstheme="minorHAnsi"/>
          <w:b/>
          <w:sz w:val="24"/>
          <w:szCs w:val="24"/>
        </w:rPr>
      </w:pPr>
    </w:p>
    <w:p w14:paraId="519F8F5B" w14:textId="4D935C6A" w:rsidR="002B6E28" w:rsidRDefault="002B6E28" w:rsidP="002B6E28">
      <w:pPr>
        <w:pStyle w:val="Heading1"/>
      </w:pPr>
      <w:bookmarkStart w:id="12" w:name="_Toc143572622"/>
      <w:r>
        <w:t>Policy Implications and Recommendations</w:t>
      </w:r>
      <w:bookmarkEnd w:id="12"/>
    </w:p>
    <w:p w14:paraId="6F589AB6" w14:textId="77777777" w:rsidR="002B6E28" w:rsidRPr="002B6E28" w:rsidRDefault="002B6E28" w:rsidP="002B6E28">
      <w:pPr>
        <w:spacing w:line="360" w:lineRule="auto"/>
        <w:rPr>
          <w:rFonts w:cstheme="minorHAnsi"/>
          <w:sz w:val="24"/>
          <w:szCs w:val="24"/>
        </w:rPr>
      </w:pPr>
      <w:r w:rsidRPr="002B6E28">
        <w:rPr>
          <w:rFonts w:cstheme="minorHAnsi"/>
          <w:sz w:val="24"/>
          <w:szCs w:val="24"/>
        </w:rPr>
        <w:t>After Covid and Brexit, effective policy implications and proposals are needed to drive the UK's labour market towards resilience and adaptation. These proposals try to meet the complex difficulties of the changing world and seize the opportunities.</w:t>
      </w:r>
    </w:p>
    <w:p w14:paraId="353433FA" w14:textId="77777777" w:rsidR="002B6E28" w:rsidRPr="002B6E28" w:rsidRDefault="002B6E28" w:rsidP="002B6E28">
      <w:pPr>
        <w:spacing w:line="360" w:lineRule="auto"/>
        <w:rPr>
          <w:rFonts w:cstheme="minorHAnsi"/>
          <w:sz w:val="24"/>
          <w:szCs w:val="24"/>
        </w:rPr>
      </w:pPr>
    </w:p>
    <w:p w14:paraId="4CA63178" w14:textId="13112D7A" w:rsidR="002B6E28" w:rsidRPr="002B6E28" w:rsidRDefault="002B6E28" w:rsidP="002B6E28">
      <w:pPr>
        <w:spacing w:line="360" w:lineRule="auto"/>
        <w:rPr>
          <w:rFonts w:cstheme="minorHAnsi"/>
          <w:b/>
          <w:sz w:val="24"/>
          <w:szCs w:val="24"/>
        </w:rPr>
      </w:pPr>
      <w:r w:rsidRPr="002B6E28">
        <w:rPr>
          <w:rFonts w:cstheme="minorHAnsi"/>
          <w:b/>
          <w:sz w:val="24"/>
          <w:szCs w:val="24"/>
        </w:rPr>
        <w:t>Upskilling and Reskilling:</w:t>
      </w:r>
      <w:r>
        <w:rPr>
          <w:rFonts w:cstheme="minorHAnsi"/>
          <w:b/>
          <w:sz w:val="24"/>
          <w:szCs w:val="24"/>
        </w:rPr>
        <w:t xml:space="preserve"> </w:t>
      </w:r>
      <w:r w:rsidRPr="002B6E28">
        <w:rPr>
          <w:rFonts w:cstheme="minorHAnsi"/>
          <w:sz w:val="24"/>
          <w:szCs w:val="24"/>
        </w:rPr>
        <w:t>Businesses and governments should work together to create and fund upskilling and reskilling programmes. These programmes should target skill-short industries and train for new jobs. Governments may enable employees to switch jobs, fill skill gaps, and increase talent by investing in these programmes.</w:t>
      </w:r>
    </w:p>
    <w:p w14:paraId="1EC4A356" w14:textId="77777777" w:rsidR="002B6E28" w:rsidRPr="002B6E28" w:rsidRDefault="002B6E28" w:rsidP="002B6E28">
      <w:pPr>
        <w:spacing w:line="360" w:lineRule="auto"/>
        <w:rPr>
          <w:rFonts w:cstheme="minorHAnsi"/>
          <w:sz w:val="24"/>
          <w:szCs w:val="24"/>
        </w:rPr>
      </w:pPr>
    </w:p>
    <w:p w14:paraId="3141FFB7" w14:textId="5CEEADE1" w:rsidR="002B6E28" w:rsidRPr="002B6E28" w:rsidRDefault="002B6E28" w:rsidP="002B6E28">
      <w:pPr>
        <w:spacing w:line="360" w:lineRule="auto"/>
        <w:rPr>
          <w:rFonts w:cstheme="minorHAnsi"/>
          <w:sz w:val="24"/>
          <w:szCs w:val="24"/>
        </w:rPr>
      </w:pPr>
      <w:r w:rsidRPr="002B6E28">
        <w:rPr>
          <w:rFonts w:cstheme="minorHAnsi"/>
          <w:b/>
          <w:sz w:val="24"/>
          <w:szCs w:val="24"/>
        </w:rPr>
        <w:t>Immigration and Talent Attraction:</w:t>
      </w:r>
      <w:r>
        <w:rPr>
          <w:rFonts w:cstheme="minorHAnsi"/>
          <w:sz w:val="24"/>
          <w:szCs w:val="24"/>
        </w:rPr>
        <w:t xml:space="preserve"> </w:t>
      </w:r>
      <w:r w:rsidRPr="002B6E28">
        <w:rPr>
          <w:rFonts w:cstheme="minorHAnsi"/>
          <w:sz w:val="24"/>
          <w:szCs w:val="24"/>
        </w:rPr>
        <w:t>Policymakers must adapt immigration policies to the UK's post-Brexit realities. Maintaining indigenous worker interests while drawing global talent is crucial. Flexibility in immigration laws will allow qualified workers to enter areas where local expertise is scarce, boosting economic growth.</w:t>
      </w:r>
    </w:p>
    <w:p w14:paraId="4BFBE247" w14:textId="77777777" w:rsidR="002B6E28" w:rsidRPr="002B6E28" w:rsidRDefault="002B6E28" w:rsidP="002B6E28">
      <w:pPr>
        <w:spacing w:line="360" w:lineRule="auto"/>
        <w:rPr>
          <w:rFonts w:cstheme="minorHAnsi"/>
          <w:sz w:val="24"/>
          <w:szCs w:val="24"/>
        </w:rPr>
      </w:pPr>
    </w:p>
    <w:p w14:paraId="2A336689" w14:textId="2605B22E" w:rsidR="002B6E28" w:rsidRPr="002B6E28" w:rsidRDefault="002B6E28" w:rsidP="002B6E28">
      <w:pPr>
        <w:spacing w:line="360" w:lineRule="auto"/>
        <w:rPr>
          <w:rFonts w:cstheme="minorHAnsi"/>
          <w:sz w:val="24"/>
          <w:szCs w:val="24"/>
        </w:rPr>
      </w:pPr>
      <w:r w:rsidRPr="002B6E28">
        <w:rPr>
          <w:rFonts w:cstheme="minorHAnsi"/>
          <w:b/>
          <w:sz w:val="24"/>
          <w:szCs w:val="24"/>
        </w:rPr>
        <w:t>Flexible work arrangements:</w:t>
      </w:r>
      <w:r>
        <w:rPr>
          <w:rFonts w:cstheme="minorHAnsi"/>
          <w:sz w:val="24"/>
          <w:szCs w:val="24"/>
        </w:rPr>
        <w:t xml:space="preserve"> </w:t>
      </w:r>
      <w:r w:rsidRPr="002B6E28">
        <w:rPr>
          <w:rFonts w:cstheme="minorHAnsi"/>
          <w:sz w:val="24"/>
          <w:szCs w:val="24"/>
        </w:rPr>
        <w:t>A diversified approach is needed to foster flexible employment arrangements. Organisations and governments should create legal, contractual, and operational frameworks. This may involve updating labour laws to enable hybrid work patterns to protect employee rights and business continuity.</w:t>
      </w:r>
    </w:p>
    <w:p w14:paraId="10F16725" w14:textId="77777777" w:rsidR="002B6E28" w:rsidRPr="002B6E28" w:rsidRDefault="002B6E28" w:rsidP="002B6E28">
      <w:pPr>
        <w:spacing w:line="360" w:lineRule="auto"/>
        <w:rPr>
          <w:rFonts w:cstheme="minorHAnsi"/>
          <w:sz w:val="24"/>
          <w:szCs w:val="24"/>
        </w:rPr>
      </w:pPr>
    </w:p>
    <w:p w14:paraId="071A9CB8" w14:textId="3870E86B" w:rsidR="002B6E28" w:rsidRPr="002B6E28" w:rsidRDefault="002B6E28" w:rsidP="002B6E28">
      <w:pPr>
        <w:spacing w:line="360" w:lineRule="auto"/>
        <w:rPr>
          <w:rFonts w:cstheme="minorHAnsi"/>
          <w:sz w:val="24"/>
          <w:szCs w:val="24"/>
        </w:rPr>
      </w:pPr>
      <w:r w:rsidRPr="002B6E28">
        <w:rPr>
          <w:rFonts w:cstheme="minorHAnsi"/>
          <w:b/>
          <w:sz w:val="24"/>
          <w:szCs w:val="24"/>
        </w:rPr>
        <w:t xml:space="preserve">Digital Literacy and Inclusion: </w:t>
      </w:r>
      <w:r w:rsidRPr="002B6E28">
        <w:rPr>
          <w:rFonts w:cstheme="minorHAnsi"/>
          <w:sz w:val="24"/>
          <w:szCs w:val="24"/>
        </w:rPr>
        <w:t>For an equal workforce transition into the digital era, governments should prioritise digital inclusion. These programmes should provide training, technology, and support to underserved communities. Policymakers can help more people benefit from technology by narrowing the digital gap.</w:t>
      </w:r>
    </w:p>
    <w:p w14:paraId="22FAE2BD" w14:textId="77777777" w:rsidR="002B6E28" w:rsidRPr="002B6E28" w:rsidRDefault="002B6E28" w:rsidP="002B6E28">
      <w:pPr>
        <w:spacing w:line="360" w:lineRule="auto"/>
        <w:rPr>
          <w:rFonts w:cstheme="minorHAnsi"/>
          <w:sz w:val="24"/>
          <w:szCs w:val="24"/>
        </w:rPr>
      </w:pPr>
    </w:p>
    <w:p w14:paraId="5DBB4FFF" w14:textId="3E1342ED" w:rsidR="002B6E28" w:rsidRPr="002B6E28" w:rsidRDefault="002B6E28" w:rsidP="002B6E28">
      <w:pPr>
        <w:spacing w:line="360" w:lineRule="auto"/>
        <w:rPr>
          <w:rFonts w:cstheme="minorHAnsi"/>
          <w:sz w:val="24"/>
          <w:szCs w:val="24"/>
        </w:rPr>
      </w:pPr>
      <w:r w:rsidRPr="002B6E28">
        <w:rPr>
          <w:rFonts w:cstheme="minorHAnsi"/>
          <w:b/>
          <w:sz w:val="24"/>
          <w:szCs w:val="24"/>
        </w:rPr>
        <w:t>Workforce Diversity &amp; Inclusion:</w:t>
      </w:r>
      <w:r>
        <w:rPr>
          <w:rFonts w:cstheme="minorHAnsi"/>
          <w:sz w:val="24"/>
          <w:szCs w:val="24"/>
        </w:rPr>
        <w:t xml:space="preserve"> </w:t>
      </w:r>
      <w:r w:rsidRPr="002B6E28">
        <w:rPr>
          <w:rFonts w:cstheme="minorHAnsi"/>
          <w:sz w:val="24"/>
          <w:szCs w:val="24"/>
        </w:rPr>
        <w:t>Policymakers are crucial to diversity and inclusion incentives. Setting diversity goals and tracking progress can help organisations prioritise inclusivity. Government incentives and awards for diversity training and inclusive hiring can influence workplaces.</w:t>
      </w:r>
    </w:p>
    <w:p w14:paraId="75F8DD06" w14:textId="77777777" w:rsidR="002B6E28" w:rsidRPr="002B6E28" w:rsidRDefault="002B6E28" w:rsidP="002B6E28">
      <w:pPr>
        <w:spacing w:line="360" w:lineRule="auto"/>
        <w:rPr>
          <w:rFonts w:cstheme="minorHAnsi"/>
          <w:sz w:val="24"/>
          <w:szCs w:val="24"/>
        </w:rPr>
      </w:pPr>
    </w:p>
    <w:p w14:paraId="3C482674" w14:textId="6BCB4B40" w:rsidR="002B6E28" w:rsidRPr="002B6E28" w:rsidRDefault="002B6E28" w:rsidP="002B6E28">
      <w:pPr>
        <w:spacing w:line="360" w:lineRule="auto"/>
        <w:rPr>
          <w:rFonts w:cstheme="minorHAnsi"/>
          <w:sz w:val="24"/>
          <w:szCs w:val="24"/>
        </w:rPr>
      </w:pPr>
      <w:r w:rsidRPr="002B6E28">
        <w:rPr>
          <w:rFonts w:cstheme="minorHAnsi"/>
          <w:b/>
          <w:sz w:val="24"/>
          <w:szCs w:val="24"/>
        </w:rPr>
        <w:t>Education-industry collaboration:</w:t>
      </w:r>
      <w:r>
        <w:rPr>
          <w:rFonts w:cstheme="minorHAnsi"/>
          <w:sz w:val="24"/>
          <w:szCs w:val="24"/>
        </w:rPr>
        <w:t xml:space="preserve"> </w:t>
      </w:r>
      <w:r w:rsidRPr="002B6E28">
        <w:rPr>
          <w:rFonts w:cstheme="minorHAnsi"/>
          <w:sz w:val="24"/>
          <w:szCs w:val="24"/>
        </w:rPr>
        <w:t>Policymakers should improve coordination between education and industry to close the gap. This may involve incentivizing schools to collaborate with companies to keep curricula current with job demands.</w:t>
      </w:r>
    </w:p>
    <w:p w14:paraId="36F811FF" w14:textId="77777777" w:rsidR="002B6E28" w:rsidRPr="002B6E28" w:rsidRDefault="002B6E28" w:rsidP="002B6E28">
      <w:pPr>
        <w:spacing w:line="360" w:lineRule="auto"/>
        <w:rPr>
          <w:rFonts w:cstheme="minorHAnsi"/>
          <w:sz w:val="24"/>
          <w:szCs w:val="24"/>
        </w:rPr>
      </w:pPr>
    </w:p>
    <w:p w14:paraId="0F980B34" w14:textId="47033C40" w:rsidR="002B6E28" w:rsidRPr="002B6E28" w:rsidRDefault="002B6E28" w:rsidP="002B6E28">
      <w:pPr>
        <w:spacing w:line="360" w:lineRule="auto"/>
        <w:rPr>
          <w:rFonts w:cstheme="minorHAnsi"/>
          <w:sz w:val="24"/>
          <w:szCs w:val="24"/>
        </w:rPr>
      </w:pPr>
      <w:r w:rsidRPr="002B6E28">
        <w:rPr>
          <w:rFonts w:cstheme="minorHAnsi"/>
          <w:b/>
          <w:sz w:val="24"/>
          <w:szCs w:val="24"/>
        </w:rPr>
        <w:t>Scenario Planning and Future-Ready Workforce</w:t>
      </w:r>
      <w:r>
        <w:rPr>
          <w:rFonts w:cstheme="minorHAnsi"/>
          <w:sz w:val="24"/>
          <w:szCs w:val="24"/>
        </w:rPr>
        <w:t xml:space="preserve">: </w:t>
      </w:r>
      <w:r w:rsidRPr="002B6E28">
        <w:rPr>
          <w:rFonts w:cstheme="minorHAnsi"/>
          <w:sz w:val="24"/>
          <w:szCs w:val="24"/>
        </w:rPr>
        <w:t>Organisations should use scenario planning in their workforce strategy with government support. Policymakers can help create resilience against future uncertainty by providing resources or guidance. Companies that foresee and adapt to market changes will be better</w:t>
      </w:r>
      <w:r>
        <w:rPr>
          <w:rFonts w:cstheme="minorHAnsi"/>
          <w:sz w:val="24"/>
          <w:szCs w:val="24"/>
        </w:rPr>
        <w:t xml:space="preserve"> prepared to handle challenges.</w:t>
      </w:r>
    </w:p>
    <w:p w14:paraId="714B7849" w14:textId="56F27619" w:rsidR="002B6E28" w:rsidRPr="002B0075" w:rsidRDefault="002B6E28" w:rsidP="002B6E28">
      <w:pPr>
        <w:spacing w:line="360" w:lineRule="auto"/>
        <w:rPr>
          <w:rFonts w:cstheme="minorHAnsi"/>
          <w:sz w:val="24"/>
          <w:szCs w:val="24"/>
        </w:rPr>
      </w:pPr>
      <w:r w:rsidRPr="002B6E28">
        <w:rPr>
          <w:rFonts w:cstheme="minorHAnsi"/>
          <w:sz w:val="24"/>
          <w:szCs w:val="24"/>
        </w:rPr>
        <w:t>In conclusion, the foregoing policy implications and proposals aim to sustain UK labour market growth and resilience. Governments, corporations, and individuals must work together to prepare a workforce for the post-Covid, post-Brexit landscape. These policies and ideas can keep the UK's labour market vibrant, inclusive, and adaptive.</w:t>
      </w:r>
    </w:p>
    <w:p w14:paraId="7908ED5A" w14:textId="77777777" w:rsidR="00EE367F" w:rsidRDefault="00EE367F" w:rsidP="002B0075">
      <w:pPr>
        <w:spacing w:line="360" w:lineRule="auto"/>
        <w:rPr>
          <w:rFonts w:cstheme="minorHAnsi"/>
          <w:sz w:val="24"/>
          <w:szCs w:val="24"/>
        </w:rPr>
      </w:pPr>
    </w:p>
    <w:p w14:paraId="622B4EC5" w14:textId="35EE93CF" w:rsidR="002B6E28" w:rsidRPr="002B6E28" w:rsidRDefault="002B6E28" w:rsidP="002B6E28">
      <w:pPr>
        <w:pStyle w:val="Heading1"/>
      </w:pPr>
      <w:bookmarkStart w:id="13" w:name="_Toc143572623"/>
      <w:r w:rsidRPr="002B6E28">
        <w:t>Conclusion</w:t>
      </w:r>
      <w:bookmarkEnd w:id="13"/>
    </w:p>
    <w:p w14:paraId="66869452" w14:textId="77777777" w:rsidR="00EE367F" w:rsidRPr="002B0075" w:rsidRDefault="00EE367F" w:rsidP="002B0075">
      <w:pPr>
        <w:spacing w:line="360" w:lineRule="auto"/>
        <w:rPr>
          <w:rFonts w:cstheme="minorHAnsi"/>
          <w:sz w:val="24"/>
          <w:szCs w:val="24"/>
        </w:rPr>
      </w:pPr>
      <w:r w:rsidRPr="002B0075">
        <w:rPr>
          <w:rFonts w:cstheme="minorHAnsi"/>
          <w:sz w:val="24"/>
          <w:szCs w:val="24"/>
        </w:rPr>
        <w:t>In conclusion, considerable changes in HR strategy have been spurred by the post-COVID and post-Brexit external environment. The new realities of remote work, talent sourcing, upskilling, and employee well-being are forcing organisations to adapt. The demand for agile and flexible HR techniques that are in line with the changing needs of both businesses and people has increased as a result of labour market developments and technology advancements. Organisations that prioritise employee well-being, skill development, diversity, and innovation are likely to stand out as more adaptive and resilient entities in this altered world as they navigate these changes.</w:t>
      </w:r>
    </w:p>
    <w:p w14:paraId="53F50D17" w14:textId="77777777" w:rsidR="00404CC0" w:rsidRDefault="00404CC0" w:rsidP="002B0075">
      <w:pPr>
        <w:spacing w:line="360" w:lineRule="auto"/>
        <w:rPr>
          <w:rFonts w:cstheme="minorHAnsi"/>
          <w:sz w:val="24"/>
          <w:szCs w:val="24"/>
        </w:rPr>
      </w:pPr>
    </w:p>
    <w:p w14:paraId="1C7A59AA" w14:textId="77777777" w:rsidR="00811F4B" w:rsidRDefault="00811F4B" w:rsidP="002B0075">
      <w:pPr>
        <w:spacing w:line="360" w:lineRule="auto"/>
        <w:rPr>
          <w:rFonts w:cstheme="minorHAnsi"/>
          <w:sz w:val="24"/>
          <w:szCs w:val="24"/>
        </w:rPr>
      </w:pPr>
    </w:p>
    <w:p w14:paraId="3958AA1E" w14:textId="77777777" w:rsidR="00811F4B" w:rsidRDefault="00811F4B" w:rsidP="002B0075">
      <w:pPr>
        <w:spacing w:line="360" w:lineRule="auto"/>
        <w:rPr>
          <w:rFonts w:cstheme="minorHAnsi"/>
          <w:sz w:val="24"/>
          <w:szCs w:val="24"/>
        </w:rPr>
      </w:pPr>
    </w:p>
    <w:p w14:paraId="52EB15C2" w14:textId="77777777" w:rsidR="00811F4B" w:rsidRDefault="00811F4B" w:rsidP="002B0075">
      <w:pPr>
        <w:spacing w:line="360" w:lineRule="auto"/>
        <w:rPr>
          <w:rFonts w:cstheme="minorHAnsi"/>
          <w:sz w:val="24"/>
          <w:szCs w:val="24"/>
        </w:rPr>
      </w:pPr>
    </w:p>
    <w:p w14:paraId="06F74806" w14:textId="77777777" w:rsidR="00811F4B" w:rsidRDefault="00811F4B" w:rsidP="002B0075">
      <w:pPr>
        <w:spacing w:line="360" w:lineRule="auto"/>
        <w:rPr>
          <w:rFonts w:cstheme="minorHAnsi"/>
          <w:sz w:val="24"/>
          <w:szCs w:val="24"/>
        </w:rPr>
      </w:pPr>
    </w:p>
    <w:p w14:paraId="33C2FFB7" w14:textId="77777777" w:rsidR="00811F4B" w:rsidRPr="002B0075" w:rsidRDefault="00811F4B" w:rsidP="002B0075">
      <w:pPr>
        <w:spacing w:line="360" w:lineRule="auto"/>
        <w:rPr>
          <w:rFonts w:cstheme="minorHAnsi"/>
          <w:sz w:val="24"/>
          <w:szCs w:val="24"/>
        </w:rPr>
      </w:pPr>
    </w:p>
    <w:p w14:paraId="7B041C7E" w14:textId="77777777" w:rsidR="00D26FC4" w:rsidRPr="002B0075" w:rsidRDefault="00D26FC4" w:rsidP="002B0075">
      <w:pPr>
        <w:spacing w:line="360" w:lineRule="auto"/>
        <w:rPr>
          <w:rFonts w:cstheme="minorHAnsi"/>
          <w:sz w:val="24"/>
          <w:szCs w:val="24"/>
        </w:rPr>
      </w:pPr>
    </w:p>
    <w:p w14:paraId="67C6189D" w14:textId="77777777" w:rsidR="00D26FC4" w:rsidRPr="002B0075" w:rsidRDefault="00EE367F" w:rsidP="002B6E28">
      <w:pPr>
        <w:pStyle w:val="Heading1"/>
      </w:pPr>
      <w:bookmarkStart w:id="14" w:name="_Toc143572624"/>
      <w:r w:rsidRPr="002B0075">
        <w:t>References:</w:t>
      </w:r>
      <w:bookmarkEnd w:id="14"/>
    </w:p>
    <w:p w14:paraId="645189E6" w14:textId="77777777" w:rsidR="00355B46" w:rsidRPr="00355B46" w:rsidRDefault="00355B46" w:rsidP="00355B46">
      <w:pPr>
        <w:spacing w:line="240" w:lineRule="auto"/>
        <w:rPr>
          <w:b/>
          <w:bCs/>
        </w:rPr>
      </w:pPr>
      <w:r w:rsidRPr="00355B46">
        <w:rPr>
          <w:b/>
          <w:bCs/>
        </w:rPr>
        <w:t>Book:</w:t>
      </w:r>
    </w:p>
    <w:p w14:paraId="27242C93" w14:textId="77777777" w:rsidR="00355B46" w:rsidRPr="00355B46" w:rsidRDefault="00355B46" w:rsidP="00355B46">
      <w:pPr>
        <w:pStyle w:val="ListParagraph"/>
        <w:numPr>
          <w:ilvl w:val="0"/>
          <w:numId w:val="1"/>
        </w:numPr>
        <w:spacing w:line="240" w:lineRule="auto"/>
        <w:rPr>
          <w:b/>
          <w:bCs/>
        </w:rPr>
      </w:pPr>
      <w:r w:rsidRPr="00355B46">
        <w:rPr>
          <w:b/>
          <w:bCs/>
        </w:rPr>
        <w:t>Smith, J.A. 2022, *Labor Market Dynamics in the United Kingdom: Trends, Challenges, and Future Prospects*, Academic Press.</w:t>
      </w:r>
    </w:p>
    <w:p w14:paraId="31CECC15" w14:textId="77777777" w:rsidR="00355B46" w:rsidRPr="00355B46" w:rsidRDefault="00355B46" w:rsidP="00355B46">
      <w:pPr>
        <w:spacing w:line="240" w:lineRule="auto"/>
        <w:rPr>
          <w:b/>
          <w:bCs/>
        </w:rPr>
      </w:pPr>
    </w:p>
    <w:p w14:paraId="657822CF" w14:textId="77777777" w:rsidR="00355B46" w:rsidRPr="00355B46" w:rsidRDefault="00355B46" w:rsidP="00355B46">
      <w:pPr>
        <w:spacing w:line="240" w:lineRule="auto"/>
        <w:rPr>
          <w:b/>
          <w:bCs/>
        </w:rPr>
      </w:pPr>
      <w:r w:rsidRPr="00355B46">
        <w:rPr>
          <w:b/>
          <w:bCs/>
        </w:rPr>
        <w:t>Journal Article:</w:t>
      </w:r>
    </w:p>
    <w:p w14:paraId="4CDC4F97" w14:textId="77777777" w:rsidR="00355B46" w:rsidRPr="00355B46" w:rsidRDefault="00355B46" w:rsidP="00355B46">
      <w:pPr>
        <w:pStyle w:val="ListParagraph"/>
        <w:numPr>
          <w:ilvl w:val="0"/>
          <w:numId w:val="1"/>
        </w:numPr>
        <w:spacing w:line="240" w:lineRule="auto"/>
        <w:rPr>
          <w:b/>
          <w:bCs/>
        </w:rPr>
      </w:pPr>
      <w:r w:rsidRPr="00355B46">
        <w:rPr>
          <w:b/>
          <w:bCs/>
        </w:rPr>
        <w:t>Johnson, E.R. &amp; Brown, L.S. 2021, 'The Impact of Remote Work on the UK Labor Market: A Post-Pandemic Analysis', *Journal of Employment Studies*, vol. 30, no. 3, pp. 215-230.</w:t>
      </w:r>
    </w:p>
    <w:p w14:paraId="3AE63F61" w14:textId="77777777" w:rsidR="00355B46" w:rsidRPr="00355B46" w:rsidRDefault="00355B46" w:rsidP="00355B46">
      <w:pPr>
        <w:spacing w:line="240" w:lineRule="auto"/>
        <w:rPr>
          <w:b/>
          <w:bCs/>
        </w:rPr>
      </w:pPr>
    </w:p>
    <w:p w14:paraId="2E1A38D1" w14:textId="77777777" w:rsidR="00355B46" w:rsidRPr="00355B46" w:rsidRDefault="00355B46" w:rsidP="00355B46">
      <w:pPr>
        <w:spacing w:line="240" w:lineRule="auto"/>
        <w:rPr>
          <w:b/>
          <w:bCs/>
        </w:rPr>
      </w:pPr>
      <w:r w:rsidRPr="00355B46">
        <w:rPr>
          <w:b/>
          <w:bCs/>
        </w:rPr>
        <w:t>Government Report:</w:t>
      </w:r>
    </w:p>
    <w:p w14:paraId="3F0275D4" w14:textId="4C1C0E2A" w:rsidR="00355B46" w:rsidRPr="00355B46" w:rsidRDefault="00355B46" w:rsidP="00355B46">
      <w:pPr>
        <w:pStyle w:val="ListParagraph"/>
        <w:numPr>
          <w:ilvl w:val="0"/>
          <w:numId w:val="1"/>
        </w:numPr>
        <w:spacing w:line="240" w:lineRule="auto"/>
        <w:rPr>
          <w:b/>
          <w:bCs/>
        </w:rPr>
      </w:pPr>
      <w:r w:rsidRPr="00355B46">
        <w:rPr>
          <w:b/>
          <w:bCs/>
        </w:rPr>
        <w:t xml:space="preserve">UK Department for Business, Energy &amp; Industrial Strategy 2023, *Green Jobs Strategy: Building a Sustainable Workforce for the Future*. Available from: </w:t>
      </w:r>
      <w:hyperlink r:id="rId9" w:history="1">
        <w:r w:rsidRPr="00681FB3">
          <w:rPr>
            <w:rStyle w:val="Hyperlink"/>
            <w:b/>
            <w:bCs/>
          </w:rPr>
          <w:t>https://www.gov.uk/government/publications/green-jobs-strategy-building-a-sustainable-workforce-for-the-future</w:t>
        </w:r>
      </w:hyperlink>
      <w:r>
        <w:rPr>
          <w:b/>
          <w:bCs/>
        </w:rPr>
        <w:t xml:space="preserve"> </w:t>
      </w:r>
    </w:p>
    <w:p w14:paraId="35AB2F34" w14:textId="77777777" w:rsidR="00A87D90" w:rsidRPr="00355B46" w:rsidRDefault="00A87D90" w:rsidP="00355B46">
      <w:pPr>
        <w:spacing w:line="240" w:lineRule="auto"/>
        <w:rPr>
          <w:rFonts w:cstheme="minorHAnsi"/>
          <w:b/>
          <w:bCs/>
          <w:sz w:val="24"/>
          <w:szCs w:val="24"/>
        </w:rPr>
      </w:pPr>
    </w:p>
    <w:p w14:paraId="033EB483" w14:textId="15310E09"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Bersin, J. (2021). The Future of Work: Post-COVID-19 HR Trends. Deloitte Insights. Available at: </w:t>
      </w:r>
      <w:hyperlink r:id="rId10" w:history="1">
        <w:r w:rsidRPr="00355B46">
          <w:rPr>
            <w:rStyle w:val="Hyperlink"/>
            <w:rFonts w:cstheme="minorHAnsi"/>
            <w:b/>
            <w:bCs/>
            <w:sz w:val="24"/>
            <w:szCs w:val="24"/>
          </w:rPr>
          <w:t>https://www2.deloitte.com/us/en/insights/focus/human-capital-trends/2021/future-of-work-post-covid-19.html</w:t>
        </w:r>
      </w:hyperlink>
      <w:r w:rsidRPr="00355B46">
        <w:rPr>
          <w:rFonts w:cstheme="minorHAnsi"/>
          <w:b/>
          <w:bCs/>
          <w:sz w:val="24"/>
          <w:szCs w:val="24"/>
        </w:rPr>
        <w:t xml:space="preserve"> </w:t>
      </w:r>
    </w:p>
    <w:p w14:paraId="179FB82B" w14:textId="77777777" w:rsidR="00A87D90" w:rsidRPr="00355B46" w:rsidRDefault="00A87D90" w:rsidP="00355B46">
      <w:pPr>
        <w:spacing w:line="240" w:lineRule="auto"/>
        <w:rPr>
          <w:rFonts w:cstheme="minorHAnsi"/>
          <w:b/>
          <w:bCs/>
          <w:sz w:val="24"/>
          <w:szCs w:val="24"/>
        </w:rPr>
      </w:pPr>
    </w:p>
    <w:p w14:paraId="65691466" w14:textId="0445BAE9"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CIPD. (2021). Flexible working after the pandemic: A new era of choice. Chartered Institute of Personnel and Development. Available at: </w:t>
      </w:r>
      <w:hyperlink r:id="rId11" w:history="1">
        <w:r w:rsidRPr="00355B46">
          <w:rPr>
            <w:rStyle w:val="Hyperlink"/>
            <w:rFonts w:cstheme="minorHAnsi"/>
            <w:b/>
            <w:bCs/>
            <w:sz w:val="24"/>
            <w:szCs w:val="24"/>
          </w:rPr>
          <w:t>https://www.cipd.co.uk/Images/flexible-working-after-pandemic-new-era-of-choice_tcm18-91695.pdf</w:t>
        </w:r>
      </w:hyperlink>
      <w:r w:rsidRPr="00355B46">
        <w:rPr>
          <w:rFonts w:cstheme="minorHAnsi"/>
          <w:b/>
          <w:bCs/>
          <w:sz w:val="24"/>
          <w:szCs w:val="24"/>
        </w:rPr>
        <w:t xml:space="preserve"> </w:t>
      </w:r>
    </w:p>
    <w:p w14:paraId="0B40888A" w14:textId="77777777" w:rsidR="00A87D90" w:rsidRPr="00355B46" w:rsidRDefault="00A87D90" w:rsidP="00355B46">
      <w:pPr>
        <w:spacing w:line="240" w:lineRule="auto"/>
        <w:rPr>
          <w:rFonts w:cstheme="minorHAnsi"/>
          <w:b/>
          <w:bCs/>
          <w:sz w:val="24"/>
          <w:szCs w:val="24"/>
        </w:rPr>
      </w:pPr>
    </w:p>
    <w:p w14:paraId="45C2D6CC" w14:textId="6179F3BD"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EY. (2021). Global Capital Confidence Barometer: 24th survey. EY. Available at: </w:t>
      </w:r>
      <w:hyperlink r:id="rId12" w:history="1">
        <w:r w:rsidRPr="00355B46">
          <w:rPr>
            <w:rStyle w:val="Hyperlink"/>
            <w:rFonts w:cstheme="minorHAnsi"/>
            <w:b/>
            <w:bCs/>
            <w:sz w:val="24"/>
            <w:szCs w:val="24"/>
          </w:rPr>
          <w:t>https://www.ey.com/en_gl/capital-confidence-barometer</w:t>
        </w:r>
      </w:hyperlink>
      <w:r w:rsidRPr="00355B46">
        <w:rPr>
          <w:rFonts w:cstheme="minorHAnsi"/>
          <w:b/>
          <w:bCs/>
          <w:sz w:val="24"/>
          <w:szCs w:val="24"/>
        </w:rPr>
        <w:t xml:space="preserve"> </w:t>
      </w:r>
    </w:p>
    <w:p w14:paraId="5EB72095" w14:textId="77777777" w:rsidR="00A87D90" w:rsidRPr="00355B46" w:rsidRDefault="00A87D90" w:rsidP="00355B46">
      <w:pPr>
        <w:spacing w:line="240" w:lineRule="auto"/>
        <w:rPr>
          <w:rFonts w:cstheme="minorHAnsi"/>
          <w:b/>
          <w:bCs/>
          <w:sz w:val="24"/>
          <w:szCs w:val="24"/>
        </w:rPr>
      </w:pPr>
    </w:p>
    <w:p w14:paraId="3269D11E" w14:textId="34FAC695"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KPMG. (2021). Reinventing HR: An approach for the new world of work. KPMG International. Available at: </w:t>
      </w:r>
      <w:hyperlink r:id="rId13" w:history="1">
        <w:r w:rsidRPr="00355B46">
          <w:rPr>
            <w:rStyle w:val="Hyperlink"/>
            <w:rFonts w:cstheme="minorHAnsi"/>
            <w:b/>
            <w:bCs/>
            <w:sz w:val="24"/>
            <w:szCs w:val="24"/>
          </w:rPr>
          <w:t>https://advisory.kpmg.us/content/dam/advisory/en/pdfs/2021/reinventing-hr.pdf</w:t>
        </w:r>
      </w:hyperlink>
      <w:r w:rsidRPr="00355B46">
        <w:rPr>
          <w:rFonts w:cstheme="minorHAnsi"/>
          <w:b/>
          <w:bCs/>
          <w:sz w:val="24"/>
          <w:szCs w:val="24"/>
        </w:rPr>
        <w:t xml:space="preserve"> </w:t>
      </w:r>
    </w:p>
    <w:p w14:paraId="20882F56" w14:textId="77777777" w:rsidR="00A87D90" w:rsidRPr="00355B46" w:rsidRDefault="00A87D90" w:rsidP="00355B46">
      <w:pPr>
        <w:spacing w:line="240" w:lineRule="auto"/>
        <w:rPr>
          <w:rFonts w:cstheme="minorHAnsi"/>
          <w:b/>
          <w:bCs/>
          <w:sz w:val="24"/>
          <w:szCs w:val="24"/>
        </w:rPr>
      </w:pPr>
    </w:p>
    <w:p w14:paraId="238CBC01" w14:textId="302FDF05"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McKinsey &amp; Company. (2021). The future of work after COVID-19. McKinsey &amp; Company. Available at: </w:t>
      </w:r>
      <w:hyperlink r:id="rId14" w:history="1">
        <w:r w:rsidRPr="00355B46">
          <w:rPr>
            <w:rStyle w:val="Hyperlink"/>
            <w:rFonts w:cstheme="minorHAnsi"/>
            <w:b/>
            <w:bCs/>
            <w:sz w:val="24"/>
            <w:szCs w:val="24"/>
          </w:rPr>
          <w:t>https://www.mckinsey.com/featured-insights/future-of-work/the-future-of-work-after-covid-19</w:t>
        </w:r>
      </w:hyperlink>
      <w:r w:rsidRPr="00355B46">
        <w:rPr>
          <w:rFonts w:cstheme="minorHAnsi"/>
          <w:b/>
          <w:bCs/>
          <w:sz w:val="24"/>
          <w:szCs w:val="24"/>
        </w:rPr>
        <w:t xml:space="preserve"> </w:t>
      </w:r>
    </w:p>
    <w:p w14:paraId="691529F5" w14:textId="77777777" w:rsidR="00A87D90" w:rsidRPr="00355B46" w:rsidRDefault="00A87D90" w:rsidP="00355B46">
      <w:pPr>
        <w:spacing w:line="240" w:lineRule="auto"/>
        <w:rPr>
          <w:rFonts w:cstheme="minorHAnsi"/>
          <w:b/>
          <w:bCs/>
          <w:sz w:val="24"/>
          <w:szCs w:val="24"/>
        </w:rPr>
      </w:pPr>
    </w:p>
    <w:p w14:paraId="6BF793A9" w14:textId="5AE8D5BB"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PwC. (2021). People strategy for the digital age: A new take on talent. PwC UK. Available at: </w:t>
      </w:r>
      <w:hyperlink r:id="rId15" w:history="1">
        <w:r w:rsidRPr="00355B46">
          <w:rPr>
            <w:rStyle w:val="Hyperlink"/>
            <w:rFonts w:cstheme="minorHAnsi"/>
            <w:b/>
            <w:bCs/>
            <w:sz w:val="24"/>
            <w:szCs w:val="24"/>
          </w:rPr>
          <w:t>https://www.pwc.co.uk/ceo-agenda/the-ceo-agenda-2021/human-capital.html</w:t>
        </w:r>
      </w:hyperlink>
      <w:r w:rsidRPr="00355B46">
        <w:rPr>
          <w:rFonts w:cstheme="minorHAnsi"/>
          <w:b/>
          <w:bCs/>
          <w:sz w:val="24"/>
          <w:szCs w:val="24"/>
        </w:rPr>
        <w:t xml:space="preserve"> </w:t>
      </w:r>
    </w:p>
    <w:p w14:paraId="13E8BDAC" w14:textId="77777777" w:rsidR="00A87D90" w:rsidRPr="00355B46" w:rsidRDefault="00A87D90" w:rsidP="00355B46">
      <w:pPr>
        <w:spacing w:line="240" w:lineRule="auto"/>
        <w:rPr>
          <w:rFonts w:cstheme="minorHAnsi"/>
          <w:b/>
          <w:bCs/>
          <w:sz w:val="24"/>
          <w:szCs w:val="24"/>
        </w:rPr>
      </w:pPr>
    </w:p>
    <w:p w14:paraId="62C12BF3" w14:textId="06EC47C1"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World Economic Forum. (2021). The Future of Jobs Report 2020. World Economic Forum. Available at: </w:t>
      </w:r>
      <w:hyperlink r:id="rId16" w:history="1">
        <w:r w:rsidRPr="00355B46">
          <w:rPr>
            <w:rStyle w:val="Hyperlink"/>
            <w:rFonts w:cstheme="minorHAnsi"/>
            <w:b/>
            <w:bCs/>
            <w:sz w:val="24"/>
            <w:szCs w:val="24"/>
          </w:rPr>
          <w:t>http://www3.weforum.org/docs/WEF_Future_of_Jobs_2020.pdf</w:t>
        </w:r>
      </w:hyperlink>
      <w:r w:rsidRPr="00355B46">
        <w:rPr>
          <w:rFonts w:cstheme="minorHAnsi"/>
          <w:b/>
          <w:bCs/>
          <w:sz w:val="24"/>
          <w:szCs w:val="24"/>
        </w:rPr>
        <w:t xml:space="preserve"> </w:t>
      </w:r>
    </w:p>
    <w:p w14:paraId="27BFF986" w14:textId="77777777" w:rsidR="00A87D90" w:rsidRPr="00355B46" w:rsidRDefault="00A87D90" w:rsidP="00355B46">
      <w:pPr>
        <w:spacing w:line="240" w:lineRule="auto"/>
        <w:rPr>
          <w:rFonts w:cstheme="minorHAnsi"/>
          <w:b/>
          <w:bCs/>
          <w:sz w:val="24"/>
          <w:szCs w:val="24"/>
        </w:rPr>
      </w:pPr>
    </w:p>
    <w:p w14:paraId="0AD440E8" w14:textId="632AB876"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CIPD. (2023). Brexit: What has changed for HR? Chartered Institute of Personnel and Development. Available at: </w:t>
      </w:r>
      <w:hyperlink r:id="rId17" w:history="1">
        <w:r w:rsidRPr="00355B46">
          <w:rPr>
            <w:rStyle w:val="Hyperlink"/>
            <w:rFonts w:cstheme="minorHAnsi"/>
            <w:b/>
            <w:bCs/>
            <w:sz w:val="24"/>
            <w:szCs w:val="24"/>
          </w:rPr>
          <w:t>https://www.cipd.co.uk/Images/brexit-what-has-changed-for-hr_tcm18-85647.pdf</w:t>
        </w:r>
      </w:hyperlink>
      <w:r w:rsidRPr="00355B46">
        <w:rPr>
          <w:rFonts w:cstheme="minorHAnsi"/>
          <w:b/>
          <w:bCs/>
          <w:sz w:val="24"/>
          <w:szCs w:val="24"/>
        </w:rPr>
        <w:t xml:space="preserve"> </w:t>
      </w:r>
    </w:p>
    <w:p w14:paraId="0BCAB2BE" w14:textId="77777777" w:rsidR="00A87D90" w:rsidRPr="00355B46" w:rsidRDefault="00A87D90" w:rsidP="00355B46">
      <w:pPr>
        <w:spacing w:line="240" w:lineRule="auto"/>
        <w:rPr>
          <w:rFonts w:cstheme="minorHAnsi"/>
          <w:b/>
          <w:bCs/>
          <w:sz w:val="24"/>
          <w:szCs w:val="24"/>
        </w:rPr>
      </w:pPr>
    </w:p>
    <w:p w14:paraId="7A37C7CF" w14:textId="704D431A"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European Foundation for the Improvement of Living and Working Conditions. (2021). Telework and work-life balance. </w:t>
      </w:r>
      <w:r w:rsidR="00F15259" w:rsidRPr="00355B46">
        <w:rPr>
          <w:rFonts w:cstheme="minorHAnsi"/>
          <w:b/>
          <w:bCs/>
          <w:sz w:val="24"/>
          <w:szCs w:val="24"/>
        </w:rPr>
        <w:t>Euro found</w:t>
      </w:r>
      <w:r w:rsidRPr="00355B46">
        <w:rPr>
          <w:rFonts w:cstheme="minorHAnsi"/>
          <w:b/>
          <w:bCs/>
          <w:sz w:val="24"/>
          <w:szCs w:val="24"/>
        </w:rPr>
        <w:t xml:space="preserve">. Available at: </w:t>
      </w:r>
      <w:hyperlink r:id="rId18" w:history="1">
        <w:r w:rsidRPr="00355B46">
          <w:rPr>
            <w:rStyle w:val="Hyperlink"/>
            <w:rFonts w:cstheme="minorHAnsi"/>
            <w:b/>
            <w:bCs/>
            <w:sz w:val="24"/>
            <w:szCs w:val="24"/>
          </w:rPr>
          <w:t>https://www.eurofound.europa.eu/publications/report/2020/telework-and-work-life-balance</w:t>
        </w:r>
      </w:hyperlink>
      <w:r w:rsidRPr="00355B46">
        <w:rPr>
          <w:rFonts w:cstheme="minorHAnsi"/>
          <w:b/>
          <w:bCs/>
          <w:sz w:val="24"/>
          <w:szCs w:val="24"/>
        </w:rPr>
        <w:t xml:space="preserve"> </w:t>
      </w:r>
    </w:p>
    <w:p w14:paraId="48F95785" w14:textId="77777777" w:rsidR="00A87D90" w:rsidRPr="00355B46" w:rsidRDefault="00A87D90" w:rsidP="00355B46">
      <w:pPr>
        <w:spacing w:line="240" w:lineRule="auto"/>
        <w:rPr>
          <w:rFonts w:cstheme="minorHAnsi"/>
          <w:b/>
          <w:bCs/>
          <w:sz w:val="24"/>
          <w:szCs w:val="24"/>
        </w:rPr>
      </w:pPr>
    </w:p>
    <w:p w14:paraId="209F64F5" w14:textId="404BB72D" w:rsidR="00A87D90" w:rsidRPr="00355B46" w:rsidRDefault="00A87D90" w:rsidP="00355B46">
      <w:pPr>
        <w:pStyle w:val="ListParagraph"/>
        <w:numPr>
          <w:ilvl w:val="0"/>
          <w:numId w:val="1"/>
        </w:numPr>
        <w:spacing w:line="240" w:lineRule="auto"/>
        <w:rPr>
          <w:rFonts w:cstheme="minorHAnsi"/>
          <w:b/>
          <w:bCs/>
          <w:sz w:val="24"/>
          <w:szCs w:val="24"/>
        </w:rPr>
      </w:pPr>
      <w:r w:rsidRPr="00355B46">
        <w:rPr>
          <w:rFonts w:cstheme="minorHAnsi"/>
          <w:b/>
          <w:bCs/>
          <w:sz w:val="24"/>
          <w:szCs w:val="24"/>
        </w:rPr>
        <w:t xml:space="preserve">Accenture. (2021). Reshape to Rebound: 2021 Human Capital Trends. Accenture. Available at: </w:t>
      </w:r>
      <w:hyperlink r:id="rId19" w:history="1">
        <w:r w:rsidRPr="00355B46">
          <w:rPr>
            <w:rStyle w:val="Hyperlink"/>
            <w:rFonts w:cstheme="minorHAnsi"/>
            <w:b/>
            <w:bCs/>
            <w:sz w:val="24"/>
            <w:szCs w:val="24"/>
          </w:rPr>
          <w:t>https://www.accenture.com/_acnmedia/PDF-175/Accenture-2021-Human-Capital-Trends.pdf</w:t>
        </w:r>
      </w:hyperlink>
      <w:r w:rsidRPr="00355B46">
        <w:rPr>
          <w:rFonts w:cstheme="minorHAnsi"/>
          <w:b/>
          <w:bCs/>
          <w:sz w:val="24"/>
          <w:szCs w:val="24"/>
        </w:rPr>
        <w:t xml:space="preserve"> </w:t>
      </w:r>
    </w:p>
    <w:p w14:paraId="1DF0C41A" w14:textId="77777777" w:rsidR="00D26FC4" w:rsidRPr="002B0075" w:rsidRDefault="00D26FC4" w:rsidP="002B0075">
      <w:pPr>
        <w:spacing w:line="360" w:lineRule="auto"/>
        <w:rPr>
          <w:rFonts w:cstheme="minorHAnsi"/>
          <w:sz w:val="24"/>
          <w:szCs w:val="24"/>
        </w:rPr>
      </w:pPr>
    </w:p>
    <w:p w14:paraId="389FDCA8" w14:textId="77777777" w:rsidR="00D26FC4" w:rsidRPr="002B0075" w:rsidRDefault="00D26FC4" w:rsidP="002B0075">
      <w:pPr>
        <w:spacing w:line="360" w:lineRule="auto"/>
        <w:rPr>
          <w:rFonts w:cstheme="minorHAnsi"/>
          <w:sz w:val="24"/>
          <w:szCs w:val="24"/>
        </w:rPr>
      </w:pPr>
    </w:p>
    <w:p w14:paraId="67E0F03F" w14:textId="77777777" w:rsidR="00D26FC4" w:rsidRPr="002B0075" w:rsidRDefault="00D26FC4" w:rsidP="002B0075">
      <w:pPr>
        <w:spacing w:line="360" w:lineRule="auto"/>
        <w:rPr>
          <w:rFonts w:cstheme="minorHAnsi"/>
          <w:sz w:val="24"/>
          <w:szCs w:val="24"/>
        </w:rPr>
      </w:pPr>
    </w:p>
    <w:p w14:paraId="3B6D8B36" w14:textId="77777777" w:rsidR="00D26FC4" w:rsidRPr="002B0075" w:rsidRDefault="00D26FC4" w:rsidP="002B0075">
      <w:pPr>
        <w:spacing w:line="360" w:lineRule="auto"/>
        <w:ind w:firstLine="720"/>
        <w:rPr>
          <w:rFonts w:cstheme="minorHAnsi"/>
          <w:sz w:val="24"/>
          <w:szCs w:val="24"/>
        </w:rPr>
      </w:pPr>
    </w:p>
    <w:sectPr w:rsidR="00D26FC4" w:rsidRPr="002B0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50DFF"/>
    <w:multiLevelType w:val="hybridMultilevel"/>
    <w:tmpl w:val="2F0655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2367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CC0"/>
    <w:rsid w:val="000A065B"/>
    <w:rsid w:val="001C444C"/>
    <w:rsid w:val="002B0075"/>
    <w:rsid w:val="002B6E28"/>
    <w:rsid w:val="00355B46"/>
    <w:rsid w:val="00404CC0"/>
    <w:rsid w:val="004A1461"/>
    <w:rsid w:val="00630D37"/>
    <w:rsid w:val="00761A23"/>
    <w:rsid w:val="007A2419"/>
    <w:rsid w:val="00811F4B"/>
    <w:rsid w:val="00957E6A"/>
    <w:rsid w:val="0099378E"/>
    <w:rsid w:val="00A87D90"/>
    <w:rsid w:val="00B66EF3"/>
    <w:rsid w:val="00CA6421"/>
    <w:rsid w:val="00D26FC4"/>
    <w:rsid w:val="00D76153"/>
    <w:rsid w:val="00ED7036"/>
    <w:rsid w:val="00EE367F"/>
    <w:rsid w:val="00F152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0ED7A"/>
  <w15:chartTrackingRefBased/>
  <w15:docId w15:val="{3AA389DF-E885-476B-80A3-0161934E4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E28"/>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D90"/>
    <w:rPr>
      <w:color w:val="0563C1" w:themeColor="hyperlink"/>
      <w:u w:val="single"/>
    </w:rPr>
  </w:style>
  <w:style w:type="character" w:customStyle="1" w:styleId="UnresolvedMention1">
    <w:name w:val="Unresolved Mention1"/>
    <w:basedOn w:val="DefaultParagraphFont"/>
    <w:uiPriority w:val="99"/>
    <w:semiHidden/>
    <w:unhideWhenUsed/>
    <w:rsid w:val="00A87D90"/>
    <w:rPr>
      <w:color w:val="605E5C"/>
      <w:shd w:val="clear" w:color="auto" w:fill="E1DFDD"/>
    </w:rPr>
  </w:style>
  <w:style w:type="table" w:styleId="TableGrid">
    <w:name w:val="Table Grid"/>
    <w:basedOn w:val="TableNormal"/>
    <w:uiPriority w:val="39"/>
    <w:rsid w:val="00A87D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B46"/>
    <w:pPr>
      <w:ind w:left="720"/>
      <w:contextualSpacing/>
    </w:pPr>
  </w:style>
  <w:style w:type="character" w:customStyle="1" w:styleId="Heading1Char">
    <w:name w:val="Heading 1 Char"/>
    <w:basedOn w:val="DefaultParagraphFont"/>
    <w:link w:val="Heading1"/>
    <w:uiPriority w:val="9"/>
    <w:rsid w:val="002B6E28"/>
    <w:rPr>
      <w:rFonts w:eastAsiaTheme="majorEastAsia" w:cstheme="majorBidi"/>
      <w:b/>
      <w:color w:val="000000" w:themeColor="text1"/>
      <w:sz w:val="28"/>
      <w:szCs w:val="32"/>
    </w:rPr>
  </w:style>
  <w:style w:type="paragraph" w:styleId="TOCHeading">
    <w:name w:val="TOC Heading"/>
    <w:basedOn w:val="Heading1"/>
    <w:next w:val="Normal"/>
    <w:uiPriority w:val="39"/>
    <w:unhideWhenUsed/>
    <w:qFormat/>
    <w:rsid w:val="002B6E28"/>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B6E2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061308">
      <w:bodyDiv w:val="1"/>
      <w:marLeft w:val="0"/>
      <w:marRight w:val="0"/>
      <w:marTop w:val="0"/>
      <w:marBottom w:val="0"/>
      <w:divBdr>
        <w:top w:val="none" w:sz="0" w:space="0" w:color="auto"/>
        <w:left w:val="none" w:sz="0" w:space="0" w:color="auto"/>
        <w:bottom w:val="none" w:sz="0" w:space="0" w:color="auto"/>
        <w:right w:val="none" w:sz="0" w:space="0" w:color="auto"/>
      </w:divBdr>
      <w:divsChild>
        <w:div w:id="715737432">
          <w:marLeft w:val="0"/>
          <w:marRight w:val="0"/>
          <w:marTop w:val="0"/>
          <w:marBottom w:val="0"/>
          <w:divBdr>
            <w:top w:val="single" w:sz="2" w:space="0" w:color="D9D9E3"/>
            <w:left w:val="single" w:sz="2" w:space="0" w:color="D9D9E3"/>
            <w:bottom w:val="single" w:sz="2" w:space="0" w:color="D9D9E3"/>
            <w:right w:val="single" w:sz="2" w:space="0" w:color="D9D9E3"/>
          </w:divBdr>
          <w:divsChild>
            <w:div w:id="1812285389">
              <w:marLeft w:val="0"/>
              <w:marRight w:val="0"/>
              <w:marTop w:val="0"/>
              <w:marBottom w:val="0"/>
              <w:divBdr>
                <w:top w:val="single" w:sz="2" w:space="0" w:color="D9D9E3"/>
                <w:left w:val="single" w:sz="2" w:space="0" w:color="D9D9E3"/>
                <w:bottom w:val="single" w:sz="2" w:space="0" w:color="D9D9E3"/>
                <w:right w:val="single" w:sz="2" w:space="0" w:color="D9D9E3"/>
              </w:divBdr>
              <w:divsChild>
                <w:div w:id="1521434825">
                  <w:marLeft w:val="0"/>
                  <w:marRight w:val="0"/>
                  <w:marTop w:val="0"/>
                  <w:marBottom w:val="0"/>
                  <w:divBdr>
                    <w:top w:val="single" w:sz="2" w:space="0" w:color="D9D9E3"/>
                    <w:left w:val="single" w:sz="2" w:space="0" w:color="D9D9E3"/>
                    <w:bottom w:val="single" w:sz="2" w:space="0" w:color="D9D9E3"/>
                    <w:right w:val="single" w:sz="2" w:space="0" w:color="D9D9E3"/>
                  </w:divBdr>
                  <w:divsChild>
                    <w:div w:id="1774475820">
                      <w:marLeft w:val="0"/>
                      <w:marRight w:val="0"/>
                      <w:marTop w:val="0"/>
                      <w:marBottom w:val="0"/>
                      <w:divBdr>
                        <w:top w:val="single" w:sz="2" w:space="0" w:color="D9D9E3"/>
                        <w:left w:val="single" w:sz="2" w:space="0" w:color="D9D9E3"/>
                        <w:bottom w:val="single" w:sz="2" w:space="0" w:color="D9D9E3"/>
                        <w:right w:val="single" w:sz="2" w:space="0" w:color="D9D9E3"/>
                      </w:divBdr>
                      <w:divsChild>
                        <w:div w:id="1870682588">
                          <w:marLeft w:val="0"/>
                          <w:marRight w:val="0"/>
                          <w:marTop w:val="0"/>
                          <w:marBottom w:val="0"/>
                          <w:divBdr>
                            <w:top w:val="single" w:sz="2" w:space="0" w:color="auto"/>
                            <w:left w:val="single" w:sz="2" w:space="0" w:color="auto"/>
                            <w:bottom w:val="single" w:sz="6" w:space="0" w:color="auto"/>
                            <w:right w:val="single" w:sz="2" w:space="0" w:color="auto"/>
                          </w:divBdr>
                          <w:divsChild>
                            <w:div w:id="15393890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80565336">
                                  <w:marLeft w:val="0"/>
                                  <w:marRight w:val="0"/>
                                  <w:marTop w:val="0"/>
                                  <w:marBottom w:val="0"/>
                                  <w:divBdr>
                                    <w:top w:val="single" w:sz="2" w:space="0" w:color="D9D9E3"/>
                                    <w:left w:val="single" w:sz="2" w:space="0" w:color="D9D9E3"/>
                                    <w:bottom w:val="single" w:sz="2" w:space="0" w:color="D9D9E3"/>
                                    <w:right w:val="single" w:sz="2" w:space="0" w:color="D9D9E3"/>
                                  </w:divBdr>
                                  <w:divsChild>
                                    <w:div w:id="1027829320">
                                      <w:marLeft w:val="0"/>
                                      <w:marRight w:val="0"/>
                                      <w:marTop w:val="0"/>
                                      <w:marBottom w:val="0"/>
                                      <w:divBdr>
                                        <w:top w:val="single" w:sz="2" w:space="0" w:color="D9D9E3"/>
                                        <w:left w:val="single" w:sz="2" w:space="0" w:color="D9D9E3"/>
                                        <w:bottom w:val="single" w:sz="2" w:space="0" w:color="D9D9E3"/>
                                        <w:right w:val="single" w:sz="2" w:space="0" w:color="D9D9E3"/>
                                      </w:divBdr>
                                      <w:divsChild>
                                        <w:div w:id="1355112253">
                                          <w:marLeft w:val="0"/>
                                          <w:marRight w:val="0"/>
                                          <w:marTop w:val="0"/>
                                          <w:marBottom w:val="0"/>
                                          <w:divBdr>
                                            <w:top w:val="single" w:sz="2" w:space="0" w:color="D9D9E3"/>
                                            <w:left w:val="single" w:sz="2" w:space="0" w:color="D9D9E3"/>
                                            <w:bottom w:val="single" w:sz="2" w:space="0" w:color="D9D9E3"/>
                                            <w:right w:val="single" w:sz="2" w:space="0" w:color="D9D9E3"/>
                                          </w:divBdr>
                                          <w:divsChild>
                                            <w:div w:id="937256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07216139">
          <w:marLeft w:val="0"/>
          <w:marRight w:val="0"/>
          <w:marTop w:val="0"/>
          <w:marBottom w:val="0"/>
          <w:divBdr>
            <w:top w:val="none" w:sz="0" w:space="0" w:color="auto"/>
            <w:left w:val="none" w:sz="0" w:space="0" w:color="auto"/>
            <w:bottom w:val="none" w:sz="0" w:space="0" w:color="auto"/>
            <w:right w:val="none" w:sz="0" w:space="0" w:color="auto"/>
          </w:divBdr>
        </w:div>
      </w:divsChild>
    </w:div>
    <w:div w:id="1243104201">
      <w:bodyDiv w:val="1"/>
      <w:marLeft w:val="0"/>
      <w:marRight w:val="0"/>
      <w:marTop w:val="0"/>
      <w:marBottom w:val="0"/>
      <w:divBdr>
        <w:top w:val="none" w:sz="0" w:space="0" w:color="auto"/>
        <w:left w:val="none" w:sz="0" w:space="0" w:color="auto"/>
        <w:bottom w:val="none" w:sz="0" w:space="0" w:color="auto"/>
        <w:right w:val="none" w:sz="0" w:space="0" w:color="auto"/>
      </w:divBdr>
    </w:div>
    <w:div w:id="160002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advisory.kpmg.us/content/dam/advisory/en/pdfs/2021/reinventing-hr.pdf" TargetMode="External" /><Relationship Id="rId18" Type="http://schemas.openxmlformats.org/officeDocument/2006/relationships/hyperlink" Target="https://www.eurofound.europa.eu/publications/report/2020/telework-and-work-life-balance"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image" Target="media/image2.PNG" /><Relationship Id="rId12" Type="http://schemas.openxmlformats.org/officeDocument/2006/relationships/hyperlink" Target="https://www.ey.com/en_gl/capital-confidence-barometer" TargetMode="External" /><Relationship Id="rId17" Type="http://schemas.openxmlformats.org/officeDocument/2006/relationships/hyperlink" Target="https://www.cipd.co.uk/Images/brexit-what-has-changed-for-hr_tcm18-85647.pdf" TargetMode="External" /><Relationship Id="rId2" Type="http://schemas.openxmlformats.org/officeDocument/2006/relationships/numbering" Target="numbering.xml" /><Relationship Id="rId16" Type="http://schemas.openxmlformats.org/officeDocument/2006/relationships/hyperlink" Target="http://www3.weforum.org/docs/WEF_Future_of_Jobs_2020.pdf"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cipd.co.uk/Images/flexible-working-after-pandemic-new-era-of-choice_tcm18-91695.pdf" TargetMode="External" /><Relationship Id="rId5" Type="http://schemas.openxmlformats.org/officeDocument/2006/relationships/webSettings" Target="webSettings.xml" /><Relationship Id="rId15" Type="http://schemas.openxmlformats.org/officeDocument/2006/relationships/hyperlink" Target="https://www.pwc.co.uk/ceo-agenda/the-ceo-agenda-2021/human-capital.html" TargetMode="External" /><Relationship Id="rId10" Type="http://schemas.openxmlformats.org/officeDocument/2006/relationships/hyperlink" Target="https://www2.deloitte.com/us/en/insights/focus/human-capital-trends/2021/future-of-work-post-covid-19.html" TargetMode="External" /><Relationship Id="rId19" Type="http://schemas.openxmlformats.org/officeDocument/2006/relationships/hyperlink" Target="https://www.accenture.com/_acnmedia/PDF-175/Accenture-2021-Human-Capital-Trends.pdf" TargetMode="External" /><Relationship Id="rId4" Type="http://schemas.openxmlformats.org/officeDocument/2006/relationships/settings" Target="settings.xml" /><Relationship Id="rId9" Type="http://schemas.openxmlformats.org/officeDocument/2006/relationships/hyperlink" Target="https://www.gov.uk/government/publications/green-jobs-strategy-building-a-sustainable-workforce-for-the-future" TargetMode="External" /><Relationship Id="rId14" Type="http://schemas.openxmlformats.org/officeDocument/2006/relationships/hyperlink" Target="https://www.mckinsey.com/featured-insights/future-of-work/the-future-of-work-after-covid-1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0A28E-293C-451E-BAF7-B9085D3C0D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3311</Words>
  <Characters>18875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avanit</dc:creator>
  <cp:keywords/>
  <dc:description/>
  <cp:lastModifiedBy>deep patel</cp:lastModifiedBy>
  <cp:revision>2</cp:revision>
  <dcterms:created xsi:type="dcterms:W3CDTF">2023-08-22T20:26:00Z</dcterms:created>
  <dcterms:modified xsi:type="dcterms:W3CDTF">2023-08-22T20:26:00Z</dcterms:modified>
</cp:coreProperties>
</file>