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5E4A7" w14:textId="7A3A83E5" w:rsidR="00D068D8" w:rsidRDefault="00874075" w:rsidP="009E7630">
      <w:pPr>
        <w:suppressAutoHyphens/>
        <w:autoSpaceDN w:val="0"/>
        <w:spacing w:after="200" w:line="276" w:lineRule="auto"/>
        <w:jc w:val="both"/>
        <w:textAlignment w:val="baseline"/>
        <w:rPr>
          <w:b/>
          <w:u w:val="single"/>
        </w:rPr>
      </w:pPr>
      <w:r w:rsidRPr="00874075">
        <w:rPr>
          <w:b/>
          <w:u w:val="single"/>
        </w:rPr>
        <w:t>Have accounts of life in the trenches on the Western Front overshadowed the experience of British servicemen and women in other theatres of war, to the detriment of our understanding of the conflict?</w:t>
      </w:r>
    </w:p>
    <w:p w14:paraId="31E2ECF7" w14:textId="77777777" w:rsidR="009E7630" w:rsidRDefault="009E7630" w:rsidP="009E7630">
      <w:pPr>
        <w:suppressAutoHyphens/>
        <w:autoSpaceDN w:val="0"/>
        <w:spacing w:after="200" w:line="276" w:lineRule="auto"/>
        <w:jc w:val="both"/>
        <w:textAlignment w:val="baseline"/>
        <w:rPr>
          <w:b/>
          <w:u w:val="single"/>
        </w:rPr>
      </w:pPr>
    </w:p>
    <w:p w14:paraId="5A6DD862" w14:textId="1D0EE021" w:rsidR="005B455F" w:rsidRDefault="009A47D4" w:rsidP="009A47D4">
      <w:pPr>
        <w:pStyle w:val="NoSpacing"/>
        <w:spacing w:line="360" w:lineRule="auto"/>
        <w:ind w:firstLine="720"/>
        <w:jc w:val="both"/>
      </w:pPr>
      <w:r>
        <w:t>The experiences of trench life tell harrowing tales of the harsh realities of war, but it also creates a one-dimensional version of the conflict.</w:t>
      </w:r>
      <w:r w:rsidR="00651255">
        <w:t xml:space="preserve"> </w:t>
      </w:r>
      <w:r w:rsidR="00D55F7D">
        <w:t>Santanu</w:t>
      </w:r>
      <w:r>
        <w:t xml:space="preserve"> Das explains that</w:t>
      </w:r>
      <w:r w:rsidR="00282D7C">
        <w:t xml:space="preserve"> the</w:t>
      </w:r>
      <w:r>
        <w:t xml:space="preserve"> romanticised nature of the Great War, particularly through prose, causes the conflict to ‘look like history by proxy.’</w:t>
      </w:r>
      <w:r>
        <w:rPr>
          <w:rStyle w:val="FootnoteReference"/>
        </w:rPr>
        <w:footnoteReference w:id="1"/>
      </w:r>
      <w:r>
        <w:t xml:space="preserve"> </w:t>
      </w:r>
      <w:r w:rsidR="00651255">
        <w:t>So that i</w:t>
      </w:r>
      <w:r w:rsidR="00D068D8">
        <w:t xml:space="preserve">f one were to imagine the catastrophic landscape of the First World War, the gangrenous foot of a private, the hollowed eyes of a shell-shocked soldier or the vision of mustard gas seeping into the trenches may come to mind. </w:t>
      </w:r>
      <w:r>
        <w:t>From a cultural perspective, the experiences of the men within the trenches are often remembered in relation to the war</w:t>
      </w:r>
      <w:r w:rsidR="00D31B3A">
        <w:t xml:space="preserve"> </w:t>
      </w:r>
      <w:r w:rsidR="00282D7C">
        <w:t>as it presents testimonies that carry the heavy weight of trauma. However, with that in mind t</w:t>
      </w:r>
      <w:r w:rsidR="00D068D8">
        <w:t>his essay hopes to deconstruct the traditional retelling of the First World War, and to argue whether the experiences of others within the war were indeed overshadowed by those on the front lines</w:t>
      </w:r>
      <w:r w:rsidR="002220E2">
        <w:t xml:space="preserve">. The dissection of this </w:t>
      </w:r>
      <w:r w:rsidR="00145610">
        <w:t xml:space="preserve">argument </w:t>
      </w:r>
      <w:r w:rsidR="002220E2">
        <w:t>would be aided by the analysation of primary sources, and historical arguments that surround the subject.</w:t>
      </w:r>
    </w:p>
    <w:p w14:paraId="6FB5AC21" w14:textId="42A42C42" w:rsidR="00AC0B94" w:rsidRDefault="00551280" w:rsidP="00AC0B94">
      <w:pPr>
        <w:pStyle w:val="NoSpacing"/>
        <w:spacing w:line="360" w:lineRule="auto"/>
        <w:jc w:val="both"/>
      </w:pPr>
      <w:r>
        <w:tab/>
      </w:r>
      <w:r w:rsidR="00AC0B94">
        <w:t>Niall Ferguson states that the First World War is the ‘first media war’.</w:t>
      </w:r>
      <w:r w:rsidR="00AC0B94">
        <w:rPr>
          <w:rStyle w:val="FootnoteReference"/>
        </w:rPr>
        <w:footnoteReference w:id="2"/>
      </w:r>
      <w:r w:rsidR="00AC0B94">
        <w:t xml:space="preserve"> He is quite right in stating this, as the coverage of the wars before—namely the Boer—were not quite as extensive. </w:t>
      </w:r>
      <w:r w:rsidR="00FE473A">
        <w:t>Coverage</w:t>
      </w:r>
      <w:r w:rsidR="00AC0B94">
        <w:t xml:space="preserve"> within widely read newspapers such as </w:t>
      </w:r>
      <w:r w:rsidR="00AC0B94" w:rsidRPr="007F7F87">
        <w:rPr>
          <w:i/>
        </w:rPr>
        <w:t>The Times</w:t>
      </w:r>
      <w:r w:rsidR="00AC0B94">
        <w:t xml:space="preserve"> paint the patriotic picture of the soldiers’ plight. John Buchan in 1917 </w:t>
      </w:r>
      <w:r w:rsidR="00FE473A">
        <w:t>stated</w:t>
      </w:r>
      <w:r w:rsidR="00AC0B94">
        <w:t xml:space="preserve"> that “the war could not have been fought for one month without the newspapers.”</w:t>
      </w:r>
      <w:r w:rsidR="00AC0B94">
        <w:rPr>
          <w:rStyle w:val="FootnoteReference"/>
        </w:rPr>
        <w:footnoteReference w:id="3"/>
      </w:r>
      <w:r w:rsidR="00AC0B94">
        <w:t xml:space="preserve"> Audiences across Britain would</w:t>
      </w:r>
      <w:r w:rsidR="00FE473A">
        <w:t xml:space="preserve"> have</w:t>
      </w:r>
      <w:r w:rsidR="00AC0B94">
        <w:t xml:space="preserve"> be</w:t>
      </w:r>
      <w:r w:rsidR="00FE473A">
        <w:t>en</w:t>
      </w:r>
      <w:r w:rsidR="00AC0B94">
        <w:t xml:space="preserve"> receptive to such articles</w:t>
      </w:r>
      <w:r w:rsidR="003F16E1">
        <w:t xml:space="preserve"> presented by popular newspapers</w:t>
      </w:r>
      <w:r w:rsidR="00AC0B94">
        <w:t xml:space="preserve">, just as they were to visual sources such as the </w:t>
      </w:r>
      <w:r w:rsidR="00AC0B94" w:rsidRPr="009855E8">
        <w:rPr>
          <w:i/>
        </w:rPr>
        <w:t>Battle of the Somm</w:t>
      </w:r>
      <w:r w:rsidR="00AC0B94">
        <w:rPr>
          <w:i/>
        </w:rPr>
        <w:t>e.</w:t>
      </w:r>
      <w:r w:rsidR="00AC0B94" w:rsidRPr="00AC0B94">
        <w:rPr>
          <w:rStyle w:val="FootnoteReference"/>
        </w:rPr>
        <w:footnoteReference w:id="4"/>
      </w:r>
      <w:r w:rsidR="00AC0B94" w:rsidRPr="00AC0B94">
        <w:t xml:space="preserve"> </w:t>
      </w:r>
      <w:r w:rsidR="00AC0B94">
        <w:t>The ‘Tommie’ experience was idealised</w:t>
      </w:r>
      <w:r w:rsidR="003F16E1">
        <w:t xml:space="preserve"> through such means of propaganda, as </w:t>
      </w:r>
      <w:r w:rsidR="00AC0B94">
        <w:t>the home truths were exaggerated.</w:t>
      </w:r>
      <w:r w:rsidR="003F16E1">
        <w:rPr>
          <w:rStyle w:val="FootnoteReference"/>
        </w:rPr>
        <w:footnoteReference w:id="5"/>
      </w:r>
      <w:r w:rsidR="00AC0B94">
        <w:t xml:space="preserve"> </w:t>
      </w:r>
      <w:r w:rsidR="003F16E1">
        <w:t xml:space="preserve">As Ferguson is a </w:t>
      </w:r>
      <w:r w:rsidR="00AC0B94">
        <w:t xml:space="preserve">historian </w:t>
      </w:r>
      <w:r w:rsidR="003F16E1">
        <w:t>that holds</w:t>
      </w:r>
      <w:r w:rsidR="00AC0B94">
        <w:t xml:space="preserve"> a preference for hypothesis,</w:t>
      </w:r>
      <w:r w:rsidR="003F16E1">
        <w:t xml:space="preserve"> one must be careful when analysing Ferguson’s work due to Ferguson once claiming that</w:t>
      </w:r>
      <w:r w:rsidR="00AC0B94">
        <w:t xml:space="preserve"> the war would have been lost if not for the British Expeditionary Force.</w:t>
      </w:r>
      <w:r w:rsidR="00AC0B94">
        <w:rPr>
          <w:rStyle w:val="FootnoteReference"/>
        </w:rPr>
        <w:footnoteReference w:id="6"/>
      </w:r>
      <w:r w:rsidR="00AC0B94">
        <w:t xml:space="preserve"> </w:t>
      </w:r>
      <w:r w:rsidR="003F16E1">
        <w:t>Even so,</w:t>
      </w:r>
      <w:r w:rsidR="00AC0B94">
        <w:t xml:space="preserve"> his criticism of propaganda </w:t>
      </w:r>
      <w:r w:rsidR="008A164D">
        <w:t>used b</w:t>
      </w:r>
      <w:r w:rsidR="00AC0B94">
        <w:t xml:space="preserve">y the British highlights the question that in </w:t>
      </w:r>
      <w:r w:rsidR="00AC0B94">
        <w:lastRenderedPageBreak/>
        <w:t>the light of the media, the accounts of other British servicemen and women are overshadowed by the reports from the trenches</w:t>
      </w:r>
      <w:r w:rsidR="008A164D">
        <w:t xml:space="preserve">. </w:t>
      </w:r>
    </w:p>
    <w:p w14:paraId="2C2DD573" w14:textId="3B2495AC" w:rsidR="00D31B3A" w:rsidRDefault="00D31B3A" w:rsidP="006E6976">
      <w:pPr>
        <w:pStyle w:val="NoSpacing"/>
        <w:spacing w:line="360" w:lineRule="auto"/>
        <w:ind w:firstLine="720"/>
        <w:jc w:val="both"/>
      </w:pPr>
      <w:r>
        <w:t xml:space="preserve">From a national standpoint, the war and its accounts </w:t>
      </w:r>
      <w:r w:rsidR="006E6976">
        <w:t xml:space="preserve">of life </w:t>
      </w:r>
      <w:r>
        <w:t>are often remembered in a cultural setting, rather than a historical one.</w:t>
      </w:r>
      <w:r w:rsidR="006E6976">
        <w:rPr>
          <w:rStyle w:val="FootnoteReference"/>
        </w:rPr>
        <w:footnoteReference w:id="7"/>
      </w:r>
      <w:r>
        <w:t xml:space="preserve"> The war and its poetry reinforced romanticism and camaraderie within trench-</w:t>
      </w:r>
      <w:r w:rsidR="006E6976">
        <w:t xml:space="preserve">warfare </w:t>
      </w:r>
      <w:r>
        <w:t xml:space="preserve">and </w:t>
      </w:r>
      <w:r w:rsidR="006E6976">
        <w:t xml:space="preserve">it </w:t>
      </w:r>
      <w:r>
        <w:t>is just a portion of what is remembered, culturally, about the First World War.</w:t>
      </w:r>
      <w:r w:rsidR="006E6976">
        <w:rPr>
          <w:rStyle w:val="FootnoteReference"/>
        </w:rPr>
        <w:footnoteReference w:id="8"/>
      </w:r>
      <w:r>
        <w:t xml:space="preserve"> It is this</w:t>
      </w:r>
      <w:r w:rsidR="006E6976">
        <w:t xml:space="preserve"> idea of</w:t>
      </w:r>
      <w:r>
        <w:t xml:space="preserve"> cultural remembrance that may give reason to believe that other British servicemen were indeed overshadowed. </w:t>
      </w:r>
      <w:r w:rsidR="006E6976">
        <w:t>It is important to remember that</w:t>
      </w:r>
      <w:r>
        <w:t xml:space="preserve"> the war wasn’t just fought in Western Europe, or on the bloody fields of Flanders. </w:t>
      </w:r>
      <w:r w:rsidR="006E6976">
        <w:t xml:space="preserve">The Naval Forces of the Great War waged battles of their own, both emotionally and physically. 1,600 British soldiers died at the </w:t>
      </w:r>
      <w:r w:rsidR="00777916">
        <w:t>B</w:t>
      </w:r>
      <w:r w:rsidR="006E6976">
        <w:t>attle of Coronel</w:t>
      </w:r>
      <w:r w:rsidR="00777916">
        <w:t>, and Joseph Murray upon hearing the news stated that his ‘patriotism hate turned to hate’ in light of the tragedy that befell his brother that was aboard one of the sunken ships.</w:t>
      </w:r>
      <w:r w:rsidR="00777916">
        <w:rPr>
          <w:rStyle w:val="FootnoteReference"/>
        </w:rPr>
        <w:footnoteReference w:id="9"/>
      </w:r>
      <w:r w:rsidR="00777916">
        <w:t xml:space="preserve"> The</w:t>
      </w:r>
      <w:r>
        <w:t xml:space="preserve"> Battle of the Jutland </w:t>
      </w:r>
      <w:r w:rsidR="00777916">
        <w:t>was yet another event of the war that displayed that war on the seas is was just as relentless as it was on land.</w:t>
      </w:r>
      <w:r w:rsidR="00777916">
        <w:rPr>
          <w:rStyle w:val="FootnoteReference"/>
        </w:rPr>
        <w:footnoteReference w:id="10"/>
      </w:r>
      <w:r w:rsidR="00777916">
        <w:t xml:space="preserve"> </w:t>
      </w:r>
      <w:r>
        <w:t xml:space="preserve">Joseph Vine stationed on the HMS </w:t>
      </w:r>
      <w:r w:rsidRPr="00D47D3B">
        <w:rPr>
          <w:i/>
        </w:rPr>
        <w:t>Vanguard</w:t>
      </w:r>
      <w:r>
        <w:t xml:space="preserve"> remembers</w:t>
      </w:r>
      <w:r w:rsidR="00777916">
        <w:t xml:space="preserve"> the exhaustion of seafaring during the war</w:t>
      </w:r>
      <w:r>
        <w:t>:</w:t>
      </w:r>
    </w:p>
    <w:p w14:paraId="756276B0" w14:textId="77777777" w:rsidR="00D31B3A" w:rsidRDefault="00D31B3A" w:rsidP="00D31B3A">
      <w:pPr>
        <w:pStyle w:val="Quote"/>
        <w:jc w:val="both"/>
        <w:rPr>
          <w:rStyle w:val="Emphasis"/>
          <w:iCs/>
          <w:color w:val="auto"/>
          <w:sz w:val="22"/>
        </w:rPr>
      </w:pPr>
      <w:r w:rsidRPr="00D47D3B">
        <w:rPr>
          <w:rStyle w:val="Emphasis"/>
          <w:iCs/>
          <w:color w:val="auto"/>
          <w:sz w:val="22"/>
        </w:rPr>
        <w:t>“We didn’t do any ship work at all, no washing decks or anything, none of that old business, paintwork or anything. You were at your battle stations right up until Christmas, that’s all it was – it was war.”</w:t>
      </w:r>
      <w:r w:rsidRPr="00D47D3B">
        <w:rPr>
          <w:rStyle w:val="FootnoteReference"/>
          <w:i w:val="0"/>
          <w:color w:val="auto"/>
          <w:sz w:val="22"/>
        </w:rPr>
        <w:footnoteReference w:id="11"/>
      </w:r>
    </w:p>
    <w:p w14:paraId="5D703CF1" w14:textId="0C507B84" w:rsidR="00D31B3A" w:rsidRPr="00D47D3B" w:rsidRDefault="00D31B3A" w:rsidP="00D31B3A">
      <w:pPr>
        <w:spacing w:line="360" w:lineRule="auto"/>
        <w:jc w:val="both"/>
      </w:pPr>
      <w:r>
        <w:t xml:space="preserve">Louise </w:t>
      </w:r>
      <w:proofErr w:type="spellStart"/>
      <w:r>
        <w:t>Bruton</w:t>
      </w:r>
      <w:proofErr w:type="spellEnd"/>
      <w:r>
        <w:t xml:space="preserve"> writes that for accounts of life during the Great War on the sea, war was a testament to the endurance and persistence of the men aboard. They played an often ‘thankless’ but nonetheless crucially significant role in war.</w:t>
      </w:r>
      <w:r>
        <w:rPr>
          <w:rStyle w:val="FootnoteReference"/>
        </w:rPr>
        <w:footnoteReference w:id="12"/>
      </w:r>
      <w:r>
        <w:t xml:space="preserve"> </w:t>
      </w:r>
      <w:r w:rsidR="00350735">
        <w:t xml:space="preserve">Perhaps with hand to hand combat that was taking place on the western front, the men aboard naval fleets are as </w:t>
      </w:r>
      <w:proofErr w:type="spellStart"/>
      <w:r w:rsidR="00350735">
        <w:t>Bruton</w:t>
      </w:r>
      <w:proofErr w:type="spellEnd"/>
      <w:r w:rsidR="00350735">
        <w:t xml:space="preserve"> suggests</w:t>
      </w:r>
      <w:r w:rsidR="005C7C57">
        <w:t xml:space="preserve"> are largely overlooked in terms of how the war is remembered.</w:t>
      </w:r>
    </w:p>
    <w:p w14:paraId="35DEBEE5" w14:textId="40773989" w:rsidR="00D31B3A" w:rsidRDefault="00D31B3A" w:rsidP="00D31B3A">
      <w:pPr>
        <w:pStyle w:val="NoSpacing"/>
        <w:spacing w:line="360" w:lineRule="auto"/>
        <w:ind w:firstLine="720"/>
        <w:jc w:val="both"/>
      </w:pPr>
      <w:r>
        <w:t>Through the work of the poets, accounts of life within the trenche</w:t>
      </w:r>
      <w:r w:rsidR="00CD453A">
        <w:t xml:space="preserve">s could be </w:t>
      </w:r>
      <w:r>
        <w:t xml:space="preserve">described as sensuous. The </w:t>
      </w:r>
      <w:r w:rsidR="00CD453A">
        <w:t xml:space="preserve">descriptive analogies that depict the gruesome nature of the conflict create </w:t>
      </w:r>
      <w:r>
        <w:t>vivid images and smells that would capture the readers’ attention, immersing the individual into the midst of combat.</w:t>
      </w:r>
      <w:r w:rsidR="00CD453A">
        <w:rPr>
          <w:rStyle w:val="FootnoteReference"/>
        </w:rPr>
        <w:footnoteReference w:id="13"/>
      </w:r>
      <w:r>
        <w:t xml:space="preserve"> Epic poems such as </w:t>
      </w:r>
      <w:r w:rsidRPr="004B60E4">
        <w:rPr>
          <w:i/>
        </w:rPr>
        <w:t xml:space="preserve">Dulce et Decorum Est </w:t>
      </w:r>
      <w:r w:rsidRPr="004B60E4">
        <w:t xml:space="preserve">and </w:t>
      </w:r>
      <w:r>
        <w:t xml:space="preserve">best-selling novels </w:t>
      </w:r>
      <w:r w:rsidR="00CD453A">
        <w:lastRenderedPageBreak/>
        <w:t xml:space="preserve">like </w:t>
      </w:r>
      <w:r w:rsidR="00CD453A" w:rsidRPr="00CD453A">
        <w:rPr>
          <w:i/>
        </w:rPr>
        <w:t>Her Privates We</w:t>
      </w:r>
      <w:r w:rsidR="00CD453A">
        <w:t xml:space="preserve"> </w:t>
      </w:r>
      <w:r>
        <w:t xml:space="preserve">are pinnacles of this ‘sensory’ war. Frederic Manning’s </w:t>
      </w:r>
      <w:r w:rsidRPr="008E10A2">
        <w:rPr>
          <w:i/>
        </w:rPr>
        <w:t>Her Privates We</w:t>
      </w:r>
      <w:r>
        <w:t xml:space="preserve"> captures a story in a semi-factual setting, and the rising popularity of these publications are a testament to the fact that </w:t>
      </w:r>
      <w:r w:rsidR="00DE3A2B">
        <w:t xml:space="preserve">the </w:t>
      </w:r>
      <w:proofErr w:type="gramStart"/>
      <w:r w:rsidR="00DE3A2B">
        <w:t>general public</w:t>
      </w:r>
      <w:proofErr w:type="gramEnd"/>
      <w:r w:rsidR="00DE3A2B">
        <w:t xml:space="preserve"> </w:t>
      </w:r>
      <w:r>
        <w:t>able to relate to such poems. Historians John Keegan and Martin Middlebrook allude to the intrigue regarding the soldier’s experience in war through poetry as David Reynolds explains</w:t>
      </w:r>
      <w:r w:rsidR="00CD453A">
        <w:t xml:space="preserve"> within </w:t>
      </w:r>
      <w:r w:rsidR="00CD453A" w:rsidRPr="00CD453A">
        <w:rPr>
          <w:i/>
        </w:rPr>
        <w:t>The Long Shadow</w:t>
      </w:r>
      <w:r>
        <w:t>.</w:t>
      </w:r>
      <w:r>
        <w:rPr>
          <w:rStyle w:val="FootnoteReference"/>
        </w:rPr>
        <w:footnoteReference w:id="14"/>
      </w:r>
      <w:r>
        <w:t xml:space="preserve"> Middlebrook, during the 1960’s, was one of the first to extensively interview soldiers of the Great War. The inherent need to understand how deeply the soldiers were affected was of great importance to Middlebrook, and this sense of emotionalism that prevailed during the 1970s became a prime feature within his historic research.</w:t>
      </w:r>
      <w:r>
        <w:rPr>
          <w:rStyle w:val="FootnoteReference"/>
        </w:rPr>
        <w:footnoteReference w:id="15"/>
      </w:r>
      <w:r>
        <w:t xml:space="preserve"> Upon reading and listening to personal accounts, understanding the war goes beyond historical fact and becomes a collection of stories with sentimental </w:t>
      </w:r>
      <w:r w:rsidRPr="002847F9">
        <w:rPr>
          <w:i/>
        </w:rPr>
        <w:t>human</w:t>
      </w:r>
      <w:r>
        <w:t xml:space="preserve"> value. In this regard, the literary impact of the First World War, along with emotional intrigue that stems from the need to understand, often prevails. The testimonies of those that had directly faced the enemy may always fascinate, or horrify, the reader. </w:t>
      </w:r>
    </w:p>
    <w:p w14:paraId="4B5BE558" w14:textId="1AC02C30" w:rsidR="00F72F17" w:rsidRDefault="009041EC" w:rsidP="00CD453A">
      <w:pPr>
        <w:pStyle w:val="NoSpacing"/>
        <w:spacing w:line="360" w:lineRule="auto"/>
        <w:ind w:firstLine="720"/>
        <w:jc w:val="both"/>
      </w:pPr>
      <w:r>
        <w:t xml:space="preserve">Whilst shells exploded in Ypres, Britain was undergoing deep, societal shifts. </w:t>
      </w:r>
      <w:r w:rsidR="00551280">
        <w:t xml:space="preserve">It is easy to forget that between 1914-18, the world continued to revolve </w:t>
      </w:r>
      <w:r w:rsidR="006566AB">
        <w:t>around</w:t>
      </w:r>
      <w:r w:rsidR="00551280">
        <w:t xml:space="preserve"> issues unrelated to the war. Social and economic issues in Britain raged on, along with the plight of the mining community. </w:t>
      </w:r>
      <w:r w:rsidR="00CD453A">
        <w:t xml:space="preserve">Labour and social </w:t>
      </w:r>
      <w:r w:rsidR="00553163">
        <w:t>movements led to David Lloyd George enforcing the Munitions Act, and the Defence of the Realm Act</w:t>
      </w:r>
      <w:r w:rsidR="00F72F17">
        <w:t xml:space="preserve"> in efforts to maintain morale.</w:t>
      </w:r>
      <w:r w:rsidR="00551280">
        <w:rPr>
          <w:rStyle w:val="FootnoteReference"/>
        </w:rPr>
        <w:footnoteReference w:id="16"/>
      </w:r>
      <w:r w:rsidR="00551280">
        <w:t xml:space="preserve"> </w:t>
      </w:r>
      <w:r w:rsidR="00CD453A">
        <w:t>Mining s</w:t>
      </w:r>
      <w:r w:rsidR="00C3556B">
        <w:t xml:space="preserve">trikes across </w:t>
      </w:r>
      <w:r w:rsidR="00DE0F22">
        <w:t xml:space="preserve">Sheffield and </w:t>
      </w:r>
      <w:r w:rsidR="00C3556B">
        <w:t xml:space="preserve">South Wales during 1915 </w:t>
      </w:r>
      <w:r w:rsidR="00DE0F22">
        <w:t xml:space="preserve">issued challenges to the British government, </w:t>
      </w:r>
      <w:r w:rsidR="00CD453A">
        <w:t xml:space="preserve">and these </w:t>
      </w:r>
      <w:r w:rsidR="00DE0F22">
        <w:t xml:space="preserve">strikes </w:t>
      </w:r>
      <w:r w:rsidR="00CD453A">
        <w:t>posed such</w:t>
      </w:r>
      <w:r w:rsidR="00C3556B">
        <w:t xml:space="preserve"> a risk to the </w:t>
      </w:r>
      <w:r w:rsidR="00CD453A">
        <w:t>establishment</w:t>
      </w:r>
      <w:r w:rsidR="00C3556B">
        <w:t xml:space="preserve"> </w:t>
      </w:r>
      <w:r w:rsidR="00CD453A">
        <w:t>that</w:t>
      </w:r>
      <w:r w:rsidR="00C3556B">
        <w:t xml:space="preserve"> demands were met in full</w:t>
      </w:r>
      <w:r w:rsidR="00CD453A">
        <w:t>. This was due to the fact that u</w:t>
      </w:r>
      <w:r w:rsidR="00DE0F22">
        <w:t>ndergoing arrests of such a large scale would have been an ‘impossible reality’.</w:t>
      </w:r>
      <w:r w:rsidR="00C3556B">
        <w:rPr>
          <w:rStyle w:val="FootnoteReference"/>
        </w:rPr>
        <w:footnoteReference w:id="17"/>
      </w:r>
      <w:r w:rsidR="00C3556B">
        <w:t xml:space="preserve"> </w:t>
      </w:r>
      <w:r w:rsidR="00B347DC">
        <w:t xml:space="preserve">Historian </w:t>
      </w:r>
      <w:r w:rsidR="00F43C05">
        <w:t>Dr Matthew Leonard emphasises that th</w:t>
      </w:r>
      <w:r w:rsidR="00B347DC">
        <w:t>e</w:t>
      </w:r>
      <w:r w:rsidR="00F43C05">
        <w:t xml:space="preserve"> troubles </w:t>
      </w:r>
      <w:r w:rsidR="00B347DC">
        <w:t xml:space="preserve">of the miners didn’t just remain at the home-front, but rather </w:t>
      </w:r>
      <w:r w:rsidR="00F43C05">
        <w:t xml:space="preserve">continued on </w:t>
      </w:r>
      <w:r w:rsidR="00B347DC">
        <w:t xml:space="preserve">to </w:t>
      </w:r>
      <w:r w:rsidR="00F43C05">
        <w:t xml:space="preserve">the front lines. </w:t>
      </w:r>
      <w:r w:rsidR="007B2CF9">
        <w:t>Experienced mining m</w:t>
      </w:r>
      <w:r w:rsidR="008D1788">
        <w:t xml:space="preserve">en would tunnel beneath enemy lines, </w:t>
      </w:r>
      <w:r>
        <w:t xml:space="preserve">and beneath the steel framework of tunnelled constructions </w:t>
      </w:r>
      <w:r w:rsidR="00B347DC">
        <w:t xml:space="preserve">explosives would be </w:t>
      </w:r>
      <w:r>
        <w:t>plant</w:t>
      </w:r>
      <w:r w:rsidR="00B347DC">
        <w:t>ed</w:t>
      </w:r>
      <w:r>
        <w:t xml:space="preserve"> and detonate</w:t>
      </w:r>
      <w:r w:rsidR="00B347DC">
        <w:t>d</w:t>
      </w:r>
      <w:r>
        <w:t xml:space="preserve">. </w:t>
      </w:r>
      <w:r w:rsidR="002D68D6">
        <w:t xml:space="preserve">Leonard reiterates that the war underground is one that relatively little is known about, despite the British successes </w:t>
      </w:r>
      <w:r w:rsidR="007B2CF9">
        <w:t>that were had</w:t>
      </w:r>
      <w:r w:rsidR="002D68D6">
        <w:t xml:space="preserve"> </w:t>
      </w:r>
      <w:r w:rsidR="007B2CF9">
        <w:t xml:space="preserve">by </w:t>
      </w:r>
      <w:r w:rsidR="002D68D6">
        <w:t>using these militaristic strategies.</w:t>
      </w:r>
      <w:r w:rsidR="00F43C05">
        <w:rPr>
          <w:rStyle w:val="FootnoteReference"/>
        </w:rPr>
        <w:footnoteReference w:id="18"/>
      </w:r>
      <w:r w:rsidR="00B300B3">
        <w:t xml:space="preserve"> </w:t>
      </w:r>
      <w:r w:rsidR="00063B52">
        <w:t xml:space="preserve"> </w:t>
      </w:r>
      <w:r w:rsidR="00F72F17">
        <w:t xml:space="preserve"> </w:t>
      </w:r>
    </w:p>
    <w:p w14:paraId="1239ABF1" w14:textId="2F544D66" w:rsidR="004E2A9D" w:rsidRDefault="004E2A9D" w:rsidP="00037A06">
      <w:pPr>
        <w:pStyle w:val="NoSpacing"/>
        <w:spacing w:line="360" w:lineRule="auto"/>
        <w:ind w:firstLine="720"/>
        <w:jc w:val="both"/>
      </w:pPr>
      <w:r>
        <w:t xml:space="preserve">Although aerial warfare was in its infancy during the war, </w:t>
      </w:r>
      <w:r w:rsidR="007416BE">
        <w:t xml:space="preserve">the </w:t>
      </w:r>
      <w:r w:rsidR="00C05810">
        <w:t xml:space="preserve">Zeppelin </w:t>
      </w:r>
      <w:r w:rsidR="00775559">
        <w:t xml:space="preserve">bombardments wreaked havoc upon British communities. The towns of Hull and Great Yarmouth were </w:t>
      </w:r>
      <w:r w:rsidR="00775559">
        <w:lastRenderedPageBreak/>
        <w:t>subjected to the destruction, resulting in numerous casualties and fires having to be extinguished, as Major General Ferrier reports in 1915.</w:t>
      </w:r>
      <w:r w:rsidR="00775559">
        <w:rPr>
          <w:rStyle w:val="FootnoteReference"/>
        </w:rPr>
        <w:footnoteReference w:id="19"/>
      </w:r>
      <w:r w:rsidR="00C35710">
        <w:t xml:space="preserve"> The aerial threat to Britain was very real, and as the Royal Flying Corps were spread across mainland Europe Britain was open to German attack.</w:t>
      </w:r>
      <w:r w:rsidR="006042E5">
        <w:rPr>
          <w:rStyle w:val="FootnoteReference"/>
        </w:rPr>
        <w:footnoteReference w:id="20"/>
      </w:r>
      <w:r w:rsidR="00C35710">
        <w:t xml:space="preserve"> </w:t>
      </w:r>
      <w:r w:rsidR="00B347DC">
        <w:t xml:space="preserve">Did these raids hold any weight in how the war is remembered historically, in comparison to the men in the trenches? If one takes the perspective of a civilian in the midst of an air raid, the news coverage and printed articles of the war became a reality. </w:t>
      </w:r>
      <w:r w:rsidR="00C35710">
        <w:t>Air raids themselves had a level of impersonality about them—they were marginally different from frontline combat, and civilians affected were to truly understand the extent of total war.</w:t>
      </w:r>
      <w:r w:rsidR="006042E5">
        <w:rPr>
          <w:rStyle w:val="FootnoteReference"/>
        </w:rPr>
        <w:footnoteReference w:id="21"/>
      </w:r>
      <w:r w:rsidR="00C35710">
        <w:t xml:space="preserve"> </w:t>
      </w:r>
    </w:p>
    <w:p w14:paraId="5F62C6F7" w14:textId="7CA30A47" w:rsidR="00DE479A" w:rsidRDefault="009855E8" w:rsidP="00037A06">
      <w:pPr>
        <w:spacing w:line="360" w:lineRule="auto"/>
        <w:jc w:val="both"/>
      </w:pPr>
      <w:r>
        <w:tab/>
        <w:t>There was ‘never any chance that memories of the Great War would be allowed to fade quietly from public consciousness.’</w:t>
      </w:r>
      <w:r>
        <w:rPr>
          <w:rStyle w:val="FootnoteReference"/>
        </w:rPr>
        <w:footnoteReference w:id="22"/>
      </w:r>
      <w:r w:rsidR="005F2C7E">
        <w:t xml:space="preserve"> </w:t>
      </w:r>
      <w:r w:rsidR="00B836CB">
        <w:t xml:space="preserve">With this statement, </w:t>
      </w:r>
      <w:r w:rsidR="005F2C7E">
        <w:t xml:space="preserve">Geoffrey Moorhouse alludes to the changes that the First World War generated from </w:t>
      </w:r>
      <w:r w:rsidR="00B347DC">
        <w:t>the British public</w:t>
      </w:r>
      <w:r w:rsidR="005F2C7E">
        <w:t xml:space="preserve">, and the haste in which commemoration was made. </w:t>
      </w:r>
      <w:r w:rsidR="0090273B">
        <w:t>As a society, Moorhouse elaborates that it is an inherent human impulse to collect stories from survivors and to ‘make icons’ of the dead.</w:t>
      </w:r>
      <w:r w:rsidR="0090273B">
        <w:rPr>
          <w:rStyle w:val="FootnoteReference"/>
        </w:rPr>
        <w:footnoteReference w:id="23"/>
      </w:r>
      <w:r w:rsidR="00B836CB">
        <w:t xml:space="preserve"> In considering this, would it be contentious to suggest that the war experience was overshadowed entirely by the men </w:t>
      </w:r>
      <w:r w:rsidR="001D691E">
        <w:t>in</w:t>
      </w:r>
      <w:r w:rsidR="00B836CB">
        <w:t xml:space="preserve"> the trenches? Upon studying the recollections from Lyn MacDonald’s’ </w:t>
      </w:r>
      <w:r w:rsidR="00B836CB" w:rsidRPr="00B836CB">
        <w:rPr>
          <w:i/>
        </w:rPr>
        <w:t>Roses of No Man</w:t>
      </w:r>
      <w:r w:rsidR="009B328E">
        <w:rPr>
          <w:i/>
        </w:rPr>
        <w:t>’</w:t>
      </w:r>
      <w:r w:rsidR="00B836CB" w:rsidRPr="00B836CB">
        <w:rPr>
          <w:i/>
        </w:rPr>
        <w:t>s Land</w:t>
      </w:r>
      <w:r w:rsidR="00B836CB">
        <w:t xml:space="preserve"> and Max Arthur</w:t>
      </w:r>
      <w:r w:rsidR="00C87702">
        <w:t>’</w:t>
      </w:r>
      <w:r w:rsidR="00B836CB">
        <w:t xml:space="preserve">s </w:t>
      </w:r>
      <w:r w:rsidR="00B836CB" w:rsidRPr="00B836CB">
        <w:rPr>
          <w:i/>
        </w:rPr>
        <w:t>Forgotten Voices</w:t>
      </w:r>
      <w:r w:rsidR="00B836CB">
        <w:t xml:space="preserve">, it seems that the efforts of servicemen elsewhere each hold a candle towards the war effort. At the Fall of Antwerp, Sergeant Richard Tobin of the Royal Naval Division </w:t>
      </w:r>
      <w:r w:rsidR="003508F1">
        <w:t>states</w:t>
      </w:r>
      <w:r w:rsidR="00B836CB">
        <w:t xml:space="preserve"> that </w:t>
      </w:r>
      <w:r w:rsidR="00C13366">
        <w:t>‘</w:t>
      </w:r>
      <w:r w:rsidR="00B836CB">
        <w:t>’Sad’ is not a soldier’s word.</w:t>
      </w:r>
      <w:r w:rsidR="00C13366">
        <w:t>’</w:t>
      </w:r>
      <w:r w:rsidR="00B836CB">
        <w:t xml:space="preserve"> </w:t>
      </w:r>
      <w:r w:rsidR="003508F1">
        <w:t>He recalls the shells that exploded overhead, and the collection of people that he found himself amongst—the elderly, mothers, and children.</w:t>
      </w:r>
      <w:r w:rsidR="00875112">
        <w:t xml:space="preserve"> It is only then, should a soldier feel sad.</w:t>
      </w:r>
      <w:r w:rsidR="003508F1">
        <w:rPr>
          <w:rStyle w:val="FootnoteReference"/>
        </w:rPr>
        <w:footnoteReference w:id="24"/>
      </w:r>
      <w:r w:rsidR="003508F1">
        <w:t xml:space="preserve"> Much like Cecil Lewis of the Royal Flying Corps remembers, </w:t>
      </w:r>
      <w:r w:rsidR="00C13366">
        <w:t>‘</w:t>
      </w:r>
      <w:r w:rsidR="003508F1">
        <w:t>the whole world heaved</w:t>
      </w:r>
      <w:r w:rsidR="00C13366">
        <w:t>’</w:t>
      </w:r>
      <w:r w:rsidR="003508F1">
        <w:t xml:space="preserve"> with the barrages of shells and guns.</w:t>
      </w:r>
      <w:r w:rsidR="003508F1">
        <w:rPr>
          <w:rStyle w:val="FootnoteReference"/>
        </w:rPr>
        <w:footnoteReference w:id="25"/>
      </w:r>
      <w:r w:rsidR="003508F1">
        <w:t xml:space="preserve"> Despite these two men coming from different theatres of war, their memories of shells and the impact of its devastation is as similar in the sky as it is on the ground.</w:t>
      </w:r>
      <w:r w:rsidR="000239C6">
        <w:t xml:space="preserve"> </w:t>
      </w:r>
      <w:r w:rsidR="001D691E">
        <w:t xml:space="preserve">This too is reminiscent of Sarah </w:t>
      </w:r>
      <w:proofErr w:type="spellStart"/>
      <w:r w:rsidR="001D691E">
        <w:t>MacNaughton’s</w:t>
      </w:r>
      <w:proofErr w:type="spellEnd"/>
      <w:r w:rsidR="001D691E">
        <w:t xml:space="preserve"> experience within </w:t>
      </w:r>
      <w:r w:rsidR="00A35427">
        <w:t>a</w:t>
      </w:r>
      <w:r w:rsidR="001D691E">
        <w:t xml:space="preserve"> VAD hospital: “There was only one line of bricks between us and the shells.”</w:t>
      </w:r>
      <w:r w:rsidR="001D691E">
        <w:rPr>
          <w:rStyle w:val="FootnoteReference"/>
        </w:rPr>
        <w:footnoteReference w:id="26"/>
      </w:r>
      <w:bookmarkStart w:id="0" w:name="_GoBack"/>
      <w:bookmarkEnd w:id="0"/>
    </w:p>
    <w:p w14:paraId="7A543364" w14:textId="30B09AC9" w:rsidR="00986DBB" w:rsidRDefault="001D691E" w:rsidP="00037A06">
      <w:pPr>
        <w:spacing w:line="360" w:lineRule="auto"/>
        <w:jc w:val="both"/>
      </w:pPr>
      <w:r>
        <w:lastRenderedPageBreak/>
        <w:tab/>
      </w:r>
      <w:r w:rsidR="00614877">
        <w:t>As many military and social historians have established, the social classes within the trenches themselves were profound</w:t>
      </w:r>
      <w:r w:rsidR="005F533D">
        <w:t xml:space="preserve">—Arthur Marwick’s </w:t>
      </w:r>
      <w:r w:rsidR="005F533D" w:rsidRPr="00C35710">
        <w:rPr>
          <w:i/>
        </w:rPr>
        <w:t xml:space="preserve">Total War and Social Change </w:t>
      </w:r>
      <w:r w:rsidR="005F533D">
        <w:t>highlights this</w:t>
      </w:r>
      <w:r w:rsidR="00614877">
        <w:t>.</w:t>
      </w:r>
      <w:r w:rsidR="00C35710">
        <w:rPr>
          <w:rStyle w:val="FootnoteReference"/>
        </w:rPr>
        <w:footnoteReference w:id="27"/>
      </w:r>
      <w:r w:rsidR="00614877">
        <w:t xml:space="preserve"> It is notable that the distinction between social classes didn’t just exist within the chaos of the trenches, but was also apparent within the female war effort. Simmonds argues that a large portion of upper class women found themselves clerical and ‘white collar’ work during the war.</w:t>
      </w:r>
      <w:r w:rsidR="00614877">
        <w:rPr>
          <w:rStyle w:val="FootnoteReference"/>
        </w:rPr>
        <w:footnoteReference w:id="28"/>
      </w:r>
      <w:r w:rsidR="00614877">
        <w:t xml:space="preserve"> </w:t>
      </w:r>
      <w:r w:rsidR="00C13366">
        <w:t>Despite</w:t>
      </w:r>
      <w:r w:rsidR="00614877">
        <w:t xml:space="preserve"> this both MacDonald</w:t>
      </w:r>
      <w:r>
        <w:t xml:space="preserve"> and Arthur </w:t>
      </w:r>
      <w:r w:rsidR="00614877">
        <w:t>stress the importance of</w:t>
      </w:r>
      <w:r>
        <w:t xml:space="preserve"> female narratives</w:t>
      </w:r>
      <w:r w:rsidR="00614877">
        <w:t xml:space="preserve"> within their collective works.</w:t>
      </w:r>
      <w:r>
        <w:t xml:space="preserve"> </w:t>
      </w:r>
      <w:r w:rsidR="00614877">
        <w:t>Women were taking the roles of bus conductors, farmers, teachers</w:t>
      </w:r>
      <w:r w:rsidR="00C13366">
        <w:t xml:space="preserve"> and</w:t>
      </w:r>
      <w:r w:rsidR="00614877">
        <w:t xml:space="preserve"> </w:t>
      </w:r>
      <w:r w:rsidR="00C13366">
        <w:t xml:space="preserve">the </w:t>
      </w:r>
      <w:r w:rsidR="00614877">
        <w:t xml:space="preserve">Voluntary Aid Detachment saw women going overseas to assist on the front lines. </w:t>
      </w:r>
      <w:r w:rsidR="009A51D4">
        <w:t xml:space="preserve">Claire </w:t>
      </w:r>
      <w:proofErr w:type="spellStart"/>
      <w:r w:rsidR="009A51D4">
        <w:t>Tisdall</w:t>
      </w:r>
      <w:proofErr w:type="spellEnd"/>
      <w:r w:rsidR="009A51D4">
        <w:t xml:space="preserve">, a VAD ambulance nurse recounts that </w:t>
      </w:r>
      <w:r w:rsidR="00BD7E7C">
        <w:t>“</w:t>
      </w:r>
      <w:r w:rsidR="009A51D4">
        <w:t>d</w:t>
      </w:r>
      <w:r w:rsidR="00BD7E7C">
        <w:t>uring the Somme, we practically never stopped.”</w:t>
      </w:r>
      <w:r w:rsidR="00BD7E7C">
        <w:rPr>
          <w:rStyle w:val="FootnoteReference"/>
        </w:rPr>
        <w:footnoteReference w:id="29"/>
      </w:r>
      <w:r w:rsidR="00034983">
        <w:t xml:space="preserve"> </w:t>
      </w:r>
      <w:r w:rsidR="00C13366">
        <w:t xml:space="preserve">A large portion of ambulance drivers were male VADs </w:t>
      </w:r>
      <w:r w:rsidR="00865FE4">
        <w:t>prior to</w:t>
      </w:r>
      <w:r w:rsidR="00C13366">
        <w:t xml:space="preserve"> 1916</w:t>
      </w:r>
      <w:r w:rsidR="00865FE4">
        <w:t>, but the introduction of</w:t>
      </w:r>
      <w:r w:rsidR="00C13366">
        <w:t xml:space="preserve"> female drivers </w:t>
      </w:r>
      <w:r w:rsidR="00865FE4">
        <w:t>cemented</w:t>
      </w:r>
      <w:r w:rsidR="00C13366">
        <w:t xml:space="preserve"> the fact that the ambulance corps were just as active on the front line as the soldiers were</w:t>
      </w:r>
      <w:r w:rsidR="00865FE4">
        <w:t>.</w:t>
      </w:r>
      <w:r w:rsidR="00C13366">
        <w:rPr>
          <w:rStyle w:val="FootnoteReference"/>
        </w:rPr>
        <w:footnoteReference w:id="30"/>
      </w:r>
      <w:r w:rsidR="00C13366">
        <w:t xml:space="preserve"> </w:t>
      </w:r>
      <w:r w:rsidR="00614877">
        <w:t xml:space="preserve">The ‘she-soldiers’ as Kate Lindsay writes, defy the traditionalist perspective in which many have towards women during the war. </w:t>
      </w:r>
      <w:r w:rsidR="00C87702">
        <w:rPr>
          <w:rStyle w:val="FootnoteReference"/>
        </w:rPr>
        <w:footnoteReference w:id="31"/>
      </w:r>
      <w:r w:rsidR="00451F09">
        <w:t xml:space="preserve">The school curriculum is a testament to this, as Lindsay writes that many female stories often go unheard. </w:t>
      </w:r>
      <w:r w:rsidR="00102A05">
        <w:t>Lindsay highlights the efforts of Flora Sandes, a St John Ambulance volunteer stationed in Serbia. Sandes was awarded a King George Star, in acknowledgement of her impressive array of feats. Eventually, she rose to the rank of sergeant-major, and then captain.</w:t>
      </w:r>
      <w:r w:rsidR="00735235">
        <w:t xml:space="preserve"> She was believed to be the only woman that actively fought on the front lines, as Louise Miller reiterates within her biographical work of Flora Sandes.</w:t>
      </w:r>
      <w:r w:rsidR="00735235">
        <w:rPr>
          <w:rStyle w:val="FootnoteReference"/>
        </w:rPr>
        <w:footnoteReference w:id="32"/>
      </w:r>
      <w:r w:rsidR="00451F09">
        <w:t xml:space="preserve"> In terms of dissecting the female role in war in relation to the men in the trenches, </w:t>
      </w:r>
      <w:r w:rsidR="00D61F15">
        <w:t>accounts of</w:t>
      </w:r>
      <w:r w:rsidR="006C137B">
        <w:t xml:space="preserve"> women are often overshadowed. The post-war experience itself overshadowed what had been achieved by women during the war, as the 1919 Restoration of Pre-War Practices Act forced women to abandon their posts. Lucy Noakes states that women were demonised, and although the war was culturally defining for shaping gender roles it seemed that as a nation, Britain was not ready to accept it.</w:t>
      </w:r>
      <w:r w:rsidR="006C137B">
        <w:rPr>
          <w:rStyle w:val="FootnoteReference"/>
        </w:rPr>
        <w:footnoteReference w:id="33"/>
      </w:r>
    </w:p>
    <w:p w14:paraId="12E0681B" w14:textId="0C714174" w:rsidR="00533C51" w:rsidRDefault="00E5115A" w:rsidP="00037A06">
      <w:pPr>
        <w:spacing w:line="360" w:lineRule="auto"/>
        <w:jc w:val="both"/>
      </w:pPr>
      <w:r>
        <w:rPr>
          <w:noProof/>
        </w:rPr>
        <w:lastRenderedPageBreak/>
        <w:drawing>
          <wp:anchor distT="0" distB="0" distL="114300" distR="114300" simplePos="0" relativeHeight="251658240" behindDoc="1" locked="0" layoutInCell="1" allowOverlap="1" wp14:anchorId="4CBC455C" wp14:editId="2EA29414">
            <wp:simplePos x="0" y="0"/>
            <wp:positionH relativeFrom="margin">
              <wp:posOffset>1036955</wp:posOffset>
            </wp:positionH>
            <wp:positionV relativeFrom="paragraph">
              <wp:posOffset>83185</wp:posOffset>
            </wp:positionV>
            <wp:extent cx="3924935" cy="2590800"/>
            <wp:effectExtent l="0" t="0" r="0" b="0"/>
            <wp:wrapTight wrapText="bothSides">
              <wp:wrapPolygon edited="0">
                <wp:start x="0" y="0"/>
                <wp:lineTo x="0" y="21441"/>
                <wp:lineTo x="21492" y="21441"/>
                <wp:lineTo x="214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stcard 1.jpg"/>
                    <pic:cNvPicPr/>
                  </pic:nvPicPr>
                  <pic:blipFill>
                    <a:blip r:embed="rId8">
                      <a:extLst>
                        <a:ext uri="{28A0092B-C50C-407E-A947-70E740481C1C}">
                          <a14:useLocalDpi xmlns:a14="http://schemas.microsoft.com/office/drawing/2010/main" val="0"/>
                        </a:ext>
                      </a:extLst>
                    </a:blip>
                    <a:stretch>
                      <a:fillRect/>
                    </a:stretch>
                  </pic:blipFill>
                  <pic:spPr>
                    <a:xfrm>
                      <a:off x="0" y="0"/>
                      <a:ext cx="3924935" cy="2590800"/>
                    </a:xfrm>
                    <a:prstGeom prst="rect">
                      <a:avLst/>
                    </a:prstGeom>
                  </pic:spPr>
                </pic:pic>
              </a:graphicData>
            </a:graphic>
            <wp14:sizeRelH relativeFrom="page">
              <wp14:pctWidth>0</wp14:pctWidth>
            </wp14:sizeRelH>
            <wp14:sizeRelV relativeFrom="page">
              <wp14:pctHeight>0</wp14:pctHeight>
            </wp14:sizeRelV>
          </wp:anchor>
        </w:drawing>
      </w:r>
    </w:p>
    <w:p w14:paraId="4862D072" w14:textId="4E432BF1" w:rsidR="0009717A" w:rsidRDefault="0009717A" w:rsidP="00037A06">
      <w:pPr>
        <w:keepNext/>
        <w:spacing w:line="360" w:lineRule="auto"/>
        <w:jc w:val="both"/>
      </w:pPr>
    </w:p>
    <w:p w14:paraId="2B838950" w14:textId="067722DF" w:rsidR="007453BE" w:rsidRDefault="007453BE" w:rsidP="00037A06">
      <w:pPr>
        <w:spacing w:line="360" w:lineRule="auto"/>
        <w:jc w:val="both"/>
      </w:pPr>
    </w:p>
    <w:p w14:paraId="72D828F7" w14:textId="1F72C815" w:rsidR="007453BE" w:rsidRDefault="007453BE" w:rsidP="00037A06">
      <w:pPr>
        <w:spacing w:line="360" w:lineRule="auto"/>
        <w:jc w:val="both"/>
      </w:pPr>
    </w:p>
    <w:p w14:paraId="1D029041" w14:textId="77777777" w:rsidR="007453BE" w:rsidRDefault="007453BE" w:rsidP="00037A06">
      <w:pPr>
        <w:spacing w:line="360" w:lineRule="auto"/>
        <w:jc w:val="both"/>
      </w:pPr>
    </w:p>
    <w:p w14:paraId="35647860" w14:textId="03E09EFE" w:rsidR="007453BE" w:rsidRDefault="007453BE" w:rsidP="00037A06">
      <w:pPr>
        <w:spacing w:line="360" w:lineRule="auto"/>
        <w:jc w:val="both"/>
      </w:pPr>
    </w:p>
    <w:p w14:paraId="37013E55" w14:textId="2C255A16" w:rsidR="007453BE" w:rsidRDefault="007453BE" w:rsidP="00037A06">
      <w:pPr>
        <w:spacing w:line="360" w:lineRule="auto"/>
        <w:jc w:val="both"/>
      </w:pPr>
    </w:p>
    <w:p w14:paraId="14B6B605" w14:textId="378BE231" w:rsidR="007453BE" w:rsidRDefault="007453BE" w:rsidP="00037A06">
      <w:pPr>
        <w:spacing w:line="360" w:lineRule="auto"/>
        <w:jc w:val="both"/>
      </w:pPr>
    </w:p>
    <w:p w14:paraId="632E2B5B" w14:textId="28D80EB0" w:rsidR="007453BE" w:rsidRDefault="007453BE" w:rsidP="00037A06">
      <w:pPr>
        <w:spacing w:line="360" w:lineRule="auto"/>
        <w:jc w:val="both"/>
      </w:pPr>
    </w:p>
    <w:p w14:paraId="73B1EF4D" w14:textId="2B762B39" w:rsidR="007453BE" w:rsidRDefault="007453BE" w:rsidP="00037A06">
      <w:pPr>
        <w:spacing w:line="360" w:lineRule="auto"/>
        <w:jc w:val="both"/>
      </w:pPr>
    </w:p>
    <w:p w14:paraId="3A529C13" w14:textId="5497BBEB" w:rsidR="00865FE4" w:rsidRDefault="00E5115A" w:rsidP="00E5115A">
      <w:pPr>
        <w:spacing w:line="360" w:lineRule="auto"/>
        <w:jc w:val="both"/>
      </w:pPr>
      <w:r>
        <w:rPr>
          <w:noProof/>
        </w:rPr>
        <mc:AlternateContent>
          <mc:Choice Requires="wps">
            <w:drawing>
              <wp:anchor distT="0" distB="0" distL="114300" distR="114300" simplePos="0" relativeHeight="251663360" behindDoc="1" locked="0" layoutInCell="1" allowOverlap="1" wp14:anchorId="0D751F5F" wp14:editId="18C56454">
                <wp:simplePos x="0" y="0"/>
                <wp:positionH relativeFrom="margin">
                  <wp:posOffset>1094740</wp:posOffset>
                </wp:positionH>
                <wp:positionV relativeFrom="paragraph">
                  <wp:posOffset>92710</wp:posOffset>
                </wp:positionV>
                <wp:extent cx="3800475" cy="635"/>
                <wp:effectExtent l="0" t="0" r="9525" b="8255"/>
                <wp:wrapTight wrapText="bothSides">
                  <wp:wrapPolygon edited="0">
                    <wp:start x="0" y="0"/>
                    <wp:lineTo x="0" y="20698"/>
                    <wp:lineTo x="21546" y="20698"/>
                    <wp:lineTo x="21546"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3800475" cy="635"/>
                        </a:xfrm>
                        <a:prstGeom prst="rect">
                          <a:avLst/>
                        </a:prstGeom>
                        <a:solidFill>
                          <a:prstClr val="white"/>
                        </a:solidFill>
                        <a:ln>
                          <a:noFill/>
                        </a:ln>
                      </wps:spPr>
                      <wps:txbx>
                        <w:txbxContent>
                          <w:p w14:paraId="5A30BDFC" w14:textId="2DCED18B" w:rsidR="001B475B" w:rsidRPr="006B2AD5" w:rsidRDefault="001B475B" w:rsidP="007453BE">
                            <w:pPr>
                              <w:pStyle w:val="Caption"/>
                              <w:rPr>
                                <w:noProof/>
                                <w:sz w:val="24"/>
                                <w:szCs w:val="24"/>
                              </w:rPr>
                            </w:pPr>
                            <w:r>
                              <w:t>Fig. 1, Edith Cavell’s execution, Cheltenham Museum.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D751F5F" id="_x0000_t202" coordsize="21600,21600" o:spt="202" path="m,l,21600r21600,l21600,xe">
                <v:stroke joinstyle="miter"/>
                <v:path gradientshapeok="t" o:connecttype="rect"/>
              </v:shapetype>
              <v:shape id="Text Box 4" o:spid="_x0000_s1026" type="#_x0000_t202" style="position:absolute;left:0;text-align:left;margin-left:86.2pt;margin-top:7.3pt;width:299.25pt;height:.05pt;z-index:-2516531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" stroked="f">
                <v:textbox style="mso-fit-shape-to-text:t" inset="0,0,0,0">
                  <w:txbxContent>
                    <w:p w14:paraId="5A30BDFC" w14:textId="2DCED18B" w:rsidR="001B475B" w:rsidRPr="006B2AD5" w:rsidRDefault="001B475B" w:rsidP="007453BE">
                      <w:pPr>
                        <w:pStyle w:val="Caption"/>
                        <w:rPr>
                          <w:noProof/>
                          <w:sz w:val="24"/>
                          <w:szCs w:val="24"/>
                        </w:rPr>
                      </w:pPr>
                      <w:r>
                        <w:t>Fig. 1, Edith Cavell’s execution, Cheltenham Museum.</w:t>
                      </w:r>
                    </w:p>
                  </w:txbxContent>
                </v:textbox>
                <w10:wrap type="tight" anchorx="margin"/>
              </v:shape>
            </w:pict>
          </mc:Fallback>
        </mc:AlternateContent>
      </w:r>
    </w:p>
    <w:p w14:paraId="20172BB1" w14:textId="06FADEC2" w:rsidR="00865FE4" w:rsidRDefault="00865FE4" w:rsidP="00865FE4">
      <w:pPr>
        <w:spacing w:line="360" w:lineRule="auto"/>
        <w:ind w:firstLine="720"/>
        <w:jc w:val="both"/>
      </w:pPr>
    </w:p>
    <w:p w14:paraId="5E42CF79" w14:textId="4E89A032" w:rsidR="0009717A" w:rsidRPr="0009717A" w:rsidRDefault="00E5115A" w:rsidP="00865FE4">
      <w:pPr>
        <w:spacing w:line="360" w:lineRule="auto"/>
        <w:ind w:firstLine="720"/>
        <w:jc w:val="both"/>
      </w:pPr>
      <w:r>
        <w:rPr>
          <w:noProof/>
        </w:rPr>
        <mc:AlternateContent>
          <mc:Choice Requires="wps">
            <w:drawing>
              <wp:anchor distT="0" distB="0" distL="114300" distR="114300" simplePos="0" relativeHeight="251661312" behindDoc="1" locked="0" layoutInCell="1" allowOverlap="1" wp14:anchorId="26F407EB" wp14:editId="2E0DAAD0">
                <wp:simplePos x="0" y="0"/>
                <wp:positionH relativeFrom="page">
                  <wp:posOffset>4790440</wp:posOffset>
                </wp:positionH>
                <wp:positionV relativeFrom="paragraph">
                  <wp:posOffset>3870960</wp:posOffset>
                </wp:positionV>
                <wp:extent cx="2314575" cy="295275"/>
                <wp:effectExtent l="0" t="0" r="9525" b="9525"/>
                <wp:wrapTight wrapText="bothSides">
                  <wp:wrapPolygon edited="0">
                    <wp:start x="0" y="0"/>
                    <wp:lineTo x="0" y="20903"/>
                    <wp:lineTo x="21511" y="20903"/>
                    <wp:lineTo x="21511"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2314575" cy="295275"/>
                        </a:xfrm>
                        <a:prstGeom prst="rect">
                          <a:avLst/>
                        </a:prstGeom>
                        <a:solidFill>
                          <a:prstClr val="white"/>
                        </a:solidFill>
                        <a:ln>
                          <a:noFill/>
                        </a:ln>
                      </wps:spPr>
                      <wps:txbx>
                        <w:txbxContent>
                          <w:p w14:paraId="43366D3E" w14:textId="494B97EC" w:rsidR="001B475B" w:rsidRPr="00A30866" w:rsidRDefault="001B475B" w:rsidP="007453BE">
                            <w:pPr>
                              <w:pStyle w:val="Caption"/>
                              <w:rPr>
                                <w:noProof/>
                                <w:sz w:val="24"/>
                                <w:szCs w:val="24"/>
                              </w:rPr>
                            </w:pPr>
                            <w:r>
                              <w:t xml:space="preserve">Fig. </w:t>
                            </w:r>
                            <w:r>
                              <w:fldChar w:fldCharType="begin"/>
                            </w:r>
                            <w:r>
                              <w:instrText xml:space="preserve"> SEQ Figure \* ARABIC </w:instrText>
                            </w:r>
                            <w:r>
                              <w:fldChar w:fldCharType="separate"/>
                            </w:r>
                            <w:r>
                              <w:rPr>
                                <w:noProof/>
                              </w:rPr>
                              <w:t>2</w:t>
                            </w:r>
                            <w:r>
                              <w:rPr>
                                <w:noProof/>
                              </w:rPr>
                              <w:fldChar w:fldCharType="end"/>
                            </w:r>
                            <w:r>
                              <w:rPr>
                                <w:noProof/>
                              </w:rPr>
                              <w:t>:</w:t>
                            </w:r>
                            <w:r>
                              <w:t xml:space="preserve"> French reaction to Edith's death, British Library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F407EB" id="Text Box 3" o:spid="_x0000_s1027" type="#_x0000_t202" style="position:absolute;left:0;text-align:left;margin-left:377.2pt;margin-top:304.8pt;width:182.25pt;height:23.2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" stroked="f">
                <v:textbox inset="0,0,0,0">
                  <w:txbxContent>
                    <w:p w14:paraId="43366D3E" w14:textId="494B97EC" w:rsidR="001B475B" w:rsidRPr="00A30866" w:rsidRDefault="001B475B" w:rsidP="007453BE">
                      <w:pPr>
                        <w:pStyle w:val="Caption"/>
                        <w:rPr>
                          <w:noProof/>
                          <w:sz w:val="24"/>
                          <w:szCs w:val="24"/>
                        </w:rPr>
                      </w:pPr>
                      <w:r>
                        <w:t xml:space="preserve">Fig. </w:t>
                      </w:r>
                      <w:r>
                        <w:fldChar w:fldCharType="begin"/>
                      </w:r>
                      <w:r>
                        <w:instrText xml:space="preserve"> SEQ Figure \* ARABIC </w:instrText>
                      </w:r>
                      <w:r>
                        <w:fldChar w:fldCharType="separate"/>
                      </w:r>
                      <w:r>
                        <w:rPr>
                          <w:noProof/>
                        </w:rPr>
                        <w:t>2</w:t>
                      </w:r>
                      <w:r>
                        <w:rPr>
                          <w:noProof/>
                        </w:rPr>
                        <w:fldChar w:fldCharType="end"/>
                      </w:r>
                      <w:r>
                        <w:rPr>
                          <w:noProof/>
                        </w:rPr>
                        <w:t>:</w:t>
                      </w:r>
                      <w:r>
                        <w:t xml:space="preserve"> French reaction to Edith's death, British Library</w:t>
                      </w:r>
                    </w:p>
                  </w:txbxContent>
                </v:textbox>
                <w10:wrap type="tight" anchorx="page"/>
              </v:shape>
            </w:pict>
          </mc:Fallback>
        </mc:AlternateContent>
      </w:r>
      <w:r w:rsidR="00865FE4">
        <w:rPr>
          <w:noProof/>
        </w:rPr>
        <w:drawing>
          <wp:anchor distT="0" distB="0" distL="114300" distR="114300" simplePos="0" relativeHeight="251659264" behindDoc="1" locked="0" layoutInCell="1" allowOverlap="1" wp14:anchorId="23E85150" wp14:editId="09D95E10">
            <wp:simplePos x="0" y="0"/>
            <wp:positionH relativeFrom="margin">
              <wp:posOffset>3843655</wp:posOffset>
            </wp:positionH>
            <wp:positionV relativeFrom="paragraph">
              <wp:posOffset>819785</wp:posOffset>
            </wp:positionV>
            <wp:extent cx="2249805" cy="3011170"/>
            <wp:effectExtent l="0" t="0" r="0" b="0"/>
            <wp:wrapTight wrapText="bothSides">
              <wp:wrapPolygon edited="0">
                <wp:start x="0" y="0"/>
                <wp:lineTo x="0" y="21454"/>
                <wp:lineTo x="21399" y="21454"/>
                <wp:lineTo x="21399" y="0"/>
                <wp:lineTo x="0" y="0"/>
              </wp:wrapPolygon>
            </wp:wrapTight>
            <wp:docPr id="2" name="Picture 2" descr="A picture containing text, book&#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dith, french reaction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49805" cy="3011170"/>
                    </a:xfrm>
                    <a:prstGeom prst="rect">
                      <a:avLst/>
                    </a:prstGeom>
                  </pic:spPr>
                </pic:pic>
              </a:graphicData>
            </a:graphic>
            <wp14:sizeRelH relativeFrom="page">
              <wp14:pctWidth>0</wp14:pctWidth>
            </wp14:sizeRelH>
            <wp14:sizeRelV relativeFrom="page">
              <wp14:pctHeight>0</wp14:pctHeight>
            </wp14:sizeRelV>
          </wp:anchor>
        </w:drawing>
      </w:r>
      <w:r w:rsidR="00EE1CCF">
        <w:t xml:space="preserve">‘The Forgotten Heroine’ </w:t>
      </w:r>
      <w:r w:rsidR="0009717A">
        <w:t>Edith Cavell, a nurse whom treated both German and British troops</w:t>
      </w:r>
      <w:r w:rsidR="00EE1CCF">
        <w:t>,</w:t>
      </w:r>
      <w:r w:rsidR="0009717A">
        <w:t xml:space="preserve"> faced the German firing squad on the 12</w:t>
      </w:r>
      <w:r w:rsidR="0009717A" w:rsidRPr="0009717A">
        <w:rPr>
          <w:vertAlign w:val="superscript"/>
        </w:rPr>
        <w:t>th</w:t>
      </w:r>
      <w:r w:rsidR="0009717A">
        <w:t xml:space="preserve"> October 1915.</w:t>
      </w:r>
      <w:r w:rsidR="0009717A">
        <w:rPr>
          <w:rStyle w:val="FootnoteReference"/>
        </w:rPr>
        <w:footnoteReference w:id="34"/>
      </w:r>
      <w:r w:rsidR="0009717A">
        <w:t xml:space="preserve"> Her tragic end is immortalised </w:t>
      </w:r>
      <w:r w:rsidR="00FC2B3F">
        <w:t xml:space="preserve">on </w:t>
      </w:r>
      <w:r w:rsidR="0009717A">
        <w:t>postcards</w:t>
      </w:r>
      <w:r w:rsidR="007B238D">
        <w:t>, as seen</w:t>
      </w:r>
      <w:r w:rsidR="00C87702">
        <w:t xml:space="preserve"> above</w:t>
      </w:r>
      <w:r w:rsidR="007B238D">
        <w:t>.</w:t>
      </w:r>
      <w:r w:rsidR="00C27AD5">
        <w:t xml:space="preserve"> These bold postcards were sold by the millions, </w:t>
      </w:r>
      <w:r w:rsidR="00C87702">
        <w:t xml:space="preserve">and </w:t>
      </w:r>
      <w:r w:rsidR="00C27AD5">
        <w:t>depict the German as the ruthless Hun to infuriate the masses</w:t>
      </w:r>
      <w:r w:rsidR="007B59CB">
        <w:t>—Edith was labelled a martyr.</w:t>
      </w:r>
      <w:r w:rsidR="007B59CB">
        <w:rPr>
          <w:rStyle w:val="FootnoteReference"/>
        </w:rPr>
        <w:footnoteReference w:id="35"/>
      </w:r>
      <w:r w:rsidR="00DB08F4">
        <w:t xml:space="preserve"> The image itself captures the </w:t>
      </w:r>
      <w:r w:rsidR="0022423E">
        <w:t xml:space="preserve">residual </w:t>
      </w:r>
      <w:r w:rsidR="00DB08F4">
        <w:t>smoke from the gun, with ‘murdered’ and ‘remember’ capitalised above her body.</w:t>
      </w:r>
      <w:r w:rsidR="00C27AD5">
        <w:t xml:space="preserve"> Not only is this a jarring visual, but it is one that may resonate soundly as a reminder for the British as to why the war was being fought</w:t>
      </w:r>
      <w:r w:rsidR="007B59CB">
        <w:t xml:space="preserve">—a purpose for propaganda, as </w:t>
      </w:r>
      <w:r w:rsidR="00C27AD5">
        <w:t xml:space="preserve">such imagery </w:t>
      </w:r>
      <w:r w:rsidR="007B59CB">
        <w:t>created</w:t>
      </w:r>
      <w:r w:rsidR="00C27AD5">
        <w:t xml:space="preserve"> a broad scope of emotive responses</w:t>
      </w:r>
      <w:r w:rsidR="007B59CB">
        <w:t xml:space="preserve"> and a national outcry</w:t>
      </w:r>
      <w:r>
        <w:t xml:space="preserve"> as it displays </w:t>
      </w:r>
      <w:r w:rsidR="00C87702">
        <w:t xml:space="preserve">a prominent message. </w:t>
      </w:r>
      <w:r w:rsidR="007B59CB">
        <w:t xml:space="preserve">Suggesting that Edith Cavell’s own experiences were overshadowed by the accounts of trench life may be difficult to argue. The reactions that followed her </w:t>
      </w:r>
      <w:r w:rsidR="00D12792">
        <w:t>execution led to newspaper coverage and poetic works</w:t>
      </w:r>
      <w:r w:rsidR="007453BE">
        <w:t>, and as n</w:t>
      </w:r>
      <w:r w:rsidR="00D12792">
        <w:t>ews of her death had travelled to France</w:t>
      </w:r>
      <w:r w:rsidR="007453BE">
        <w:t xml:space="preserve"> Edith became a symbol for the female medical corps.</w:t>
      </w:r>
      <w:r w:rsidR="007453BE">
        <w:rPr>
          <w:rStyle w:val="FootnoteReference"/>
        </w:rPr>
        <w:footnoteReference w:id="36"/>
      </w:r>
      <w:r w:rsidR="00D12792">
        <w:t xml:space="preserve"> </w:t>
      </w:r>
      <w:r w:rsidR="00753204">
        <w:t xml:space="preserve">It is believed that due to her name being associated with </w:t>
      </w:r>
      <w:r w:rsidR="00753204">
        <w:lastRenderedPageBreak/>
        <w:t xml:space="preserve">extremism posthumously, her historical remembrance was quelled. Nonetheless, the immediate coverage of her story and the consequences of her death met </w:t>
      </w:r>
      <w:r w:rsidR="002A0C08">
        <w:t>reactions of a global scale.</w:t>
      </w:r>
      <w:r w:rsidR="00865FE4">
        <w:rPr>
          <w:rStyle w:val="FootnoteReference"/>
        </w:rPr>
        <w:footnoteReference w:id="37"/>
      </w:r>
      <w:r w:rsidR="0060336C">
        <w:t xml:space="preserve"> </w:t>
      </w:r>
    </w:p>
    <w:p w14:paraId="0A3B20D9" w14:textId="3C536E91" w:rsidR="0009717A" w:rsidRDefault="00FC3BAA" w:rsidP="00C35710">
      <w:pPr>
        <w:spacing w:line="360" w:lineRule="auto"/>
        <w:jc w:val="both"/>
      </w:pPr>
      <w:r>
        <w:tab/>
        <w:t>At the home-front, the British were also feeling the plight of war. Bombings from the German Navy and the hungers of rationing</w:t>
      </w:r>
      <w:r w:rsidR="00782677">
        <w:t xml:space="preserve"> are just </w:t>
      </w:r>
      <w:r w:rsidR="00C87702">
        <w:t>a few of the</w:t>
      </w:r>
      <w:r w:rsidR="00782677">
        <w:t xml:space="preserve"> consequences of war to name</w:t>
      </w:r>
      <w:r>
        <w:t xml:space="preserve">. </w:t>
      </w:r>
      <w:r w:rsidR="00887C19">
        <w:t>The munitions factories themselves were plagued with dangers, with one notable disaster occurring in East London at Silverton. Mabel Bastable recounts her experience</w:t>
      </w:r>
      <w:r w:rsidR="00782677">
        <w:t xml:space="preserve"> of the explosion</w:t>
      </w:r>
      <w:r w:rsidR="00887C19">
        <w:t>:</w:t>
      </w:r>
    </w:p>
    <w:p w14:paraId="00C9D947" w14:textId="006EBCD8" w:rsidR="00887C19" w:rsidRDefault="00887C19" w:rsidP="00037A06">
      <w:pPr>
        <w:pStyle w:val="Quote"/>
        <w:jc w:val="both"/>
        <w:rPr>
          <w:i w:val="0"/>
          <w:color w:val="auto"/>
          <w:sz w:val="22"/>
          <w:bdr w:val="none" w:sz="0" w:space="0" w:color="auto" w:frame="1"/>
          <w:shd w:val="clear" w:color="auto" w:fill="FFFFFF"/>
          <w:lang w:eastAsia="en-GB"/>
        </w:rPr>
      </w:pPr>
      <w:r w:rsidRPr="00887C19">
        <w:rPr>
          <w:i w:val="0"/>
          <w:color w:val="auto"/>
          <w:sz w:val="22"/>
          <w:bdr w:val="none" w:sz="0" w:space="0" w:color="auto" w:frame="1"/>
          <w:shd w:val="clear" w:color="auto" w:fill="FFFFFF"/>
          <w:lang w:eastAsia="en-GB"/>
        </w:rPr>
        <w:t>“There were shouts of “fire”, well you could not miss it, the whole place was lit up. We were all outside looking. I went upstairs to get a shawl. Suddenly I was downstairs, and the house was on top of me. It’s funny but I can’t really remember hearing the explosion</w:t>
      </w:r>
      <w:r>
        <w:rPr>
          <w:i w:val="0"/>
          <w:color w:val="auto"/>
          <w:sz w:val="22"/>
          <w:bdr w:val="none" w:sz="0" w:space="0" w:color="auto" w:frame="1"/>
          <w:shd w:val="clear" w:color="auto" w:fill="FFFFFF"/>
          <w:lang w:eastAsia="en-GB"/>
        </w:rPr>
        <w:t>…</w:t>
      </w:r>
      <w:r w:rsidRPr="00887C19">
        <w:rPr>
          <w:i w:val="0"/>
          <w:color w:val="auto"/>
          <w:sz w:val="22"/>
          <w:bdr w:val="none" w:sz="0" w:space="0" w:color="auto" w:frame="1"/>
          <w:shd w:val="clear" w:color="auto" w:fill="FFFFFF"/>
          <w:lang w:eastAsia="en-GB"/>
        </w:rPr>
        <w:t>our house was blown down right enough. We don’t go up to Silverton agai</w:t>
      </w:r>
      <w:r>
        <w:rPr>
          <w:i w:val="0"/>
          <w:color w:val="auto"/>
          <w:sz w:val="22"/>
          <w:bdr w:val="none" w:sz="0" w:space="0" w:color="auto" w:frame="1"/>
          <w:shd w:val="clear" w:color="auto" w:fill="FFFFFF"/>
          <w:lang w:eastAsia="en-GB"/>
        </w:rPr>
        <w:t xml:space="preserve">n… </w:t>
      </w:r>
      <w:r w:rsidRPr="00887C19">
        <w:rPr>
          <w:i w:val="0"/>
          <w:color w:val="auto"/>
          <w:sz w:val="22"/>
          <w:bdr w:val="none" w:sz="0" w:space="0" w:color="auto" w:frame="1"/>
          <w:shd w:val="clear" w:color="auto" w:fill="FFFFFF"/>
          <w:lang w:eastAsia="en-GB"/>
        </w:rPr>
        <w:t>I didn’t go to school again. There was no school, no house, so there was no point.”</w:t>
      </w:r>
      <w:r>
        <w:rPr>
          <w:rStyle w:val="FootnoteReference"/>
          <w:i w:val="0"/>
          <w:color w:val="auto"/>
          <w:sz w:val="22"/>
          <w:bdr w:val="none" w:sz="0" w:space="0" w:color="auto" w:frame="1"/>
          <w:shd w:val="clear" w:color="auto" w:fill="FFFFFF"/>
          <w:lang w:eastAsia="en-GB"/>
        </w:rPr>
        <w:footnoteReference w:id="38"/>
      </w:r>
    </w:p>
    <w:p w14:paraId="5AA12F57" w14:textId="16352ED6" w:rsidR="00887C19" w:rsidRPr="008F74C2" w:rsidRDefault="009A28D2" w:rsidP="000B6EE5">
      <w:pPr>
        <w:spacing w:line="360" w:lineRule="auto"/>
        <w:jc w:val="both"/>
        <w:rPr>
          <w:szCs w:val="22"/>
        </w:rPr>
      </w:pPr>
      <w:r>
        <w:rPr>
          <w:lang w:eastAsia="en-GB"/>
        </w:rPr>
        <w:t xml:space="preserve">As seen, the conditions within these munitions factories were not only dangerous for the women themselves, but presented dire consequences towards local communities. </w:t>
      </w:r>
      <w:r w:rsidR="00CA29D7">
        <w:rPr>
          <w:szCs w:val="22"/>
        </w:rPr>
        <w:t>For Mary Robertson, a worker within the munitions industry her accounts of life within the throes of war were altogether unpleasant. Robertson believed that as a collective, the munitions girls were the “lowest form of life in the eyes of the public.”</w:t>
      </w:r>
      <w:r w:rsidR="00CA29D7">
        <w:rPr>
          <w:rStyle w:val="FootnoteReference"/>
          <w:szCs w:val="22"/>
        </w:rPr>
        <w:footnoteReference w:id="39"/>
      </w:r>
      <w:r w:rsidR="00CA29D7">
        <w:rPr>
          <w:szCs w:val="22"/>
        </w:rPr>
        <w:t xml:space="preserve"> Perhaps this contributed to the consistent gender ideologies that persevered throughout the war, that women were simply ‘doing their bit’ for the duration.</w:t>
      </w:r>
      <w:r w:rsidR="00CA29D7">
        <w:rPr>
          <w:rStyle w:val="FootnoteReference"/>
          <w:szCs w:val="22"/>
        </w:rPr>
        <w:footnoteReference w:id="40"/>
      </w:r>
      <w:r w:rsidR="00CA29D7">
        <w:rPr>
          <w:szCs w:val="22"/>
        </w:rPr>
        <w:t xml:space="preserve"> </w:t>
      </w:r>
      <w:r>
        <w:rPr>
          <w:lang w:eastAsia="en-GB"/>
        </w:rPr>
        <w:t>Women who worked within the factories were working unsociable hours, and the long-term damage that the chemicals they were handling would have a lasting effect on their bodies years down the line.</w:t>
      </w:r>
      <w:r w:rsidR="00CA29D7">
        <w:rPr>
          <w:rStyle w:val="FootnoteReference"/>
          <w:lang w:eastAsia="en-GB"/>
        </w:rPr>
        <w:footnoteReference w:id="41"/>
      </w:r>
      <w:r>
        <w:rPr>
          <w:lang w:eastAsia="en-GB"/>
        </w:rPr>
        <w:t xml:space="preserve"> The ‘</w:t>
      </w:r>
      <w:r w:rsidR="00782677">
        <w:rPr>
          <w:lang w:eastAsia="en-GB"/>
        </w:rPr>
        <w:t>c</w:t>
      </w:r>
      <w:r>
        <w:rPr>
          <w:lang w:eastAsia="en-GB"/>
        </w:rPr>
        <w:t xml:space="preserve">anary’ girls became </w:t>
      </w:r>
      <w:r w:rsidR="00BB529F">
        <w:rPr>
          <w:lang w:eastAsia="en-GB"/>
        </w:rPr>
        <w:t>well known within the munitions industry</w:t>
      </w:r>
      <w:r>
        <w:rPr>
          <w:lang w:eastAsia="en-GB"/>
        </w:rPr>
        <w:t>. The</w:t>
      </w:r>
      <w:r w:rsidR="00BB529F">
        <w:rPr>
          <w:lang w:eastAsia="en-GB"/>
        </w:rPr>
        <w:t xml:space="preserve"> TNT</w:t>
      </w:r>
      <w:r>
        <w:rPr>
          <w:lang w:eastAsia="en-GB"/>
        </w:rPr>
        <w:t xml:space="preserve"> stains had encased women with a radioactive tinge</w:t>
      </w:r>
      <w:r w:rsidR="00BB529F">
        <w:rPr>
          <w:lang w:eastAsia="en-GB"/>
        </w:rPr>
        <w:t xml:space="preserve">, and Ethel Dean recounts her experience of witnessing its effects. </w:t>
      </w:r>
      <w:r w:rsidR="00BB529F" w:rsidRPr="00BB529F">
        <w:t>“Everything that that powder touches goes yellow. All the girls’ faces were yellow, all round their mouths. They had their own canteen, in which everything was yellow.”</w:t>
      </w:r>
      <w:r w:rsidR="00BB529F">
        <w:rPr>
          <w:rStyle w:val="FootnoteReference"/>
        </w:rPr>
        <w:footnoteReference w:id="42"/>
      </w:r>
      <w:r w:rsidR="00BB529F">
        <w:rPr>
          <w:rFonts w:ascii="Arial" w:hAnsi="Arial" w:cs="Arial"/>
          <w:color w:val="000000"/>
          <w:sz w:val="27"/>
          <w:szCs w:val="27"/>
        </w:rPr>
        <w:t xml:space="preserve"> </w:t>
      </w:r>
      <w:proofErr w:type="spellStart"/>
      <w:r>
        <w:rPr>
          <w:lang w:eastAsia="en-GB"/>
        </w:rPr>
        <w:t>Pembrey</w:t>
      </w:r>
      <w:proofErr w:type="spellEnd"/>
      <w:r>
        <w:rPr>
          <w:lang w:eastAsia="en-GB"/>
        </w:rPr>
        <w:t xml:space="preserve"> </w:t>
      </w:r>
      <w:r w:rsidR="00B934F6">
        <w:rPr>
          <w:lang w:eastAsia="en-GB"/>
        </w:rPr>
        <w:t xml:space="preserve">factory </w:t>
      </w:r>
      <w:r>
        <w:rPr>
          <w:lang w:eastAsia="en-GB"/>
        </w:rPr>
        <w:t xml:space="preserve">in </w:t>
      </w:r>
      <w:r w:rsidR="00B934F6">
        <w:rPr>
          <w:lang w:eastAsia="en-GB"/>
        </w:rPr>
        <w:t xml:space="preserve">South </w:t>
      </w:r>
      <w:r>
        <w:rPr>
          <w:lang w:eastAsia="en-GB"/>
        </w:rPr>
        <w:t>Wales was believed to be a particularly poorly run munitions institution.</w:t>
      </w:r>
      <w:r w:rsidR="00B934F6">
        <w:rPr>
          <w:rStyle w:val="FootnoteReference"/>
          <w:lang w:eastAsia="en-GB"/>
        </w:rPr>
        <w:footnoteReference w:id="43"/>
      </w:r>
      <w:r w:rsidR="00533C51">
        <w:rPr>
          <w:lang w:eastAsia="en-GB"/>
        </w:rPr>
        <w:t xml:space="preserve"> </w:t>
      </w:r>
      <w:r w:rsidR="00B934F6">
        <w:rPr>
          <w:lang w:eastAsia="en-GB"/>
        </w:rPr>
        <w:t xml:space="preserve">Women were attempting to </w:t>
      </w:r>
      <w:r w:rsidR="00E31081">
        <w:rPr>
          <w:lang w:eastAsia="en-GB"/>
        </w:rPr>
        <w:t>capture</w:t>
      </w:r>
      <w:r w:rsidR="00B934F6">
        <w:rPr>
          <w:lang w:eastAsia="en-GB"/>
        </w:rPr>
        <w:t xml:space="preserve"> a moment of sleep before a shift began, and the dire conditions within the factory such as poor </w:t>
      </w:r>
      <w:r w:rsidR="00B934F6">
        <w:rPr>
          <w:lang w:eastAsia="en-GB"/>
        </w:rPr>
        <w:lastRenderedPageBreak/>
        <w:t>lighting, mass fumes and sheer exhaustion led to several casualties a night, Simmonds claims.</w:t>
      </w:r>
      <w:r w:rsidR="00B934F6">
        <w:rPr>
          <w:rStyle w:val="FootnoteReference"/>
          <w:lang w:eastAsia="en-GB"/>
        </w:rPr>
        <w:footnoteReference w:id="44"/>
      </w:r>
      <w:r w:rsidR="00B934F6">
        <w:rPr>
          <w:lang w:eastAsia="en-GB"/>
        </w:rPr>
        <w:t xml:space="preserve"> </w:t>
      </w:r>
      <w:r w:rsidR="00DB0C9F">
        <w:rPr>
          <w:lang w:eastAsia="en-GB"/>
        </w:rPr>
        <w:t xml:space="preserve">Suggesting that accounts of trench life overshadowing the munitions women, in taking Simmonds’ perspective, may be a </w:t>
      </w:r>
      <w:r w:rsidR="00865FE4">
        <w:rPr>
          <w:lang w:eastAsia="en-GB"/>
        </w:rPr>
        <w:t>quarrelsome</w:t>
      </w:r>
      <w:r w:rsidR="00DB0C9F">
        <w:rPr>
          <w:lang w:eastAsia="en-GB"/>
        </w:rPr>
        <w:t xml:space="preserve"> one. He claims that in a sense, the female war effort was a revolution. Women had to adapt to traditional masculine roles, contributing to a crucial element of the war that eventually led to the recognition of women’s suffrage.</w:t>
      </w:r>
      <w:r w:rsidR="00DB0C9F">
        <w:rPr>
          <w:rStyle w:val="FootnoteReference"/>
          <w:lang w:eastAsia="en-GB"/>
        </w:rPr>
        <w:footnoteReference w:id="45"/>
      </w:r>
      <w:r w:rsidR="00B577A5">
        <w:rPr>
          <w:szCs w:val="22"/>
        </w:rPr>
        <w:t xml:space="preserve"> </w:t>
      </w:r>
    </w:p>
    <w:p w14:paraId="2AA96BD2" w14:textId="782605BA" w:rsidR="00E510EE" w:rsidRDefault="00E510EE" w:rsidP="00E510EE">
      <w:pPr>
        <w:pStyle w:val="NoSpacing"/>
        <w:spacing w:line="360" w:lineRule="auto"/>
        <w:ind w:firstLine="720"/>
        <w:jc w:val="both"/>
      </w:pPr>
      <w:bookmarkStart w:id="1" w:name="_Hlk503472708"/>
      <w:r>
        <w:t xml:space="preserve">In conclusion, the suggestion that other theatres of war are overshadowed by accounts of life within the trenches is questionable but there are many elements of the war that prove this statement to be correct. </w:t>
      </w:r>
      <w:r w:rsidR="00125EFA">
        <w:t>A</w:t>
      </w:r>
      <w:r w:rsidR="0092359B">
        <w:t xml:space="preserve">s a society the accounts of life within the trenches resonate with the British public, and to some extent this may make one overlook the experiences of other British servicemen and women. </w:t>
      </w:r>
      <w:r>
        <w:t xml:space="preserve">The chaos of war and the popularisation of trench warfare within motion pictures and within prose serve to highlight the trench experience, </w:t>
      </w:r>
      <w:r w:rsidR="0092359B">
        <w:t>yet</w:t>
      </w:r>
      <w:r>
        <w:t xml:space="preserve"> with this comes John Keegan’s claim that with the Great War, comes the possibility of desensitisation.</w:t>
      </w:r>
      <w:r>
        <w:rPr>
          <w:rStyle w:val="FootnoteReference"/>
        </w:rPr>
        <w:footnoteReference w:id="46"/>
      </w:r>
      <w:r>
        <w:t xml:space="preserve"> </w:t>
      </w:r>
      <w:r w:rsidR="0092359B">
        <w:t>Perhaps this</w:t>
      </w:r>
      <w:r w:rsidR="00E33FEF">
        <w:t xml:space="preserve"> issue of desensitisation</w:t>
      </w:r>
      <w:r w:rsidR="0092359B">
        <w:t xml:space="preserve"> is why so m</w:t>
      </w:r>
      <w:r>
        <w:t>any significant historical figures within the war had become lost within the pages of history, as seen with the efforts of female VADs and the remarkable story of Edith Cavell</w:t>
      </w:r>
      <w:r w:rsidR="0092359B">
        <w:t>, because we are simply too used to hearing the same stories of the Great War</w:t>
      </w:r>
      <w:r>
        <w:t xml:space="preserve">. </w:t>
      </w:r>
    </w:p>
    <w:p w14:paraId="65B6B531" w14:textId="08AC2101" w:rsidR="009E7C02" w:rsidRDefault="009E7C02" w:rsidP="00E510EE">
      <w:pPr>
        <w:pStyle w:val="NoSpacing"/>
        <w:spacing w:line="360" w:lineRule="auto"/>
        <w:ind w:firstLine="720"/>
        <w:jc w:val="both"/>
      </w:pPr>
    </w:p>
    <w:p w14:paraId="4E7ADA5C" w14:textId="543681ED" w:rsidR="009E7C02" w:rsidRDefault="009E7C02" w:rsidP="009E7C02">
      <w:pPr>
        <w:pStyle w:val="NoSpacing"/>
        <w:spacing w:line="360" w:lineRule="auto"/>
        <w:ind w:firstLine="720"/>
        <w:jc w:val="center"/>
        <w:rPr>
          <w:b/>
          <w:u w:val="single"/>
        </w:rPr>
      </w:pPr>
      <w:r w:rsidRPr="009E7C02">
        <w:rPr>
          <w:b/>
          <w:u w:val="single"/>
        </w:rPr>
        <w:t>Bibliography</w:t>
      </w:r>
    </w:p>
    <w:p w14:paraId="4D6BD6AF" w14:textId="7F5E24A6" w:rsidR="009E7C02" w:rsidRPr="00E06CEB" w:rsidRDefault="009E7C02" w:rsidP="00E06CEB">
      <w:pPr>
        <w:pStyle w:val="NoSpacing"/>
        <w:spacing w:line="360" w:lineRule="auto"/>
        <w:jc w:val="both"/>
        <w:rPr>
          <w:b/>
          <w:u w:val="single"/>
        </w:rPr>
      </w:pPr>
      <w:r w:rsidRPr="00E06CEB">
        <w:rPr>
          <w:b/>
          <w:u w:val="single"/>
        </w:rPr>
        <w:t>Primary Sources</w:t>
      </w:r>
    </w:p>
    <w:p w14:paraId="20A829B3" w14:textId="6AE13B21" w:rsidR="009E7C02" w:rsidRDefault="009E7C02" w:rsidP="009E7C02">
      <w:pPr>
        <w:pStyle w:val="NoSpacing"/>
        <w:spacing w:line="360" w:lineRule="auto"/>
        <w:jc w:val="both"/>
      </w:pPr>
    </w:p>
    <w:p w14:paraId="5DA6416B" w14:textId="7D1843D1" w:rsidR="009E7C02" w:rsidRPr="00CE2D13" w:rsidRDefault="001B475B" w:rsidP="00CE2D13">
      <w:pPr>
        <w:pStyle w:val="NoSpacing"/>
        <w:jc w:val="both"/>
        <w:rPr>
          <w:szCs w:val="22"/>
        </w:rPr>
      </w:pPr>
      <w:r w:rsidRPr="00CE2D13">
        <w:rPr>
          <w:szCs w:val="22"/>
        </w:rPr>
        <w:t xml:space="preserve">Fig. 1: ‘Edith Cavell’s Execution’, </w:t>
      </w:r>
      <w:r w:rsidR="00200511" w:rsidRPr="00CE2D13">
        <w:rPr>
          <w:szCs w:val="22"/>
        </w:rPr>
        <w:t xml:space="preserve">First World War Postcards, </w:t>
      </w:r>
      <w:r w:rsidRPr="00CE2D13">
        <w:rPr>
          <w:szCs w:val="22"/>
        </w:rPr>
        <w:t xml:space="preserve">Cheltenham Museum, [online]. Available at: </w:t>
      </w:r>
      <w:hyperlink r:id="rId10" w:history="1">
        <w:r w:rsidRPr="00CE2D13">
          <w:rPr>
            <w:rStyle w:val="Hyperlink"/>
            <w:szCs w:val="22"/>
          </w:rPr>
          <w:t>http://www.cheltenhammuseum.org.uk/slideshows/postcards.html</w:t>
        </w:r>
      </w:hyperlink>
      <w:r w:rsidRPr="00CE2D13">
        <w:rPr>
          <w:szCs w:val="22"/>
        </w:rPr>
        <w:t xml:space="preserve">. (Accessed: 4 Dec 2017). </w:t>
      </w:r>
    </w:p>
    <w:p w14:paraId="0568739D" w14:textId="3EB94D5C" w:rsidR="002C5741" w:rsidRPr="00CE2D13" w:rsidRDefault="001B475B" w:rsidP="00CE2D13">
      <w:pPr>
        <w:pStyle w:val="NoSpacing"/>
        <w:jc w:val="both"/>
        <w:rPr>
          <w:szCs w:val="22"/>
        </w:rPr>
      </w:pPr>
      <w:r w:rsidRPr="00CE2D13">
        <w:rPr>
          <w:szCs w:val="22"/>
        </w:rPr>
        <w:t xml:space="preserve">Fig. 2: ‘French reaction of Edith Cavell’s Death’, British Library, [online]. Available at: </w:t>
      </w:r>
      <w:hyperlink r:id="rId11" w:history="1">
        <w:r w:rsidR="00CE2D13" w:rsidRPr="00CE2D13">
          <w:rPr>
            <w:rStyle w:val="Hyperlink"/>
            <w:szCs w:val="22"/>
          </w:rPr>
          <w:t>http://blogs.bl.uk/untoldlives/2016/10/edith-cavell-101-years-on.html</w:t>
        </w:r>
      </w:hyperlink>
      <w:r w:rsidR="00CE2D13" w:rsidRPr="00CE2D13">
        <w:rPr>
          <w:szCs w:val="22"/>
        </w:rPr>
        <w:t>. (Accessed: 4 Dec 2017).</w:t>
      </w:r>
    </w:p>
    <w:p w14:paraId="56A78223" w14:textId="23F032B0" w:rsidR="00F03FBC" w:rsidRPr="00CE2D13" w:rsidRDefault="00F03FBC" w:rsidP="00CE2D13">
      <w:pPr>
        <w:pStyle w:val="FootnoteText"/>
        <w:rPr>
          <w:sz w:val="24"/>
          <w:szCs w:val="22"/>
        </w:rPr>
      </w:pPr>
      <w:r w:rsidRPr="00CE2D13">
        <w:rPr>
          <w:sz w:val="24"/>
          <w:szCs w:val="22"/>
        </w:rPr>
        <w:t xml:space="preserve">IWM </w:t>
      </w:r>
      <w:r w:rsidR="004333D2" w:rsidRPr="00CE2D13">
        <w:rPr>
          <w:sz w:val="24"/>
          <w:szCs w:val="22"/>
        </w:rPr>
        <w:t xml:space="preserve">SR 9439 </w:t>
      </w:r>
      <w:r w:rsidRPr="00CE2D13">
        <w:rPr>
          <w:sz w:val="24"/>
          <w:szCs w:val="22"/>
        </w:rPr>
        <w:t xml:space="preserve">Ethel May Dean, interviewed by Jan R. </w:t>
      </w:r>
      <w:proofErr w:type="spellStart"/>
      <w:r w:rsidRPr="00CE2D13">
        <w:rPr>
          <w:sz w:val="24"/>
          <w:szCs w:val="22"/>
        </w:rPr>
        <w:t>Stovold</w:t>
      </w:r>
      <w:proofErr w:type="spellEnd"/>
      <w:r w:rsidRPr="00CE2D13">
        <w:rPr>
          <w:sz w:val="24"/>
          <w:szCs w:val="22"/>
        </w:rPr>
        <w:t xml:space="preserve">, 7 October 1986. Available at: </w:t>
      </w:r>
      <w:hyperlink r:id="rId12" w:history="1">
        <w:r w:rsidRPr="00CE2D13">
          <w:rPr>
            <w:rStyle w:val="Hyperlink"/>
            <w:sz w:val="24"/>
            <w:szCs w:val="22"/>
          </w:rPr>
          <w:t>http://www.iwm.org.uk/collections/item/object/80009226</w:t>
        </w:r>
      </w:hyperlink>
      <w:r w:rsidRPr="00CE2D13">
        <w:rPr>
          <w:sz w:val="24"/>
          <w:szCs w:val="22"/>
        </w:rPr>
        <w:t>. (Accessed: 3 Dec 2017).</w:t>
      </w:r>
    </w:p>
    <w:p w14:paraId="70052302" w14:textId="77777777" w:rsidR="0029498D" w:rsidRPr="00CE2D13" w:rsidRDefault="0029498D" w:rsidP="00CE2D13">
      <w:pPr>
        <w:pStyle w:val="FootnoteText"/>
        <w:rPr>
          <w:sz w:val="24"/>
          <w:szCs w:val="22"/>
        </w:rPr>
      </w:pPr>
    </w:p>
    <w:p w14:paraId="6F733E52" w14:textId="5C0157B5" w:rsidR="00E06CEB" w:rsidRPr="00CE2D13" w:rsidRDefault="0029498D" w:rsidP="00CE2D13">
      <w:pPr>
        <w:pStyle w:val="FootnoteText"/>
        <w:rPr>
          <w:sz w:val="24"/>
          <w:szCs w:val="22"/>
        </w:rPr>
      </w:pPr>
      <w:r w:rsidRPr="00CE2D13">
        <w:rPr>
          <w:sz w:val="24"/>
          <w:szCs w:val="22"/>
        </w:rPr>
        <w:t xml:space="preserve">Imperial War Museums (2014), ‘Voices of the First World War’, </w:t>
      </w:r>
      <w:r w:rsidRPr="00CE2D13">
        <w:rPr>
          <w:i/>
          <w:sz w:val="24"/>
          <w:szCs w:val="22"/>
        </w:rPr>
        <w:t>Podcast 11: War at Sea</w:t>
      </w:r>
      <w:r w:rsidRPr="00CE2D13">
        <w:rPr>
          <w:sz w:val="24"/>
          <w:szCs w:val="22"/>
        </w:rPr>
        <w:t xml:space="preserve">, 29 September 2014, Available at: </w:t>
      </w:r>
      <w:hyperlink r:id="rId13" w:history="1">
        <w:r w:rsidRPr="00CE2D13">
          <w:rPr>
            <w:rStyle w:val="Hyperlink"/>
            <w:sz w:val="24"/>
            <w:szCs w:val="22"/>
          </w:rPr>
          <w:t>http://www.iwm.org.uk/history/podcasts/voices-of-the-first-world-war/podcast-11-war-at-sea</w:t>
        </w:r>
      </w:hyperlink>
      <w:r w:rsidRPr="00CE2D13">
        <w:rPr>
          <w:sz w:val="24"/>
          <w:szCs w:val="22"/>
        </w:rPr>
        <w:t xml:space="preserve">. (Accessed: 3 Dec 2017). </w:t>
      </w:r>
    </w:p>
    <w:p w14:paraId="3A8E9A4A" w14:textId="77777777" w:rsidR="00CE2D13" w:rsidRPr="00CE2D13" w:rsidRDefault="00CE2D13" w:rsidP="00CE2D13">
      <w:pPr>
        <w:pStyle w:val="FootnoteText"/>
        <w:rPr>
          <w:sz w:val="24"/>
          <w:szCs w:val="22"/>
        </w:rPr>
      </w:pPr>
    </w:p>
    <w:p w14:paraId="7207BEDC" w14:textId="237E3C0F" w:rsidR="0029498D" w:rsidRPr="00CE2D13" w:rsidRDefault="0029498D" w:rsidP="00CE2D13">
      <w:r w:rsidRPr="00CE2D13">
        <w:t>National Archives, AIR 1/569/16/15/142/A. Report of the raid by Major General Ferrier, Commander Humber Defences 1915, Surrey.</w:t>
      </w:r>
    </w:p>
    <w:p w14:paraId="305C143E" w14:textId="77777777" w:rsidR="0029498D" w:rsidRDefault="0029498D" w:rsidP="0029498D"/>
    <w:p w14:paraId="6426F83A" w14:textId="02CC3754" w:rsidR="009E7C02" w:rsidRPr="00E06CEB" w:rsidRDefault="009E7C02" w:rsidP="00E06CEB">
      <w:pPr>
        <w:pStyle w:val="NoSpacing"/>
        <w:spacing w:line="360" w:lineRule="auto"/>
        <w:jc w:val="both"/>
        <w:rPr>
          <w:b/>
          <w:u w:val="single"/>
        </w:rPr>
      </w:pPr>
      <w:r w:rsidRPr="00E06CEB">
        <w:rPr>
          <w:b/>
          <w:u w:val="single"/>
        </w:rPr>
        <w:lastRenderedPageBreak/>
        <w:t>Secondary Sources</w:t>
      </w:r>
    </w:p>
    <w:p w14:paraId="1663B787" w14:textId="52C308C9" w:rsidR="009E7C02" w:rsidRDefault="009E7C02" w:rsidP="009E7C02">
      <w:pPr>
        <w:pStyle w:val="NoSpacing"/>
        <w:spacing w:line="360" w:lineRule="auto"/>
        <w:jc w:val="both"/>
      </w:pPr>
    </w:p>
    <w:p w14:paraId="22CDDB87" w14:textId="77777777" w:rsidR="00CE2D13" w:rsidRPr="00E6482E" w:rsidRDefault="00CE2D13" w:rsidP="00CE2D13">
      <w:pPr>
        <w:pStyle w:val="FootnoteText"/>
        <w:spacing w:line="360" w:lineRule="auto"/>
        <w:rPr>
          <w:sz w:val="24"/>
          <w:szCs w:val="24"/>
        </w:rPr>
      </w:pPr>
      <w:r>
        <w:rPr>
          <w:sz w:val="24"/>
          <w:szCs w:val="24"/>
        </w:rPr>
        <w:t xml:space="preserve">Anne-Marie Foster, ‘Edith Cavell—100 Years On’, </w:t>
      </w:r>
      <w:r w:rsidRPr="00E6482E">
        <w:rPr>
          <w:i/>
          <w:sz w:val="24"/>
          <w:szCs w:val="24"/>
        </w:rPr>
        <w:t xml:space="preserve">British Library </w:t>
      </w:r>
      <w:r>
        <w:rPr>
          <w:sz w:val="24"/>
          <w:szCs w:val="24"/>
        </w:rPr>
        <w:t xml:space="preserve">(2016), [online]. Available at: </w:t>
      </w:r>
      <w:hyperlink r:id="rId14" w:history="1">
        <w:r w:rsidRPr="00141D4A">
          <w:rPr>
            <w:rStyle w:val="Hyperlink"/>
            <w:sz w:val="24"/>
            <w:szCs w:val="24"/>
          </w:rPr>
          <w:t>http://blogs.bl.uk/untoldlives/2016/10/edith-cavell-101-years-on.html</w:t>
        </w:r>
      </w:hyperlink>
      <w:r>
        <w:rPr>
          <w:sz w:val="24"/>
          <w:szCs w:val="24"/>
        </w:rPr>
        <w:t>. (Accessed: 4 Dec 2017).</w:t>
      </w:r>
    </w:p>
    <w:p w14:paraId="50A9062C" w14:textId="77777777" w:rsidR="00CE2D13" w:rsidRDefault="00CE2D13" w:rsidP="00CE2D13">
      <w:pPr>
        <w:pStyle w:val="NoSpacing"/>
        <w:spacing w:line="360" w:lineRule="auto"/>
        <w:jc w:val="both"/>
      </w:pPr>
      <w:r>
        <w:t xml:space="preserve">Arthur, M., </w:t>
      </w:r>
      <w:r w:rsidRPr="00386F72">
        <w:rPr>
          <w:i/>
        </w:rPr>
        <w:t>Forgotten Voices of the Great War</w:t>
      </w:r>
      <w:r>
        <w:t xml:space="preserve"> (London: Ebury Press, 2003).</w:t>
      </w:r>
    </w:p>
    <w:p w14:paraId="25F3CF28" w14:textId="77777777" w:rsidR="00CE2D13" w:rsidRPr="00E6482E" w:rsidRDefault="00CE2D13" w:rsidP="00CE2D13">
      <w:pPr>
        <w:pStyle w:val="FootnoteText"/>
        <w:spacing w:line="360" w:lineRule="auto"/>
        <w:jc w:val="both"/>
        <w:rPr>
          <w:sz w:val="24"/>
          <w:szCs w:val="24"/>
        </w:rPr>
      </w:pPr>
      <w:r w:rsidRPr="00E6482E">
        <w:rPr>
          <w:sz w:val="24"/>
          <w:szCs w:val="24"/>
        </w:rPr>
        <w:t xml:space="preserve">British Red Cross, Volunteers during the First World War [online]. Available at: </w:t>
      </w:r>
      <w:hyperlink r:id="rId15" w:history="1">
        <w:r w:rsidRPr="00E6482E">
          <w:rPr>
            <w:rStyle w:val="Hyperlink"/>
            <w:sz w:val="24"/>
            <w:szCs w:val="24"/>
          </w:rPr>
          <w:t>http://www.redcross.org.uk/About-us/Who-we-are/History-and-origin/First-World-War/Volunteers-during-WW1</w:t>
        </w:r>
      </w:hyperlink>
      <w:r w:rsidRPr="00E6482E">
        <w:rPr>
          <w:sz w:val="24"/>
          <w:szCs w:val="24"/>
        </w:rPr>
        <w:t>. (Accessed: 2 Dec 2017).</w:t>
      </w:r>
    </w:p>
    <w:p w14:paraId="10237E25" w14:textId="77777777" w:rsidR="00CE2D13" w:rsidRPr="00E6482E" w:rsidRDefault="00CE2D13" w:rsidP="00CE2D13">
      <w:pPr>
        <w:pStyle w:val="FootnoteText"/>
        <w:spacing w:line="360" w:lineRule="auto"/>
        <w:rPr>
          <w:sz w:val="24"/>
          <w:szCs w:val="24"/>
        </w:rPr>
      </w:pPr>
      <w:r>
        <w:rPr>
          <w:sz w:val="24"/>
          <w:szCs w:val="24"/>
        </w:rPr>
        <w:t xml:space="preserve">Cavell Nurses Trust, ‘Who was Edith Cavell?’, [online]. Available at: </w:t>
      </w:r>
      <w:hyperlink r:id="rId16" w:history="1">
        <w:r w:rsidRPr="00141D4A">
          <w:rPr>
            <w:rStyle w:val="Hyperlink"/>
            <w:sz w:val="24"/>
            <w:szCs w:val="24"/>
          </w:rPr>
          <w:t>https://edithcavell.org.uk/edith-cavells-life</w:t>
        </w:r>
      </w:hyperlink>
      <w:r>
        <w:rPr>
          <w:sz w:val="24"/>
          <w:szCs w:val="24"/>
        </w:rPr>
        <w:t>. (Accessed: 4 Dec 2017).</w:t>
      </w:r>
    </w:p>
    <w:p w14:paraId="78103EBB" w14:textId="77777777" w:rsidR="00CE2D13" w:rsidRPr="00E6482E" w:rsidRDefault="00CE2D13" w:rsidP="00CE2D13">
      <w:pPr>
        <w:pStyle w:val="NoSpacing"/>
        <w:spacing w:line="360" w:lineRule="auto"/>
        <w:jc w:val="both"/>
      </w:pPr>
      <w:r>
        <w:t xml:space="preserve">C. N. </w:t>
      </w:r>
      <w:proofErr w:type="spellStart"/>
      <w:r>
        <w:t>Trueman</w:t>
      </w:r>
      <w:proofErr w:type="spellEnd"/>
      <w:r>
        <w:t xml:space="preserve">, ‘The Home Front from 1914-1918’, History Learning Site (2015). Available at: </w:t>
      </w:r>
      <w:hyperlink r:id="rId17" w:history="1">
        <w:r w:rsidRPr="00141D4A">
          <w:rPr>
            <w:rStyle w:val="Hyperlink"/>
          </w:rPr>
          <w:t>https://www.historylearningsite.co.uk/world-war-one/the-home-front-1914-to-1918</w:t>
        </w:r>
      </w:hyperlink>
      <w:r>
        <w:t>. (Accessed: 4 Dec 2017).</w:t>
      </w:r>
    </w:p>
    <w:p w14:paraId="3CAB0A9D" w14:textId="77777777" w:rsidR="00CE2D13" w:rsidRPr="00E6482E" w:rsidRDefault="00CE2D13" w:rsidP="00CE2D13">
      <w:pPr>
        <w:pStyle w:val="FootnoteText"/>
        <w:spacing w:line="360" w:lineRule="auto"/>
        <w:rPr>
          <w:sz w:val="24"/>
          <w:szCs w:val="24"/>
        </w:rPr>
      </w:pPr>
      <w:r w:rsidRPr="00E6482E">
        <w:rPr>
          <w:sz w:val="24"/>
          <w:szCs w:val="24"/>
        </w:rPr>
        <w:t xml:space="preserve">Edgar Jones, ‘Air-raid casualties in the First World War’, History of Government (2015), [online]. Available at: </w:t>
      </w:r>
      <w:hyperlink r:id="rId18" w:history="1">
        <w:r w:rsidRPr="00E6482E">
          <w:rPr>
            <w:rStyle w:val="Hyperlink"/>
            <w:sz w:val="24"/>
            <w:szCs w:val="24"/>
          </w:rPr>
          <w:t>https://history.blog.gov.uk/2015/01/19/air-raid-casualties-in-the-first-world-war/</w:t>
        </w:r>
      </w:hyperlink>
      <w:r w:rsidRPr="00E6482E">
        <w:rPr>
          <w:sz w:val="24"/>
          <w:szCs w:val="24"/>
        </w:rPr>
        <w:t>. (Accessed: 4 Dec 2017)</w:t>
      </w:r>
      <w:r>
        <w:rPr>
          <w:sz w:val="24"/>
          <w:szCs w:val="24"/>
        </w:rPr>
        <w:t>.</w:t>
      </w:r>
    </w:p>
    <w:p w14:paraId="553335BC" w14:textId="77777777" w:rsidR="00CE2D13" w:rsidRDefault="00CE2D13" w:rsidP="00CE2D13">
      <w:pPr>
        <w:pStyle w:val="NoSpacing"/>
        <w:spacing w:line="360" w:lineRule="auto"/>
        <w:jc w:val="both"/>
      </w:pPr>
      <w:r>
        <w:t xml:space="preserve">Ferguson, N., </w:t>
      </w:r>
      <w:r w:rsidRPr="00386F72">
        <w:rPr>
          <w:i/>
        </w:rPr>
        <w:t>The Pity of War</w:t>
      </w:r>
      <w:r>
        <w:t xml:space="preserve"> (London: Penguin Books Ltd., 1999).</w:t>
      </w:r>
    </w:p>
    <w:p w14:paraId="14613D1C" w14:textId="77777777" w:rsidR="00CE2D13" w:rsidRDefault="00CE2D13" w:rsidP="00CE2D13">
      <w:pPr>
        <w:pStyle w:val="FootnoteText"/>
        <w:spacing w:line="360" w:lineRule="auto"/>
        <w:rPr>
          <w:sz w:val="24"/>
        </w:rPr>
      </w:pPr>
      <w:r>
        <w:rPr>
          <w:sz w:val="24"/>
          <w:szCs w:val="24"/>
        </w:rPr>
        <w:t>Hodgson, G.R., ‘</w:t>
      </w:r>
      <w:r w:rsidRPr="00967DEA">
        <w:rPr>
          <w:sz w:val="24"/>
        </w:rPr>
        <w:t>Nurse, martyr, propaganda tool: the reporting of Edith Cavell in British newspapers 1915-1920</w:t>
      </w:r>
      <w:r>
        <w:rPr>
          <w:sz w:val="24"/>
        </w:rPr>
        <w:t xml:space="preserve">’, </w:t>
      </w:r>
      <w:r w:rsidRPr="00967DEA">
        <w:rPr>
          <w:i/>
          <w:sz w:val="24"/>
        </w:rPr>
        <w:t>Media</w:t>
      </w:r>
      <w:r>
        <w:rPr>
          <w:i/>
          <w:sz w:val="24"/>
        </w:rPr>
        <w:t>,</w:t>
      </w:r>
      <w:r w:rsidRPr="00967DEA">
        <w:rPr>
          <w:i/>
          <w:sz w:val="24"/>
        </w:rPr>
        <w:t xml:space="preserve"> War </w:t>
      </w:r>
      <w:r>
        <w:rPr>
          <w:i/>
          <w:sz w:val="24"/>
        </w:rPr>
        <w:t>&amp;</w:t>
      </w:r>
      <w:r w:rsidRPr="00967DEA">
        <w:rPr>
          <w:i/>
          <w:sz w:val="24"/>
        </w:rPr>
        <w:t xml:space="preserve"> Conflict</w:t>
      </w:r>
      <w:r>
        <w:rPr>
          <w:sz w:val="24"/>
        </w:rPr>
        <w:t xml:space="preserve">, vol. 10, issue 2 (2015), pp. 239-253. </w:t>
      </w:r>
    </w:p>
    <w:p w14:paraId="53E43E91" w14:textId="59E72AC9" w:rsidR="00CE2D13" w:rsidRPr="00CE2D13" w:rsidRDefault="00CE2D13" w:rsidP="00CE2D13">
      <w:pPr>
        <w:pStyle w:val="FootnoteText"/>
        <w:spacing w:line="360" w:lineRule="auto"/>
        <w:rPr>
          <w:sz w:val="24"/>
          <w:szCs w:val="24"/>
        </w:rPr>
      </w:pPr>
      <w:r>
        <w:rPr>
          <w:sz w:val="24"/>
        </w:rPr>
        <w:t xml:space="preserve"> </w:t>
      </w:r>
      <w:r w:rsidRPr="00E6482E">
        <w:rPr>
          <w:sz w:val="24"/>
          <w:szCs w:val="24"/>
        </w:rPr>
        <w:t xml:space="preserve">Kate Lindsay, ‘The She-Soldiers of World War One’, World War I Centenary, [online]. Available at: </w:t>
      </w:r>
      <w:hyperlink r:id="rId19" w:history="1">
        <w:r w:rsidRPr="00386F72">
          <w:rPr>
            <w:rStyle w:val="Hyperlink"/>
            <w:sz w:val="24"/>
            <w:szCs w:val="24"/>
          </w:rPr>
          <w:t>http://ww1centenary.oucs.ox.ac.uk/unconventionalsoldiers/the-sh</w:t>
        </w:r>
        <w:r w:rsidRPr="00386F72">
          <w:rPr>
            <w:rStyle w:val="Hyperlink"/>
            <w:sz w:val="24"/>
            <w:szCs w:val="24"/>
          </w:rPr>
          <w:t>e</w:t>
        </w:r>
        <w:r w:rsidRPr="00386F72">
          <w:rPr>
            <w:rStyle w:val="Hyperlink"/>
            <w:sz w:val="24"/>
            <w:szCs w:val="24"/>
          </w:rPr>
          <w:t>-soldiers-of-world-war-one/</w:t>
        </w:r>
      </w:hyperlink>
      <w:r w:rsidRPr="00386F72">
        <w:rPr>
          <w:sz w:val="24"/>
          <w:szCs w:val="24"/>
        </w:rPr>
        <w:t>. (Accessed: 3 Dec 2017).</w:t>
      </w:r>
    </w:p>
    <w:p w14:paraId="5A4956F9" w14:textId="3FCDD10E" w:rsidR="007B5FCD" w:rsidRPr="00CE2D13" w:rsidRDefault="00CE2D13" w:rsidP="00CE2D13">
      <w:pPr>
        <w:pStyle w:val="FootnoteText"/>
        <w:spacing w:line="360" w:lineRule="auto"/>
        <w:rPr>
          <w:sz w:val="24"/>
          <w:szCs w:val="24"/>
        </w:rPr>
      </w:pPr>
      <w:r w:rsidRPr="00E6482E">
        <w:rPr>
          <w:sz w:val="24"/>
          <w:szCs w:val="24"/>
        </w:rPr>
        <w:t xml:space="preserve">Louise </w:t>
      </w:r>
      <w:proofErr w:type="spellStart"/>
      <w:r w:rsidRPr="00E6482E">
        <w:rPr>
          <w:sz w:val="24"/>
          <w:szCs w:val="24"/>
        </w:rPr>
        <w:t>Bruton</w:t>
      </w:r>
      <w:proofErr w:type="spellEnd"/>
      <w:r w:rsidRPr="00E6482E">
        <w:rPr>
          <w:sz w:val="24"/>
          <w:szCs w:val="24"/>
        </w:rPr>
        <w:t xml:space="preserve">, ‘The War at Sea’, British Library (2014), [online]. Available at: </w:t>
      </w:r>
      <w:hyperlink r:id="rId20" w:history="1">
        <w:r w:rsidRPr="00E6482E">
          <w:rPr>
            <w:rStyle w:val="Hyperlink"/>
            <w:sz w:val="24"/>
            <w:szCs w:val="24"/>
          </w:rPr>
          <w:t>https://www.bl.uk/world-war-one/articles/the-war-at-sea</w:t>
        </w:r>
      </w:hyperlink>
      <w:r w:rsidRPr="00E6482E">
        <w:rPr>
          <w:sz w:val="24"/>
          <w:szCs w:val="24"/>
        </w:rPr>
        <w:t>. (Accessed: 3 Dec 2017).</w:t>
      </w:r>
    </w:p>
    <w:p w14:paraId="25DCCEFB" w14:textId="1209AE90" w:rsidR="002C5741" w:rsidRDefault="00CE2D13" w:rsidP="009E7C02">
      <w:pPr>
        <w:pStyle w:val="NoSpacing"/>
        <w:spacing w:line="360" w:lineRule="auto"/>
        <w:jc w:val="both"/>
      </w:pPr>
      <w:r>
        <w:t>MacDonald</w:t>
      </w:r>
      <w:r>
        <w:t xml:space="preserve">, </w:t>
      </w:r>
      <w:r w:rsidR="007B5FCD">
        <w:t>L</w:t>
      </w:r>
      <w:r>
        <w:t>.</w:t>
      </w:r>
      <w:r w:rsidR="007B5FCD">
        <w:t xml:space="preserve">, </w:t>
      </w:r>
      <w:r w:rsidR="007B5FCD" w:rsidRPr="00386F72">
        <w:rPr>
          <w:i/>
        </w:rPr>
        <w:t>Roses of No Man’s Land</w:t>
      </w:r>
      <w:r w:rsidR="007B5FCD">
        <w:t xml:space="preserve"> (London: Penguin Books Ltd., 1993).</w:t>
      </w:r>
    </w:p>
    <w:p w14:paraId="491085DF" w14:textId="77777777" w:rsidR="00CE2D13" w:rsidRDefault="00CE2D13" w:rsidP="00CE2D13">
      <w:pPr>
        <w:pStyle w:val="NoSpacing"/>
        <w:spacing w:line="360" w:lineRule="auto"/>
        <w:jc w:val="both"/>
      </w:pPr>
      <w:r>
        <w:t xml:space="preserve">Marwick, A., </w:t>
      </w:r>
      <w:r w:rsidRPr="00386F72">
        <w:rPr>
          <w:i/>
        </w:rPr>
        <w:t>Total War and Social Change</w:t>
      </w:r>
      <w:r>
        <w:t xml:space="preserve"> (London: Macmillan Press Ltd., 1988).</w:t>
      </w:r>
    </w:p>
    <w:p w14:paraId="3363C0F0" w14:textId="7C4666EA" w:rsidR="00CE2D13" w:rsidRPr="00E6482E" w:rsidRDefault="00CE2D13" w:rsidP="00CE2D13">
      <w:pPr>
        <w:pStyle w:val="FootnoteText"/>
        <w:spacing w:line="360" w:lineRule="auto"/>
        <w:rPr>
          <w:sz w:val="24"/>
          <w:szCs w:val="24"/>
        </w:rPr>
      </w:pPr>
      <w:r w:rsidRPr="00E6482E">
        <w:rPr>
          <w:sz w:val="24"/>
          <w:szCs w:val="24"/>
        </w:rPr>
        <w:t xml:space="preserve">Maeve Underwood, ‘The Air Raids that Shook Britain’, Imperial War Museum, [online]. Available at: </w:t>
      </w:r>
      <w:hyperlink r:id="rId21" w:history="1">
        <w:r w:rsidRPr="00E6482E">
          <w:rPr>
            <w:rStyle w:val="Hyperlink"/>
            <w:sz w:val="24"/>
            <w:szCs w:val="24"/>
          </w:rPr>
          <w:t>http://www.iwm.org.uk/history/the-air-raids-that-shook-britain-in-the-first-world-war</w:t>
        </w:r>
      </w:hyperlink>
      <w:r w:rsidRPr="00E6482E">
        <w:rPr>
          <w:sz w:val="24"/>
          <w:szCs w:val="24"/>
        </w:rPr>
        <w:t>. (Accessed: 4 Dec 2017)</w:t>
      </w:r>
    </w:p>
    <w:p w14:paraId="14ED8138" w14:textId="77777777" w:rsidR="00CE2D13" w:rsidRPr="00E6482E" w:rsidRDefault="00CE2D13" w:rsidP="00CE2D13">
      <w:pPr>
        <w:pStyle w:val="FootnoteText"/>
        <w:spacing w:line="360" w:lineRule="auto"/>
        <w:rPr>
          <w:sz w:val="24"/>
          <w:szCs w:val="24"/>
        </w:rPr>
      </w:pPr>
      <w:r w:rsidRPr="00E6482E">
        <w:rPr>
          <w:sz w:val="24"/>
          <w:szCs w:val="24"/>
        </w:rPr>
        <w:t xml:space="preserve">Matthew Leonard, ‘The War Underground: An overview’, WWI Centenary (2014), [online]. Available at: </w:t>
      </w:r>
      <w:hyperlink r:id="rId22" w:history="1">
        <w:r w:rsidRPr="00E6482E">
          <w:rPr>
            <w:rStyle w:val="Hyperlink"/>
            <w:sz w:val="24"/>
            <w:szCs w:val="24"/>
          </w:rPr>
          <w:t>http://ww1centenary.oucs.ox.ac.uk/space-into-place/the-war-underground-an-overview/</w:t>
        </w:r>
      </w:hyperlink>
      <w:r w:rsidRPr="00E6482E">
        <w:rPr>
          <w:sz w:val="24"/>
          <w:szCs w:val="24"/>
        </w:rPr>
        <w:t>. (Accessed: 3 Dec 2017)</w:t>
      </w:r>
      <w:r>
        <w:rPr>
          <w:sz w:val="24"/>
          <w:szCs w:val="24"/>
        </w:rPr>
        <w:t>.</w:t>
      </w:r>
    </w:p>
    <w:p w14:paraId="69C1F4E8" w14:textId="77777777" w:rsidR="00CE2D13" w:rsidRDefault="00CE2D13" w:rsidP="00CE2D13">
      <w:pPr>
        <w:pStyle w:val="NoSpacing"/>
        <w:spacing w:line="360" w:lineRule="auto"/>
        <w:jc w:val="both"/>
      </w:pPr>
      <w:r>
        <w:t xml:space="preserve">Moorhouse, G., </w:t>
      </w:r>
      <w:r w:rsidRPr="00386F72">
        <w:rPr>
          <w:i/>
        </w:rPr>
        <w:t>Hell’s Foundations</w:t>
      </w:r>
      <w:r>
        <w:t xml:space="preserve"> (London: Hodder and </w:t>
      </w:r>
      <w:proofErr w:type="spellStart"/>
      <w:r>
        <w:t>Stroughton</w:t>
      </w:r>
      <w:proofErr w:type="spellEnd"/>
      <w:r>
        <w:t>, 1992).</w:t>
      </w:r>
    </w:p>
    <w:p w14:paraId="1FB3A5C0" w14:textId="00090858" w:rsidR="004527B1" w:rsidRDefault="00CE2D13" w:rsidP="009E7C02">
      <w:pPr>
        <w:pStyle w:val="NoSpacing"/>
        <w:spacing w:line="360" w:lineRule="auto"/>
        <w:jc w:val="both"/>
      </w:pPr>
      <w:r>
        <w:lastRenderedPageBreak/>
        <w:t>Miller</w:t>
      </w:r>
      <w:r>
        <w:t xml:space="preserve">, </w:t>
      </w:r>
      <w:r w:rsidR="004527B1">
        <w:t>L</w:t>
      </w:r>
      <w:r>
        <w:t>.</w:t>
      </w:r>
      <w:r w:rsidR="004527B1">
        <w:t xml:space="preserve">, </w:t>
      </w:r>
      <w:r w:rsidR="004527B1" w:rsidRPr="004527B1">
        <w:rPr>
          <w:i/>
        </w:rPr>
        <w:t>A Fine Brother: Flora Sandes</w:t>
      </w:r>
      <w:r w:rsidR="004527B1">
        <w:t xml:space="preserve"> (Surrey: Alma Books </w:t>
      </w:r>
      <w:proofErr w:type="spellStart"/>
      <w:r w:rsidR="004527B1">
        <w:t>Lrd</w:t>
      </w:r>
      <w:proofErr w:type="spellEnd"/>
      <w:r w:rsidR="004527B1">
        <w:t>., 2012).</w:t>
      </w:r>
    </w:p>
    <w:p w14:paraId="77213443" w14:textId="1BFFBB09" w:rsidR="004527B1" w:rsidRPr="001F58C2" w:rsidRDefault="00CE2D13" w:rsidP="004527B1">
      <w:pPr>
        <w:pStyle w:val="NoSpacing"/>
        <w:spacing w:line="360" w:lineRule="auto"/>
        <w:jc w:val="both"/>
      </w:pPr>
      <w:r>
        <w:t>Noakes</w:t>
      </w:r>
      <w:r>
        <w:t xml:space="preserve">, </w:t>
      </w:r>
      <w:r w:rsidR="004527B1">
        <w:t>L</w:t>
      </w:r>
      <w:r>
        <w:t>.</w:t>
      </w:r>
      <w:r w:rsidR="004527B1">
        <w:t xml:space="preserve">, ‘Demobilising the Military Women: Constructions of Class and Gender in Britain after the First World War’, </w:t>
      </w:r>
      <w:r w:rsidR="004527B1" w:rsidRPr="00C940FB">
        <w:rPr>
          <w:i/>
        </w:rPr>
        <w:t>Gender &amp; History</w:t>
      </w:r>
      <w:r w:rsidR="004527B1">
        <w:t>, vol. 19, Issue 1 (2007), pp. 143-162.</w:t>
      </w:r>
    </w:p>
    <w:p w14:paraId="3BC31D01" w14:textId="5761FD0A" w:rsidR="00CE2D13" w:rsidRPr="00386F72" w:rsidRDefault="00CE2D13" w:rsidP="00CE2D13">
      <w:pPr>
        <w:pStyle w:val="FootnoteText"/>
        <w:spacing w:line="360" w:lineRule="auto"/>
        <w:rPr>
          <w:sz w:val="24"/>
        </w:rPr>
      </w:pPr>
      <w:r w:rsidRPr="00E6482E">
        <w:rPr>
          <w:sz w:val="24"/>
          <w:szCs w:val="24"/>
        </w:rPr>
        <w:t xml:space="preserve">Nick Hewitt, ‘What was the Battle of the Jutland?’, Imperial War Museum, [online]. Available at: </w:t>
      </w:r>
      <w:hyperlink r:id="rId23" w:history="1">
        <w:r w:rsidRPr="00E6482E">
          <w:rPr>
            <w:rStyle w:val="Hyperlink"/>
            <w:sz w:val="24"/>
            <w:szCs w:val="24"/>
          </w:rPr>
          <w:t>http://www.iwm.org.uk/history/what-was-the-battle-of-jutland</w:t>
        </w:r>
      </w:hyperlink>
      <w:r w:rsidRPr="00E6482E">
        <w:rPr>
          <w:sz w:val="24"/>
          <w:szCs w:val="24"/>
        </w:rPr>
        <w:t>. (Accessed: 3 Dec 2017).</w:t>
      </w:r>
      <w:r w:rsidRPr="00CE2D13">
        <w:rPr>
          <w:sz w:val="24"/>
          <w:szCs w:val="24"/>
        </w:rPr>
        <w:t xml:space="preserve"> </w:t>
      </w:r>
    </w:p>
    <w:p w14:paraId="31F65A11" w14:textId="77777777" w:rsidR="00CE2D13" w:rsidRDefault="00CE2D13" w:rsidP="00CE2D13">
      <w:pPr>
        <w:pStyle w:val="NoSpacing"/>
        <w:spacing w:line="360" w:lineRule="auto"/>
        <w:jc w:val="both"/>
      </w:pPr>
      <w:r>
        <w:t xml:space="preserve">Reynolds, D., </w:t>
      </w:r>
      <w:r w:rsidRPr="00386F72">
        <w:rPr>
          <w:i/>
        </w:rPr>
        <w:t>The Long Shadow</w:t>
      </w:r>
      <w:r>
        <w:t xml:space="preserve"> (London: Simon &amp; Schuster UK Ltd., 2013).</w:t>
      </w:r>
    </w:p>
    <w:p w14:paraId="2F24DF76" w14:textId="30B9EBFF" w:rsidR="00250716" w:rsidRDefault="001F58C2" w:rsidP="001F58C2">
      <w:pPr>
        <w:pStyle w:val="NoSpacing"/>
        <w:spacing w:line="360" w:lineRule="auto"/>
        <w:jc w:val="both"/>
      </w:pPr>
      <w:r>
        <w:t xml:space="preserve">Santanu Das, ‘Reframing First World War Poetry’, </w:t>
      </w:r>
      <w:r w:rsidRPr="004527B1">
        <w:rPr>
          <w:i/>
        </w:rPr>
        <w:t>The British Library</w:t>
      </w:r>
      <w:r>
        <w:t xml:space="preserve"> (2012), [online]. Available at: </w:t>
      </w:r>
      <w:hyperlink r:id="rId24" w:history="1">
        <w:r w:rsidRPr="00CE22D3">
          <w:rPr>
            <w:rStyle w:val="Hyperlink"/>
          </w:rPr>
          <w:t>https://www.bl.uk/world-war-one/articles/reframing-first-world-war-poetry</w:t>
        </w:r>
      </w:hyperlink>
      <w:r>
        <w:t xml:space="preserve">. </w:t>
      </w:r>
      <w:r w:rsidRPr="001F58C2">
        <w:rPr>
          <w:rStyle w:val="Hyperlink"/>
          <w:color w:val="auto"/>
          <w:u w:val="none"/>
        </w:rPr>
        <w:t>(</w:t>
      </w:r>
      <w:r>
        <w:rPr>
          <w:rStyle w:val="Hyperlink"/>
          <w:color w:val="auto"/>
          <w:u w:val="none"/>
        </w:rPr>
        <w:t>A</w:t>
      </w:r>
      <w:r w:rsidRPr="001F58C2">
        <w:rPr>
          <w:rStyle w:val="Hyperlink"/>
          <w:color w:val="auto"/>
          <w:u w:val="none"/>
        </w:rPr>
        <w:t>ccessed</w:t>
      </w:r>
      <w:r>
        <w:rPr>
          <w:rStyle w:val="Hyperlink"/>
          <w:color w:val="auto"/>
          <w:u w:val="none"/>
        </w:rPr>
        <w:t>: 2 Dec 201</w:t>
      </w:r>
      <w:r w:rsidR="00250716">
        <w:rPr>
          <w:rStyle w:val="Hyperlink"/>
          <w:color w:val="auto"/>
          <w:u w:val="none"/>
        </w:rPr>
        <w:t>7).</w:t>
      </w:r>
    </w:p>
    <w:p w14:paraId="122A9389" w14:textId="77777777" w:rsidR="00CE2D13" w:rsidRPr="00E6482E" w:rsidRDefault="00CE2D13" w:rsidP="00CE2D13">
      <w:pPr>
        <w:pStyle w:val="NoSpacing"/>
        <w:spacing w:line="360" w:lineRule="auto"/>
        <w:jc w:val="both"/>
      </w:pPr>
      <w:r w:rsidRPr="00E6482E">
        <w:t xml:space="preserve">Santanu Das, ‘Sensuous life within the trenches’, British Library (2014), [online]. Available at: </w:t>
      </w:r>
      <w:hyperlink r:id="rId25" w:history="1">
        <w:r w:rsidRPr="00E6482E">
          <w:rPr>
            <w:rStyle w:val="Hyperlink"/>
          </w:rPr>
          <w:t>https://www.bl.uk/world-war-one/articles/sensuous-life-in-the-trenches</w:t>
        </w:r>
      </w:hyperlink>
      <w:r w:rsidRPr="00E6482E">
        <w:t>. (Accessed: 3 Dec 2017).</w:t>
      </w:r>
    </w:p>
    <w:p w14:paraId="713C7539" w14:textId="45796635" w:rsidR="00CE2D13" w:rsidRDefault="00386F72" w:rsidP="00E6482E">
      <w:pPr>
        <w:pStyle w:val="NoSpacing"/>
        <w:spacing w:line="360" w:lineRule="auto"/>
        <w:jc w:val="both"/>
      </w:pPr>
      <w:r>
        <w:t>Simmonds</w:t>
      </w:r>
      <w:r>
        <w:t xml:space="preserve">, </w:t>
      </w:r>
      <w:r>
        <w:t>A</w:t>
      </w:r>
      <w:r w:rsidR="00CE2D13">
        <w:t xml:space="preserve">., </w:t>
      </w:r>
      <w:r w:rsidR="00CE2D13" w:rsidRPr="00386F72">
        <w:rPr>
          <w:i/>
        </w:rPr>
        <w:t>Britain and World War One</w:t>
      </w:r>
      <w:r w:rsidR="00CE2D13">
        <w:t xml:space="preserve"> (London: Routledge, 2012).</w:t>
      </w:r>
    </w:p>
    <w:p w14:paraId="083E51A3" w14:textId="77777777" w:rsidR="00CE2D13" w:rsidRPr="00E6482E" w:rsidRDefault="00CE2D13" w:rsidP="00CE2D13">
      <w:pPr>
        <w:pStyle w:val="FootnoteText"/>
        <w:spacing w:line="360" w:lineRule="auto"/>
        <w:rPr>
          <w:sz w:val="24"/>
          <w:szCs w:val="24"/>
        </w:rPr>
      </w:pPr>
      <w:r w:rsidRPr="00E6482E">
        <w:rPr>
          <w:sz w:val="24"/>
          <w:szCs w:val="24"/>
        </w:rPr>
        <w:t xml:space="preserve">Susan </w:t>
      </w:r>
      <w:proofErr w:type="spellStart"/>
      <w:r w:rsidRPr="00E6482E">
        <w:rPr>
          <w:sz w:val="24"/>
          <w:szCs w:val="24"/>
        </w:rPr>
        <w:t>Grayzel</w:t>
      </w:r>
      <w:proofErr w:type="spellEnd"/>
      <w:r w:rsidRPr="00E6482E">
        <w:rPr>
          <w:sz w:val="24"/>
          <w:szCs w:val="24"/>
        </w:rPr>
        <w:t xml:space="preserve">, ‘Changing lives: gender </w:t>
      </w:r>
      <w:proofErr w:type="spellStart"/>
      <w:r w:rsidRPr="00E6482E">
        <w:rPr>
          <w:sz w:val="24"/>
          <w:szCs w:val="24"/>
        </w:rPr>
        <w:t>expections</w:t>
      </w:r>
      <w:proofErr w:type="spellEnd"/>
      <w:r w:rsidRPr="00E6482E">
        <w:rPr>
          <w:sz w:val="24"/>
          <w:szCs w:val="24"/>
        </w:rPr>
        <w:t xml:space="preserve"> and roles during World War One’, British Library (2014), [online]. Available at:  </w:t>
      </w:r>
      <w:hyperlink r:id="rId26" w:history="1">
        <w:r w:rsidRPr="00E6482E">
          <w:rPr>
            <w:rStyle w:val="Hyperlink"/>
            <w:sz w:val="24"/>
            <w:szCs w:val="24"/>
          </w:rPr>
          <w:t>https://www.bl.uk/world-war-one/articles/changing-lives</w:t>
        </w:r>
        <w:r w:rsidRPr="00E6482E">
          <w:rPr>
            <w:rStyle w:val="Hyperlink"/>
            <w:sz w:val="24"/>
            <w:szCs w:val="24"/>
          </w:rPr>
          <w:t>-</w:t>
        </w:r>
        <w:r w:rsidRPr="00E6482E">
          <w:rPr>
            <w:rStyle w:val="Hyperlink"/>
            <w:sz w:val="24"/>
            <w:szCs w:val="24"/>
          </w:rPr>
          <w:t>gender-expectations</w:t>
        </w:r>
      </w:hyperlink>
      <w:r w:rsidRPr="00E6482E">
        <w:rPr>
          <w:sz w:val="24"/>
          <w:szCs w:val="24"/>
        </w:rPr>
        <w:t>. (Accessed 3 Dec 2017).</w:t>
      </w:r>
    </w:p>
    <w:p w14:paraId="60F4B339" w14:textId="4E00013E" w:rsidR="00250716" w:rsidRPr="00E6482E" w:rsidRDefault="001F58C2" w:rsidP="00E6482E">
      <w:pPr>
        <w:pStyle w:val="NoSpacing"/>
        <w:spacing w:line="360" w:lineRule="auto"/>
        <w:jc w:val="both"/>
      </w:pPr>
      <w:r w:rsidRPr="00E6482E">
        <w:t xml:space="preserve">Toby </w:t>
      </w:r>
      <w:proofErr w:type="spellStart"/>
      <w:r w:rsidRPr="00E6482E">
        <w:t>Haggith</w:t>
      </w:r>
      <w:proofErr w:type="spellEnd"/>
      <w:r w:rsidRPr="00E6482E">
        <w:t xml:space="preserve">, ‘The Battle of the Somme film’, First World War Centenary (2014), [online]. Available at: </w:t>
      </w:r>
      <w:hyperlink r:id="rId27" w:history="1">
        <w:r w:rsidRPr="00E6482E">
          <w:rPr>
            <w:rStyle w:val="Hyperlink"/>
          </w:rPr>
          <w:t>http://www.1914.org/the-battle-of-the-somme-film/</w:t>
        </w:r>
      </w:hyperlink>
      <w:r w:rsidRPr="00E6482E">
        <w:rPr>
          <w:rStyle w:val="Hyperlink"/>
          <w:u w:val="none"/>
        </w:rPr>
        <w:t xml:space="preserve">. </w:t>
      </w:r>
      <w:r w:rsidRPr="00E6482E">
        <w:rPr>
          <w:rStyle w:val="Hyperlink"/>
          <w:color w:val="auto"/>
          <w:u w:val="none"/>
        </w:rPr>
        <w:t>(Accessed: 2 Dec 2017)</w:t>
      </w:r>
      <w:r w:rsidR="004333D2" w:rsidRPr="00E6482E">
        <w:rPr>
          <w:rStyle w:val="Hyperlink"/>
          <w:color w:val="auto"/>
          <w:u w:val="none"/>
        </w:rPr>
        <w:t>.</w:t>
      </w:r>
    </w:p>
    <w:p w14:paraId="0AE6A43A" w14:textId="013919E4" w:rsidR="00F03FBC" w:rsidRPr="00E6482E" w:rsidRDefault="00F03FBC" w:rsidP="00E6482E">
      <w:pPr>
        <w:pStyle w:val="FootnoteText"/>
        <w:spacing w:line="360" w:lineRule="auto"/>
        <w:rPr>
          <w:sz w:val="24"/>
          <w:szCs w:val="24"/>
        </w:rPr>
      </w:pPr>
    </w:p>
    <w:p w14:paraId="48C3A02A" w14:textId="2205D9AB" w:rsidR="001F38B1" w:rsidRPr="00E6482E" w:rsidRDefault="001F38B1" w:rsidP="00E6482E">
      <w:pPr>
        <w:pStyle w:val="FootnoteText"/>
        <w:spacing w:line="360" w:lineRule="auto"/>
        <w:rPr>
          <w:sz w:val="24"/>
          <w:szCs w:val="24"/>
        </w:rPr>
      </w:pPr>
    </w:p>
    <w:p w14:paraId="387E46A9" w14:textId="77777777" w:rsidR="004333D2" w:rsidRPr="00E6482E" w:rsidRDefault="004333D2" w:rsidP="00E6482E">
      <w:pPr>
        <w:pStyle w:val="FootnoteText"/>
        <w:spacing w:line="360" w:lineRule="auto"/>
        <w:rPr>
          <w:sz w:val="24"/>
          <w:szCs w:val="24"/>
        </w:rPr>
      </w:pPr>
    </w:p>
    <w:p w14:paraId="01FE8701" w14:textId="77777777" w:rsidR="00200511" w:rsidRPr="00E6482E" w:rsidRDefault="00200511" w:rsidP="00E6482E">
      <w:pPr>
        <w:pStyle w:val="FootnoteText"/>
        <w:spacing w:line="360" w:lineRule="auto"/>
        <w:rPr>
          <w:sz w:val="24"/>
          <w:szCs w:val="24"/>
        </w:rPr>
      </w:pPr>
    </w:p>
    <w:p w14:paraId="55641916" w14:textId="4AAAEAF1" w:rsidR="005D248A" w:rsidRDefault="005D248A" w:rsidP="008F74C2">
      <w:pPr>
        <w:pStyle w:val="NoSpacing"/>
        <w:spacing w:line="360" w:lineRule="auto"/>
        <w:ind w:firstLine="720"/>
        <w:jc w:val="both"/>
      </w:pPr>
    </w:p>
    <w:bookmarkEnd w:id="1"/>
    <w:p w14:paraId="4984A997" w14:textId="25D68E1D" w:rsidR="000B6EE5" w:rsidRDefault="000B6EE5" w:rsidP="008F74C2">
      <w:pPr>
        <w:pStyle w:val="NoSpacing"/>
        <w:spacing w:line="360" w:lineRule="auto"/>
        <w:ind w:firstLine="720"/>
        <w:jc w:val="both"/>
      </w:pPr>
    </w:p>
    <w:p w14:paraId="285CAC75" w14:textId="77777777" w:rsidR="000B6EE5" w:rsidRDefault="000B6EE5">
      <w:pPr>
        <w:pStyle w:val="NoSpacing"/>
        <w:spacing w:line="360" w:lineRule="auto"/>
        <w:ind w:firstLine="720"/>
        <w:jc w:val="both"/>
      </w:pPr>
    </w:p>
    <w:sectPr w:rsidR="000B6EE5">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E6656" w14:textId="77777777" w:rsidR="00B02FD4" w:rsidRDefault="00B02FD4" w:rsidP="00874075">
      <w:r>
        <w:separator/>
      </w:r>
    </w:p>
  </w:endnote>
  <w:endnote w:type="continuationSeparator" w:id="0">
    <w:p w14:paraId="382535FE" w14:textId="77777777" w:rsidR="00B02FD4" w:rsidRDefault="00B02FD4" w:rsidP="00874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6655042"/>
      <w:docPartObj>
        <w:docPartGallery w:val="Page Numbers (Bottom of Page)"/>
        <w:docPartUnique/>
      </w:docPartObj>
    </w:sdtPr>
    <w:sdtEndPr>
      <w:rPr>
        <w:noProof/>
      </w:rPr>
    </w:sdtEndPr>
    <w:sdtContent>
      <w:p w14:paraId="2AA0137D" w14:textId="576DE298" w:rsidR="001B475B" w:rsidRDefault="001B475B">
        <w:pPr>
          <w:pStyle w:val="Footer"/>
        </w:pPr>
        <w:r w:rsidRPr="00874075">
          <w:rPr>
            <w:sz w:val="20"/>
          </w:rPr>
          <w:fldChar w:fldCharType="begin"/>
        </w:r>
        <w:r w:rsidRPr="00874075">
          <w:rPr>
            <w:sz w:val="20"/>
          </w:rPr>
          <w:instrText xml:space="preserve"> PAGE   \* MERGEFORMAT </w:instrText>
        </w:r>
        <w:r w:rsidRPr="00874075">
          <w:rPr>
            <w:sz w:val="20"/>
          </w:rPr>
          <w:fldChar w:fldCharType="separate"/>
        </w:r>
        <w:r w:rsidR="009B328E">
          <w:rPr>
            <w:noProof/>
            <w:sz w:val="20"/>
          </w:rPr>
          <w:t>10</w:t>
        </w:r>
        <w:r w:rsidRPr="00874075">
          <w:rPr>
            <w:noProof/>
            <w:sz w:val="20"/>
          </w:rPr>
          <w:fldChar w:fldCharType="end"/>
        </w:r>
      </w:p>
    </w:sdtContent>
  </w:sdt>
  <w:p w14:paraId="5A185E0D" w14:textId="77777777" w:rsidR="001B475B" w:rsidRDefault="001B47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1EEC58" w14:textId="77777777" w:rsidR="00B02FD4" w:rsidRDefault="00B02FD4" w:rsidP="00874075">
      <w:r>
        <w:separator/>
      </w:r>
    </w:p>
  </w:footnote>
  <w:footnote w:type="continuationSeparator" w:id="0">
    <w:p w14:paraId="6CEEEA49" w14:textId="77777777" w:rsidR="00B02FD4" w:rsidRDefault="00B02FD4" w:rsidP="00874075">
      <w:r>
        <w:continuationSeparator/>
      </w:r>
    </w:p>
  </w:footnote>
  <w:footnote w:id="1">
    <w:p w14:paraId="51C7184C" w14:textId="2C3589D7" w:rsidR="001B475B" w:rsidRDefault="001B475B">
      <w:pPr>
        <w:pStyle w:val="FootnoteText"/>
      </w:pPr>
      <w:r>
        <w:rPr>
          <w:rStyle w:val="FootnoteReference"/>
        </w:rPr>
        <w:footnoteRef/>
      </w:r>
      <w:r>
        <w:t xml:space="preserve"> </w:t>
      </w:r>
      <w:r w:rsidR="000D40B1">
        <w:t xml:space="preserve">Santanu Das, ‘Reframing First World War Poetry’, </w:t>
      </w:r>
      <w:r w:rsidR="000D40B1" w:rsidRPr="004527B1">
        <w:rPr>
          <w:i/>
        </w:rPr>
        <w:t>The British Library</w:t>
      </w:r>
      <w:r w:rsidR="000D40B1">
        <w:t xml:space="preserve"> (2012), [online]. Available at: </w:t>
      </w:r>
      <w:hyperlink r:id="rId1" w:history="1">
        <w:r w:rsidR="000D40B1" w:rsidRPr="00CE22D3">
          <w:rPr>
            <w:rStyle w:val="Hyperlink"/>
          </w:rPr>
          <w:t>https://www.bl.uk/world-war-one/articles/reframing-first-world-war-poetry</w:t>
        </w:r>
      </w:hyperlink>
      <w:r w:rsidR="000D40B1">
        <w:t>.</w:t>
      </w:r>
    </w:p>
  </w:footnote>
  <w:footnote w:id="2">
    <w:p w14:paraId="2799523F" w14:textId="7FDCCF3E" w:rsidR="001B475B" w:rsidRPr="00386F72" w:rsidRDefault="001B475B" w:rsidP="00386F72">
      <w:pPr>
        <w:rPr>
          <w:sz w:val="20"/>
          <w:szCs w:val="20"/>
        </w:rPr>
      </w:pPr>
      <w:r w:rsidRPr="00386F72">
        <w:rPr>
          <w:rStyle w:val="FootnoteReference"/>
          <w:sz w:val="20"/>
          <w:szCs w:val="20"/>
        </w:rPr>
        <w:footnoteRef/>
      </w:r>
      <w:r w:rsidRPr="00386F72">
        <w:rPr>
          <w:sz w:val="20"/>
          <w:szCs w:val="20"/>
        </w:rPr>
        <w:t xml:space="preserve"> </w:t>
      </w:r>
      <w:r w:rsidR="00386F72" w:rsidRPr="00386F72">
        <w:rPr>
          <w:sz w:val="20"/>
          <w:szCs w:val="20"/>
        </w:rPr>
        <w:t>N</w:t>
      </w:r>
      <w:r w:rsidR="00386F72" w:rsidRPr="00386F72">
        <w:rPr>
          <w:sz w:val="20"/>
          <w:szCs w:val="20"/>
        </w:rPr>
        <w:t xml:space="preserve">. </w:t>
      </w:r>
      <w:r w:rsidR="00386F72" w:rsidRPr="00386F72">
        <w:rPr>
          <w:sz w:val="20"/>
          <w:szCs w:val="20"/>
        </w:rPr>
        <w:t xml:space="preserve">Ferguson, </w:t>
      </w:r>
      <w:r w:rsidR="00386F72" w:rsidRPr="00386F72">
        <w:rPr>
          <w:i/>
          <w:sz w:val="20"/>
          <w:szCs w:val="20"/>
        </w:rPr>
        <w:t>The Pity of War</w:t>
      </w:r>
      <w:r w:rsidR="00386F72" w:rsidRPr="00386F72">
        <w:rPr>
          <w:sz w:val="20"/>
          <w:szCs w:val="20"/>
        </w:rPr>
        <w:t xml:space="preserve"> (London: Penguin Books Ltd., 1999)</w:t>
      </w:r>
      <w:r w:rsidR="00386F72" w:rsidRPr="00386F72">
        <w:rPr>
          <w:sz w:val="20"/>
          <w:szCs w:val="20"/>
        </w:rPr>
        <w:t xml:space="preserve">, </w:t>
      </w:r>
      <w:r w:rsidRPr="00386F72">
        <w:rPr>
          <w:sz w:val="20"/>
          <w:szCs w:val="20"/>
        </w:rPr>
        <w:t>pp. 212-3</w:t>
      </w:r>
    </w:p>
  </w:footnote>
  <w:footnote w:id="3">
    <w:p w14:paraId="3FF4EFDD" w14:textId="3B2130B7" w:rsidR="001B475B" w:rsidRDefault="001B475B" w:rsidP="00386F72">
      <w:r w:rsidRPr="00386F72">
        <w:rPr>
          <w:rStyle w:val="FootnoteReference"/>
          <w:sz w:val="20"/>
          <w:szCs w:val="20"/>
        </w:rPr>
        <w:footnoteRef/>
      </w:r>
      <w:r w:rsidRPr="00386F72">
        <w:rPr>
          <w:sz w:val="20"/>
          <w:szCs w:val="20"/>
        </w:rPr>
        <w:t xml:space="preserve"> </w:t>
      </w:r>
      <w:r w:rsidR="00386F72" w:rsidRPr="00386F72">
        <w:rPr>
          <w:sz w:val="20"/>
          <w:szCs w:val="20"/>
        </w:rPr>
        <w:t>Ibid.</w:t>
      </w:r>
      <w:r w:rsidR="00386F72">
        <w:t xml:space="preserve"> </w:t>
      </w:r>
    </w:p>
  </w:footnote>
  <w:footnote w:id="4">
    <w:p w14:paraId="55D0DD9D" w14:textId="6CF950A2" w:rsidR="001B475B" w:rsidRDefault="001B475B">
      <w:pPr>
        <w:pStyle w:val="FootnoteText"/>
      </w:pPr>
      <w:r>
        <w:rPr>
          <w:rStyle w:val="FootnoteReference"/>
        </w:rPr>
        <w:footnoteRef/>
      </w:r>
      <w:r>
        <w:t xml:space="preserve"> </w:t>
      </w:r>
      <w:r w:rsidR="000D40B1" w:rsidRPr="00E6482E">
        <w:t xml:space="preserve">Toby </w:t>
      </w:r>
      <w:proofErr w:type="spellStart"/>
      <w:r w:rsidR="000D40B1" w:rsidRPr="00E6482E">
        <w:t>Haggith</w:t>
      </w:r>
      <w:proofErr w:type="spellEnd"/>
      <w:r w:rsidR="000D40B1" w:rsidRPr="00E6482E">
        <w:t xml:space="preserve">, ‘The Battle of the Somme film’, First World War Centenary (2014), [online]. Available at: </w:t>
      </w:r>
      <w:hyperlink r:id="rId2" w:history="1">
        <w:r w:rsidR="000D40B1" w:rsidRPr="00E6482E">
          <w:rPr>
            <w:rStyle w:val="Hyperlink"/>
          </w:rPr>
          <w:t>http://www.1914.org/the-battle-of-the-somme-film/</w:t>
        </w:r>
      </w:hyperlink>
      <w:r w:rsidR="000D40B1" w:rsidRPr="00E6482E">
        <w:rPr>
          <w:rStyle w:val="Hyperlink"/>
          <w:u w:val="none"/>
        </w:rPr>
        <w:t>.</w:t>
      </w:r>
    </w:p>
  </w:footnote>
  <w:footnote w:id="5">
    <w:p w14:paraId="750E3485" w14:textId="0610EEFF" w:rsidR="001B475B" w:rsidRDefault="001B475B">
      <w:pPr>
        <w:pStyle w:val="FootnoteText"/>
      </w:pPr>
      <w:r>
        <w:rPr>
          <w:rStyle w:val="FootnoteReference"/>
        </w:rPr>
        <w:footnoteRef/>
      </w:r>
      <w:r>
        <w:t xml:space="preserve"> </w:t>
      </w:r>
      <w:r w:rsidR="000D40B1">
        <w:t>I</w:t>
      </w:r>
      <w:r>
        <w:t>bid</w:t>
      </w:r>
      <w:r w:rsidR="000D40B1">
        <w:t>.</w:t>
      </w:r>
    </w:p>
  </w:footnote>
  <w:footnote w:id="6">
    <w:p w14:paraId="32A2B4DF" w14:textId="06BEBE95" w:rsidR="001B475B" w:rsidRDefault="001B475B" w:rsidP="00AC0B94">
      <w:pPr>
        <w:pStyle w:val="FootnoteText"/>
      </w:pPr>
      <w:r>
        <w:rPr>
          <w:rStyle w:val="FootnoteReference"/>
        </w:rPr>
        <w:footnoteRef/>
      </w:r>
      <w:r>
        <w:t xml:space="preserve"> </w:t>
      </w:r>
      <w:r w:rsidR="00386F72" w:rsidRPr="00386F72">
        <w:rPr>
          <w:i/>
        </w:rPr>
        <w:t xml:space="preserve">The </w:t>
      </w:r>
      <w:r w:rsidRPr="00386F72">
        <w:rPr>
          <w:i/>
        </w:rPr>
        <w:t>Pity of War</w:t>
      </w:r>
      <w:r>
        <w:t>, p. 458</w:t>
      </w:r>
    </w:p>
  </w:footnote>
  <w:footnote w:id="7">
    <w:p w14:paraId="41DF974D" w14:textId="4FEAF428" w:rsidR="001B475B" w:rsidRPr="00E75978" w:rsidRDefault="001B475B">
      <w:pPr>
        <w:pStyle w:val="FootnoteText"/>
      </w:pPr>
      <w:r w:rsidRPr="00E75978">
        <w:rPr>
          <w:rStyle w:val="FootnoteReference"/>
        </w:rPr>
        <w:footnoteRef/>
      </w:r>
      <w:r w:rsidRPr="00E75978">
        <w:t xml:space="preserve"> </w:t>
      </w:r>
      <w:r w:rsidR="000D40B1" w:rsidRPr="00E75978">
        <w:t xml:space="preserve">Santanu Das, ‘Reframing First World War Poetry’, </w:t>
      </w:r>
      <w:r w:rsidR="000D40B1" w:rsidRPr="00E75978">
        <w:rPr>
          <w:i/>
        </w:rPr>
        <w:t>The British Library</w:t>
      </w:r>
      <w:r w:rsidR="000D40B1" w:rsidRPr="00E75978">
        <w:t xml:space="preserve"> (2012</w:t>
      </w:r>
      <w:r w:rsidR="000D40B1" w:rsidRPr="00E75978">
        <w:t>)</w:t>
      </w:r>
    </w:p>
  </w:footnote>
  <w:footnote w:id="8">
    <w:p w14:paraId="2882A10C" w14:textId="6B17AE13" w:rsidR="001B475B" w:rsidRPr="00E75978" w:rsidRDefault="001B475B">
      <w:pPr>
        <w:pStyle w:val="FootnoteText"/>
      </w:pPr>
      <w:r w:rsidRPr="00E75978">
        <w:rPr>
          <w:rStyle w:val="FootnoteReference"/>
        </w:rPr>
        <w:footnoteRef/>
      </w:r>
      <w:r w:rsidRPr="00E75978">
        <w:t xml:space="preserve"> Ibid.</w:t>
      </w:r>
    </w:p>
  </w:footnote>
  <w:footnote w:id="9">
    <w:p w14:paraId="06D5181F" w14:textId="125C929A" w:rsidR="001B475B" w:rsidRPr="00E75978" w:rsidRDefault="001B475B">
      <w:pPr>
        <w:pStyle w:val="FootnoteText"/>
      </w:pPr>
      <w:r w:rsidRPr="00E75978">
        <w:rPr>
          <w:rStyle w:val="FootnoteReference"/>
        </w:rPr>
        <w:footnoteRef/>
      </w:r>
      <w:r w:rsidRPr="00E75978">
        <w:t xml:space="preserve"> </w:t>
      </w:r>
      <w:r w:rsidR="00386F72" w:rsidRPr="00E75978">
        <w:t xml:space="preserve">Imperial War Museums (2014), ‘Voices of the First World War’, </w:t>
      </w:r>
      <w:r w:rsidR="00386F72" w:rsidRPr="00E75978">
        <w:rPr>
          <w:i/>
        </w:rPr>
        <w:t>Podcast 11: War at Sea</w:t>
      </w:r>
      <w:r w:rsidR="00386F72" w:rsidRPr="00E75978">
        <w:t xml:space="preserve">, 29 September 2014, Available at: </w:t>
      </w:r>
      <w:hyperlink r:id="rId3" w:history="1">
        <w:r w:rsidR="00386F72" w:rsidRPr="00E75978">
          <w:rPr>
            <w:rStyle w:val="Hyperlink"/>
          </w:rPr>
          <w:t>http://www.iwm.org.uk/history/podcasts/voices-of-the-first-world-war/podcast-11-war-at-sea</w:t>
        </w:r>
      </w:hyperlink>
      <w:r w:rsidR="00386F72" w:rsidRPr="00E75978">
        <w:t>.</w:t>
      </w:r>
    </w:p>
  </w:footnote>
  <w:footnote w:id="10">
    <w:p w14:paraId="5BC45B0E" w14:textId="512137D1" w:rsidR="001B475B" w:rsidRPr="00E75978" w:rsidRDefault="001B475B">
      <w:pPr>
        <w:pStyle w:val="FootnoteText"/>
      </w:pPr>
      <w:r w:rsidRPr="00E75978">
        <w:rPr>
          <w:rStyle w:val="FootnoteReference"/>
        </w:rPr>
        <w:footnoteRef/>
      </w:r>
      <w:r w:rsidRPr="00E75978">
        <w:t xml:space="preserve"> </w:t>
      </w:r>
      <w:r w:rsidR="000D40B1" w:rsidRPr="00E75978">
        <w:t xml:space="preserve">Nick Hewitt, ‘What was the Battle of the Jutland?’, Imperial War Museum, [online]. Available at: </w:t>
      </w:r>
      <w:hyperlink r:id="rId4" w:history="1">
        <w:r w:rsidR="000D40B1" w:rsidRPr="00E75978">
          <w:rPr>
            <w:rStyle w:val="Hyperlink"/>
          </w:rPr>
          <w:t>http://www.iwm.org.uk/history/what-was-the-battle-of-jutland</w:t>
        </w:r>
      </w:hyperlink>
      <w:r w:rsidR="000D40B1" w:rsidRPr="00E75978">
        <w:t>.</w:t>
      </w:r>
    </w:p>
  </w:footnote>
  <w:footnote w:id="11">
    <w:p w14:paraId="7B17F8F2" w14:textId="1A70ECC5" w:rsidR="001B475B" w:rsidRPr="00E75978" w:rsidRDefault="001B475B" w:rsidP="00D31B3A">
      <w:pPr>
        <w:pStyle w:val="FootnoteText"/>
      </w:pPr>
      <w:r w:rsidRPr="00E75978">
        <w:rPr>
          <w:rStyle w:val="FootnoteReference"/>
        </w:rPr>
        <w:footnoteRef/>
      </w:r>
      <w:r w:rsidRPr="00E75978">
        <w:t xml:space="preserve"> </w:t>
      </w:r>
      <w:r w:rsidR="00386F72" w:rsidRPr="00E75978">
        <w:t xml:space="preserve">Imperial War Museums (2014), </w:t>
      </w:r>
      <w:r w:rsidR="00386F72" w:rsidRPr="00E75978">
        <w:rPr>
          <w:i/>
        </w:rPr>
        <w:t xml:space="preserve">Podcast 11: War at Sea </w:t>
      </w:r>
    </w:p>
  </w:footnote>
  <w:footnote w:id="12">
    <w:p w14:paraId="61B66063" w14:textId="5F8FC6DC" w:rsidR="001B475B" w:rsidRDefault="001B475B" w:rsidP="00D31B3A">
      <w:pPr>
        <w:pStyle w:val="FootnoteText"/>
      </w:pPr>
      <w:r w:rsidRPr="00E75978">
        <w:rPr>
          <w:rStyle w:val="FootnoteReference"/>
        </w:rPr>
        <w:footnoteRef/>
      </w:r>
      <w:r w:rsidRPr="00E75978">
        <w:t xml:space="preserve"> </w:t>
      </w:r>
      <w:r w:rsidR="006A5CB0" w:rsidRPr="00E75978">
        <w:t xml:space="preserve">Louise </w:t>
      </w:r>
      <w:proofErr w:type="spellStart"/>
      <w:r w:rsidR="006A5CB0" w:rsidRPr="00E75978">
        <w:t>Bruton</w:t>
      </w:r>
      <w:proofErr w:type="spellEnd"/>
      <w:r w:rsidR="006A5CB0" w:rsidRPr="00E75978">
        <w:t xml:space="preserve">, ‘The War at Sea’, British Library (2014), [online]. Available at: </w:t>
      </w:r>
      <w:hyperlink r:id="rId5" w:history="1">
        <w:r w:rsidR="006A5CB0" w:rsidRPr="00E75978">
          <w:rPr>
            <w:rStyle w:val="Hyperlink"/>
          </w:rPr>
          <w:t>https://www.bl.uk/world-war-one/articles/the-war-at-sea</w:t>
        </w:r>
      </w:hyperlink>
    </w:p>
  </w:footnote>
  <w:footnote w:id="13">
    <w:p w14:paraId="2348A7E7" w14:textId="12F68914" w:rsidR="001B475B" w:rsidRDefault="001B475B">
      <w:pPr>
        <w:pStyle w:val="FootnoteText"/>
      </w:pPr>
      <w:r>
        <w:rPr>
          <w:rStyle w:val="FootnoteReference"/>
        </w:rPr>
        <w:footnoteRef/>
      </w:r>
      <w:r>
        <w:t xml:space="preserve"> </w:t>
      </w:r>
      <w:r w:rsidR="000D40B1" w:rsidRPr="00E6482E">
        <w:t xml:space="preserve">Santanu Das, ‘Sensuous life within the trenches’, British Library (2014), [online]. Available at: </w:t>
      </w:r>
      <w:hyperlink r:id="rId6" w:history="1">
        <w:r w:rsidR="000D40B1" w:rsidRPr="00E6482E">
          <w:rPr>
            <w:rStyle w:val="Hyperlink"/>
          </w:rPr>
          <w:t>https://www.bl.uk/world-war-one/articles/sensuous-life-in-the-trenches</w:t>
        </w:r>
      </w:hyperlink>
    </w:p>
  </w:footnote>
  <w:footnote w:id="14">
    <w:p w14:paraId="2C9C9533" w14:textId="71A28BEB" w:rsidR="001B475B" w:rsidRPr="000D40B1" w:rsidRDefault="001B475B" w:rsidP="006A5CB0">
      <w:pPr>
        <w:pStyle w:val="NoSpacing"/>
        <w:rPr>
          <w:sz w:val="20"/>
          <w:szCs w:val="20"/>
        </w:rPr>
      </w:pPr>
      <w:r w:rsidRPr="000D40B1">
        <w:rPr>
          <w:rStyle w:val="FootnoteReference"/>
          <w:sz w:val="20"/>
          <w:szCs w:val="20"/>
        </w:rPr>
        <w:footnoteRef/>
      </w:r>
      <w:r w:rsidRPr="000D40B1">
        <w:rPr>
          <w:sz w:val="20"/>
          <w:szCs w:val="20"/>
        </w:rPr>
        <w:t xml:space="preserve"> </w:t>
      </w:r>
      <w:r w:rsidR="000D40B1" w:rsidRPr="000D40B1">
        <w:rPr>
          <w:sz w:val="20"/>
          <w:szCs w:val="20"/>
        </w:rPr>
        <w:t xml:space="preserve">D. Reynolds, </w:t>
      </w:r>
      <w:r w:rsidR="000D40B1" w:rsidRPr="000D40B1">
        <w:rPr>
          <w:i/>
          <w:sz w:val="20"/>
          <w:szCs w:val="20"/>
        </w:rPr>
        <w:t>The Long Shadow</w:t>
      </w:r>
      <w:r w:rsidR="000D40B1" w:rsidRPr="000D40B1">
        <w:rPr>
          <w:sz w:val="20"/>
          <w:szCs w:val="20"/>
        </w:rPr>
        <w:t xml:space="preserve"> (London: Simon &amp; Schuster UK Ltd., 2013), </w:t>
      </w:r>
      <w:r w:rsidRPr="000D40B1">
        <w:rPr>
          <w:sz w:val="20"/>
          <w:szCs w:val="20"/>
        </w:rPr>
        <w:t>pp. 365-7</w:t>
      </w:r>
    </w:p>
  </w:footnote>
  <w:footnote w:id="15">
    <w:p w14:paraId="0E149A33" w14:textId="389CE1B2" w:rsidR="001B475B" w:rsidRPr="000D40B1" w:rsidRDefault="001B475B" w:rsidP="006A5CB0">
      <w:pPr>
        <w:pStyle w:val="NoSpacing"/>
        <w:rPr>
          <w:sz w:val="20"/>
          <w:szCs w:val="20"/>
        </w:rPr>
      </w:pPr>
      <w:r w:rsidRPr="000D40B1">
        <w:rPr>
          <w:rStyle w:val="FootnoteReference"/>
          <w:sz w:val="20"/>
          <w:szCs w:val="20"/>
        </w:rPr>
        <w:footnoteRef/>
      </w:r>
      <w:r w:rsidRPr="000D40B1">
        <w:rPr>
          <w:sz w:val="20"/>
          <w:szCs w:val="20"/>
        </w:rPr>
        <w:t xml:space="preserve"> D</w:t>
      </w:r>
      <w:r w:rsidR="000D40B1" w:rsidRPr="000D40B1">
        <w:rPr>
          <w:sz w:val="20"/>
          <w:szCs w:val="20"/>
        </w:rPr>
        <w:t>.</w:t>
      </w:r>
      <w:r w:rsidRPr="000D40B1">
        <w:rPr>
          <w:sz w:val="20"/>
          <w:szCs w:val="20"/>
        </w:rPr>
        <w:t xml:space="preserve"> Reynolds,</w:t>
      </w:r>
      <w:r w:rsidR="000D40B1" w:rsidRPr="000D40B1">
        <w:rPr>
          <w:sz w:val="20"/>
          <w:szCs w:val="20"/>
        </w:rPr>
        <w:t xml:space="preserve"> </w:t>
      </w:r>
      <w:r w:rsidR="000D40B1" w:rsidRPr="000D40B1">
        <w:rPr>
          <w:i/>
          <w:sz w:val="20"/>
          <w:szCs w:val="20"/>
        </w:rPr>
        <w:t>The Long Shadow</w:t>
      </w:r>
      <w:r w:rsidRPr="000D40B1">
        <w:rPr>
          <w:sz w:val="20"/>
          <w:szCs w:val="20"/>
        </w:rPr>
        <w:t xml:space="preserve"> pp. 362-3</w:t>
      </w:r>
    </w:p>
  </w:footnote>
  <w:footnote w:id="16">
    <w:p w14:paraId="166795E9" w14:textId="6366A233" w:rsidR="001B475B" w:rsidRPr="000D40B1" w:rsidRDefault="001B475B" w:rsidP="006A5CB0">
      <w:pPr>
        <w:pStyle w:val="NoSpacing"/>
        <w:rPr>
          <w:sz w:val="20"/>
          <w:szCs w:val="20"/>
        </w:rPr>
      </w:pPr>
      <w:r w:rsidRPr="000D40B1">
        <w:rPr>
          <w:rStyle w:val="FootnoteReference"/>
          <w:sz w:val="20"/>
          <w:szCs w:val="20"/>
        </w:rPr>
        <w:footnoteRef/>
      </w:r>
      <w:r w:rsidRPr="000D40B1">
        <w:rPr>
          <w:sz w:val="20"/>
          <w:szCs w:val="20"/>
        </w:rPr>
        <w:t xml:space="preserve"> </w:t>
      </w:r>
      <w:r w:rsidR="00386F72" w:rsidRPr="000D40B1">
        <w:rPr>
          <w:sz w:val="20"/>
          <w:szCs w:val="20"/>
        </w:rPr>
        <w:t xml:space="preserve">A. Simmonds, </w:t>
      </w:r>
      <w:r w:rsidR="00386F72" w:rsidRPr="000D40B1">
        <w:rPr>
          <w:i/>
          <w:sz w:val="20"/>
          <w:szCs w:val="20"/>
        </w:rPr>
        <w:t>Britain and World War One</w:t>
      </w:r>
      <w:r w:rsidR="00386F72" w:rsidRPr="000D40B1">
        <w:rPr>
          <w:sz w:val="20"/>
          <w:szCs w:val="20"/>
        </w:rPr>
        <w:t xml:space="preserve"> (London: Routledge, 2012)</w:t>
      </w:r>
      <w:r w:rsidR="00386F72" w:rsidRPr="000D40B1">
        <w:rPr>
          <w:sz w:val="20"/>
          <w:szCs w:val="20"/>
        </w:rPr>
        <w:t>, p</w:t>
      </w:r>
      <w:r w:rsidRPr="000D40B1">
        <w:rPr>
          <w:sz w:val="20"/>
          <w:szCs w:val="20"/>
        </w:rPr>
        <w:t>p. 86-7</w:t>
      </w:r>
    </w:p>
  </w:footnote>
  <w:footnote w:id="17">
    <w:p w14:paraId="167A38E0" w14:textId="72D5395E" w:rsidR="001B475B" w:rsidRPr="000D40B1" w:rsidRDefault="001B475B" w:rsidP="006A5CB0">
      <w:pPr>
        <w:pStyle w:val="NoSpacing"/>
        <w:rPr>
          <w:sz w:val="20"/>
          <w:szCs w:val="20"/>
        </w:rPr>
      </w:pPr>
      <w:r w:rsidRPr="000D40B1">
        <w:rPr>
          <w:rStyle w:val="FootnoteReference"/>
          <w:sz w:val="20"/>
          <w:szCs w:val="20"/>
        </w:rPr>
        <w:footnoteRef/>
      </w:r>
      <w:r w:rsidR="00386F72" w:rsidRPr="000D40B1">
        <w:rPr>
          <w:sz w:val="20"/>
          <w:szCs w:val="20"/>
        </w:rPr>
        <w:t>Ibid</w:t>
      </w:r>
      <w:r w:rsidRPr="000D40B1">
        <w:rPr>
          <w:sz w:val="20"/>
          <w:szCs w:val="20"/>
        </w:rPr>
        <w:t>.</w:t>
      </w:r>
    </w:p>
  </w:footnote>
  <w:footnote w:id="18">
    <w:p w14:paraId="4EC1EB92" w14:textId="3A4229D0" w:rsidR="001B475B" w:rsidRDefault="001B475B" w:rsidP="006A5CB0">
      <w:pPr>
        <w:pStyle w:val="NoSpacing"/>
      </w:pPr>
      <w:r w:rsidRPr="000D40B1">
        <w:rPr>
          <w:rStyle w:val="FootnoteReference"/>
          <w:sz w:val="20"/>
          <w:szCs w:val="20"/>
        </w:rPr>
        <w:footnoteRef/>
      </w:r>
      <w:r w:rsidRPr="000D40B1">
        <w:rPr>
          <w:sz w:val="20"/>
          <w:szCs w:val="20"/>
        </w:rPr>
        <w:t xml:space="preserve"> </w:t>
      </w:r>
      <w:r w:rsidR="006A5CB0" w:rsidRPr="000D40B1">
        <w:rPr>
          <w:sz w:val="20"/>
          <w:szCs w:val="20"/>
        </w:rPr>
        <w:t xml:space="preserve">Matthew Leonard, ‘The War Underground: An overview’, WWI Centenary (2014), [online]. Available at: </w:t>
      </w:r>
      <w:hyperlink r:id="rId7" w:history="1">
        <w:r w:rsidR="006A5CB0" w:rsidRPr="000D40B1">
          <w:rPr>
            <w:rStyle w:val="Hyperlink"/>
            <w:sz w:val="20"/>
            <w:szCs w:val="20"/>
          </w:rPr>
          <w:t>http://ww1centenary.oucs.ox.ac.uk/space-into-place/the-war-underground-an-overview/</w:t>
        </w:r>
      </w:hyperlink>
      <w:r w:rsidR="006A5CB0" w:rsidRPr="000D40B1">
        <w:rPr>
          <w:sz w:val="20"/>
          <w:szCs w:val="20"/>
        </w:rPr>
        <w:t>.</w:t>
      </w:r>
    </w:p>
  </w:footnote>
  <w:footnote w:id="19">
    <w:p w14:paraId="23BD0DA7" w14:textId="38C8FD43" w:rsidR="001B475B" w:rsidRDefault="001B475B" w:rsidP="00E75978">
      <w:r>
        <w:rPr>
          <w:rStyle w:val="FootnoteReference"/>
        </w:rPr>
        <w:footnoteRef/>
      </w:r>
      <w:r>
        <w:t xml:space="preserve"> </w:t>
      </w:r>
      <w:r w:rsidR="00E75978" w:rsidRPr="00E75978">
        <w:rPr>
          <w:sz w:val="20"/>
        </w:rPr>
        <w:t>National Archives, AIR 1/569/16/15/142/A. Report of the raid by Major General Ferrier, Commander Humber Defences 1915, Surrey.</w:t>
      </w:r>
    </w:p>
  </w:footnote>
  <w:footnote w:id="20">
    <w:p w14:paraId="0ED83D85" w14:textId="2D3D0B18" w:rsidR="001B475B" w:rsidRPr="000D40B1" w:rsidRDefault="001B475B" w:rsidP="000D40B1">
      <w:pPr>
        <w:pStyle w:val="NoSpacing"/>
        <w:rPr>
          <w:sz w:val="20"/>
          <w:szCs w:val="20"/>
        </w:rPr>
      </w:pPr>
      <w:r w:rsidRPr="000D40B1">
        <w:rPr>
          <w:rStyle w:val="FootnoteReference"/>
          <w:sz w:val="20"/>
          <w:szCs w:val="20"/>
        </w:rPr>
        <w:footnoteRef/>
      </w:r>
      <w:r w:rsidRPr="000D40B1">
        <w:rPr>
          <w:sz w:val="20"/>
          <w:szCs w:val="20"/>
        </w:rPr>
        <w:t xml:space="preserve"> </w:t>
      </w:r>
      <w:r w:rsidR="006A5CB0" w:rsidRPr="000D40B1">
        <w:rPr>
          <w:sz w:val="20"/>
          <w:szCs w:val="20"/>
        </w:rPr>
        <w:t xml:space="preserve">Maeve Underwood, ‘The Air Raids that Shook Britain’, Imperial War Museum, [online]. Available at: </w:t>
      </w:r>
      <w:hyperlink r:id="rId8" w:history="1">
        <w:r w:rsidR="006A5CB0" w:rsidRPr="000D40B1">
          <w:rPr>
            <w:rStyle w:val="Hyperlink"/>
            <w:sz w:val="20"/>
            <w:szCs w:val="20"/>
          </w:rPr>
          <w:t>http://www.iwm.org.uk/history/the-air-raids-that-shook-britain-in-the-first-world-war</w:t>
        </w:r>
      </w:hyperlink>
      <w:r w:rsidR="006A5CB0" w:rsidRPr="000D40B1">
        <w:rPr>
          <w:sz w:val="20"/>
          <w:szCs w:val="20"/>
        </w:rPr>
        <w:t>.</w:t>
      </w:r>
      <w:r w:rsidR="006A5CB0" w:rsidRPr="000D40B1">
        <w:rPr>
          <w:sz w:val="20"/>
          <w:szCs w:val="20"/>
        </w:rPr>
        <w:t xml:space="preserve"> </w:t>
      </w:r>
    </w:p>
  </w:footnote>
  <w:footnote w:id="21">
    <w:p w14:paraId="78F4786A" w14:textId="3BFA48EB" w:rsidR="001B475B" w:rsidRPr="000D40B1" w:rsidRDefault="001B475B" w:rsidP="000D40B1">
      <w:pPr>
        <w:pStyle w:val="NoSpacing"/>
        <w:rPr>
          <w:sz w:val="20"/>
          <w:szCs w:val="20"/>
        </w:rPr>
      </w:pPr>
      <w:r w:rsidRPr="000D40B1">
        <w:rPr>
          <w:rStyle w:val="FootnoteReference"/>
          <w:sz w:val="20"/>
          <w:szCs w:val="20"/>
        </w:rPr>
        <w:footnoteRef/>
      </w:r>
      <w:r w:rsidRPr="000D40B1">
        <w:rPr>
          <w:sz w:val="20"/>
          <w:szCs w:val="20"/>
        </w:rPr>
        <w:t xml:space="preserve"> </w:t>
      </w:r>
      <w:r w:rsidR="006A5CB0" w:rsidRPr="000D40B1">
        <w:rPr>
          <w:sz w:val="20"/>
          <w:szCs w:val="20"/>
        </w:rPr>
        <w:t xml:space="preserve">Edgar Jones, ‘Air-raid casualties in the First World War’, History of Government (2015), [online]. Available at: </w:t>
      </w:r>
      <w:hyperlink r:id="rId9" w:history="1">
        <w:r w:rsidR="006A5CB0" w:rsidRPr="000D40B1">
          <w:rPr>
            <w:rStyle w:val="Hyperlink"/>
            <w:sz w:val="20"/>
            <w:szCs w:val="20"/>
          </w:rPr>
          <w:t>https://history.blog.gov.uk/2015/01/19/air-raid-casualties-in-the-first-world-war/</w:t>
        </w:r>
      </w:hyperlink>
      <w:r w:rsidR="006A5CB0" w:rsidRPr="000D40B1">
        <w:rPr>
          <w:sz w:val="20"/>
          <w:szCs w:val="20"/>
        </w:rPr>
        <w:t>.</w:t>
      </w:r>
    </w:p>
  </w:footnote>
  <w:footnote w:id="22">
    <w:p w14:paraId="672FEDF8" w14:textId="2D9185B9" w:rsidR="001B475B" w:rsidRPr="000D40B1" w:rsidRDefault="001B475B" w:rsidP="000D40B1">
      <w:pPr>
        <w:pStyle w:val="NoSpacing"/>
        <w:rPr>
          <w:sz w:val="20"/>
          <w:szCs w:val="20"/>
        </w:rPr>
      </w:pPr>
      <w:r w:rsidRPr="000D40B1">
        <w:rPr>
          <w:rStyle w:val="FootnoteReference"/>
          <w:sz w:val="20"/>
          <w:szCs w:val="20"/>
        </w:rPr>
        <w:footnoteRef/>
      </w:r>
      <w:r w:rsidRPr="000D40B1">
        <w:rPr>
          <w:sz w:val="20"/>
          <w:szCs w:val="20"/>
        </w:rPr>
        <w:t xml:space="preserve"> </w:t>
      </w:r>
      <w:r w:rsidR="000D40B1" w:rsidRPr="000D40B1">
        <w:rPr>
          <w:sz w:val="20"/>
          <w:szCs w:val="20"/>
        </w:rPr>
        <w:t>G</w:t>
      </w:r>
      <w:r w:rsidR="000D40B1" w:rsidRPr="000D40B1">
        <w:rPr>
          <w:sz w:val="20"/>
          <w:szCs w:val="20"/>
        </w:rPr>
        <w:t xml:space="preserve">. </w:t>
      </w:r>
      <w:r w:rsidR="000D40B1" w:rsidRPr="000D40B1">
        <w:rPr>
          <w:sz w:val="20"/>
          <w:szCs w:val="20"/>
        </w:rPr>
        <w:t xml:space="preserve">Moorhouse, </w:t>
      </w:r>
      <w:r w:rsidR="000D40B1" w:rsidRPr="000D40B1">
        <w:rPr>
          <w:i/>
          <w:sz w:val="20"/>
          <w:szCs w:val="20"/>
        </w:rPr>
        <w:t>Hell’s Foundations</w:t>
      </w:r>
      <w:r w:rsidR="000D40B1" w:rsidRPr="000D40B1">
        <w:rPr>
          <w:sz w:val="20"/>
          <w:szCs w:val="20"/>
        </w:rPr>
        <w:t xml:space="preserve"> (London: Hodder and </w:t>
      </w:r>
      <w:proofErr w:type="spellStart"/>
      <w:r w:rsidR="000D40B1" w:rsidRPr="000D40B1">
        <w:rPr>
          <w:sz w:val="20"/>
          <w:szCs w:val="20"/>
        </w:rPr>
        <w:t>Stroughton</w:t>
      </w:r>
      <w:proofErr w:type="spellEnd"/>
      <w:r w:rsidR="000D40B1" w:rsidRPr="000D40B1">
        <w:rPr>
          <w:sz w:val="20"/>
          <w:szCs w:val="20"/>
        </w:rPr>
        <w:t>, 1992)</w:t>
      </w:r>
      <w:r w:rsidR="000D40B1" w:rsidRPr="000D40B1">
        <w:rPr>
          <w:sz w:val="20"/>
          <w:szCs w:val="20"/>
        </w:rPr>
        <w:t xml:space="preserve">, </w:t>
      </w:r>
      <w:r w:rsidRPr="000D40B1">
        <w:rPr>
          <w:sz w:val="20"/>
          <w:szCs w:val="20"/>
        </w:rPr>
        <w:t>p. 179</w:t>
      </w:r>
    </w:p>
  </w:footnote>
  <w:footnote w:id="23">
    <w:p w14:paraId="058A3BE6" w14:textId="4DC67040" w:rsidR="001B475B" w:rsidRPr="000D40B1" w:rsidRDefault="001B475B" w:rsidP="000D40B1">
      <w:pPr>
        <w:pStyle w:val="NoSpacing"/>
        <w:rPr>
          <w:sz w:val="20"/>
          <w:szCs w:val="20"/>
        </w:rPr>
      </w:pPr>
      <w:r w:rsidRPr="000D40B1">
        <w:rPr>
          <w:rStyle w:val="FootnoteReference"/>
          <w:sz w:val="20"/>
          <w:szCs w:val="20"/>
        </w:rPr>
        <w:footnoteRef/>
      </w:r>
      <w:r w:rsidRPr="000D40B1">
        <w:rPr>
          <w:sz w:val="20"/>
          <w:szCs w:val="20"/>
        </w:rPr>
        <w:t xml:space="preserve"> </w:t>
      </w:r>
      <w:r w:rsidR="00E75978">
        <w:rPr>
          <w:sz w:val="20"/>
          <w:szCs w:val="20"/>
        </w:rPr>
        <w:t>I</w:t>
      </w:r>
      <w:r w:rsidRPr="000D40B1">
        <w:rPr>
          <w:sz w:val="20"/>
          <w:szCs w:val="20"/>
        </w:rPr>
        <w:t xml:space="preserve">bid. </w:t>
      </w:r>
    </w:p>
  </w:footnote>
  <w:footnote w:id="24">
    <w:p w14:paraId="57AA4EDC" w14:textId="50BB173C" w:rsidR="001B475B" w:rsidRPr="000D40B1" w:rsidRDefault="001B475B" w:rsidP="000D40B1">
      <w:pPr>
        <w:pStyle w:val="NoSpacing"/>
        <w:rPr>
          <w:sz w:val="20"/>
          <w:szCs w:val="20"/>
        </w:rPr>
      </w:pPr>
      <w:r w:rsidRPr="000D40B1">
        <w:rPr>
          <w:rStyle w:val="FootnoteReference"/>
          <w:sz w:val="20"/>
          <w:szCs w:val="20"/>
        </w:rPr>
        <w:footnoteRef/>
      </w:r>
      <w:r w:rsidRPr="000D40B1">
        <w:rPr>
          <w:sz w:val="20"/>
          <w:szCs w:val="20"/>
        </w:rPr>
        <w:t xml:space="preserve"> </w:t>
      </w:r>
      <w:r w:rsidR="006A5CB0" w:rsidRPr="000D40B1">
        <w:rPr>
          <w:sz w:val="20"/>
          <w:szCs w:val="20"/>
        </w:rPr>
        <w:t>M</w:t>
      </w:r>
      <w:r w:rsidR="006A5CB0" w:rsidRPr="000D40B1">
        <w:rPr>
          <w:sz w:val="20"/>
          <w:szCs w:val="20"/>
        </w:rPr>
        <w:t xml:space="preserve">. </w:t>
      </w:r>
      <w:r w:rsidR="006A5CB0" w:rsidRPr="000D40B1">
        <w:rPr>
          <w:sz w:val="20"/>
          <w:szCs w:val="20"/>
        </w:rPr>
        <w:t>Arthu</w:t>
      </w:r>
      <w:r w:rsidR="006A5CB0" w:rsidRPr="000D40B1">
        <w:rPr>
          <w:sz w:val="20"/>
          <w:szCs w:val="20"/>
        </w:rPr>
        <w:t>r</w:t>
      </w:r>
      <w:r w:rsidR="006A5CB0" w:rsidRPr="000D40B1">
        <w:rPr>
          <w:sz w:val="20"/>
          <w:szCs w:val="20"/>
        </w:rPr>
        <w:t xml:space="preserve">, </w:t>
      </w:r>
      <w:r w:rsidR="006A5CB0" w:rsidRPr="000D40B1">
        <w:rPr>
          <w:i/>
          <w:sz w:val="20"/>
          <w:szCs w:val="20"/>
        </w:rPr>
        <w:t>Forgotten Voices of the Great War</w:t>
      </w:r>
      <w:r w:rsidR="006A5CB0" w:rsidRPr="000D40B1">
        <w:rPr>
          <w:sz w:val="20"/>
          <w:szCs w:val="20"/>
        </w:rPr>
        <w:t xml:space="preserve"> (London: Ebury Press, 2003)</w:t>
      </w:r>
      <w:r w:rsidRPr="000D40B1">
        <w:rPr>
          <w:sz w:val="20"/>
          <w:szCs w:val="20"/>
        </w:rPr>
        <w:t>, pp. 40-1.</w:t>
      </w:r>
    </w:p>
  </w:footnote>
  <w:footnote w:id="25">
    <w:p w14:paraId="3C1335D8" w14:textId="0A222D74" w:rsidR="001B475B" w:rsidRPr="000D40B1" w:rsidRDefault="001B475B" w:rsidP="000D40B1">
      <w:pPr>
        <w:pStyle w:val="NoSpacing"/>
        <w:rPr>
          <w:sz w:val="20"/>
          <w:szCs w:val="20"/>
        </w:rPr>
      </w:pPr>
      <w:r w:rsidRPr="000D40B1">
        <w:rPr>
          <w:rStyle w:val="FootnoteReference"/>
          <w:sz w:val="20"/>
          <w:szCs w:val="20"/>
        </w:rPr>
        <w:footnoteRef/>
      </w:r>
      <w:r w:rsidRPr="000D40B1">
        <w:rPr>
          <w:sz w:val="20"/>
          <w:szCs w:val="20"/>
        </w:rPr>
        <w:t xml:space="preserve"> </w:t>
      </w:r>
      <w:r w:rsidR="006A5CB0" w:rsidRPr="000D40B1">
        <w:rPr>
          <w:sz w:val="20"/>
          <w:szCs w:val="20"/>
        </w:rPr>
        <w:t xml:space="preserve">M. Arthur, </w:t>
      </w:r>
      <w:r w:rsidR="006A5CB0" w:rsidRPr="000D40B1">
        <w:rPr>
          <w:i/>
          <w:sz w:val="20"/>
          <w:szCs w:val="20"/>
        </w:rPr>
        <w:t>Forgotten Voices of the Great War</w:t>
      </w:r>
      <w:r w:rsidRPr="000D40B1">
        <w:rPr>
          <w:sz w:val="20"/>
          <w:szCs w:val="20"/>
        </w:rPr>
        <w:t>, p. 157</w:t>
      </w:r>
    </w:p>
  </w:footnote>
  <w:footnote w:id="26">
    <w:p w14:paraId="510DFC67" w14:textId="5862D99A" w:rsidR="001B475B" w:rsidRPr="006A5CB0" w:rsidRDefault="001B475B" w:rsidP="000D40B1">
      <w:pPr>
        <w:pStyle w:val="NoSpacing"/>
      </w:pPr>
      <w:r w:rsidRPr="000D40B1">
        <w:rPr>
          <w:rStyle w:val="FootnoteReference"/>
          <w:sz w:val="20"/>
          <w:szCs w:val="20"/>
        </w:rPr>
        <w:footnoteRef/>
      </w:r>
      <w:r w:rsidRPr="000D40B1">
        <w:rPr>
          <w:sz w:val="20"/>
          <w:szCs w:val="20"/>
        </w:rPr>
        <w:t xml:space="preserve"> L. MacDonald</w:t>
      </w:r>
      <w:r w:rsidR="006A5CB0" w:rsidRPr="000D40B1">
        <w:rPr>
          <w:sz w:val="20"/>
          <w:szCs w:val="20"/>
        </w:rPr>
        <w:t xml:space="preserve">, </w:t>
      </w:r>
      <w:r w:rsidR="006A5CB0" w:rsidRPr="000D40B1">
        <w:rPr>
          <w:i/>
          <w:sz w:val="20"/>
          <w:szCs w:val="20"/>
        </w:rPr>
        <w:t>Roses of No Man’s Land</w:t>
      </w:r>
      <w:r w:rsidR="006A5CB0" w:rsidRPr="000D40B1">
        <w:rPr>
          <w:sz w:val="20"/>
          <w:szCs w:val="20"/>
        </w:rPr>
        <w:t xml:space="preserve"> (London: Penguin Books Ltd., 1993)</w:t>
      </w:r>
      <w:r w:rsidR="006A5CB0" w:rsidRPr="000D40B1">
        <w:rPr>
          <w:sz w:val="20"/>
          <w:szCs w:val="20"/>
        </w:rPr>
        <w:t xml:space="preserve">, </w:t>
      </w:r>
      <w:r w:rsidRPr="000D40B1">
        <w:rPr>
          <w:sz w:val="20"/>
          <w:szCs w:val="20"/>
        </w:rPr>
        <w:t>p. 40</w:t>
      </w:r>
    </w:p>
  </w:footnote>
  <w:footnote w:id="27">
    <w:p w14:paraId="14FC753B" w14:textId="36DF380E" w:rsidR="001B475B" w:rsidRPr="000D40B1" w:rsidRDefault="001B475B" w:rsidP="006A5CB0">
      <w:pPr>
        <w:pStyle w:val="NoSpacing"/>
        <w:spacing w:line="360" w:lineRule="auto"/>
        <w:jc w:val="both"/>
        <w:rPr>
          <w:sz w:val="20"/>
          <w:szCs w:val="20"/>
        </w:rPr>
      </w:pPr>
      <w:r w:rsidRPr="000D40B1">
        <w:rPr>
          <w:rStyle w:val="FootnoteReference"/>
          <w:sz w:val="20"/>
          <w:szCs w:val="20"/>
        </w:rPr>
        <w:footnoteRef/>
      </w:r>
      <w:r w:rsidRPr="000D40B1">
        <w:rPr>
          <w:sz w:val="20"/>
          <w:szCs w:val="20"/>
        </w:rPr>
        <w:t xml:space="preserve"> </w:t>
      </w:r>
      <w:r w:rsidR="000D40B1" w:rsidRPr="000D40B1">
        <w:rPr>
          <w:sz w:val="20"/>
          <w:szCs w:val="20"/>
        </w:rPr>
        <w:t xml:space="preserve">A. </w:t>
      </w:r>
      <w:r w:rsidR="006A5CB0" w:rsidRPr="000D40B1">
        <w:rPr>
          <w:sz w:val="20"/>
          <w:szCs w:val="20"/>
        </w:rPr>
        <w:t xml:space="preserve">Marwick, </w:t>
      </w:r>
      <w:r w:rsidR="006A5CB0" w:rsidRPr="000D40B1">
        <w:rPr>
          <w:i/>
          <w:sz w:val="20"/>
          <w:szCs w:val="20"/>
        </w:rPr>
        <w:t>Total War and Social Change</w:t>
      </w:r>
      <w:r w:rsidR="006A5CB0" w:rsidRPr="000D40B1">
        <w:rPr>
          <w:sz w:val="20"/>
          <w:szCs w:val="20"/>
        </w:rPr>
        <w:t xml:space="preserve"> (London: Macmillan Press Ltd., 1988)</w:t>
      </w:r>
      <w:r w:rsidR="006A5CB0" w:rsidRPr="000D40B1">
        <w:rPr>
          <w:sz w:val="20"/>
          <w:szCs w:val="20"/>
        </w:rPr>
        <w:t xml:space="preserve">, </w:t>
      </w:r>
      <w:r w:rsidRPr="000D40B1">
        <w:rPr>
          <w:sz w:val="20"/>
          <w:szCs w:val="20"/>
        </w:rPr>
        <w:t>pp. 5-6</w:t>
      </w:r>
    </w:p>
  </w:footnote>
  <w:footnote w:id="28">
    <w:p w14:paraId="7B4E4A2F" w14:textId="35CFB2D0" w:rsidR="001B475B" w:rsidRPr="000D40B1" w:rsidRDefault="001B475B" w:rsidP="000D40B1">
      <w:pPr>
        <w:pStyle w:val="NoSpacing"/>
        <w:rPr>
          <w:sz w:val="20"/>
        </w:rPr>
      </w:pPr>
      <w:r w:rsidRPr="000D40B1">
        <w:rPr>
          <w:rStyle w:val="FootnoteReference"/>
          <w:sz w:val="20"/>
        </w:rPr>
        <w:footnoteRef/>
      </w:r>
      <w:r w:rsidRPr="000D40B1">
        <w:rPr>
          <w:sz w:val="20"/>
        </w:rPr>
        <w:t xml:space="preserve"> </w:t>
      </w:r>
      <w:r w:rsidR="00386F72" w:rsidRPr="000D40B1">
        <w:rPr>
          <w:sz w:val="20"/>
        </w:rPr>
        <w:t xml:space="preserve">A. Simmonds, </w:t>
      </w:r>
      <w:r w:rsidR="00386F72" w:rsidRPr="000D40B1">
        <w:rPr>
          <w:i/>
          <w:sz w:val="20"/>
        </w:rPr>
        <w:t>Britain and World War One</w:t>
      </w:r>
      <w:r w:rsidR="00386F72" w:rsidRPr="000D40B1">
        <w:rPr>
          <w:sz w:val="20"/>
        </w:rPr>
        <w:t xml:space="preserve"> (London: Routledge, 2012)</w:t>
      </w:r>
      <w:r w:rsidR="00386F72" w:rsidRPr="000D40B1">
        <w:rPr>
          <w:sz w:val="20"/>
        </w:rPr>
        <w:t>,</w:t>
      </w:r>
      <w:r w:rsidRPr="000D40B1">
        <w:rPr>
          <w:sz w:val="20"/>
        </w:rPr>
        <w:t xml:space="preserve"> p. 133</w:t>
      </w:r>
    </w:p>
  </w:footnote>
  <w:footnote w:id="29">
    <w:p w14:paraId="502240DB" w14:textId="4F1CEE46" w:rsidR="001B475B" w:rsidRPr="000D40B1" w:rsidRDefault="001B475B" w:rsidP="000D40B1">
      <w:pPr>
        <w:pStyle w:val="NoSpacing"/>
        <w:rPr>
          <w:sz w:val="20"/>
        </w:rPr>
      </w:pPr>
      <w:r w:rsidRPr="000D40B1">
        <w:rPr>
          <w:rStyle w:val="FootnoteReference"/>
          <w:sz w:val="20"/>
        </w:rPr>
        <w:footnoteRef/>
      </w:r>
      <w:r w:rsidRPr="000D40B1">
        <w:rPr>
          <w:sz w:val="20"/>
        </w:rPr>
        <w:t xml:space="preserve"> </w:t>
      </w:r>
      <w:r w:rsidR="00386F72" w:rsidRPr="000D40B1">
        <w:rPr>
          <w:i/>
          <w:sz w:val="20"/>
        </w:rPr>
        <w:t>Britain and World War One</w:t>
      </w:r>
      <w:r w:rsidR="00386F72" w:rsidRPr="000D40B1">
        <w:rPr>
          <w:sz w:val="20"/>
        </w:rPr>
        <w:t>, p. 171.</w:t>
      </w:r>
    </w:p>
  </w:footnote>
  <w:footnote w:id="30">
    <w:p w14:paraId="58CB2EC5" w14:textId="56EFE222" w:rsidR="001B475B" w:rsidRPr="000D40B1" w:rsidRDefault="001B475B" w:rsidP="000D40B1">
      <w:pPr>
        <w:pStyle w:val="NoSpacing"/>
        <w:rPr>
          <w:sz w:val="20"/>
        </w:rPr>
      </w:pPr>
      <w:r w:rsidRPr="000D40B1">
        <w:rPr>
          <w:rStyle w:val="FootnoteReference"/>
          <w:sz w:val="20"/>
        </w:rPr>
        <w:footnoteRef/>
      </w:r>
      <w:r w:rsidRPr="000D40B1">
        <w:rPr>
          <w:sz w:val="20"/>
        </w:rPr>
        <w:t xml:space="preserve"> </w:t>
      </w:r>
      <w:r w:rsidR="00386F72" w:rsidRPr="000D40B1">
        <w:rPr>
          <w:sz w:val="20"/>
        </w:rPr>
        <w:t xml:space="preserve">British Red Cross, Volunteers during the First World War [online]. Available at: </w:t>
      </w:r>
      <w:hyperlink r:id="rId10" w:history="1">
        <w:r w:rsidR="00386F72" w:rsidRPr="000D40B1">
          <w:rPr>
            <w:rStyle w:val="Hyperlink"/>
            <w:sz w:val="20"/>
          </w:rPr>
          <w:t>http://www.redcross.org.uk/About-us/Who-we-are/History-and-origin/First-World-War/Volunteers-during-WW1</w:t>
        </w:r>
      </w:hyperlink>
    </w:p>
  </w:footnote>
  <w:footnote w:id="31">
    <w:p w14:paraId="0DE5867E" w14:textId="6E838F9E" w:rsidR="001B475B" w:rsidRPr="000D40B1" w:rsidRDefault="001B475B" w:rsidP="000D40B1">
      <w:pPr>
        <w:pStyle w:val="NoSpacing"/>
        <w:rPr>
          <w:sz w:val="20"/>
        </w:rPr>
      </w:pPr>
      <w:r w:rsidRPr="000D40B1">
        <w:rPr>
          <w:rStyle w:val="FootnoteReference"/>
          <w:sz w:val="20"/>
        </w:rPr>
        <w:footnoteRef/>
      </w:r>
      <w:r w:rsidRPr="000D40B1">
        <w:rPr>
          <w:sz w:val="20"/>
        </w:rPr>
        <w:t xml:space="preserve"> </w:t>
      </w:r>
      <w:r w:rsidR="006A5CB0" w:rsidRPr="000D40B1">
        <w:rPr>
          <w:sz w:val="20"/>
        </w:rPr>
        <w:t xml:space="preserve">Kate Lindsay, ‘The She-Soldiers of World War One’, World War I Centenary, [online]. Available at: </w:t>
      </w:r>
      <w:hyperlink r:id="rId11" w:history="1">
        <w:r w:rsidR="006A5CB0" w:rsidRPr="000D40B1">
          <w:rPr>
            <w:rStyle w:val="Hyperlink"/>
            <w:sz w:val="20"/>
          </w:rPr>
          <w:t>http://ww1centenary.oucs.ox.ac.uk/unconventionalsoldiers/the-she-soldiers-of-world-war-one/</w:t>
        </w:r>
      </w:hyperlink>
      <w:r w:rsidR="006A5CB0" w:rsidRPr="000D40B1">
        <w:rPr>
          <w:sz w:val="20"/>
        </w:rPr>
        <w:t>.</w:t>
      </w:r>
    </w:p>
  </w:footnote>
  <w:footnote w:id="32">
    <w:p w14:paraId="1C263E37" w14:textId="6AFB5108" w:rsidR="001B475B" w:rsidRPr="000D40B1" w:rsidRDefault="001B475B" w:rsidP="000D40B1">
      <w:pPr>
        <w:pStyle w:val="NoSpacing"/>
        <w:rPr>
          <w:sz w:val="20"/>
        </w:rPr>
      </w:pPr>
      <w:r w:rsidRPr="000D40B1">
        <w:rPr>
          <w:rStyle w:val="FootnoteReference"/>
          <w:sz w:val="20"/>
        </w:rPr>
        <w:footnoteRef/>
      </w:r>
      <w:r w:rsidRPr="000D40B1">
        <w:rPr>
          <w:sz w:val="20"/>
        </w:rPr>
        <w:t xml:space="preserve"> </w:t>
      </w:r>
      <w:r w:rsidR="000D40B1" w:rsidRPr="000D40B1">
        <w:rPr>
          <w:sz w:val="20"/>
        </w:rPr>
        <w:t xml:space="preserve">L. </w:t>
      </w:r>
      <w:r w:rsidR="000D40B1" w:rsidRPr="000D40B1">
        <w:rPr>
          <w:sz w:val="20"/>
        </w:rPr>
        <w:t xml:space="preserve">Miller, </w:t>
      </w:r>
      <w:r w:rsidR="000D40B1" w:rsidRPr="000D40B1">
        <w:rPr>
          <w:i/>
          <w:sz w:val="20"/>
        </w:rPr>
        <w:t>A Fine Brother: Flora Sandes</w:t>
      </w:r>
      <w:r w:rsidR="000D40B1" w:rsidRPr="000D40B1">
        <w:rPr>
          <w:sz w:val="20"/>
        </w:rPr>
        <w:t xml:space="preserve"> (Surrey: Alma Books </w:t>
      </w:r>
      <w:proofErr w:type="spellStart"/>
      <w:r w:rsidR="000D40B1" w:rsidRPr="000D40B1">
        <w:rPr>
          <w:sz w:val="20"/>
        </w:rPr>
        <w:t>Lrd</w:t>
      </w:r>
      <w:proofErr w:type="spellEnd"/>
      <w:r w:rsidR="000D40B1" w:rsidRPr="000D40B1">
        <w:rPr>
          <w:sz w:val="20"/>
        </w:rPr>
        <w:t>., 2012)</w:t>
      </w:r>
      <w:r w:rsidR="000D40B1" w:rsidRPr="000D40B1">
        <w:rPr>
          <w:sz w:val="20"/>
        </w:rPr>
        <w:t>, p</w:t>
      </w:r>
      <w:r w:rsidRPr="000D40B1">
        <w:rPr>
          <w:sz w:val="20"/>
        </w:rPr>
        <w:t xml:space="preserve">. 251 </w:t>
      </w:r>
    </w:p>
  </w:footnote>
  <w:footnote w:id="33">
    <w:p w14:paraId="5FA1B5C7" w14:textId="77777777" w:rsidR="000D40B1" w:rsidRPr="000D40B1" w:rsidRDefault="001B475B" w:rsidP="000D40B1">
      <w:pPr>
        <w:pStyle w:val="NoSpacing"/>
        <w:rPr>
          <w:sz w:val="20"/>
        </w:rPr>
      </w:pPr>
      <w:r w:rsidRPr="000D40B1">
        <w:rPr>
          <w:rStyle w:val="FootnoteReference"/>
          <w:sz w:val="20"/>
        </w:rPr>
        <w:footnoteRef/>
      </w:r>
      <w:r w:rsidR="000D40B1" w:rsidRPr="000D40B1">
        <w:rPr>
          <w:sz w:val="20"/>
        </w:rPr>
        <w:t xml:space="preserve">Noakes, L., ‘Demobilising the Military Women: Constructions of Class and Gender in Britain after the First World War’, </w:t>
      </w:r>
      <w:r w:rsidR="000D40B1" w:rsidRPr="000D40B1">
        <w:rPr>
          <w:i/>
          <w:sz w:val="20"/>
        </w:rPr>
        <w:t>Gender &amp; History</w:t>
      </w:r>
      <w:r w:rsidR="000D40B1" w:rsidRPr="000D40B1">
        <w:rPr>
          <w:sz w:val="20"/>
        </w:rPr>
        <w:t>, vol. 19, Issue 1 (2007), pp. 143-162.</w:t>
      </w:r>
    </w:p>
    <w:p w14:paraId="53438297" w14:textId="4F0B5E8C" w:rsidR="001B475B" w:rsidRDefault="001B475B">
      <w:pPr>
        <w:pStyle w:val="FootnoteText"/>
      </w:pPr>
    </w:p>
  </w:footnote>
  <w:footnote w:id="34">
    <w:p w14:paraId="1CD2E3AB" w14:textId="3BBF088E" w:rsidR="001B475B" w:rsidRPr="006A5CB0" w:rsidRDefault="001B475B" w:rsidP="006A5CB0">
      <w:pPr>
        <w:pStyle w:val="NoSpacing"/>
        <w:rPr>
          <w:sz w:val="20"/>
        </w:rPr>
      </w:pPr>
      <w:r w:rsidRPr="006A5CB0">
        <w:rPr>
          <w:rStyle w:val="FootnoteReference"/>
          <w:sz w:val="20"/>
        </w:rPr>
        <w:footnoteRef/>
      </w:r>
      <w:r w:rsidRPr="006A5CB0">
        <w:rPr>
          <w:sz w:val="20"/>
        </w:rPr>
        <w:t xml:space="preserve"> </w:t>
      </w:r>
      <w:r w:rsidR="006A5CB0" w:rsidRPr="006A5CB0">
        <w:rPr>
          <w:sz w:val="20"/>
        </w:rPr>
        <w:t xml:space="preserve">Cavell Nurses Trust, ‘Who was Edith Cavell?’, [online]. Available at: </w:t>
      </w:r>
      <w:hyperlink r:id="rId12" w:history="1">
        <w:r w:rsidR="006A5CB0" w:rsidRPr="006A5CB0">
          <w:rPr>
            <w:rStyle w:val="Hyperlink"/>
            <w:sz w:val="20"/>
          </w:rPr>
          <w:t>https://edithcavell.org.uk/edith-cavells-life</w:t>
        </w:r>
      </w:hyperlink>
      <w:r w:rsidR="006A5CB0" w:rsidRPr="006A5CB0">
        <w:rPr>
          <w:sz w:val="20"/>
        </w:rPr>
        <w:t>. (Accessed: 4 Dec 2017).</w:t>
      </w:r>
    </w:p>
  </w:footnote>
  <w:footnote w:id="35">
    <w:p w14:paraId="50C07ED3" w14:textId="3409A6F8" w:rsidR="001B475B" w:rsidRPr="006A5CB0" w:rsidRDefault="001B475B" w:rsidP="006A5CB0">
      <w:pPr>
        <w:pStyle w:val="NoSpacing"/>
        <w:rPr>
          <w:sz w:val="20"/>
          <w:szCs w:val="20"/>
        </w:rPr>
      </w:pPr>
      <w:r w:rsidRPr="006A5CB0">
        <w:rPr>
          <w:rStyle w:val="FootnoteReference"/>
          <w:sz w:val="20"/>
          <w:szCs w:val="20"/>
        </w:rPr>
        <w:footnoteRef/>
      </w:r>
      <w:r w:rsidRPr="006A5CB0">
        <w:rPr>
          <w:sz w:val="20"/>
          <w:szCs w:val="20"/>
        </w:rPr>
        <w:t xml:space="preserve"> </w:t>
      </w:r>
      <w:r w:rsidR="006A5CB0" w:rsidRPr="006A5CB0">
        <w:rPr>
          <w:sz w:val="20"/>
          <w:szCs w:val="20"/>
        </w:rPr>
        <w:t xml:space="preserve">Ibid. </w:t>
      </w:r>
    </w:p>
  </w:footnote>
  <w:footnote w:id="36">
    <w:p w14:paraId="1704FA51" w14:textId="2E19CA06" w:rsidR="001B475B" w:rsidRDefault="001B475B">
      <w:pPr>
        <w:pStyle w:val="FootnoteText"/>
      </w:pPr>
      <w:r w:rsidRPr="006A5CB0">
        <w:rPr>
          <w:rStyle w:val="FootnoteReference"/>
        </w:rPr>
        <w:footnoteRef/>
      </w:r>
      <w:r w:rsidRPr="006A5CB0">
        <w:t xml:space="preserve"> </w:t>
      </w:r>
      <w:r w:rsidR="00386F72" w:rsidRPr="006A5CB0">
        <w:t xml:space="preserve">Anne-Marie Foster, ‘Edith Cavell—100 Years On’, </w:t>
      </w:r>
      <w:r w:rsidR="00386F72" w:rsidRPr="006A5CB0">
        <w:rPr>
          <w:i/>
        </w:rPr>
        <w:t xml:space="preserve">British Library </w:t>
      </w:r>
      <w:r w:rsidR="00386F72" w:rsidRPr="006A5CB0">
        <w:t xml:space="preserve">(2016), [online]. Available at: </w:t>
      </w:r>
      <w:hyperlink r:id="rId13" w:history="1">
        <w:r w:rsidR="00386F72" w:rsidRPr="006A5CB0">
          <w:rPr>
            <w:rStyle w:val="Hyperlink"/>
          </w:rPr>
          <w:t>http://blogs.bl.uk/untoldlives/2016/10/edith-cavell-101-years-on.html</w:t>
        </w:r>
      </w:hyperlink>
    </w:p>
  </w:footnote>
  <w:footnote w:id="37">
    <w:p w14:paraId="730E79D4" w14:textId="59DB4736" w:rsidR="001B475B" w:rsidRPr="006A5CB0" w:rsidRDefault="001B475B" w:rsidP="006A5CB0">
      <w:pPr>
        <w:pStyle w:val="NoSpacing"/>
        <w:rPr>
          <w:sz w:val="20"/>
        </w:rPr>
      </w:pPr>
      <w:r>
        <w:rPr>
          <w:rStyle w:val="FootnoteReference"/>
        </w:rPr>
        <w:footnoteRef/>
      </w:r>
      <w:r>
        <w:t xml:space="preserve"> </w:t>
      </w:r>
      <w:r w:rsidR="006A5CB0" w:rsidRPr="006A5CB0">
        <w:rPr>
          <w:sz w:val="20"/>
        </w:rPr>
        <w:t xml:space="preserve">Hodgson, G.R., ‘Nurse, martyr, propaganda tool: the reporting of Edith Cavell in British newspapers 1915-1920’, </w:t>
      </w:r>
      <w:r w:rsidR="006A5CB0" w:rsidRPr="006A5CB0">
        <w:rPr>
          <w:i/>
          <w:sz w:val="20"/>
        </w:rPr>
        <w:t>Media, War &amp; Conflict</w:t>
      </w:r>
      <w:r w:rsidR="006A5CB0" w:rsidRPr="006A5CB0">
        <w:rPr>
          <w:sz w:val="20"/>
        </w:rPr>
        <w:t xml:space="preserve">, vol. 10, issue 2 (2015), pp. 239-253. </w:t>
      </w:r>
    </w:p>
  </w:footnote>
  <w:footnote w:id="38">
    <w:p w14:paraId="7D845622" w14:textId="5D519E22" w:rsidR="001B475B" w:rsidRPr="006A5CB0" w:rsidRDefault="001B475B" w:rsidP="006A5CB0">
      <w:pPr>
        <w:pStyle w:val="NoSpacing"/>
        <w:rPr>
          <w:sz w:val="20"/>
          <w:szCs w:val="20"/>
        </w:rPr>
      </w:pPr>
      <w:r w:rsidRPr="006A5CB0">
        <w:rPr>
          <w:rStyle w:val="FootnoteReference"/>
          <w:sz w:val="20"/>
          <w:szCs w:val="20"/>
        </w:rPr>
        <w:footnoteRef/>
      </w:r>
      <w:r w:rsidRPr="006A5CB0">
        <w:rPr>
          <w:sz w:val="20"/>
          <w:szCs w:val="20"/>
        </w:rPr>
        <w:t xml:space="preserve"> </w:t>
      </w:r>
      <w:r w:rsidR="006A5CB0" w:rsidRPr="006A5CB0">
        <w:rPr>
          <w:sz w:val="20"/>
          <w:szCs w:val="20"/>
        </w:rPr>
        <w:t xml:space="preserve">C. N. </w:t>
      </w:r>
      <w:proofErr w:type="spellStart"/>
      <w:r w:rsidR="006A5CB0" w:rsidRPr="006A5CB0">
        <w:rPr>
          <w:sz w:val="20"/>
          <w:szCs w:val="20"/>
        </w:rPr>
        <w:t>Trueman</w:t>
      </w:r>
      <w:proofErr w:type="spellEnd"/>
      <w:r w:rsidR="006A5CB0" w:rsidRPr="006A5CB0">
        <w:rPr>
          <w:sz w:val="20"/>
          <w:szCs w:val="20"/>
        </w:rPr>
        <w:t xml:space="preserve">, ‘The Home Front from 1914-1918’, History Learning Site (2015). Available at: </w:t>
      </w:r>
      <w:hyperlink r:id="rId14" w:history="1">
        <w:r w:rsidR="006A5CB0" w:rsidRPr="006A5CB0">
          <w:rPr>
            <w:rStyle w:val="Hyperlink"/>
            <w:sz w:val="20"/>
            <w:szCs w:val="20"/>
          </w:rPr>
          <w:t>https://www.historylearningsite.co.uk/world-war-one/the-home-front-1914-to-1918</w:t>
        </w:r>
      </w:hyperlink>
      <w:r w:rsidRPr="006A5CB0">
        <w:rPr>
          <w:sz w:val="20"/>
          <w:szCs w:val="20"/>
        </w:rPr>
        <w:t>/</w:t>
      </w:r>
    </w:p>
  </w:footnote>
  <w:footnote w:id="39">
    <w:p w14:paraId="6DD8D0C4" w14:textId="5C476932" w:rsidR="001B475B" w:rsidRPr="006A5CB0" w:rsidRDefault="001B475B" w:rsidP="006A5CB0">
      <w:pPr>
        <w:pStyle w:val="NoSpacing"/>
        <w:rPr>
          <w:sz w:val="20"/>
          <w:szCs w:val="20"/>
        </w:rPr>
      </w:pPr>
      <w:r w:rsidRPr="006A5CB0">
        <w:rPr>
          <w:rStyle w:val="FootnoteReference"/>
          <w:sz w:val="20"/>
          <w:szCs w:val="20"/>
        </w:rPr>
        <w:footnoteRef/>
      </w:r>
      <w:r w:rsidRPr="006A5CB0">
        <w:rPr>
          <w:sz w:val="20"/>
          <w:szCs w:val="20"/>
        </w:rPr>
        <w:t xml:space="preserve"> </w:t>
      </w:r>
      <w:r w:rsidR="006A5CB0" w:rsidRPr="006A5CB0">
        <w:rPr>
          <w:sz w:val="20"/>
          <w:szCs w:val="20"/>
        </w:rPr>
        <w:t xml:space="preserve">M. Arthur, </w:t>
      </w:r>
      <w:r w:rsidR="006A5CB0" w:rsidRPr="006A5CB0">
        <w:rPr>
          <w:i/>
          <w:sz w:val="20"/>
          <w:szCs w:val="20"/>
        </w:rPr>
        <w:t>Forgotten Voices of the Great War</w:t>
      </w:r>
      <w:r w:rsidRPr="006A5CB0">
        <w:rPr>
          <w:sz w:val="20"/>
          <w:szCs w:val="20"/>
        </w:rPr>
        <w:t>, p. 171</w:t>
      </w:r>
    </w:p>
  </w:footnote>
  <w:footnote w:id="40">
    <w:p w14:paraId="31CDCF1D" w14:textId="77777777" w:rsidR="001B475B" w:rsidRPr="006A5CB0" w:rsidRDefault="001B475B" w:rsidP="006A5CB0">
      <w:pPr>
        <w:pStyle w:val="NoSpacing"/>
        <w:rPr>
          <w:sz w:val="20"/>
          <w:szCs w:val="20"/>
        </w:rPr>
      </w:pPr>
      <w:r w:rsidRPr="006A5CB0">
        <w:rPr>
          <w:rStyle w:val="FootnoteReference"/>
          <w:sz w:val="20"/>
          <w:szCs w:val="20"/>
        </w:rPr>
        <w:footnoteRef/>
      </w:r>
      <w:r w:rsidRPr="006A5CB0">
        <w:rPr>
          <w:sz w:val="20"/>
          <w:szCs w:val="20"/>
        </w:rPr>
        <w:t xml:space="preserve"> https://www.bl.uk/world-war-one/articles/changing-lives-gender-expectations</w:t>
      </w:r>
    </w:p>
  </w:footnote>
  <w:footnote w:id="41">
    <w:p w14:paraId="4F1E8418" w14:textId="725ED696" w:rsidR="001B475B" w:rsidRPr="006A5CB0" w:rsidRDefault="001B475B" w:rsidP="006A5CB0">
      <w:pPr>
        <w:pStyle w:val="NoSpacing"/>
        <w:rPr>
          <w:sz w:val="20"/>
          <w:szCs w:val="20"/>
        </w:rPr>
      </w:pPr>
      <w:r w:rsidRPr="006A5CB0">
        <w:rPr>
          <w:rStyle w:val="FootnoteReference"/>
          <w:sz w:val="20"/>
          <w:szCs w:val="20"/>
        </w:rPr>
        <w:footnoteRef/>
      </w:r>
      <w:r w:rsidRPr="006A5CB0">
        <w:rPr>
          <w:sz w:val="20"/>
          <w:szCs w:val="20"/>
        </w:rPr>
        <w:t xml:space="preserve"> </w:t>
      </w:r>
      <w:r w:rsidR="00386F72" w:rsidRPr="006A5CB0">
        <w:rPr>
          <w:sz w:val="20"/>
          <w:szCs w:val="20"/>
        </w:rPr>
        <w:t xml:space="preserve">A. Simmonds, </w:t>
      </w:r>
      <w:r w:rsidR="00386F72" w:rsidRPr="006A5CB0">
        <w:rPr>
          <w:i/>
          <w:sz w:val="20"/>
          <w:szCs w:val="20"/>
        </w:rPr>
        <w:t>Britain and World War One</w:t>
      </w:r>
      <w:r w:rsidR="00386F72" w:rsidRPr="006A5CB0">
        <w:rPr>
          <w:sz w:val="20"/>
          <w:szCs w:val="20"/>
        </w:rPr>
        <w:t xml:space="preserve"> (London: Routledge, 2012)</w:t>
      </w:r>
      <w:r w:rsidR="00386F72" w:rsidRPr="006A5CB0">
        <w:rPr>
          <w:sz w:val="20"/>
          <w:szCs w:val="20"/>
        </w:rPr>
        <w:t>, p. 142</w:t>
      </w:r>
    </w:p>
  </w:footnote>
  <w:footnote w:id="42">
    <w:p w14:paraId="3BF614A3" w14:textId="71D4111D" w:rsidR="001B475B" w:rsidRPr="006A5CB0" w:rsidRDefault="001B475B" w:rsidP="006A5CB0">
      <w:pPr>
        <w:pStyle w:val="NoSpacing"/>
        <w:rPr>
          <w:sz w:val="20"/>
          <w:szCs w:val="20"/>
        </w:rPr>
      </w:pPr>
      <w:r w:rsidRPr="006A5CB0">
        <w:rPr>
          <w:rStyle w:val="FootnoteReference"/>
          <w:sz w:val="20"/>
          <w:szCs w:val="20"/>
        </w:rPr>
        <w:footnoteRef/>
      </w:r>
      <w:r w:rsidRPr="006A5CB0">
        <w:rPr>
          <w:sz w:val="20"/>
          <w:szCs w:val="20"/>
        </w:rPr>
        <w:t xml:space="preserve"> </w:t>
      </w:r>
      <w:r w:rsidR="006A5CB0" w:rsidRPr="006A5CB0">
        <w:rPr>
          <w:sz w:val="20"/>
          <w:szCs w:val="20"/>
        </w:rPr>
        <w:t xml:space="preserve">IWM SR 9439 Ethel May Dean, interviewed by Jan R. </w:t>
      </w:r>
      <w:proofErr w:type="spellStart"/>
      <w:r w:rsidR="006A5CB0" w:rsidRPr="006A5CB0">
        <w:rPr>
          <w:sz w:val="20"/>
          <w:szCs w:val="20"/>
        </w:rPr>
        <w:t>Stovold</w:t>
      </w:r>
      <w:proofErr w:type="spellEnd"/>
      <w:r w:rsidR="006A5CB0" w:rsidRPr="006A5CB0">
        <w:rPr>
          <w:sz w:val="20"/>
          <w:szCs w:val="20"/>
        </w:rPr>
        <w:t xml:space="preserve">, 7 October 1986. Available at: </w:t>
      </w:r>
      <w:hyperlink r:id="rId15" w:history="1">
        <w:r w:rsidR="006A5CB0" w:rsidRPr="006A5CB0">
          <w:rPr>
            <w:rStyle w:val="Hyperlink"/>
            <w:sz w:val="20"/>
            <w:szCs w:val="20"/>
          </w:rPr>
          <w:t>http://www.iwm.org.uk/collections/item/object/80009226</w:t>
        </w:r>
      </w:hyperlink>
      <w:r w:rsidR="006A5CB0" w:rsidRPr="006A5CB0">
        <w:rPr>
          <w:sz w:val="20"/>
          <w:szCs w:val="20"/>
        </w:rPr>
        <w:t>.</w:t>
      </w:r>
    </w:p>
  </w:footnote>
  <w:footnote w:id="43">
    <w:p w14:paraId="3289085B" w14:textId="2C488121" w:rsidR="001B475B" w:rsidRDefault="001B475B" w:rsidP="006A5CB0">
      <w:pPr>
        <w:pStyle w:val="NoSpacing"/>
      </w:pPr>
      <w:r w:rsidRPr="006A5CB0">
        <w:rPr>
          <w:rStyle w:val="FootnoteReference"/>
          <w:sz w:val="20"/>
          <w:szCs w:val="20"/>
        </w:rPr>
        <w:footnoteRef/>
      </w:r>
      <w:r w:rsidRPr="006A5CB0">
        <w:rPr>
          <w:sz w:val="20"/>
          <w:szCs w:val="20"/>
        </w:rPr>
        <w:t xml:space="preserve"> </w:t>
      </w:r>
      <w:r w:rsidR="00386F72" w:rsidRPr="006A5CB0">
        <w:rPr>
          <w:i/>
          <w:sz w:val="20"/>
          <w:szCs w:val="20"/>
        </w:rPr>
        <w:t>Britain and World War One</w:t>
      </w:r>
      <w:r w:rsidRPr="006A5CB0">
        <w:rPr>
          <w:sz w:val="20"/>
          <w:szCs w:val="20"/>
        </w:rPr>
        <w:t>, p. 142</w:t>
      </w:r>
    </w:p>
  </w:footnote>
  <w:footnote w:id="44">
    <w:p w14:paraId="41F25C55" w14:textId="7F05988E" w:rsidR="001B475B" w:rsidRDefault="001B475B">
      <w:pPr>
        <w:pStyle w:val="FootnoteText"/>
      </w:pPr>
      <w:r>
        <w:rPr>
          <w:rStyle w:val="FootnoteReference"/>
        </w:rPr>
        <w:footnoteRef/>
      </w:r>
      <w:r>
        <w:t xml:space="preserve"> </w:t>
      </w:r>
      <w:r w:rsidR="00386F72">
        <w:t xml:space="preserve">Ibid. </w:t>
      </w:r>
    </w:p>
  </w:footnote>
  <w:footnote w:id="45">
    <w:p w14:paraId="30F43370" w14:textId="252C3EF5" w:rsidR="001B475B" w:rsidRDefault="001B475B" w:rsidP="00386F72">
      <w:pPr>
        <w:pStyle w:val="NoSpacing"/>
        <w:spacing w:line="360" w:lineRule="auto"/>
        <w:jc w:val="both"/>
      </w:pPr>
      <w:r>
        <w:rPr>
          <w:rStyle w:val="FootnoteReference"/>
        </w:rPr>
        <w:footnoteRef/>
      </w:r>
      <w:r>
        <w:t xml:space="preserve"> </w:t>
      </w:r>
      <w:r w:rsidR="00386F72">
        <w:t xml:space="preserve">A. Simmonds, </w:t>
      </w:r>
      <w:r w:rsidR="00386F72" w:rsidRPr="00386F72">
        <w:rPr>
          <w:i/>
        </w:rPr>
        <w:t>Britain and World War</w:t>
      </w:r>
      <w:r w:rsidR="00386F72">
        <w:rPr>
          <w:i/>
        </w:rPr>
        <w:t xml:space="preserve">, </w:t>
      </w:r>
      <w:r>
        <w:t>p. 129</w:t>
      </w:r>
    </w:p>
  </w:footnote>
  <w:footnote w:id="46">
    <w:p w14:paraId="409A0F09" w14:textId="03FE0242" w:rsidR="001B475B" w:rsidRDefault="001B475B" w:rsidP="00E510EE">
      <w:pPr>
        <w:pStyle w:val="FootnoteText"/>
      </w:pPr>
      <w:r>
        <w:rPr>
          <w:rStyle w:val="FootnoteReference"/>
        </w:rPr>
        <w:footnoteRef/>
      </w:r>
      <w:r>
        <w:t xml:space="preserve"> </w:t>
      </w:r>
      <w:r w:rsidR="000D40B1">
        <w:t>D</w:t>
      </w:r>
      <w:r w:rsidR="000D40B1">
        <w:t xml:space="preserve">. </w:t>
      </w:r>
      <w:r w:rsidR="000D40B1">
        <w:t xml:space="preserve">Reynolds, </w:t>
      </w:r>
      <w:r w:rsidR="000D40B1" w:rsidRPr="00386F72">
        <w:rPr>
          <w:i/>
        </w:rPr>
        <w:t>The Long Shadow</w:t>
      </w:r>
      <w:r w:rsidR="000D40B1">
        <w:t xml:space="preserve"> (London: Simon &amp; Schuster UK Ltd., 2013)</w:t>
      </w:r>
      <w:r w:rsidR="000D40B1">
        <w:t xml:space="preserve">, </w:t>
      </w:r>
      <w:r>
        <w:t>pp. 365-7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D64D6" w14:textId="77777777" w:rsidR="001B475B" w:rsidRPr="00874075" w:rsidRDefault="001B475B" w:rsidP="00874075">
    <w:pPr>
      <w:pStyle w:val="Header"/>
      <w:tabs>
        <w:tab w:val="clear" w:pos="4513"/>
      </w:tabs>
      <w:rPr>
        <w:sz w:val="22"/>
      </w:rPr>
    </w:pPr>
    <w:r w:rsidRPr="00874075">
      <w:rPr>
        <w:sz w:val="22"/>
      </w:rPr>
      <w:t xml:space="preserve">Rhiannon Morgan </w:t>
    </w:r>
    <w:r w:rsidRPr="00874075">
      <w:rPr>
        <w:sz w:val="22"/>
      </w:rPr>
      <w:tab/>
      <w:t>AHHI6007</w:t>
    </w:r>
  </w:p>
  <w:p w14:paraId="002238FE" w14:textId="77777777" w:rsidR="001B475B" w:rsidRDefault="001B47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5E08EF"/>
    <w:multiLevelType w:val="hybridMultilevel"/>
    <w:tmpl w:val="52E6B658"/>
    <w:lvl w:ilvl="0" w:tplc="5C6C27F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FEA64E4"/>
    <w:multiLevelType w:val="hybridMultilevel"/>
    <w:tmpl w:val="953488A4"/>
    <w:lvl w:ilvl="0" w:tplc="3C8C218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3B6B22"/>
    <w:multiLevelType w:val="hybridMultilevel"/>
    <w:tmpl w:val="8B0E3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9D18D8"/>
    <w:multiLevelType w:val="hybridMultilevel"/>
    <w:tmpl w:val="F07C4AEA"/>
    <w:lvl w:ilvl="0" w:tplc="33B4E79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075"/>
    <w:rsid w:val="00007168"/>
    <w:rsid w:val="00011D35"/>
    <w:rsid w:val="00012371"/>
    <w:rsid w:val="000239C6"/>
    <w:rsid w:val="00034983"/>
    <w:rsid w:val="00037A06"/>
    <w:rsid w:val="000415D3"/>
    <w:rsid w:val="000466AB"/>
    <w:rsid w:val="00063B52"/>
    <w:rsid w:val="0006410B"/>
    <w:rsid w:val="00075339"/>
    <w:rsid w:val="00094A6D"/>
    <w:rsid w:val="0009717A"/>
    <w:rsid w:val="000A3A4B"/>
    <w:rsid w:val="000A4217"/>
    <w:rsid w:val="000B6EE5"/>
    <w:rsid w:val="000D40B1"/>
    <w:rsid w:val="00102A05"/>
    <w:rsid w:val="00125EFA"/>
    <w:rsid w:val="00145610"/>
    <w:rsid w:val="00155A0A"/>
    <w:rsid w:val="00180D95"/>
    <w:rsid w:val="00181008"/>
    <w:rsid w:val="0018729C"/>
    <w:rsid w:val="001A58DD"/>
    <w:rsid w:val="001B2A0D"/>
    <w:rsid w:val="001B475B"/>
    <w:rsid w:val="001C291D"/>
    <w:rsid w:val="001D193F"/>
    <w:rsid w:val="001D4181"/>
    <w:rsid w:val="001D691E"/>
    <w:rsid w:val="001F38B1"/>
    <w:rsid w:val="001F4ABE"/>
    <w:rsid w:val="001F58C2"/>
    <w:rsid w:val="00200511"/>
    <w:rsid w:val="0020453A"/>
    <w:rsid w:val="002220E2"/>
    <w:rsid w:val="0022423E"/>
    <w:rsid w:val="0022723C"/>
    <w:rsid w:val="00250716"/>
    <w:rsid w:val="00282D7C"/>
    <w:rsid w:val="002847F9"/>
    <w:rsid w:val="00286357"/>
    <w:rsid w:val="00292BB3"/>
    <w:rsid w:val="0029498D"/>
    <w:rsid w:val="002949CE"/>
    <w:rsid w:val="002A0C08"/>
    <w:rsid w:val="002C5741"/>
    <w:rsid w:val="002C6679"/>
    <w:rsid w:val="002D68D6"/>
    <w:rsid w:val="002E3ACE"/>
    <w:rsid w:val="002F036C"/>
    <w:rsid w:val="002F5F9B"/>
    <w:rsid w:val="00336D37"/>
    <w:rsid w:val="00350735"/>
    <w:rsid w:val="003508F1"/>
    <w:rsid w:val="0035782A"/>
    <w:rsid w:val="003760EC"/>
    <w:rsid w:val="003851C0"/>
    <w:rsid w:val="00386F72"/>
    <w:rsid w:val="003B0F57"/>
    <w:rsid w:val="003F16E1"/>
    <w:rsid w:val="0041090F"/>
    <w:rsid w:val="004333D2"/>
    <w:rsid w:val="00451F09"/>
    <w:rsid w:val="004527B1"/>
    <w:rsid w:val="004B1C41"/>
    <w:rsid w:val="004B60E4"/>
    <w:rsid w:val="004E2A9D"/>
    <w:rsid w:val="005000E3"/>
    <w:rsid w:val="00501600"/>
    <w:rsid w:val="0050682C"/>
    <w:rsid w:val="00511743"/>
    <w:rsid w:val="005260D9"/>
    <w:rsid w:val="00533C51"/>
    <w:rsid w:val="00551280"/>
    <w:rsid w:val="00553163"/>
    <w:rsid w:val="00590B44"/>
    <w:rsid w:val="00597C89"/>
    <w:rsid w:val="005B455F"/>
    <w:rsid w:val="005C7C57"/>
    <w:rsid w:val="005D248A"/>
    <w:rsid w:val="005F1537"/>
    <w:rsid w:val="005F2C7E"/>
    <w:rsid w:val="005F533D"/>
    <w:rsid w:val="00601BD5"/>
    <w:rsid w:val="0060336C"/>
    <w:rsid w:val="006042E5"/>
    <w:rsid w:val="00614877"/>
    <w:rsid w:val="006149E0"/>
    <w:rsid w:val="00651255"/>
    <w:rsid w:val="006566AB"/>
    <w:rsid w:val="00662A1A"/>
    <w:rsid w:val="00670647"/>
    <w:rsid w:val="00676D74"/>
    <w:rsid w:val="0069274D"/>
    <w:rsid w:val="00696BCD"/>
    <w:rsid w:val="00696C14"/>
    <w:rsid w:val="006A2068"/>
    <w:rsid w:val="006A5CB0"/>
    <w:rsid w:val="006C137B"/>
    <w:rsid w:val="006C4810"/>
    <w:rsid w:val="006E533D"/>
    <w:rsid w:val="006E6976"/>
    <w:rsid w:val="00700383"/>
    <w:rsid w:val="00723084"/>
    <w:rsid w:val="00735235"/>
    <w:rsid w:val="007416BE"/>
    <w:rsid w:val="007453BE"/>
    <w:rsid w:val="00753204"/>
    <w:rsid w:val="0075598B"/>
    <w:rsid w:val="007744B5"/>
    <w:rsid w:val="00775559"/>
    <w:rsid w:val="00777916"/>
    <w:rsid w:val="00782677"/>
    <w:rsid w:val="00787099"/>
    <w:rsid w:val="00791FC7"/>
    <w:rsid w:val="00796E84"/>
    <w:rsid w:val="007A6DAE"/>
    <w:rsid w:val="007B238D"/>
    <w:rsid w:val="007B2CF9"/>
    <w:rsid w:val="007B59CB"/>
    <w:rsid w:val="007B5FCD"/>
    <w:rsid w:val="007C1228"/>
    <w:rsid w:val="007C6AE2"/>
    <w:rsid w:val="007E1DB7"/>
    <w:rsid w:val="007F6136"/>
    <w:rsid w:val="007F7F87"/>
    <w:rsid w:val="00803658"/>
    <w:rsid w:val="008460C4"/>
    <w:rsid w:val="00855390"/>
    <w:rsid w:val="00865FE4"/>
    <w:rsid w:val="008728E3"/>
    <w:rsid w:val="00874075"/>
    <w:rsid w:val="00875112"/>
    <w:rsid w:val="00886F8C"/>
    <w:rsid w:val="00887C19"/>
    <w:rsid w:val="008A164D"/>
    <w:rsid w:val="008B163B"/>
    <w:rsid w:val="008C0099"/>
    <w:rsid w:val="008D1788"/>
    <w:rsid w:val="008E10A2"/>
    <w:rsid w:val="008F3B96"/>
    <w:rsid w:val="008F74C2"/>
    <w:rsid w:val="008F7999"/>
    <w:rsid w:val="0090273B"/>
    <w:rsid w:val="009041EC"/>
    <w:rsid w:val="0092359B"/>
    <w:rsid w:val="00933F06"/>
    <w:rsid w:val="00967DEA"/>
    <w:rsid w:val="009818F4"/>
    <w:rsid w:val="009855E8"/>
    <w:rsid w:val="009861C6"/>
    <w:rsid w:val="00986DBB"/>
    <w:rsid w:val="0099490B"/>
    <w:rsid w:val="009A28D2"/>
    <w:rsid w:val="009A47D4"/>
    <w:rsid w:val="009A51D4"/>
    <w:rsid w:val="009B328E"/>
    <w:rsid w:val="009E2D23"/>
    <w:rsid w:val="009E7630"/>
    <w:rsid w:val="009E7C02"/>
    <w:rsid w:val="00A35427"/>
    <w:rsid w:val="00A41080"/>
    <w:rsid w:val="00A52ECB"/>
    <w:rsid w:val="00A535B1"/>
    <w:rsid w:val="00A87383"/>
    <w:rsid w:val="00AC0B94"/>
    <w:rsid w:val="00B02FD4"/>
    <w:rsid w:val="00B030CC"/>
    <w:rsid w:val="00B03820"/>
    <w:rsid w:val="00B300B3"/>
    <w:rsid w:val="00B347DC"/>
    <w:rsid w:val="00B577A5"/>
    <w:rsid w:val="00B61525"/>
    <w:rsid w:val="00B836CB"/>
    <w:rsid w:val="00B85DFA"/>
    <w:rsid w:val="00B934F6"/>
    <w:rsid w:val="00BA5635"/>
    <w:rsid w:val="00BB529F"/>
    <w:rsid w:val="00BD152E"/>
    <w:rsid w:val="00BD7A6C"/>
    <w:rsid w:val="00BD7E7C"/>
    <w:rsid w:val="00C05810"/>
    <w:rsid w:val="00C13366"/>
    <w:rsid w:val="00C26C13"/>
    <w:rsid w:val="00C27AD5"/>
    <w:rsid w:val="00C3556B"/>
    <w:rsid w:val="00C35710"/>
    <w:rsid w:val="00C43456"/>
    <w:rsid w:val="00C5334F"/>
    <w:rsid w:val="00C85290"/>
    <w:rsid w:val="00C87702"/>
    <w:rsid w:val="00C940FB"/>
    <w:rsid w:val="00C94D25"/>
    <w:rsid w:val="00CA29D7"/>
    <w:rsid w:val="00CB5A24"/>
    <w:rsid w:val="00CD453A"/>
    <w:rsid w:val="00CE2D13"/>
    <w:rsid w:val="00D034A8"/>
    <w:rsid w:val="00D068D8"/>
    <w:rsid w:val="00D12792"/>
    <w:rsid w:val="00D16A2F"/>
    <w:rsid w:val="00D31B3A"/>
    <w:rsid w:val="00D47D3B"/>
    <w:rsid w:val="00D55F7D"/>
    <w:rsid w:val="00D61F15"/>
    <w:rsid w:val="00D932B6"/>
    <w:rsid w:val="00DB08F4"/>
    <w:rsid w:val="00DB0C9F"/>
    <w:rsid w:val="00DC70EF"/>
    <w:rsid w:val="00DD76D3"/>
    <w:rsid w:val="00DE0F22"/>
    <w:rsid w:val="00DE3A2B"/>
    <w:rsid w:val="00DE479A"/>
    <w:rsid w:val="00E06CEB"/>
    <w:rsid w:val="00E12252"/>
    <w:rsid w:val="00E1232C"/>
    <w:rsid w:val="00E31081"/>
    <w:rsid w:val="00E33FEF"/>
    <w:rsid w:val="00E40FE1"/>
    <w:rsid w:val="00E510EE"/>
    <w:rsid w:val="00E5115A"/>
    <w:rsid w:val="00E6482E"/>
    <w:rsid w:val="00E75978"/>
    <w:rsid w:val="00E94B81"/>
    <w:rsid w:val="00EA1AE4"/>
    <w:rsid w:val="00EC313A"/>
    <w:rsid w:val="00EE1CCF"/>
    <w:rsid w:val="00EE24AA"/>
    <w:rsid w:val="00EF446B"/>
    <w:rsid w:val="00F03FBC"/>
    <w:rsid w:val="00F43C05"/>
    <w:rsid w:val="00F612CE"/>
    <w:rsid w:val="00F72F17"/>
    <w:rsid w:val="00F96FC9"/>
    <w:rsid w:val="00FC2B3F"/>
    <w:rsid w:val="00FC3BAA"/>
    <w:rsid w:val="00FE4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234FD"/>
  <w15:chartTrackingRefBased/>
  <w15:docId w15:val="{46031CC1-90CB-4793-9822-CEE9EC276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407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4075"/>
    <w:pPr>
      <w:tabs>
        <w:tab w:val="center" w:pos="4513"/>
        <w:tab w:val="right" w:pos="9026"/>
      </w:tabs>
    </w:pPr>
  </w:style>
  <w:style w:type="character" w:customStyle="1" w:styleId="HeaderChar">
    <w:name w:val="Header Char"/>
    <w:basedOn w:val="DefaultParagraphFont"/>
    <w:link w:val="Header"/>
    <w:uiPriority w:val="99"/>
    <w:rsid w:val="008740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74075"/>
    <w:pPr>
      <w:tabs>
        <w:tab w:val="center" w:pos="4513"/>
        <w:tab w:val="right" w:pos="9026"/>
      </w:tabs>
    </w:pPr>
  </w:style>
  <w:style w:type="character" w:customStyle="1" w:styleId="FooterChar">
    <w:name w:val="Footer Char"/>
    <w:basedOn w:val="DefaultParagraphFont"/>
    <w:link w:val="Footer"/>
    <w:uiPriority w:val="99"/>
    <w:rsid w:val="00874075"/>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551280"/>
    <w:rPr>
      <w:sz w:val="20"/>
      <w:szCs w:val="20"/>
    </w:rPr>
  </w:style>
  <w:style w:type="character" w:customStyle="1" w:styleId="FootnoteTextChar">
    <w:name w:val="Footnote Text Char"/>
    <w:basedOn w:val="DefaultParagraphFont"/>
    <w:link w:val="FootnoteText"/>
    <w:uiPriority w:val="99"/>
    <w:rsid w:val="0055128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551280"/>
    <w:rPr>
      <w:vertAlign w:val="superscript"/>
    </w:rPr>
  </w:style>
  <w:style w:type="paragraph" w:styleId="NoSpacing">
    <w:name w:val="No Spacing"/>
    <w:uiPriority w:val="1"/>
    <w:qFormat/>
    <w:rsid w:val="009855E8"/>
    <w:pPr>
      <w:spacing w:after="0"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09717A"/>
    <w:pPr>
      <w:spacing w:after="200"/>
    </w:pPr>
    <w:rPr>
      <w:i/>
      <w:iCs/>
      <w:color w:val="44546A" w:themeColor="text2"/>
      <w:sz w:val="18"/>
      <w:szCs w:val="18"/>
    </w:rPr>
  </w:style>
  <w:style w:type="character" w:styleId="Hyperlink">
    <w:name w:val="Hyperlink"/>
    <w:basedOn w:val="DefaultParagraphFont"/>
    <w:uiPriority w:val="99"/>
    <w:unhideWhenUsed/>
    <w:rsid w:val="0009717A"/>
    <w:rPr>
      <w:color w:val="0563C1" w:themeColor="hyperlink"/>
      <w:u w:val="single"/>
    </w:rPr>
  </w:style>
  <w:style w:type="character" w:styleId="UnresolvedMention">
    <w:name w:val="Unresolved Mention"/>
    <w:basedOn w:val="DefaultParagraphFont"/>
    <w:uiPriority w:val="99"/>
    <w:semiHidden/>
    <w:unhideWhenUsed/>
    <w:rsid w:val="0009717A"/>
    <w:rPr>
      <w:color w:val="808080"/>
      <w:shd w:val="clear" w:color="auto" w:fill="E6E6E6"/>
    </w:rPr>
  </w:style>
  <w:style w:type="character" w:styleId="Strong">
    <w:name w:val="Strong"/>
    <w:basedOn w:val="DefaultParagraphFont"/>
    <w:uiPriority w:val="22"/>
    <w:qFormat/>
    <w:rsid w:val="00887C19"/>
    <w:rPr>
      <w:b/>
      <w:bCs/>
    </w:rPr>
  </w:style>
  <w:style w:type="paragraph" w:customStyle="1" w:styleId="selectionshareable">
    <w:name w:val="selectionshareable"/>
    <w:basedOn w:val="Normal"/>
    <w:rsid w:val="00887C19"/>
    <w:pPr>
      <w:spacing w:before="100" w:beforeAutospacing="1" w:after="100" w:afterAutospacing="1"/>
    </w:pPr>
    <w:rPr>
      <w:lang w:eastAsia="en-GB"/>
    </w:rPr>
  </w:style>
  <w:style w:type="paragraph" w:styleId="Quote">
    <w:name w:val="Quote"/>
    <w:basedOn w:val="Normal"/>
    <w:next w:val="Normal"/>
    <w:link w:val="QuoteChar"/>
    <w:uiPriority w:val="29"/>
    <w:qFormat/>
    <w:rsid w:val="00887C1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87C19"/>
    <w:rPr>
      <w:rFonts w:ascii="Times New Roman" w:eastAsia="Times New Roman" w:hAnsi="Times New Roman" w:cs="Times New Roman"/>
      <w:i/>
      <w:iCs/>
      <w:color w:val="404040" w:themeColor="text1" w:themeTint="BF"/>
      <w:sz w:val="24"/>
      <w:szCs w:val="24"/>
    </w:rPr>
  </w:style>
  <w:style w:type="paragraph" w:styleId="ListParagraph">
    <w:name w:val="List Paragraph"/>
    <w:basedOn w:val="Normal"/>
    <w:uiPriority w:val="34"/>
    <w:qFormat/>
    <w:rsid w:val="005D248A"/>
    <w:pPr>
      <w:ind w:left="720"/>
      <w:contextualSpacing/>
    </w:pPr>
  </w:style>
  <w:style w:type="character" w:styleId="Emphasis">
    <w:name w:val="Emphasis"/>
    <w:basedOn w:val="DefaultParagraphFont"/>
    <w:uiPriority w:val="20"/>
    <w:qFormat/>
    <w:rsid w:val="00D47D3B"/>
    <w:rPr>
      <w:i/>
      <w:iCs/>
    </w:rPr>
  </w:style>
  <w:style w:type="character" w:styleId="FollowedHyperlink">
    <w:name w:val="FollowedHyperlink"/>
    <w:basedOn w:val="DefaultParagraphFont"/>
    <w:uiPriority w:val="99"/>
    <w:semiHidden/>
    <w:unhideWhenUsed/>
    <w:rsid w:val="00D55F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789522">
      <w:bodyDiv w:val="1"/>
      <w:marLeft w:val="0"/>
      <w:marRight w:val="0"/>
      <w:marTop w:val="0"/>
      <w:marBottom w:val="0"/>
      <w:divBdr>
        <w:top w:val="none" w:sz="0" w:space="0" w:color="auto"/>
        <w:left w:val="none" w:sz="0" w:space="0" w:color="auto"/>
        <w:bottom w:val="none" w:sz="0" w:space="0" w:color="auto"/>
        <w:right w:val="none" w:sz="0" w:space="0" w:color="auto"/>
      </w:divBdr>
    </w:div>
    <w:div w:id="1456287462">
      <w:bodyDiv w:val="1"/>
      <w:marLeft w:val="0"/>
      <w:marRight w:val="0"/>
      <w:marTop w:val="0"/>
      <w:marBottom w:val="0"/>
      <w:divBdr>
        <w:top w:val="none" w:sz="0" w:space="0" w:color="auto"/>
        <w:left w:val="none" w:sz="0" w:space="0" w:color="auto"/>
        <w:bottom w:val="none" w:sz="0" w:space="0" w:color="auto"/>
        <w:right w:val="none" w:sz="0" w:space="0" w:color="auto"/>
      </w:divBdr>
      <w:divsChild>
        <w:div w:id="2117823078">
          <w:marLeft w:val="0"/>
          <w:marRight w:val="0"/>
          <w:marTop w:val="0"/>
          <w:marBottom w:val="0"/>
          <w:divBdr>
            <w:top w:val="none" w:sz="0" w:space="0" w:color="auto"/>
            <w:left w:val="none" w:sz="0" w:space="0" w:color="auto"/>
            <w:bottom w:val="none" w:sz="0" w:space="0" w:color="auto"/>
            <w:right w:val="none" w:sz="0" w:space="0" w:color="auto"/>
          </w:divBdr>
          <w:divsChild>
            <w:div w:id="719013863">
              <w:marLeft w:val="0"/>
              <w:marRight w:val="0"/>
              <w:marTop w:val="0"/>
              <w:marBottom w:val="0"/>
              <w:divBdr>
                <w:top w:val="none" w:sz="0" w:space="0" w:color="auto"/>
                <w:left w:val="none" w:sz="0" w:space="0" w:color="auto"/>
                <w:bottom w:val="none" w:sz="0" w:space="0" w:color="auto"/>
                <w:right w:val="none" w:sz="0" w:space="0" w:color="auto"/>
              </w:divBdr>
            </w:div>
          </w:divsChild>
        </w:div>
        <w:div w:id="1377972062">
          <w:marLeft w:val="0"/>
          <w:marRight w:val="0"/>
          <w:marTop w:val="0"/>
          <w:marBottom w:val="0"/>
          <w:divBdr>
            <w:top w:val="none" w:sz="0" w:space="0" w:color="auto"/>
            <w:left w:val="none" w:sz="0" w:space="0" w:color="auto"/>
            <w:bottom w:val="none" w:sz="0" w:space="0" w:color="auto"/>
            <w:right w:val="none" w:sz="0" w:space="0" w:color="auto"/>
          </w:divBdr>
          <w:divsChild>
            <w:div w:id="34892496">
              <w:marLeft w:val="0"/>
              <w:marRight w:val="0"/>
              <w:marTop w:val="0"/>
              <w:marBottom w:val="0"/>
              <w:divBdr>
                <w:top w:val="none" w:sz="0" w:space="0" w:color="auto"/>
                <w:left w:val="none" w:sz="0" w:space="0" w:color="auto"/>
                <w:bottom w:val="none" w:sz="0" w:space="0" w:color="auto"/>
                <w:right w:val="none" w:sz="0" w:space="0" w:color="auto"/>
              </w:divBdr>
            </w:div>
          </w:divsChild>
        </w:div>
        <w:div w:id="1850291730">
          <w:marLeft w:val="0"/>
          <w:marRight w:val="0"/>
          <w:marTop w:val="0"/>
          <w:marBottom w:val="0"/>
          <w:divBdr>
            <w:top w:val="none" w:sz="0" w:space="0" w:color="auto"/>
            <w:left w:val="none" w:sz="0" w:space="0" w:color="auto"/>
            <w:bottom w:val="none" w:sz="0" w:space="0" w:color="auto"/>
            <w:right w:val="none" w:sz="0" w:space="0" w:color="auto"/>
          </w:divBdr>
          <w:divsChild>
            <w:div w:id="792942834">
              <w:marLeft w:val="0"/>
              <w:marRight w:val="0"/>
              <w:marTop w:val="0"/>
              <w:marBottom w:val="0"/>
              <w:divBdr>
                <w:top w:val="none" w:sz="0" w:space="0" w:color="auto"/>
                <w:left w:val="none" w:sz="0" w:space="0" w:color="auto"/>
                <w:bottom w:val="none" w:sz="0" w:space="0" w:color="auto"/>
                <w:right w:val="none" w:sz="0" w:space="0" w:color="auto"/>
              </w:divBdr>
            </w:div>
          </w:divsChild>
        </w:div>
        <w:div w:id="37094464">
          <w:marLeft w:val="0"/>
          <w:marRight w:val="0"/>
          <w:marTop w:val="0"/>
          <w:marBottom w:val="0"/>
          <w:divBdr>
            <w:top w:val="none" w:sz="0" w:space="0" w:color="auto"/>
            <w:left w:val="none" w:sz="0" w:space="0" w:color="auto"/>
            <w:bottom w:val="none" w:sz="0" w:space="0" w:color="auto"/>
            <w:right w:val="none" w:sz="0" w:space="0" w:color="auto"/>
          </w:divBdr>
          <w:divsChild>
            <w:div w:id="1762410550">
              <w:marLeft w:val="0"/>
              <w:marRight w:val="0"/>
              <w:marTop w:val="0"/>
              <w:marBottom w:val="0"/>
              <w:divBdr>
                <w:top w:val="none" w:sz="0" w:space="0" w:color="auto"/>
                <w:left w:val="none" w:sz="0" w:space="0" w:color="auto"/>
                <w:bottom w:val="none" w:sz="0" w:space="0" w:color="auto"/>
                <w:right w:val="none" w:sz="0" w:space="0" w:color="auto"/>
              </w:divBdr>
            </w:div>
          </w:divsChild>
        </w:div>
        <w:div w:id="463429178">
          <w:marLeft w:val="0"/>
          <w:marRight w:val="0"/>
          <w:marTop w:val="0"/>
          <w:marBottom w:val="0"/>
          <w:divBdr>
            <w:top w:val="none" w:sz="0" w:space="0" w:color="auto"/>
            <w:left w:val="none" w:sz="0" w:space="0" w:color="auto"/>
            <w:bottom w:val="none" w:sz="0" w:space="0" w:color="auto"/>
            <w:right w:val="none" w:sz="0" w:space="0" w:color="auto"/>
          </w:divBdr>
          <w:divsChild>
            <w:div w:id="41903962">
              <w:marLeft w:val="0"/>
              <w:marRight w:val="0"/>
              <w:marTop w:val="0"/>
              <w:marBottom w:val="0"/>
              <w:divBdr>
                <w:top w:val="none" w:sz="0" w:space="0" w:color="auto"/>
                <w:left w:val="none" w:sz="0" w:space="0" w:color="auto"/>
                <w:bottom w:val="none" w:sz="0" w:space="0" w:color="auto"/>
                <w:right w:val="none" w:sz="0" w:space="0" w:color="auto"/>
              </w:divBdr>
            </w:div>
            <w:div w:id="508377593">
              <w:marLeft w:val="0"/>
              <w:marRight w:val="0"/>
              <w:marTop w:val="0"/>
              <w:marBottom w:val="0"/>
              <w:divBdr>
                <w:top w:val="none" w:sz="0" w:space="0" w:color="auto"/>
                <w:left w:val="none" w:sz="0" w:space="0" w:color="auto"/>
                <w:bottom w:val="none" w:sz="0" w:space="0" w:color="auto"/>
                <w:right w:val="none" w:sz="0" w:space="0" w:color="auto"/>
              </w:divBdr>
            </w:div>
          </w:divsChild>
        </w:div>
        <w:div w:id="43259209">
          <w:marLeft w:val="0"/>
          <w:marRight w:val="0"/>
          <w:marTop w:val="0"/>
          <w:marBottom w:val="0"/>
          <w:divBdr>
            <w:top w:val="none" w:sz="0" w:space="0" w:color="auto"/>
            <w:left w:val="none" w:sz="0" w:space="0" w:color="auto"/>
            <w:bottom w:val="none" w:sz="0" w:space="0" w:color="auto"/>
            <w:right w:val="none" w:sz="0" w:space="0" w:color="auto"/>
          </w:divBdr>
          <w:divsChild>
            <w:div w:id="1753504361">
              <w:marLeft w:val="0"/>
              <w:marRight w:val="0"/>
              <w:marTop w:val="0"/>
              <w:marBottom w:val="0"/>
              <w:divBdr>
                <w:top w:val="none" w:sz="0" w:space="0" w:color="auto"/>
                <w:left w:val="none" w:sz="0" w:space="0" w:color="auto"/>
                <w:bottom w:val="none" w:sz="0" w:space="0" w:color="auto"/>
                <w:right w:val="none" w:sz="0" w:space="0" w:color="auto"/>
              </w:divBdr>
            </w:div>
          </w:divsChild>
        </w:div>
        <w:div w:id="405763240">
          <w:marLeft w:val="0"/>
          <w:marRight w:val="0"/>
          <w:marTop w:val="0"/>
          <w:marBottom w:val="0"/>
          <w:divBdr>
            <w:top w:val="none" w:sz="0" w:space="0" w:color="auto"/>
            <w:left w:val="none" w:sz="0" w:space="0" w:color="auto"/>
            <w:bottom w:val="none" w:sz="0" w:space="0" w:color="auto"/>
            <w:right w:val="none" w:sz="0" w:space="0" w:color="auto"/>
          </w:divBdr>
          <w:divsChild>
            <w:div w:id="421493499">
              <w:marLeft w:val="0"/>
              <w:marRight w:val="0"/>
              <w:marTop w:val="0"/>
              <w:marBottom w:val="0"/>
              <w:divBdr>
                <w:top w:val="none" w:sz="0" w:space="0" w:color="auto"/>
                <w:left w:val="none" w:sz="0" w:space="0" w:color="auto"/>
                <w:bottom w:val="none" w:sz="0" w:space="0" w:color="auto"/>
                <w:right w:val="none" w:sz="0" w:space="0" w:color="auto"/>
              </w:divBdr>
            </w:div>
          </w:divsChild>
        </w:div>
        <w:div w:id="1711759959">
          <w:marLeft w:val="0"/>
          <w:marRight w:val="0"/>
          <w:marTop w:val="0"/>
          <w:marBottom w:val="0"/>
          <w:divBdr>
            <w:top w:val="none" w:sz="0" w:space="0" w:color="auto"/>
            <w:left w:val="none" w:sz="0" w:space="0" w:color="auto"/>
            <w:bottom w:val="none" w:sz="0" w:space="0" w:color="auto"/>
            <w:right w:val="none" w:sz="0" w:space="0" w:color="auto"/>
          </w:divBdr>
          <w:divsChild>
            <w:div w:id="3277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158953">
      <w:bodyDiv w:val="1"/>
      <w:marLeft w:val="0"/>
      <w:marRight w:val="0"/>
      <w:marTop w:val="0"/>
      <w:marBottom w:val="0"/>
      <w:divBdr>
        <w:top w:val="none" w:sz="0" w:space="0" w:color="auto"/>
        <w:left w:val="none" w:sz="0" w:space="0" w:color="auto"/>
        <w:bottom w:val="none" w:sz="0" w:space="0" w:color="auto"/>
        <w:right w:val="none" w:sz="0" w:space="0" w:color="auto"/>
      </w:divBdr>
      <w:divsChild>
        <w:div w:id="685056902">
          <w:marLeft w:val="0"/>
          <w:marRight w:val="0"/>
          <w:marTop w:val="0"/>
          <w:marBottom w:val="0"/>
          <w:divBdr>
            <w:top w:val="none" w:sz="0" w:space="0" w:color="auto"/>
            <w:left w:val="none" w:sz="0" w:space="0" w:color="auto"/>
            <w:bottom w:val="none" w:sz="0" w:space="0" w:color="auto"/>
            <w:right w:val="none" w:sz="0" w:space="0" w:color="auto"/>
          </w:divBdr>
          <w:divsChild>
            <w:div w:id="809902804">
              <w:marLeft w:val="0"/>
              <w:marRight w:val="0"/>
              <w:marTop w:val="0"/>
              <w:marBottom w:val="0"/>
              <w:divBdr>
                <w:top w:val="none" w:sz="0" w:space="0" w:color="auto"/>
                <w:left w:val="none" w:sz="0" w:space="0" w:color="auto"/>
                <w:bottom w:val="none" w:sz="0" w:space="0" w:color="auto"/>
                <w:right w:val="none" w:sz="0" w:space="0" w:color="auto"/>
              </w:divBdr>
            </w:div>
          </w:divsChild>
        </w:div>
        <w:div w:id="1064643458">
          <w:marLeft w:val="0"/>
          <w:marRight w:val="0"/>
          <w:marTop w:val="0"/>
          <w:marBottom w:val="0"/>
          <w:divBdr>
            <w:top w:val="none" w:sz="0" w:space="0" w:color="auto"/>
            <w:left w:val="none" w:sz="0" w:space="0" w:color="auto"/>
            <w:bottom w:val="none" w:sz="0" w:space="0" w:color="auto"/>
            <w:right w:val="none" w:sz="0" w:space="0" w:color="auto"/>
          </w:divBdr>
          <w:divsChild>
            <w:div w:id="1324624453">
              <w:marLeft w:val="0"/>
              <w:marRight w:val="0"/>
              <w:marTop w:val="0"/>
              <w:marBottom w:val="0"/>
              <w:divBdr>
                <w:top w:val="none" w:sz="0" w:space="0" w:color="auto"/>
                <w:left w:val="none" w:sz="0" w:space="0" w:color="auto"/>
                <w:bottom w:val="none" w:sz="0" w:space="0" w:color="auto"/>
                <w:right w:val="none" w:sz="0" w:space="0" w:color="auto"/>
              </w:divBdr>
            </w:div>
          </w:divsChild>
        </w:div>
        <w:div w:id="1343706818">
          <w:marLeft w:val="0"/>
          <w:marRight w:val="0"/>
          <w:marTop w:val="0"/>
          <w:marBottom w:val="0"/>
          <w:divBdr>
            <w:top w:val="none" w:sz="0" w:space="0" w:color="auto"/>
            <w:left w:val="none" w:sz="0" w:space="0" w:color="auto"/>
            <w:bottom w:val="none" w:sz="0" w:space="0" w:color="auto"/>
            <w:right w:val="none" w:sz="0" w:space="0" w:color="auto"/>
          </w:divBdr>
          <w:divsChild>
            <w:div w:id="579099483">
              <w:marLeft w:val="0"/>
              <w:marRight w:val="0"/>
              <w:marTop w:val="0"/>
              <w:marBottom w:val="0"/>
              <w:divBdr>
                <w:top w:val="none" w:sz="0" w:space="0" w:color="auto"/>
                <w:left w:val="none" w:sz="0" w:space="0" w:color="auto"/>
                <w:bottom w:val="none" w:sz="0" w:space="0" w:color="auto"/>
                <w:right w:val="none" w:sz="0" w:space="0" w:color="auto"/>
              </w:divBdr>
            </w:div>
          </w:divsChild>
        </w:div>
        <w:div w:id="1414081936">
          <w:marLeft w:val="0"/>
          <w:marRight w:val="0"/>
          <w:marTop w:val="0"/>
          <w:marBottom w:val="0"/>
          <w:divBdr>
            <w:top w:val="none" w:sz="0" w:space="0" w:color="auto"/>
            <w:left w:val="none" w:sz="0" w:space="0" w:color="auto"/>
            <w:bottom w:val="none" w:sz="0" w:space="0" w:color="auto"/>
            <w:right w:val="none" w:sz="0" w:space="0" w:color="auto"/>
          </w:divBdr>
          <w:divsChild>
            <w:div w:id="162584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iwm.org.uk/history/podcasts/voices-of-the-first-world-war/podcast-11-war-at-sea" TargetMode="External"/><Relationship Id="rId18" Type="http://schemas.openxmlformats.org/officeDocument/2006/relationships/hyperlink" Target="https://history.blog.gov.uk/2015/01/19/air-raid-casualties-in-the-first-world-war/" TargetMode="External"/><Relationship Id="rId26" Type="http://schemas.openxmlformats.org/officeDocument/2006/relationships/hyperlink" Target="https://www.bl.uk/world-war-one/articles/changing-lives-gender-expectations" TargetMode="External"/><Relationship Id="rId3" Type="http://schemas.openxmlformats.org/officeDocument/2006/relationships/styles" Target="styles.xml"/><Relationship Id="rId21" Type="http://schemas.openxmlformats.org/officeDocument/2006/relationships/hyperlink" Target="http://www.iwm.org.uk/history/the-air-raids-that-shook-britain-in-the-first-world-war" TargetMode="External"/><Relationship Id="rId7" Type="http://schemas.openxmlformats.org/officeDocument/2006/relationships/endnotes" Target="endnotes.xml"/><Relationship Id="rId12" Type="http://schemas.openxmlformats.org/officeDocument/2006/relationships/hyperlink" Target="http://www.iwm.org.uk/collections/item/object/80009226" TargetMode="External"/><Relationship Id="rId17" Type="http://schemas.openxmlformats.org/officeDocument/2006/relationships/hyperlink" Target="https://www.historylearningsite.co.uk/world-war-one/the-home-front-1914-to-1918" TargetMode="External"/><Relationship Id="rId25" Type="http://schemas.openxmlformats.org/officeDocument/2006/relationships/hyperlink" Target="https://www.bl.uk/world-war-one/articles/sensuous-life-in-the-trenches" TargetMode="External"/><Relationship Id="rId2" Type="http://schemas.openxmlformats.org/officeDocument/2006/relationships/numbering" Target="numbering.xml"/><Relationship Id="rId16" Type="http://schemas.openxmlformats.org/officeDocument/2006/relationships/hyperlink" Target="https://edithcavell.org.uk/edith-cavells-life" TargetMode="External"/><Relationship Id="rId20" Type="http://schemas.openxmlformats.org/officeDocument/2006/relationships/hyperlink" Target="https://www.bl.uk/world-war-one/articles/the-war-at-sea"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logs.bl.uk/untoldlives/2016/10/edith-cavell-101-years-on.html" TargetMode="External"/><Relationship Id="rId24" Type="http://schemas.openxmlformats.org/officeDocument/2006/relationships/hyperlink" Target="https://www.bl.uk/world-war-one/articles/reframing-first-world-war-poetry" TargetMode="External"/><Relationship Id="rId5" Type="http://schemas.openxmlformats.org/officeDocument/2006/relationships/webSettings" Target="webSettings.xml"/><Relationship Id="rId15" Type="http://schemas.openxmlformats.org/officeDocument/2006/relationships/hyperlink" Target="http://www.redcross.org.uk/About-us/Who-we-are/History-and-origin/First-World-War/Volunteers-during-WW1" TargetMode="External"/><Relationship Id="rId23" Type="http://schemas.openxmlformats.org/officeDocument/2006/relationships/hyperlink" Target="http://www.iwm.org.uk/history/what-was-the-battle-of-jutland" TargetMode="External"/><Relationship Id="rId28" Type="http://schemas.openxmlformats.org/officeDocument/2006/relationships/header" Target="header1.xml"/><Relationship Id="rId10" Type="http://schemas.openxmlformats.org/officeDocument/2006/relationships/hyperlink" Target="http://www.cheltenhammuseum.org.uk/slideshows/postcards.html" TargetMode="External"/><Relationship Id="rId19" Type="http://schemas.openxmlformats.org/officeDocument/2006/relationships/hyperlink" Target="http://ww1centenary.oucs.ox.ac.uk/unconventionalsoldiers/the-she-soldiers-of-world-war-on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blogs.bl.uk/untoldlives/2016/10/edith-cavell-101-years-on.html" TargetMode="External"/><Relationship Id="rId22" Type="http://schemas.openxmlformats.org/officeDocument/2006/relationships/hyperlink" Target="http://ww1centenary.oucs.ox.ac.uk/space-into-place/the-war-underground-an-overview/" TargetMode="External"/><Relationship Id="rId27" Type="http://schemas.openxmlformats.org/officeDocument/2006/relationships/hyperlink" Target="http://www.1914.org/the-battle-of-the-somme-film/"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iwm.org.uk/history/the-air-raids-that-shook-britain-in-the-first-world-war" TargetMode="External"/><Relationship Id="rId13" Type="http://schemas.openxmlformats.org/officeDocument/2006/relationships/hyperlink" Target="http://blogs.bl.uk/untoldlives/2016/10/edith-cavell-101-years-on.html" TargetMode="External"/><Relationship Id="rId3" Type="http://schemas.openxmlformats.org/officeDocument/2006/relationships/hyperlink" Target="http://www.iwm.org.uk/history/podcasts/voices-of-the-first-world-war/podcast-11-war-at-sea" TargetMode="External"/><Relationship Id="rId7" Type="http://schemas.openxmlformats.org/officeDocument/2006/relationships/hyperlink" Target="http://ww1centenary.oucs.ox.ac.uk/space-into-place/the-war-underground-an-overview/" TargetMode="External"/><Relationship Id="rId12" Type="http://schemas.openxmlformats.org/officeDocument/2006/relationships/hyperlink" Target="https://edithcavell.org.uk/edith-cavells-life" TargetMode="External"/><Relationship Id="rId2" Type="http://schemas.openxmlformats.org/officeDocument/2006/relationships/hyperlink" Target="http://www.1914.org/the-battle-of-the-somme-film/" TargetMode="External"/><Relationship Id="rId1" Type="http://schemas.openxmlformats.org/officeDocument/2006/relationships/hyperlink" Target="https://www.bl.uk/world-war-one/articles/reframing-first-world-war-poetry" TargetMode="External"/><Relationship Id="rId6" Type="http://schemas.openxmlformats.org/officeDocument/2006/relationships/hyperlink" Target="https://www.bl.uk/world-war-one/articles/sensuous-life-in-the-trenches" TargetMode="External"/><Relationship Id="rId11" Type="http://schemas.openxmlformats.org/officeDocument/2006/relationships/hyperlink" Target="http://ww1centenary.oucs.ox.ac.uk/unconventionalsoldiers/the-she-soldiers-of-world-war-one/" TargetMode="External"/><Relationship Id="rId5" Type="http://schemas.openxmlformats.org/officeDocument/2006/relationships/hyperlink" Target="https://www.bl.uk/world-war-one/articles/the-war-at-sea" TargetMode="External"/><Relationship Id="rId15" Type="http://schemas.openxmlformats.org/officeDocument/2006/relationships/hyperlink" Target="http://www.iwm.org.uk/collections/item/object/80009226" TargetMode="External"/><Relationship Id="rId10" Type="http://schemas.openxmlformats.org/officeDocument/2006/relationships/hyperlink" Target="http://www.redcross.org.uk/About-us/Who-we-are/History-and-origin/First-World-War/Volunteers-during-WW1" TargetMode="External"/><Relationship Id="rId4" Type="http://schemas.openxmlformats.org/officeDocument/2006/relationships/hyperlink" Target="http://www.iwm.org.uk/history/what-was-the-battle-of-jutland" TargetMode="External"/><Relationship Id="rId9" Type="http://schemas.openxmlformats.org/officeDocument/2006/relationships/hyperlink" Target="https://history.blog.gov.uk/2015/01/19/air-raid-casualties-in-the-first-world-war/" TargetMode="External"/><Relationship Id="rId14" Type="http://schemas.openxmlformats.org/officeDocument/2006/relationships/hyperlink" Target="https://www.historylearningsite.co.uk/world-war-one/the-home-front-1914-to-19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D844E-0D55-4B94-AED5-47754907D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2221</TotalTime>
  <Pages>10</Pages>
  <Words>3384</Words>
  <Characters>19295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Sian Morgan</dc:creator>
  <cp:keywords/>
  <dc:description/>
  <cp:lastModifiedBy>Rhiannon Morgan</cp:lastModifiedBy>
  <cp:revision>147</cp:revision>
  <dcterms:created xsi:type="dcterms:W3CDTF">2017-12-02T12:24:00Z</dcterms:created>
  <dcterms:modified xsi:type="dcterms:W3CDTF">2018-01-12T20:45:00Z</dcterms:modified>
</cp:coreProperties>
</file>