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B5E04" w14:textId="77777777" w:rsidR="00C61FD5" w:rsidRPr="00665BFD" w:rsidRDefault="00C61FD5" w:rsidP="00527353">
      <w:pPr>
        <w:rPr>
          <w:rFonts w:cs="Times New Roman"/>
          <w:szCs w:val="24"/>
        </w:rPr>
      </w:pPr>
    </w:p>
    <w:p w14:paraId="4782770D" w14:textId="77777777" w:rsidR="00F4110B" w:rsidRPr="00665BFD" w:rsidRDefault="00F4110B" w:rsidP="00527353">
      <w:pPr>
        <w:rPr>
          <w:rFonts w:cs="Times New Roman"/>
          <w:szCs w:val="24"/>
        </w:rPr>
      </w:pPr>
    </w:p>
    <w:p w14:paraId="731DFF04" w14:textId="77777777" w:rsidR="00F4110B" w:rsidRPr="00665BFD" w:rsidRDefault="00F4110B" w:rsidP="00527353">
      <w:pPr>
        <w:rPr>
          <w:rFonts w:cs="Times New Roman"/>
          <w:szCs w:val="24"/>
        </w:rPr>
      </w:pPr>
    </w:p>
    <w:p w14:paraId="60CD3FBA" w14:textId="77777777" w:rsidR="00F4110B" w:rsidRPr="00665BFD" w:rsidRDefault="00F4110B" w:rsidP="00527353">
      <w:pPr>
        <w:rPr>
          <w:rFonts w:cs="Times New Roman"/>
          <w:szCs w:val="24"/>
        </w:rPr>
      </w:pPr>
    </w:p>
    <w:p w14:paraId="3D12A567" w14:textId="77777777" w:rsidR="00F4110B" w:rsidRPr="00665BFD" w:rsidRDefault="00F4110B" w:rsidP="00527353">
      <w:pPr>
        <w:rPr>
          <w:rFonts w:cs="Times New Roman"/>
          <w:szCs w:val="24"/>
        </w:rPr>
      </w:pPr>
    </w:p>
    <w:p w14:paraId="0F602A4D" w14:textId="77777777" w:rsidR="00F4110B" w:rsidRPr="00665BFD" w:rsidRDefault="00F4110B" w:rsidP="00527353">
      <w:pPr>
        <w:rPr>
          <w:rFonts w:cs="Times New Roman"/>
          <w:szCs w:val="24"/>
        </w:rPr>
      </w:pPr>
    </w:p>
    <w:p w14:paraId="77438331" w14:textId="77777777" w:rsidR="00F4110B" w:rsidRPr="00665BFD" w:rsidRDefault="00F4110B" w:rsidP="00527353">
      <w:pPr>
        <w:rPr>
          <w:rFonts w:cs="Times New Roman"/>
          <w:szCs w:val="24"/>
        </w:rPr>
      </w:pPr>
    </w:p>
    <w:p w14:paraId="740CE9FB" w14:textId="77777777" w:rsidR="00F4110B" w:rsidRPr="00665BFD" w:rsidRDefault="00F4110B" w:rsidP="00527353">
      <w:pPr>
        <w:rPr>
          <w:rFonts w:cs="Times New Roman"/>
          <w:szCs w:val="24"/>
        </w:rPr>
      </w:pPr>
    </w:p>
    <w:p w14:paraId="2E7933B4" w14:textId="77777777" w:rsidR="00503A8C" w:rsidRPr="00665BFD" w:rsidRDefault="004867F7" w:rsidP="00527353">
      <w:pPr>
        <w:jc w:val="center"/>
        <w:rPr>
          <w:rFonts w:cs="Times New Roman"/>
          <w:b/>
          <w:szCs w:val="24"/>
        </w:rPr>
      </w:pPr>
      <w:r w:rsidRPr="00665BFD">
        <w:rPr>
          <w:rFonts w:cs="Times New Roman"/>
          <w:b/>
          <w:szCs w:val="24"/>
        </w:rPr>
        <w:t xml:space="preserve">Goodyear </w:t>
      </w:r>
      <w:r w:rsidR="00537AF2" w:rsidRPr="00665BFD">
        <w:rPr>
          <w:rFonts w:cs="Times New Roman"/>
          <w:b/>
          <w:szCs w:val="24"/>
        </w:rPr>
        <w:t xml:space="preserve">Tires </w:t>
      </w:r>
      <w:r w:rsidRPr="00665BFD">
        <w:rPr>
          <w:rFonts w:cs="Times New Roman"/>
          <w:b/>
          <w:szCs w:val="24"/>
        </w:rPr>
        <w:t>M</w:t>
      </w:r>
      <w:r w:rsidR="00F4110B" w:rsidRPr="00665BFD">
        <w:rPr>
          <w:rFonts w:cs="Times New Roman"/>
          <w:b/>
          <w:szCs w:val="24"/>
        </w:rPr>
        <w:t>arket Analysis</w:t>
      </w:r>
    </w:p>
    <w:p w14:paraId="7AC13B0E" w14:textId="77777777" w:rsidR="00503A8C" w:rsidRPr="00665BFD" w:rsidRDefault="00503A8C" w:rsidP="00527353">
      <w:pPr>
        <w:jc w:val="center"/>
        <w:rPr>
          <w:rFonts w:cs="Times New Roman"/>
          <w:szCs w:val="24"/>
        </w:rPr>
      </w:pPr>
    </w:p>
    <w:p w14:paraId="620390E7" w14:textId="77777777" w:rsidR="00F4110B" w:rsidRPr="00665BFD" w:rsidRDefault="00F4110B" w:rsidP="00527353">
      <w:pPr>
        <w:jc w:val="center"/>
        <w:rPr>
          <w:rFonts w:cs="Times New Roman"/>
          <w:szCs w:val="24"/>
        </w:rPr>
      </w:pPr>
    </w:p>
    <w:p w14:paraId="3DDAE1D5" w14:textId="77777777" w:rsidR="00F4110B" w:rsidRPr="00665BFD" w:rsidRDefault="00F4110B" w:rsidP="00527353">
      <w:pPr>
        <w:jc w:val="center"/>
        <w:rPr>
          <w:rFonts w:cs="Times New Roman"/>
          <w:szCs w:val="24"/>
        </w:rPr>
      </w:pPr>
    </w:p>
    <w:p w14:paraId="11168225" w14:textId="77777777" w:rsidR="00C61FD5" w:rsidRDefault="00503A8C" w:rsidP="00527353">
      <w:pPr>
        <w:jc w:val="center"/>
        <w:rPr>
          <w:rFonts w:cs="Times New Roman"/>
          <w:szCs w:val="24"/>
        </w:rPr>
      </w:pPr>
      <w:r w:rsidRPr="00665BFD">
        <w:rPr>
          <w:rFonts w:cs="Times New Roman"/>
          <w:szCs w:val="24"/>
        </w:rPr>
        <w:t>Student’s Name and Number</w:t>
      </w:r>
    </w:p>
    <w:p w14:paraId="03241570" w14:textId="1D5BB01E" w:rsidR="0082544B" w:rsidRPr="00665BFD" w:rsidRDefault="0082544B" w:rsidP="00527353">
      <w:pPr>
        <w:jc w:val="center"/>
        <w:rPr>
          <w:rFonts w:cs="Times New Roman"/>
          <w:szCs w:val="24"/>
        </w:rPr>
      </w:pPr>
      <w:r>
        <w:rPr>
          <w:rFonts w:cs="Times New Roman"/>
          <w:szCs w:val="24"/>
        </w:rPr>
        <w:t>Ivan Gunchev 2030335</w:t>
      </w:r>
    </w:p>
    <w:p w14:paraId="278B9026" w14:textId="77777777" w:rsidR="00C61FD5" w:rsidRPr="00665BFD" w:rsidRDefault="00503A8C" w:rsidP="00527353">
      <w:pPr>
        <w:jc w:val="center"/>
        <w:rPr>
          <w:rFonts w:cs="Times New Roman"/>
          <w:szCs w:val="24"/>
        </w:rPr>
      </w:pPr>
      <w:r w:rsidRPr="00665BFD">
        <w:rPr>
          <w:rFonts w:cs="Times New Roman"/>
          <w:szCs w:val="24"/>
        </w:rPr>
        <w:t>LCBB5008-Management Economics</w:t>
      </w:r>
    </w:p>
    <w:p w14:paraId="3025B8F4" w14:textId="77777777" w:rsidR="00503A8C" w:rsidRPr="00665BFD" w:rsidRDefault="00503A8C" w:rsidP="00527353">
      <w:pPr>
        <w:jc w:val="center"/>
        <w:rPr>
          <w:rFonts w:cs="Times New Roman"/>
          <w:szCs w:val="24"/>
        </w:rPr>
      </w:pPr>
      <w:r w:rsidRPr="00665BFD">
        <w:rPr>
          <w:rFonts w:cs="Times New Roman"/>
          <w:szCs w:val="24"/>
        </w:rPr>
        <w:t>University of Whales</w:t>
      </w:r>
    </w:p>
    <w:p w14:paraId="3E784F0C" w14:textId="20EADBE9" w:rsidR="00503A8C" w:rsidRPr="00665BFD" w:rsidRDefault="00503A8C" w:rsidP="00527353">
      <w:pPr>
        <w:jc w:val="center"/>
        <w:rPr>
          <w:rFonts w:cs="Times New Roman"/>
          <w:szCs w:val="24"/>
          <w:shd w:val="clear" w:color="auto" w:fill="FFFFFF"/>
        </w:rPr>
      </w:pPr>
      <w:r w:rsidRPr="00665BFD">
        <w:rPr>
          <w:rFonts w:cs="Times New Roman"/>
          <w:szCs w:val="24"/>
        </w:rPr>
        <w:t>Date</w:t>
      </w:r>
      <w:r w:rsidR="0082544B">
        <w:rPr>
          <w:rFonts w:cs="Times New Roman"/>
          <w:szCs w:val="24"/>
        </w:rPr>
        <w:t xml:space="preserve"> 06.05.2023</w:t>
      </w:r>
    </w:p>
    <w:p w14:paraId="287D5FF2" w14:textId="77777777" w:rsidR="00C61FD5" w:rsidRPr="00665BFD" w:rsidRDefault="00C61FD5" w:rsidP="00527353">
      <w:pPr>
        <w:jc w:val="center"/>
        <w:rPr>
          <w:rFonts w:cs="Times New Roman"/>
          <w:szCs w:val="24"/>
          <w:shd w:val="clear" w:color="auto" w:fill="FFFFFF"/>
        </w:rPr>
      </w:pPr>
    </w:p>
    <w:p w14:paraId="6CD67F8F" w14:textId="77777777" w:rsidR="00503A8C" w:rsidRPr="00665BFD" w:rsidRDefault="00503A8C" w:rsidP="00527353">
      <w:pPr>
        <w:jc w:val="center"/>
        <w:rPr>
          <w:rFonts w:cs="Times New Roman"/>
          <w:szCs w:val="24"/>
          <w:shd w:val="clear" w:color="auto" w:fill="FFFFFF"/>
        </w:rPr>
      </w:pPr>
    </w:p>
    <w:p w14:paraId="7BE87713" w14:textId="77777777" w:rsidR="00503A8C" w:rsidRPr="00665BFD" w:rsidRDefault="00503A8C" w:rsidP="00527353">
      <w:pPr>
        <w:jc w:val="center"/>
        <w:rPr>
          <w:rFonts w:cs="Times New Roman"/>
          <w:szCs w:val="24"/>
          <w:shd w:val="clear" w:color="auto" w:fill="FFFFFF"/>
        </w:rPr>
      </w:pPr>
    </w:p>
    <w:p w14:paraId="202D03EC" w14:textId="77777777" w:rsidR="00AA4E06" w:rsidRPr="00665BFD" w:rsidRDefault="00AA4E06" w:rsidP="00527353">
      <w:pPr>
        <w:jc w:val="center"/>
        <w:rPr>
          <w:rFonts w:cs="Times New Roman"/>
          <w:szCs w:val="24"/>
          <w:shd w:val="clear" w:color="auto" w:fill="FFFFFF"/>
        </w:rPr>
      </w:pPr>
    </w:p>
    <w:p w14:paraId="79FC3D7D" w14:textId="77777777" w:rsidR="00AA4E06" w:rsidRPr="00665BFD" w:rsidRDefault="00F4110B" w:rsidP="00527353">
      <w:pPr>
        <w:jc w:val="center"/>
        <w:rPr>
          <w:rFonts w:cs="Times New Roman"/>
          <w:szCs w:val="24"/>
        </w:rPr>
      </w:pPr>
      <w:r w:rsidRPr="00665BFD">
        <w:rPr>
          <w:rFonts w:cs="Times New Roman"/>
          <w:szCs w:val="24"/>
        </w:rPr>
        <w:t>Word Count:</w:t>
      </w:r>
      <w:r w:rsidR="000354E5" w:rsidRPr="00665BFD">
        <w:rPr>
          <w:rFonts w:cs="Times New Roman"/>
          <w:szCs w:val="24"/>
        </w:rPr>
        <w:t xml:space="preserve"> </w:t>
      </w:r>
      <w:r w:rsidR="00A85FEF" w:rsidRPr="00665BFD">
        <w:rPr>
          <w:rFonts w:cs="Times New Roman"/>
          <w:szCs w:val="24"/>
        </w:rPr>
        <w:t>2</w:t>
      </w:r>
      <w:r w:rsidR="00B00657" w:rsidRPr="00665BFD">
        <w:rPr>
          <w:rFonts w:cs="Times New Roman"/>
          <w:szCs w:val="24"/>
        </w:rPr>
        <w:t>629</w:t>
      </w:r>
    </w:p>
    <w:p w14:paraId="5CCFCC8F" w14:textId="221452C4" w:rsidR="00527353" w:rsidRPr="00665BFD" w:rsidRDefault="00527353" w:rsidP="00527353">
      <w:pPr>
        <w:jc w:val="center"/>
        <w:rPr>
          <w:rFonts w:cs="Times New Roman"/>
          <w:szCs w:val="24"/>
        </w:rPr>
      </w:pPr>
    </w:p>
    <w:p w14:paraId="00B7E54D" w14:textId="29E46203" w:rsidR="00665BFD" w:rsidRPr="00665BFD" w:rsidRDefault="00665BFD" w:rsidP="00527353">
      <w:pPr>
        <w:jc w:val="center"/>
        <w:rPr>
          <w:rFonts w:cs="Times New Roman"/>
          <w:szCs w:val="24"/>
        </w:rPr>
      </w:pPr>
    </w:p>
    <w:sdt>
      <w:sdtPr>
        <w:rPr>
          <w:rFonts w:ascii="Times New Roman" w:eastAsiaTheme="minorHAnsi" w:hAnsi="Times New Roman" w:cstheme="minorBidi"/>
          <w:color w:val="auto"/>
          <w:sz w:val="24"/>
          <w:szCs w:val="22"/>
          <w:lang w:val="en-GB"/>
        </w:rPr>
        <w:id w:val="812291740"/>
        <w:docPartObj>
          <w:docPartGallery w:val="Table of Contents"/>
          <w:docPartUnique/>
        </w:docPartObj>
      </w:sdtPr>
      <w:sdtEndPr>
        <w:rPr>
          <w:b/>
          <w:bCs/>
        </w:rPr>
      </w:sdtEndPr>
      <w:sdtContent>
        <w:p w14:paraId="7910CC55" w14:textId="4FF68EF2" w:rsidR="00665BFD" w:rsidRPr="00665BFD" w:rsidRDefault="00665BFD">
          <w:pPr>
            <w:pStyle w:val="TOCHeading"/>
            <w:rPr>
              <w:lang w:val="en-GB"/>
            </w:rPr>
          </w:pPr>
          <w:r w:rsidRPr="00665BFD">
            <w:rPr>
              <w:lang w:val="en-GB"/>
            </w:rPr>
            <w:t>Table of Contents</w:t>
          </w:r>
        </w:p>
        <w:p w14:paraId="189A0A16" w14:textId="74C63F6A" w:rsidR="00665BFD" w:rsidRPr="00665BFD" w:rsidRDefault="00665BFD">
          <w:pPr>
            <w:pStyle w:val="TOC1"/>
            <w:tabs>
              <w:tab w:val="right" w:leader="dot" w:pos="9396"/>
            </w:tabs>
            <w:rPr>
              <w:rFonts w:asciiTheme="minorHAnsi" w:eastAsiaTheme="minorEastAsia" w:hAnsiTheme="minorHAnsi"/>
              <w:sz w:val="22"/>
              <w:lang w:eastAsia="en-GB"/>
            </w:rPr>
          </w:pPr>
          <w:r w:rsidRPr="00665BFD">
            <w:fldChar w:fldCharType="begin"/>
          </w:r>
          <w:r w:rsidRPr="00665BFD">
            <w:instrText xml:space="preserve"> TOC \o "1-3" \h \z \u </w:instrText>
          </w:r>
          <w:r w:rsidRPr="00665BFD">
            <w:fldChar w:fldCharType="separate"/>
          </w:r>
          <w:hyperlink w:anchor="_Toc133517809" w:history="1">
            <w:r w:rsidRPr="00665BFD">
              <w:rPr>
                <w:rStyle w:val="Hyperlink"/>
              </w:rPr>
              <w:t>Description of the business</w:t>
            </w:r>
            <w:r w:rsidRPr="00665BFD">
              <w:rPr>
                <w:webHidden/>
              </w:rPr>
              <w:tab/>
            </w:r>
            <w:r w:rsidRPr="00665BFD">
              <w:rPr>
                <w:webHidden/>
              </w:rPr>
              <w:fldChar w:fldCharType="begin"/>
            </w:r>
            <w:r w:rsidRPr="00665BFD">
              <w:rPr>
                <w:webHidden/>
              </w:rPr>
              <w:instrText xml:space="preserve"> PAGEREF _Toc133517809 \h </w:instrText>
            </w:r>
            <w:r w:rsidRPr="00665BFD">
              <w:rPr>
                <w:webHidden/>
              </w:rPr>
            </w:r>
            <w:r w:rsidRPr="00665BFD">
              <w:rPr>
                <w:webHidden/>
              </w:rPr>
              <w:fldChar w:fldCharType="separate"/>
            </w:r>
            <w:r w:rsidRPr="00665BFD">
              <w:rPr>
                <w:webHidden/>
              </w:rPr>
              <w:t>3</w:t>
            </w:r>
            <w:r w:rsidRPr="00665BFD">
              <w:rPr>
                <w:webHidden/>
              </w:rPr>
              <w:fldChar w:fldCharType="end"/>
            </w:r>
          </w:hyperlink>
        </w:p>
        <w:p w14:paraId="6881AE0E" w14:textId="101E059F" w:rsidR="00665BFD" w:rsidRPr="00665BFD" w:rsidRDefault="00000000">
          <w:pPr>
            <w:pStyle w:val="TOC2"/>
            <w:tabs>
              <w:tab w:val="right" w:leader="dot" w:pos="9396"/>
            </w:tabs>
            <w:rPr>
              <w:rFonts w:asciiTheme="minorHAnsi" w:eastAsiaTheme="minorEastAsia" w:hAnsiTheme="minorHAnsi"/>
              <w:sz w:val="22"/>
              <w:lang w:eastAsia="en-GB"/>
            </w:rPr>
          </w:pPr>
          <w:hyperlink w:anchor="_Toc133517810" w:history="1">
            <w:r w:rsidR="00665BFD" w:rsidRPr="00665BFD">
              <w:rPr>
                <w:rStyle w:val="Hyperlink"/>
                <w:rFonts w:cs="Times New Roman"/>
              </w:rPr>
              <w:t>Identification of Demand and Market Equilibrium</w:t>
            </w:r>
            <w:r w:rsidR="00665BFD" w:rsidRPr="00665BFD">
              <w:rPr>
                <w:webHidden/>
              </w:rPr>
              <w:tab/>
            </w:r>
            <w:r w:rsidR="00665BFD" w:rsidRPr="00665BFD">
              <w:rPr>
                <w:webHidden/>
              </w:rPr>
              <w:fldChar w:fldCharType="begin"/>
            </w:r>
            <w:r w:rsidR="00665BFD" w:rsidRPr="00665BFD">
              <w:rPr>
                <w:webHidden/>
              </w:rPr>
              <w:instrText xml:space="preserve"> PAGEREF _Toc133517810 \h </w:instrText>
            </w:r>
            <w:r w:rsidR="00665BFD" w:rsidRPr="00665BFD">
              <w:rPr>
                <w:webHidden/>
              </w:rPr>
            </w:r>
            <w:r w:rsidR="00665BFD" w:rsidRPr="00665BFD">
              <w:rPr>
                <w:webHidden/>
              </w:rPr>
              <w:fldChar w:fldCharType="separate"/>
            </w:r>
            <w:r w:rsidR="00665BFD" w:rsidRPr="00665BFD">
              <w:rPr>
                <w:webHidden/>
              </w:rPr>
              <w:t>4</w:t>
            </w:r>
            <w:r w:rsidR="00665BFD" w:rsidRPr="00665BFD">
              <w:rPr>
                <w:webHidden/>
              </w:rPr>
              <w:fldChar w:fldCharType="end"/>
            </w:r>
          </w:hyperlink>
        </w:p>
        <w:p w14:paraId="51FF348A" w14:textId="71CA882E" w:rsidR="00665BFD" w:rsidRPr="00665BFD" w:rsidRDefault="00000000">
          <w:pPr>
            <w:pStyle w:val="TOC2"/>
            <w:tabs>
              <w:tab w:val="right" w:leader="dot" w:pos="9396"/>
            </w:tabs>
            <w:rPr>
              <w:rFonts w:asciiTheme="minorHAnsi" w:eastAsiaTheme="minorEastAsia" w:hAnsiTheme="minorHAnsi"/>
              <w:sz w:val="22"/>
              <w:lang w:eastAsia="en-GB"/>
            </w:rPr>
          </w:pPr>
          <w:hyperlink w:anchor="_Toc133517811" w:history="1">
            <w:r w:rsidR="00665BFD" w:rsidRPr="00665BFD">
              <w:rPr>
                <w:rStyle w:val="Hyperlink"/>
                <w:rFonts w:cs="Times New Roman"/>
              </w:rPr>
              <w:t>Price of Substitutes</w:t>
            </w:r>
            <w:r w:rsidR="00665BFD" w:rsidRPr="00665BFD">
              <w:rPr>
                <w:webHidden/>
              </w:rPr>
              <w:tab/>
            </w:r>
            <w:r w:rsidR="00665BFD" w:rsidRPr="00665BFD">
              <w:rPr>
                <w:webHidden/>
              </w:rPr>
              <w:fldChar w:fldCharType="begin"/>
            </w:r>
            <w:r w:rsidR="00665BFD" w:rsidRPr="00665BFD">
              <w:rPr>
                <w:webHidden/>
              </w:rPr>
              <w:instrText xml:space="preserve"> PAGEREF _Toc133517811 \h </w:instrText>
            </w:r>
            <w:r w:rsidR="00665BFD" w:rsidRPr="00665BFD">
              <w:rPr>
                <w:webHidden/>
              </w:rPr>
            </w:r>
            <w:r w:rsidR="00665BFD" w:rsidRPr="00665BFD">
              <w:rPr>
                <w:webHidden/>
              </w:rPr>
              <w:fldChar w:fldCharType="separate"/>
            </w:r>
            <w:r w:rsidR="00665BFD" w:rsidRPr="00665BFD">
              <w:rPr>
                <w:webHidden/>
              </w:rPr>
              <w:t>4</w:t>
            </w:r>
            <w:r w:rsidR="00665BFD" w:rsidRPr="00665BFD">
              <w:rPr>
                <w:webHidden/>
              </w:rPr>
              <w:fldChar w:fldCharType="end"/>
            </w:r>
          </w:hyperlink>
        </w:p>
        <w:p w14:paraId="468F69B9" w14:textId="0E3F80E6" w:rsidR="00665BFD" w:rsidRPr="00665BFD" w:rsidRDefault="00000000">
          <w:pPr>
            <w:pStyle w:val="TOC2"/>
            <w:tabs>
              <w:tab w:val="right" w:leader="dot" w:pos="9396"/>
            </w:tabs>
            <w:rPr>
              <w:rFonts w:asciiTheme="minorHAnsi" w:eastAsiaTheme="minorEastAsia" w:hAnsiTheme="minorHAnsi"/>
              <w:sz w:val="22"/>
              <w:lang w:eastAsia="en-GB"/>
            </w:rPr>
          </w:pPr>
          <w:hyperlink w:anchor="_Toc133517812" w:history="1">
            <w:r w:rsidR="00665BFD" w:rsidRPr="00665BFD">
              <w:rPr>
                <w:rStyle w:val="Hyperlink"/>
                <w:rFonts w:cs="Times New Roman"/>
              </w:rPr>
              <w:t>Price of Complements</w:t>
            </w:r>
            <w:r w:rsidR="00665BFD" w:rsidRPr="00665BFD">
              <w:rPr>
                <w:webHidden/>
              </w:rPr>
              <w:tab/>
            </w:r>
            <w:r w:rsidR="00665BFD" w:rsidRPr="00665BFD">
              <w:rPr>
                <w:webHidden/>
              </w:rPr>
              <w:fldChar w:fldCharType="begin"/>
            </w:r>
            <w:r w:rsidR="00665BFD" w:rsidRPr="00665BFD">
              <w:rPr>
                <w:webHidden/>
              </w:rPr>
              <w:instrText xml:space="preserve"> PAGEREF _Toc133517812 \h </w:instrText>
            </w:r>
            <w:r w:rsidR="00665BFD" w:rsidRPr="00665BFD">
              <w:rPr>
                <w:webHidden/>
              </w:rPr>
            </w:r>
            <w:r w:rsidR="00665BFD" w:rsidRPr="00665BFD">
              <w:rPr>
                <w:webHidden/>
              </w:rPr>
              <w:fldChar w:fldCharType="separate"/>
            </w:r>
            <w:r w:rsidR="00665BFD" w:rsidRPr="00665BFD">
              <w:rPr>
                <w:webHidden/>
              </w:rPr>
              <w:t>5</w:t>
            </w:r>
            <w:r w:rsidR="00665BFD" w:rsidRPr="00665BFD">
              <w:rPr>
                <w:webHidden/>
              </w:rPr>
              <w:fldChar w:fldCharType="end"/>
            </w:r>
          </w:hyperlink>
        </w:p>
        <w:p w14:paraId="06D7C503" w14:textId="28AF28F9" w:rsidR="00665BFD" w:rsidRPr="00665BFD" w:rsidRDefault="00000000">
          <w:pPr>
            <w:pStyle w:val="TOC2"/>
            <w:tabs>
              <w:tab w:val="right" w:leader="dot" w:pos="9396"/>
            </w:tabs>
            <w:rPr>
              <w:rFonts w:asciiTheme="minorHAnsi" w:eastAsiaTheme="minorEastAsia" w:hAnsiTheme="minorHAnsi"/>
              <w:sz w:val="22"/>
              <w:lang w:eastAsia="en-GB"/>
            </w:rPr>
          </w:pPr>
          <w:hyperlink w:anchor="_Toc133517813" w:history="1">
            <w:r w:rsidR="00665BFD" w:rsidRPr="00665BFD">
              <w:rPr>
                <w:rStyle w:val="Hyperlink"/>
                <w:rFonts w:cs="Times New Roman"/>
              </w:rPr>
              <w:t>Consumer Income</w:t>
            </w:r>
            <w:r w:rsidR="00665BFD" w:rsidRPr="00665BFD">
              <w:rPr>
                <w:webHidden/>
              </w:rPr>
              <w:tab/>
            </w:r>
            <w:r w:rsidR="00665BFD" w:rsidRPr="00665BFD">
              <w:rPr>
                <w:webHidden/>
              </w:rPr>
              <w:fldChar w:fldCharType="begin"/>
            </w:r>
            <w:r w:rsidR="00665BFD" w:rsidRPr="00665BFD">
              <w:rPr>
                <w:webHidden/>
              </w:rPr>
              <w:instrText xml:space="preserve"> PAGEREF _Toc133517813 \h </w:instrText>
            </w:r>
            <w:r w:rsidR="00665BFD" w:rsidRPr="00665BFD">
              <w:rPr>
                <w:webHidden/>
              </w:rPr>
            </w:r>
            <w:r w:rsidR="00665BFD" w:rsidRPr="00665BFD">
              <w:rPr>
                <w:webHidden/>
              </w:rPr>
              <w:fldChar w:fldCharType="separate"/>
            </w:r>
            <w:r w:rsidR="00665BFD" w:rsidRPr="00665BFD">
              <w:rPr>
                <w:webHidden/>
              </w:rPr>
              <w:t>6</w:t>
            </w:r>
            <w:r w:rsidR="00665BFD" w:rsidRPr="00665BFD">
              <w:rPr>
                <w:webHidden/>
              </w:rPr>
              <w:fldChar w:fldCharType="end"/>
            </w:r>
          </w:hyperlink>
        </w:p>
        <w:p w14:paraId="1EADBFA9" w14:textId="74DC8D6F" w:rsidR="00665BFD" w:rsidRPr="00665BFD" w:rsidRDefault="00000000">
          <w:pPr>
            <w:pStyle w:val="TOC2"/>
            <w:tabs>
              <w:tab w:val="right" w:leader="dot" w:pos="9396"/>
            </w:tabs>
            <w:rPr>
              <w:rFonts w:asciiTheme="minorHAnsi" w:eastAsiaTheme="minorEastAsia" w:hAnsiTheme="minorHAnsi"/>
              <w:sz w:val="22"/>
              <w:lang w:eastAsia="en-GB"/>
            </w:rPr>
          </w:pPr>
          <w:hyperlink w:anchor="_Toc133517814" w:history="1">
            <w:r w:rsidR="00665BFD" w:rsidRPr="00665BFD">
              <w:rPr>
                <w:rStyle w:val="Hyperlink"/>
                <w:rFonts w:cs="Times New Roman"/>
              </w:rPr>
              <w:t>Consumer Tastes &amp; Preferences</w:t>
            </w:r>
            <w:r w:rsidR="00665BFD" w:rsidRPr="00665BFD">
              <w:rPr>
                <w:webHidden/>
              </w:rPr>
              <w:tab/>
            </w:r>
            <w:r w:rsidR="00665BFD" w:rsidRPr="00665BFD">
              <w:rPr>
                <w:webHidden/>
              </w:rPr>
              <w:fldChar w:fldCharType="begin"/>
            </w:r>
            <w:r w:rsidR="00665BFD" w:rsidRPr="00665BFD">
              <w:rPr>
                <w:webHidden/>
              </w:rPr>
              <w:instrText xml:space="preserve"> PAGEREF _Toc133517814 \h </w:instrText>
            </w:r>
            <w:r w:rsidR="00665BFD" w:rsidRPr="00665BFD">
              <w:rPr>
                <w:webHidden/>
              </w:rPr>
            </w:r>
            <w:r w:rsidR="00665BFD" w:rsidRPr="00665BFD">
              <w:rPr>
                <w:webHidden/>
              </w:rPr>
              <w:fldChar w:fldCharType="separate"/>
            </w:r>
            <w:r w:rsidR="00665BFD" w:rsidRPr="00665BFD">
              <w:rPr>
                <w:webHidden/>
              </w:rPr>
              <w:t>7</w:t>
            </w:r>
            <w:r w:rsidR="00665BFD" w:rsidRPr="00665BFD">
              <w:rPr>
                <w:webHidden/>
              </w:rPr>
              <w:fldChar w:fldCharType="end"/>
            </w:r>
          </w:hyperlink>
        </w:p>
        <w:p w14:paraId="0A9E7962" w14:textId="2DC04F35" w:rsidR="00665BFD" w:rsidRPr="00665BFD" w:rsidRDefault="00000000">
          <w:pPr>
            <w:pStyle w:val="TOC2"/>
            <w:tabs>
              <w:tab w:val="right" w:leader="dot" w:pos="9396"/>
            </w:tabs>
            <w:rPr>
              <w:rFonts w:asciiTheme="minorHAnsi" w:eastAsiaTheme="minorEastAsia" w:hAnsiTheme="minorHAnsi"/>
              <w:sz w:val="22"/>
              <w:lang w:eastAsia="en-GB"/>
            </w:rPr>
          </w:pPr>
          <w:hyperlink w:anchor="_Toc133517815" w:history="1">
            <w:r w:rsidR="00665BFD" w:rsidRPr="00665BFD">
              <w:rPr>
                <w:rStyle w:val="Hyperlink"/>
                <w:rFonts w:cs="Times New Roman"/>
              </w:rPr>
              <w:t>Consumer Expectations of Price</w:t>
            </w:r>
            <w:r w:rsidR="00665BFD" w:rsidRPr="00665BFD">
              <w:rPr>
                <w:webHidden/>
              </w:rPr>
              <w:tab/>
            </w:r>
            <w:r w:rsidR="00665BFD" w:rsidRPr="00665BFD">
              <w:rPr>
                <w:webHidden/>
              </w:rPr>
              <w:fldChar w:fldCharType="begin"/>
            </w:r>
            <w:r w:rsidR="00665BFD" w:rsidRPr="00665BFD">
              <w:rPr>
                <w:webHidden/>
              </w:rPr>
              <w:instrText xml:space="preserve"> PAGEREF _Toc133517815 \h </w:instrText>
            </w:r>
            <w:r w:rsidR="00665BFD" w:rsidRPr="00665BFD">
              <w:rPr>
                <w:webHidden/>
              </w:rPr>
            </w:r>
            <w:r w:rsidR="00665BFD" w:rsidRPr="00665BFD">
              <w:rPr>
                <w:webHidden/>
              </w:rPr>
              <w:fldChar w:fldCharType="separate"/>
            </w:r>
            <w:r w:rsidR="00665BFD" w:rsidRPr="00665BFD">
              <w:rPr>
                <w:webHidden/>
              </w:rPr>
              <w:t>8</w:t>
            </w:r>
            <w:r w:rsidR="00665BFD" w:rsidRPr="00665BFD">
              <w:rPr>
                <w:webHidden/>
              </w:rPr>
              <w:fldChar w:fldCharType="end"/>
            </w:r>
          </w:hyperlink>
        </w:p>
        <w:p w14:paraId="7CA366E9" w14:textId="567A59F5" w:rsidR="00665BFD" w:rsidRPr="00665BFD" w:rsidRDefault="00000000">
          <w:pPr>
            <w:pStyle w:val="TOC2"/>
            <w:tabs>
              <w:tab w:val="right" w:leader="dot" w:pos="9396"/>
            </w:tabs>
            <w:rPr>
              <w:rFonts w:asciiTheme="minorHAnsi" w:eastAsiaTheme="minorEastAsia" w:hAnsiTheme="minorHAnsi"/>
              <w:sz w:val="22"/>
              <w:lang w:eastAsia="en-GB"/>
            </w:rPr>
          </w:pPr>
          <w:hyperlink w:anchor="_Toc133517816" w:history="1">
            <w:r w:rsidR="00665BFD" w:rsidRPr="00665BFD">
              <w:rPr>
                <w:rStyle w:val="Hyperlink"/>
                <w:rFonts w:cs="Times New Roman"/>
              </w:rPr>
              <w:t>Demographics</w:t>
            </w:r>
            <w:r w:rsidR="00665BFD" w:rsidRPr="00665BFD">
              <w:rPr>
                <w:webHidden/>
              </w:rPr>
              <w:tab/>
            </w:r>
            <w:r w:rsidR="00665BFD" w:rsidRPr="00665BFD">
              <w:rPr>
                <w:webHidden/>
              </w:rPr>
              <w:fldChar w:fldCharType="begin"/>
            </w:r>
            <w:r w:rsidR="00665BFD" w:rsidRPr="00665BFD">
              <w:rPr>
                <w:webHidden/>
              </w:rPr>
              <w:instrText xml:space="preserve"> PAGEREF _Toc133517816 \h </w:instrText>
            </w:r>
            <w:r w:rsidR="00665BFD" w:rsidRPr="00665BFD">
              <w:rPr>
                <w:webHidden/>
              </w:rPr>
            </w:r>
            <w:r w:rsidR="00665BFD" w:rsidRPr="00665BFD">
              <w:rPr>
                <w:webHidden/>
              </w:rPr>
              <w:fldChar w:fldCharType="separate"/>
            </w:r>
            <w:r w:rsidR="00665BFD" w:rsidRPr="00665BFD">
              <w:rPr>
                <w:webHidden/>
              </w:rPr>
              <w:t>8</w:t>
            </w:r>
            <w:r w:rsidR="00665BFD" w:rsidRPr="00665BFD">
              <w:rPr>
                <w:webHidden/>
              </w:rPr>
              <w:fldChar w:fldCharType="end"/>
            </w:r>
          </w:hyperlink>
        </w:p>
        <w:p w14:paraId="23AFEF55" w14:textId="6EB6C915" w:rsidR="00665BFD" w:rsidRPr="00665BFD" w:rsidRDefault="00000000">
          <w:pPr>
            <w:pStyle w:val="TOC1"/>
            <w:tabs>
              <w:tab w:val="right" w:leader="dot" w:pos="9396"/>
            </w:tabs>
            <w:rPr>
              <w:rFonts w:asciiTheme="minorHAnsi" w:eastAsiaTheme="minorEastAsia" w:hAnsiTheme="minorHAnsi"/>
              <w:sz w:val="22"/>
              <w:lang w:eastAsia="en-GB"/>
            </w:rPr>
          </w:pPr>
          <w:hyperlink w:anchor="_Toc133517817" w:history="1">
            <w:r w:rsidR="00665BFD" w:rsidRPr="00665BFD">
              <w:rPr>
                <w:rStyle w:val="Hyperlink"/>
              </w:rPr>
              <w:t>Demand Elasticity</w:t>
            </w:r>
            <w:r w:rsidR="00665BFD" w:rsidRPr="00665BFD">
              <w:rPr>
                <w:webHidden/>
              </w:rPr>
              <w:tab/>
            </w:r>
            <w:r w:rsidR="00665BFD" w:rsidRPr="00665BFD">
              <w:rPr>
                <w:webHidden/>
              </w:rPr>
              <w:fldChar w:fldCharType="begin"/>
            </w:r>
            <w:r w:rsidR="00665BFD" w:rsidRPr="00665BFD">
              <w:rPr>
                <w:webHidden/>
              </w:rPr>
              <w:instrText xml:space="preserve"> PAGEREF _Toc133517817 \h </w:instrText>
            </w:r>
            <w:r w:rsidR="00665BFD" w:rsidRPr="00665BFD">
              <w:rPr>
                <w:webHidden/>
              </w:rPr>
            </w:r>
            <w:r w:rsidR="00665BFD" w:rsidRPr="00665BFD">
              <w:rPr>
                <w:webHidden/>
              </w:rPr>
              <w:fldChar w:fldCharType="separate"/>
            </w:r>
            <w:r w:rsidR="00665BFD" w:rsidRPr="00665BFD">
              <w:rPr>
                <w:webHidden/>
              </w:rPr>
              <w:t>9</w:t>
            </w:r>
            <w:r w:rsidR="00665BFD" w:rsidRPr="00665BFD">
              <w:rPr>
                <w:webHidden/>
              </w:rPr>
              <w:fldChar w:fldCharType="end"/>
            </w:r>
          </w:hyperlink>
        </w:p>
        <w:p w14:paraId="2F7D5EEE" w14:textId="55C4B234" w:rsidR="00665BFD" w:rsidRPr="00665BFD" w:rsidRDefault="00000000">
          <w:pPr>
            <w:pStyle w:val="TOC2"/>
            <w:tabs>
              <w:tab w:val="right" w:leader="dot" w:pos="9396"/>
            </w:tabs>
            <w:rPr>
              <w:rFonts w:asciiTheme="minorHAnsi" w:eastAsiaTheme="minorEastAsia" w:hAnsiTheme="minorHAnsi"/>
              <w:sz w:val="22"/>
              <w:lang w:eastAsia="en-GB"/>
            </w:rPr>
          </w:pPr>
          <w:hyperlink w:anchor="_Toc133517818" w:history="1">
            <w:r w:rsidR="00665BFD" w:rsidRPr="00665BFD">
              <w:rPr>
                <w:rStyle w:val="Hyperlink"/>
                <w:rFonts w:cs="Times New Roman"/>
              </w:rPr>
              <w:t>Substitution Effects</w:t>
            </w:r>
            <w:r w:rsidR="00665BFD" w:rsidRPr="00665BFD">
              <w:rPr>
                <w:webHidden/>
              </w:rPr>
              <w:tab/>
            </w:r>
            <w:r w:rsidR="00665BFD" w:rsidRPr="00665BFD">
              <w:rPr>
                <w:webHidden/>
              </w:rPr>
              <w:fldChar w:fldCharType="begin"/>
            </w:r>
            <w:r w:rsidR="00665BFD" w:rsidRPr="00665BFD">
              <w:rPr>
                <w:webHidden/>
              </w:rPr>
              <w:instrText xml:space="preserve"> PAGEREF _Toc133517818 \h </w:instrText>
            </w:r>
            <w:r w:rsidR="00665BFD" w:rsidRPr="00665BFD">
              <w:rPr>
                <w:webHidden/>
              </w:rPr>
            </w:r>
            <w:r w:rsidR="00665BFD" w:rsidRPr="00665BFD">
              <w:rPr>
                <w:webHidden/>
              </w:rPr>
              <w:fldChar w:fldCharType="separate"/>
            </w:r>
            <w:r w:rsidR="00665BFD" w:rsidRPr="00665BFD">
              <w:rPr>
                <w:webHidden/>
              </w:rPr>
              <w:t>9</w:t>
            </w:r>
            <w:r w:rsidR="00665BFD" w:rsidRPr="00665BFD">
              <w:rPr>
                <w:webHidden/>
              </w:rPr>
              <w:fldChar w:fldCharType="end"/>
            </w:r>
          </w:hyperlink>
        </w:p>
        <w:p w14:paraId="77AF9C23" w14:textId="0948C797" w:rsidR="00665BFD" w:rsidRPr="00665BFD" w:rsidRDefault="00000000">
          <w:pPr>
            <w:pStyle w:val="TOC2"/>
            <w:tabs>
              <w:tab w:val="right" w:leader="dot" w:pos="9396"/>
            </w:tabs>
            <w:rPr>
              <w:rFonts w:asciiTheme="minorHAnsi" w:eastAsiaTheme="minorEastAsia" w:hAnsiTheme="minorHAnsi"/>
              <w:sz w:val="22"/>
              <w:lang w:eastAsia="en-GB"/>
            </w:rPr>
          </w:pPr>
          <w:hyperlink w:anchor="_Toc133517819" w:history="1">
            <w:r w:rsidR="00665BFD" w:rsidRPr="00665BFD">
              <w:rPr>
                <w:rStyle w:val="Hyperlink"/>
                <w:rFonts w:cs="Times New Roman"/>
              </w:rPr>
              <w:t>Income Effects</w:t>
            </w:r>
            <w:r w:rsidR="00665BFD" w:rsidRPr="00665BFD">
              <w:rPr>
                <w:webHidden/>
              </w:rPr>
              <w:tab/>
            </w:r>
            <w:r w:rsidR="00665BFD" w:rsidRPr="00665BFD">
              <w:rPr>
                <w:webHidden/>
              </w:rPr>
              <w:fldChar w:fldCharType="begin"/>
            </w:r>
            <w:r w:rsidR="00665BFD" w:rsidRPr="00665BFD">
              <w:rPr>
                <w:webHidden/>
              </w:rPr>
              <w:instrText xml:space="preserve"> PAGEREF _Toc133517819 \h </w:instrText>
            </w:r>
            <w:r w:rsidR="00665BFD" w:rsidRPr="00665BFD">
              <w:rPr>
                <w:webHidden/>
              </w:rPr>
            </w:r>
            <w:r w:rsidR="00665BFD" w:rsidRPr="00665BFD">
              <w:rPr>
                <w:webHidden/>
              </w:rPr>
              <w:fldChar w:fldCharType="separate"/>
            </w:r>
            <w:r w:rsidR="00665BFD" w:rsidRPr="00665BFD">
              <w:rPr>
                <w:webHidden/>
              </w:rPr>
              <w:t>10</w:t>
            </w:r>
            <w:r w:rsidR="00665BFD" w:rsidRPr="00665BFD">
              <w:rPr>
                <w:webHidden/>
              </w:rPr>
              <w:fldChar w:fldCharType="end"/>
            </w:r>
          </w:hyperlink>
        </w:p>
        <w:p w14:paraId="2705D617" w14:textId="2BB54D22" w:rsidR="00665BFD" w:rsidRPr="00665BFD" w:rsidRDefault="00000000">
          <w:pPr>
            <w:pStyle w:val="TOC2"/>
            <w:tabs>
              <w:tab w:val="right" w:leader="dot" w:pos="9396"/>
            </w:tabs>
            <w:rPr>
              <w:rFonts w:asciiTheme="minorHAnsi" w:eastAsiaTheme="minorEastAsia" w:hAnsiTheme="minorHAnsi"/>
              <w:sz w:val="22"/>
              <w:lang w:eastAsia="en-GB"/>
            </w:rPr>
          </w:pPr>
          <w:hyperlink w:anchor="_Toc133517820" w:history="1">
            <w:r w:rsidR="00665BFD" w:rsidRPr="00665BFD">
              <w:rPr>
                <w:rStyle w:val="Hyperlink"/>
                <w:rFonts w:cs="Times New Roman"/>
              </w:rPr>
              <w:t>Recommended Pricing Strategy</w:t>
            </w:r>
            <w:r w:rsidR="00665BFD" w:rsidRPr="00665BFD">
              <w:rPr>
                <w:webHidden/>
              </w:rPr>
              <w:tab/>
            </w:r>
            <w:r w:rsidR="00665BFD" w:rsidRPr="00665BFD">
              <w:rPr>
                <w:webHidden/>
              </w:rPr>
              <w:fldChar w:fldCharType="begin"/>
            </w:r>
            <w:r w:rsidR="00665BFD" w:rsidRPr="00665BFD">
              <w:rPr>
                <w:webHidden/>
              </w:rPr>
              <w:instrText xml:space="preserve"> PAGEREF _Toc133517820 \h </w:instrText>
            </w:r>
            <w:r w:rsidR="00665BFD" w:rsidRPr="00665BFD">
              <w:rPr>
                <w:webHidden/>
              </w:rPr>
            </w:r>
            <w:r w:rsidR="00665BFD" w:rsidRPr="00665BFD">
              <w:rPr>
                <w:webHidden/>
              </w:rPr>
              <w:fldChar w:fldCharType="separate"/>
            </w:r>
            <w:r w:rsidR="00665BFD" w:rsidRPr="00665BFD">
              <w:rPr>
                <w:webHidden/>
              </w:rPr>
              <w:t>11</w:t>
            </w:r>
            <w:r w:rsidR="00665BFD" w:rsidRPr="00665BFD">
              <w:rPr>
                <w:webHidden/>
              </w:rPr>
              <w:fldChar w:fldCharType="end"/>
            </w:r>
          </w:hyperlink>
        </w:p>
        <w:p w14:paraId="25F2EF13" w14:textId="512B6CEC" w:rsidR="00665BFD" w:rsidRPr="00665BFD" w:rsidRDefault="00000000">
          <w:pPr>
            <w:pStyle w:val="TOC1"/>
            <w:tabs>
              <w:tab w:val="right" w:leader="dot" w:pos="9396"/>
            </w:tabs>
            <w:rPr>
              <w:rFonts w:asciiTheme="minorHAnsi" w:eastAsiaTheme="minorEastAsia" w:hAnsiTheme="minorHAnsi"/>
              <w:sz w:val="22"/>
              <w:lang w:eastAsia="en-GB"/>
            </w:rPr>
          </w:pPr>
          <w:hyperlink w:anchor="_Toc133517821" w:history="1">
            <w:r w:rsidR="00665BFD" w:rsidRPr="00665BFD">
              <w:rPr>
                <w:rStyle w:val="Hyperlink"/>
              </w:rPr>
              <w:t>References List</w:t>
            </w:r>
            <w:r w:rsidR="00665BFD" w:rsidRPr="00665BFD">
              <w:rPr>
                <w:webHidden/>
              </w:rPr>
              <w:tab/>
            </w:r>
            <w:r w:rsidR="00665BFD" w:rsidRPr="00665BFD">
              <w:rPr>
                <w:webHidden/>
              </w:rPr>
              <w:fldChar w:fldCharType="begin"/>
            </w:r>
            <w:r w:rsidR="00665BFD" w:rsidRPr="00665BFD">
              <w:rPr>
                <w:webHidden/>
              </w:rPr>
              <w:instrText xml:space="preserve"> PAGEREF _Toc133517821 \h </w:instrText>
            </w:r>
            <w:r w:rsidR="00665BFD" w:rsidRPr="00665BFD">
              <w:rPr>
                <w:webHidden/>
              </w:rPr>
            </w:r>
            <w:r w:rsidR="00665BFD" w:rsidRPr="00665BFD">
              <w:rPr>
                <w:webHidden/>
              </w:rPr>
              <w:fldChar w:fldCharType="separate"/>
            </w:r>
            <w:r w:rsidR="00665BFD" w:rsidRPr="00665BFD">
              <w:rPr>
                <w:webHidden/>
              </w:rPr>
              <w:t>13</w:t>
            </w:r>
            <w:r w:rsidR="00665BFD" w:rsidRPr="00665BFD">
              <w:rPr>
                <w:webHidden/>
              </w:rPr>
              <w:fldChar w:fldCharType="end"/>
            </w:r>
          </w:hyperlink>
        </w:p>
        <w:p w14:paraId="147BD663" w14:textId="73CA60A6" w:rsidR="00665BFD" w:rsidRPr="00665BFD" w:rsidRDefault="00665BFD">
          <w:r w:rsidRPr="00665BFD">
            <w:rPr>
              <w:b/>
              <w:bCs/>
            </w:rPr>
            <w:fldChar w:fldCharType="end"/>
          </w:r>
        </w:p>
      </w:sdtContent>
    </w:sdt>
    <w:p w14:paraId="155EAB9D" w14:textId="6BEA6559" w:rsidR="00665BFD" w:rsidRPr="00665BFD" w:rsidRDefault="00665BFD" w:rsidP="00527353">
      <w:pPr>
        <w:jc w:val="center"/>
        <w:rPr>
          <w:rFonts w:cs="Times New Roman"/>
          <w:szCs w:val="24"/>
        </w:rPr>
      </w:pPr>
    </w:p>
    <w:p w14:paraId="1A3EF3D5" w14:textId="7C1CE673" w:rsidR="00665BFD" w:rsidRPr="00665BFD" w:rsidRDefault="00665BFD" w:rsidP="00527353">
      <w:pPr>
        <w:jc w:val="center"/>
        <w:rPr>
          <w:rFonts w:cs="Times New Roman"/>
          <w:szCs w:val="24"/>
        </w:rPr>
      </w:pPr>
    </w:p>
    <w:p w14:paraId="7BC1D331" w14:textId="55D00419" w:rsidR="00665BFD" w:rsidRPr="00665BFD" w:rsidRDefault="00665BFD" w:rsidP="00527353">
      <w:pPr>
        <w:jc w:val="center"/>
        <w:rPr>
          <w:rFonts w:cs="Times New Roman"/>
          <w:szCs w:val="24"/>
        </w:rPr>
      </w:pPr>
    </w:p>
    <w:p w14:paraId="283A1251" w14:textId="56DD8218" w:rsidR="00665BFD" w:rsidRPr="00665BFD" w:rsidRDefault="00665BFD" w:rsidP="00527353">
      <w:pPr>
        <w:jc w:val="center"/>
        <w:rPr>
          <w:rFonts w:cs="Times New Roman"/>
          <w:szCs w:val="24"/>
        </w:rPr>
      </w:pPr>
    </w:p>
    <w:p w14:paraId="0AD4B64D" w14:textId="77777777" w:rsidR="00665BFD" w:rsidRPr="00665BFD" w:rsidRDefault="00665BFD" w:rsidP="00527353">
      <w:pPr>
        <w:jc w:val="center"/>
        <w:rPr>
          <w:rFonts w:cs="Times New Roman"/>
          <w:szCs w:val="24"/>
        </w:rPr>
      </w:pPr>
    </w:p>
    <w:p w14:paraId="2AE7765F" w14:textId="77777777" w:rsidR="00527353" w:rsidRPr="00665BFD" w:rsidRDefault="00527353" w:rsidP="00527353">
      <w:pPr>
        <w:jc w:val="center"/>
        <w:rPr>
          <w:rFonts w:cs="Times New Roman"/>
          <w:szCs w:val="24"/>
        </w:rPr>
      </w:pPr>
    </w:p>
    <w:p w14:paraId="0CB4EDFC" w14:textId="77777777" w:rsidR="00884166" w:rsidRPr="00665BFD" w:rsidRDefault="00884166" w:rsidP="00527353">
      <w:pPr>
        <w:pStyle w:val="Heading1"/>
        <w:spacing w:line="480" w:lineRule="auto"/>
        <w:rPr>
          <w:szCs w:val="24"/>
        </w:rPr>
      </w:pPr>
      <w:bookmarkStart w:id="0" w:name="_Toc133517809"/>
      <w:r w:rsidRPr="00665BFD">
        <w:rPr>
          <w:szCs w:val="24"/>
        </w:rPr>
        <w:lastRenderedPageBreak/>
        <w:t>Description of the business</w:t>
      </w:r>
      <w:bookmarkEnd w:id="0"/>
      <w:r w:rsidRPr="00665BFD">
        <w:rPr>
          <w:szCs w:val="24"/>
        </w:rPr>
        <w:t xml:space="preserve"> </w:t>
      </w:r>
    </w:p>
    <w:p w14:paraId="141A9D5D" w14:textId="53112919" w:rsidR="00884166" w:rsidRPr="00665BFD" w:rsidRDefault="00653587" w:rsidP="00527353">
      <w:pPr>
        <w:ind w:firstLine="720"/>
        <w:rPr>
          <w:rFonts w:cs="Times New Roman"/>
          <w:szCs w:val="24"/>
        </w:rPr>
      </w:pPr>
      <w:r w:rsidRPr="00665BFD">
        <w:rPr>
          <w:rFonts w:cs="Times New Roman"/>
          <w:szCs w:val="24"/>
        </w:rPr>
        <w:t xml:space="preserve">Goodyear </w:t>
      </w:r>
      <w:r w:rsidR="00261041" w:rsidRPr="00665BFD">
        <w:rPr>
          <w:rFonts w:cs="Times New Roman"/>
          <w:szCs w:val="24"/>
        </w:rPr>
        <w:t xml:space="preserve">Tyre &amp; Rubber Company is a multinational company has been operational for over a century. The American company was founded in 1898 and has been </w:t>
      </w:r>
      <w:r w:rsidR="000136EE" w:rsidRPr="00665BFD">
        <w:rPr>
          <w:rFonts w:cs="Times New Roman"/>
          <w:szCs w:val="24"/>
        </w:rPr>
        <w:t>expanding</w:t>
      </w:r>
      <w:r w:rsidR="00F51323" w:rsidRPr="00665BFD">
        <w:rPr>
          <w:rFonts w:cs="Times New Roman"/>
          <w:szCs w:val="24"/>
        </w:rPr>
        <w:t xml:space="preserve"> tremendously, by capturing regional markets</w:t>
      </w:r>
      <w:r w:rsidR="003E422B" w:rsidRPr="00665BFD">
        <w:rPr>
          <w:rFonts w:cs="Times New Roman"/>
          <w:szCs w:val="24"/>
        </w:rPr>
        <w:t xml:space="preserve"> (</w:t>
      </w:r>
      <w:r w:rsidR="003E422B" w:rsidRPr="00665BFD">
        <w:rPr>
          <w:rFonts w:cs="Times New Roman"/>
          <w:szCs w:val="24"/>
          <w:shd w:val="clear" w:color="auto" w:fill="FFFFFF"/>
        </w:rPr>
        <w:t>Goodyear</w:t>
      </w:r>
      <w:r w:rsidR="000B6352" w:rsidRPr="00665BFD">
        <w:rPr>
          <w:rFonts w:cs="Times New Roman"/>
          <w:szCs w:val="24"/>
          <w:shd w:val="clear" w:color="auto" w:fill="FFFFFF"/>
        </w:rPr>
        <w:t>,</w:t>
      </w:r>
      <w:r w:rsidR="003E422B" w:rsidRPr="00665BFD">
        <w:rPr>
          <w:rFonts w:cs="Times New Roman"/>
          <w:szCs w:val="24"/>
          <w:shd w:val="clear" w:color="auto" w:fill="FFFFFF"/>
        </w:rPr>
        <w:t xml:space="preserve"> 2022)</w:t>
      </w:r>
      <w:r w:rsidR="00F51323" w:rsidRPr="00665BFD">
        <w:rPr>
          <w:rFonts w:cs="Times New Roman"/>
          <w:szCs w:val="24"/>
        </w:rPr>
        <w:t xml:space="preserve">. </w:t>
      </w:r>
      <w:r w:rsidR="000136EE" w:rsidRPr="00665BFD">
        <w:rPr>
          <w:rFonts w:cs="Times New Roman"/>
          <w:szCs w:val="24"/>
        </w:rPr>
        <w:t>With its headquarters in Ohio</w:t>
      </w:r>
      <w:r w:rsidR="00F51323" w:rsidRPr="00665BFD">
        <w:rPr>
          <w:rFonts w:cs="Times New Roman"/>
          <w:szCs w:val="24"/>
        </w:rPr>
        <w:t xml:space="preserve">, Goodyear has undergone significant transformations inn its operations, strategies, and business model. The company’s </w:t>
      </w:r>
      <w:r w:rsidR="000136EE" w:rsidRPr="00665BFD">
        <w:rPr>
          <w:rFonts w:cs="Times New Roman"/>
          <w:szCs w:val="24"/>
        </w:rPr>
        <w:t>annual</w:t>
      </w:r>
      <w:r w:rsidR="00F51323" w:rsidRPr="00665BFD">
        <w:rPr>
          <w:rFonts w:cs="Times New Roman"/>
          <w:szCs w:val="24"/>
        </w:rPr>
        <w:t xml:space="preserve"> report</w:t>
      </w:r>
      <w:r w:rsidR="00427026" w:rsidRPr="00665BFD">
        <w:rPr>
          <w:rFonts w:cs="Times New Roman"/>
          <w:szCs w:val="24"/>
        </w:rPr>
        <w:t>s</w:t>
      </w:r>
      <w:r w:rsidR="00F51323" w:rsidRPr="00665BFD">
        <w:rPr>
          <w:rFonts w:cs="Times New Roman"/>
          <w:szCs w:val="24"/>
        </w:rPr>
        <w:t xml:space="preserve"> indicate the shift towards sustainability, as new industry requirements </w:t>
      </w:r>
      <w:r w:rsidR="00427026" w:rsidRPr="00665BFD">
        <w:rPr>
          <w:rFonts w:cs="Times New Roman"/>
          <w:szCs w:val="24"/>
        </w:rPr>
        <w:t>dictate</w:t>
      </w:r>
      <w:r w:rsidR="00F51323" w:rsidRPr="00665BFD">
        <w:rPr>
          <w:rFonts w:cs="Times New Roman"/>
          <w:szCs w:val="24"/>
        </w:rPr>
        <w:t xml:space="preserve">. Since Goodyear </w:t>
      </w:r>
      <w:r w:rsidR="00427026" w:rsidRPr="00665BFD">
        <w:rPr>
          <w:rFonts w:cs="Times New Roman"/>
          <w:szCs w:val="24"/>
        </w:rPr>
        <w:t>operates</w:t>
      </w:r>
      <w:r w:rsidR="00F51323" w:rsidRPr="00665BFD">
        <w:rPr>
          <w:rFonts w:cs="Times New Roman"/>
          <w:szCs w:val="24"/>
        </w:rPr>
        <w:t xml:space="preserve"> in a highly </w:t>
      </w:r>
      <w:r w:rsidR="000136EE" w:rsidRPr="00665BFD">
        <w:rPr>
          <w:rFonts w:cs="Times New Roman"/>
          <w:szCs w:val="24"/>
        </w:rPr>
        <w:t>competitive</w:t>
      </w:r>
      <w:r w:rsidR="00F51323" w:rsidRPr="00665BFD">
        <w:rPr>
          <w:rFonts w:cs="Times New Roman"/>
          <w:szCs w:val="24"/>
        </w:rPr>
        <w:t xml:space="preserve"> industry with such formidable rivals as Michelin and </w:t>
      </w:r>
      <w:r w:rsidR="00427026" w:rsidRPr="00665BFD">
        <w:rPr>
          <w:rFonts w:cs="Times New Roman"/>
          <w:szCs w:val="24"/>
        </w:rPr>
        <w:t>Pirelli</w:t>
      </w:r>
      <w:r w:rsidR="00F51323" w:rsidRPr="00665BFD">
        <w:rPr>
          <w:rFonts w:cs="Times New Roman"/>
          <w:szCs w:val="24"/>
        </w:rPr>
        <w:t xml:space="preserve">, the company adopts unique </w:t>
      </w:r>
      <w:r w:rsidR="00427026" w:rsidRPr="00665BFD">
        <w:rPr>
          <w:rFonts w:cs="Times New Roman"/>
          <w:szCs w:val="24"/>
        </w:rPr>
        <w:t>marketing</w:t>
      </w:r>
      <w:r w:rsidR="00F51323" w:rsidRPr="00665BFD">
        <w:rPr>
          <w:rFonts w:cs="Times New Roman"/>
          <w:szCs w:val="24"/>
        </w:rPr>
        <w:t xml:space="preserve"> and </w:t>
      </w:r>
      <w:r w:rsidR="00070875" w:rsidRPr="00665BFD">
        <w:rPr>
          <w:rFonts w:cs="Times New Roman"/>
          <w:szCs w:val="24"/>
        </w:rPr>
        <w:t xml:space="preserve">business strategies. Goodyear </w:t>
      </w:r>
      <w:r w:rsidR="00427026" w:rsidRPr="00665BFD">
        <w:rPr>
          <w:rFonts w:cs="Times New Roman"/>
          <w:szCs w:val="24"/>
        </w:rPr>
        <w:t>endeavours</w:t>
      </w:r>
      <w:r w:rsidR="00070875" w:rsidRPr="00665BFD">
        <w:rPr>
          <w:rFonts w:cs="Times New Roman"/>
          <w:szCs w:val="24"/>
        </w:rPr>
        <w:t xml:space="preserve"> to achieve market </w:t>
      </w:r>
      <w:r w:rsidR="00427026" w:rsidRPr="00665BFD">
        <w:rPr>
          <w:rFonts w:cs="Times New Roman"/>
          <w:szCs w:val="24"/>
        </w:rPr>
        <w:t>equilibrium</w:t>
      </w:r>
      <w:r w:rsidR="00070875" w:rsidRPr="00665BFD">
        <w:rPr>
          <w:rFonts w:cs="Times New Roman"/>
          <w:szCs w:val="24"/>
        </w:rPr>
        <w:t xml:space="preserve"> by matching consumer expectations with prices of complimentary and supplementary products. </w:t>
      </w:r>
    </w:p>
    <w:p w14:paraId="5C13B0D5" w14:textId="6FD0B89B" w:rsidR="00427026" w:rsidRPr="00665BFD" w:rsidRDefault="00427026" w:rsidP="00527353">
      <w:pPr>
        <w:ind w:firstLine="720"/>
        <w:rPr>
          <w:rFonts w:cs="Times New Roman"/>
          <w:szCs w:val="24"/>
        </w:rPr>
      </w:pPr>
      <w:r w:rsidRPr="00665BFD">
        <w:rPr>
          <w:rFonts w:cs="Times New Roman"/>
          <w:szCs w:val="24"/>
        </w:rPr>
        <w:t xml:space="preserve">Goodyear is a manufacturing company that deals in the </w:t>
      </w:r>
      <w:r w:rsidR="00DE297E" w:rsidRPr="00665BFD">
        <w:rPr>
          <w:rFonts w:cs="Times New Roman"/>
          <w:szCs w:val="24"/>
        </w:rPr>
        <w:t>ti</w:t>
      </w:r>
      <w:r w:rsidRPr="00665BFD">
        <w:rPr>
          <w:rFonts w:cs="Times New Roman"/>
          <w:szCs w:val="24"/>
        </w:rPr>
        <w:t>re and rubber industry, where it produces and sells various products. The company’s main products</w:t>
      </w:r>
      <w:r w:rsidR="002D0E15" w:rsidRPr="00665BFD">
        <w:rPr>
          <w:rFonts w:cs="Times New Roman"/>
          <w:szCs w:val="24"/>
        </w:rPr>
        <w:t xml:space="preserve"> include rubber tyres for various </w:t>
      </w:r>
      <w:r w:rsidR="00A3551C" w:rsidRPr="00665BFD">
        <w:rPr>
          <w:rFonts w:cs="Times New Roman"/>
          <w:szCs w:val="24"/>
        </w:rPr>
        <w:t>vehicle</w:t>
      </w:r>
      <w:r w:rsidR="002D0E15" w:rsidRPr="00665BFD">
        <w:rPr>
          <w:rFonts w:cs="Times New Roman"/>
          <w:szCs w:val="24"/>
        </w:rPr>
        <w:t xml:space="preserve"> categories, ranging from military vehicles to </w:t>
      </w:r>
      <w:r w:rsidR="00A3551C" w:rsidRPr="00665BFD">
        <w:rPr>
          <w:rFonts w:cs="Times New Roman"/>
          <w:szCs w:val="24"/>
        </w:rPr>
        <w:t>commercial</w:t>
      </w:r>
      <w:r w:rsidR="00C97FC8" w:rsidRPr="00665BFD">
        <w:rPr>
          <w:rFonts w:cs="Times New Roman"/>
          <w:szCs w:val="24"/>
        </w:rPr>
        <w:t xml:space="preserve"> vehicles</w:t>
      </w:r>
      <w:r w:rsidR="003E422B" w:rsidRPr="00665BFD">
        <w:rPr>
          <w:rFonts w:cs="Times New Roman"/>
          <w:szCs w:val="24"/>
        </w:rPr>
        <w:t xml:space="preserve"> (</w:t>
      </w:r>
      <w:r w:rsidR="003E422B" w:rsidRPr="00665BFD">
        <w:rPr>
          <w:rFonts w:cs="Times New Roman"/>
          <w:szCs w:val="24"/>
          <w:shd w:val="clear" w:color="auto" w:fill="FFFFFF"/>
        </w:rPr>
        <w:t>Goodyear</w:t>
      </w:r>
      <w:r w:rsidR="000B6352" w:rsidRPr="00665BFD">
        <w:rPr>
          <w:rFonts w:cs="Times New Roman"/>
          <w:szCs w:val="24"/>
          <w:shd w:val="clear" w:color="auto" w:fill="FFFFFF"/>
        </w:rPr>
        <w:t>,</w:t>
      </w:r>
      <w:r w:rsidR="003E422B" w:rsidRPr="00665BFD">
        <w:rPr>
          <w:rFonts w:cs="Times New Roman"/>
          <w:szCs w:val="24"/>
          <w:shd w:val="clear" w:color="auto" w:fill="FFFFFF"/>
        </w:rPr>
        <w:t xml:space="preserve"> 2022)</w:t>
      </w:r>
      <w:r w:rsidR="00C97FC8" w:rsidRPr="00665BFD">
        <w:rPr>
          <w:rFonts w:cs="Times New Roman"/>
          <w:szCs w:val="24"/>
        </w:rPr>
        <w:t xml:space="preserve">. Although Goodyear has an outstanding record of meeting customer expectations through market equilibrium, it </w:t>
      </w:r>
      <w:r w:rsidR="00D04BB0" w:rsidRPr="00665BFD">
        <w:rPr>
          <w:rFonts w:cs="Times New Roman"/>
          <w:szCs w:val="24"/>
        </w:rPr>
        <w:t>faces specific</w:t>
      </w:r>
      <w:r w:rsidR="00C97FC8" w:rsidRPr="00665BFD">
        <w:rPr>
          <w:rFonts w:cs="Times New Roman"/>
          <w:szCs w:val="24"/>
        </w:rPr>
        <w:t xml:space="preserve"> challenges from </w:t>
      </w:r>
      <w:r w:rsidR="00D04BB0" w:rsidRPr="00665BFD">
        <w:rPr>
          <w:rFonts w:cs="Times New Roman"/>
          <w:szCs w:val="24"/>
        </w:rPr>
        <w:t>competitors</w:t>
      </w:r>
      <w:r w:rsidR="00C97FC8" w:rsidRPr="00665BFD">
        <w:rPr>
          <w:rFonts w:cs="Times New Roman"/>
          <w:szCs w:val="24"/>
        </w:rPr>
        <w:t xml:space="preserve">. Such </w:t>
      </w:r>
      <w:r w:rsidR="00D04BB0" w:rsidRPr="00665BFD">
        <w:rPr>
          <w:rFonts w:cs="Times New Roman"/>
          <w:szCs w:val="24"/>
        </w:rPr>
        <w:t>competitors</w:t>
      </w:r>
      <w:r w:rsidR="00C97FC8" w:rsidRPr="00665BFD">
        <w:rPr>
          <w:rFonts w:cs="Times New Roman"/>
          <w:szCs w:val="24"/>
        </w:rPr>
        <w:t xml:space="preserve"> as </w:t>
      </w:r>
      <w:r w:rsidR="00D04BB0" w:rsidRPr="00665BFD">
        <w:rPr>
          <w:rFonts w:cs="Times New Roman"/>
          <w:szCs w:val="24"/>
        </w:rPr>
        <w:t>Michelin</w:t>
      </w:r>
      <w:r w:rsidR="00C97FC8" w:rsidRPr="00665BFD">
        <w:rPr>
          <w:rFonts w:cs="Times New Roman"/>
          <w:szCs w:val="24"/>
        </w:rPr>
        <w:t xml:space="preserve">, Continental, </w:t>
      </w:r>
      <w:r w:rsidR="00D04BB0" w:rsidRPr="00665BFD">
        <w:rPr>
          <w:rFonts w:cs="Times New Roman"/>
          <w:szCs w:val="24"/>
        </w:rPr>
        <w:t>Bridgestone</w:t>
      </w:r>
      <w:r w:rsidR="00C97FC8" w:rsidRPr="00665BFD">
        <w:rPr>
          <w:rFonts w:cs="Times New Roman"/>
          <w:szCs w:val="24"/>
        </w:rPr>
        <w:t xml:space="preserve">, and MRF provide complimentary and supplementary products and </w:t>
      </w:r>
      <w:r w:rsidR="00D04BB0" w:rsidRPr="00665BFD">
        <w:rPr>
          <w:rFonts w:cs="Times New Roman"/>
          <w:szCs w:val="24"/>
        </w:rPr>
        <w:t>prices</w:t>
      </w:r>
      <w:r w:rsidR="00C97FC8" w:rsidRPr="00665BFD">
        <w:rPr>
          <w:rFonts w:cs="Times New Roman"/>
          <w:szCs w:val="24"/>
        </w:rPr>
        <w:t xml:space="preserve">, which influence price and market equilibrium. Accordingly, price </w:t>
      </w:r>
      <w:r w:rsidR="00D04BB0" w:rsidRPr="00665BFD">
        <w:rPr>
          <w:rFonts w:cs="Times New Roman"/>
          <w:szCs w:val="24"/>
        </w:rPr>
        <w:t>elasticity</w:t>
      </w:r>
      <w:r w:rsidR="00C97FC8" w:rsidRPr="00665BFD">
        <w:rPr>
          <w:rFonts w:cs="Times New Roman"/>
          <w:szCs w:val="24"/>
        </w:rPr>
        <w:t xml:space="preserve"> is a critical factor in Goodyear’</w:t>
      </w:r>
      <w:r w:rsidR="00D04BB0" w:rsidRPr="00665BFD">
        <w:rPr>
          <w:rFonts w:cs="Times New Roman"/>
          <w:szCs w:val="24"/>
        </w:rPr>
        <w:t xml:space="preserve">s business model. </w:t>
      </w:r>
    </w:p>
    <w:p w14:paraId="7A73B01F" w14:textId="0ECD2EBE" w:rsidR="00AF1CDB" w:rsidRPr="00665BFD" w:rsidRDefault="00AF1CDB" w:rsidP="00527353">
      <w:pPr>
        <w:ind w:firstLine="720"/>
        <w:rPr>
          <w:rFonts w:cs="Times New Roman"/>
          <w:szCs w:val="24"/>
        </w:rPr>
      </w:pPr>
      <w:r w:rsidRPr="00665BFD">
        <w:rPr>
          <w:rFonts w:cs="Times New Roman"/>
          <w:szCs w:val="24"/>
        </w:rPr>
        <w:t>The Chosen product is Goodyear tyres</w:t>
      </w:r>
      <w:r w:rsidR="00E507BD" w:rsidRPr="00665BFD">
        <w:rPr>
          <w:rFonts w:cs="Times New Roman"/>
          <w:szCs w:val="24"/>
        </w:rPr>
        <w:t xml:space="preserve"> because of sp</w:t>
      </w:r>
      <w:r w:rsidRPr="00665BFD">
        <w:rPr>
          <w:rFonts w:cs="Times New Roman"/>
          <w:szCs w:val="24"/>
        </w:rPr>
        <w:t xml:space="preserve">ecific attributes of the product that answer the paper’s requirement. Fundamentally, </w:t>
      </w:r>
      <w:r w:rsidR="00DE297E" w:rsidRPr="00665BFD">
        <w:rPr>
          <w:rFonts w:cs="Times New Roman"/>
          <w:szCs w:val="24"/>
        </w:rPr>
        <w:t>Goodyear ti</w:t>
      </w:r>
      <w:r w:rsidR="00E11412" w:rsidRPr="00665BFD">
        <w:rPr>
          <w:rFonts w:cs="Times New Roman"/>
          <w:szCs w:val="24"/>
        </w:rPr>
        <w:t>res are some of the most popular products in the automotive industry. Although the industry has supplementary and com</w:t>
      </w:r>
      <w:r w:rsidR="00CF5E78" w:rsidRPr="00665BFD">
        <w:rPr>
          <w:rFonts w:cs="Times New Roman"/>
          <w:szCs w:val="24"/>
        </w:rPr>
        <w:t>plimentary products, Goodyear ti</w:t>
      </w:r>
      <w:r w:rsidR="00E11412" w:rsidRPr="00665BFD">
        <w:rPr>
          <w:rFonts w:cs="Times New Roman"/>
          <w:szCs w:val="24"/>
        </w:rPr>
        <w:t>res have a solid reputation that dictate the company’s pricing strategy and business sustainability</w:t>
      </w:r>
      <w:r w:rsidR="003E422B" w:rsidRPr="00665BFD">
        <w:rPr>
          <w:rFonts w:cs="Times New Roman"/>
          <w:szCs w:val="24"/>
        </w:rPr>
        <w:t xml:space="preserve"> (</w:t>
      </w:r>
      <w:r w:rsidR="003E422B" w:rsidRPr="00665BFD">
        <w:rPr>
          <w:rFonts w:cs="Times New Roman"/>
          <w:szCs w:val="24"/>
          <w:shd w:val="clear" w:color="auto" w:fill="FFFFFF"/>
        </w:rPr>
        <w:t>Goodyear</w:t>
      </w:r>
      <w:r w:rsidR="000B6352" w:rsidRPr="00665BFD">
        <w:rPr>
          <w:rFonts w:cs="Times New Roman"/>
          <w:szCs w:val="24"/>
          <w:shd w:val="clear" w:color="auto" w:fill="FFFFFF"/>
        </w:rPr>
        <w:t>,</w:t>
      </w:r>
      <w:r w:rsidR="003E422B" w:rsidRPr="00665BFD">
        <w:rPr>
          <w:rFonts w:cs="Times New Roman"/>
          <w:szCs w:val="24"/>
          <w:shd w:val="clear" w:color="auto" w:fill="FFFFFF"/>
        </w:rPr>
        <w:t xml:space="preserve"> 2022)</w:t>
      </w:r>
      <w:r w:rsidR="00E11412" w:rsidRPr="00665BFD">
        <w:rPr>
          <w:rFonts w:cs="Times New Roman"/>
          <w:szCs w:val="24"/>
        </w:rPr>
        <w:t xml:space="preserve">. </w:t>
      </w:r>
      <w:r w:rsidR="00517215" w:rsidRPr="00665BFD">
        <w:rPr>
          <w:rFonts w:cs="Times New Roman"/>
          <w:szCs w:val="24"/>
        </w:rPr>
        <w:t>The second</w:t>
      </w:r>
      <w:r w:rsidR="00DE297E" w:rsidRPr="00665BFD">
        <w:rPr>
          <w:rFonts w:cs="Times New Roman"/>
          <w:szCs w:val="24"/>
        </w:rPr>
        <w:t xml:space="preserve"> reason for choosing Goodyear Ti</w:t>
      </w:r>
      <w:r w:rsidR="00517215" w:rsidRPr="00665BFD">
        <w:rPr>
          <w:rFonts w:cs="Times New Roman"/>
          <w:szCs w:val="24"/>
        </w:rPr>
        <w:t xml:space="preserve">res is the availability of reliable and comparable data on the company’s Annual </w:t>
      </w:r>
      <w:r w:rsidR="00517215" w:rsidRPr="00665BFD">
        <w:rPr>
          <w:rFonts w:cs="Times New Roman"/>
          <w:szCs w:val="24"/>
        </w:rPr>
        <w:lastRenderedPageBreak/>
        <w:t>Reports, which help in the analysis of demand elasticity, price elasticity, and market equilibrium.</w:t>
      </w:r>
      <w:r w:rsidR="00633CF7" w:rsidRPr="00665BFD">
        <w:rPr>
          <w:rFonts w:cs="Times New Roman"/>
          <w:szCs w:val="24"/>
        </w:rPr>
        <w:t xml:space="preserve"> Accordingly, this report will assess Good year t</w:t>
      </w:r>
      <w:r w:rsidR="00CF5E78" w:rsidRPr="00665BFD">
        <w:rPr>
          <w:rFonts w:cs="Times New Roman"/>
          <w:szCs w:val="24"/>
        </w:rPr>
        <w:t>i</w:t>
      </w:r>
      <w:r w:rsidR="00633CF7" w:rsidRPr="00665BFD">
        <w:rPr>
          <w:rFonts w:cs="Times New Roman"/>
          <w:szCs w:val="24"/>
        </w:rPr>
        <w:t>res market performance in terms of key factors that influence the product’s market equilibrium, price equilibrium, and price elasticity of demand.</w:t>
      </w:r>
    </w:p>
    <w:p w14:paraId="43387FCF" w14:textId="77777777" w:rsidR="00884166" w:rsidRPr="00665BFD" w:rsidRDefault="00884166" w:rsidP="00527353">
      <w:pPr>
        <w:pStyle w:val="Heading2"/>
        <w:spacing w:line="480" w:lineRule="auto"/>
        <w:rPr>
          <w:rFonts w:cs="Times New Roman"/>
          <w:szCs w:val="24"/>
        </w:rPr>
      </w:pPr>
      <w:bookmarkStart w:id="1" w:name="_Toc133517810"/>
      <w:r w:rsidRPr="00665BFD">
        <w:rPr>
          <w:rFonts w:cs="Times New Roman"/>
          <w:szCs w:val="24"/>
        </w:rPr>
        <w:t>Identification of Demand and Market Equilibrium</w:t>
      </w:r>
      <w:bookmarkEnd w:id="1"/>
      <w:r w:rsidRPr="00665BFD">
        <w:rPr>
          <w:rFonts w:cs="Times New Roman"/>
          <w:szCs w:val="24"/>
        </w:rPr>
        <w:t xml:space="preserve"> </w:t>
      </w:r>
    </w:p>
    <w:p w14:paraId="698C0D6D" w14:textId="71DB9FF0" w:rsidR="00DE297E" w:rsidRPr="00665BFD" w:rsidRDefault="00D25AFE" w:rsidP="00527353">
      <w:pPr>
        <w:ind w:firstLine="720"/>
        <w:rPr>
          <w:rFonts w:cs="Times New Roman"/>
          <w:szCs w:val="24"/>
        </w:rPr>
      </w:pPr>
      <w:r w:rsidRPr="00665BFD">
        <w:rPr>
          <w:rFonts w:cs="Times New Roman"/>
          <w:szCs w:val="24"/>
        </w:rPr>
        <w:t xml:space="preserve">The identification of demand and market equilibrium for </w:t>
      </w:r>
      <w:r w:rsidR="00DE297E" w:rsidRPr="00665BFD">
        <w:rPr>
          <w:rFonts w:cs="Times New Roman"/>
          <w:szCs w:val="24"/>
        </w:rPr>
        <w:t>Goodyear ti</w:t>
      </w:r>
      <w:r w:rsidRPr="00665BFD">
        <w:rPr>
          <w:rFonts w:cs="Times New Roman"/>
          <w:szCs w:val="24"/>
        </w:rPr>
        <w:t>res is critical to understanding the company’s management economics. Fundamentally, specific factors affect the d</w:t>
      </w:r>
      <w:r w:rsidR="00CF5E78" w:rsidRPr="00665BFD">
        <w:rPr>
          <w:rFonts w:cs="Times New Roman"/>
          <w:szCs w:val="24"/>
        </w:rPr>
        <w:t>emand and market for Goodyear ti</w:t>
      </w:r>
      <w:r w:rsidRPr="00665BFD">
        <w:rPr>
          <w:rFonts w:cs="Times New Roman"/>
          <w:szCs w:val="24"/>
        </w:rPr>
        <w:t>res</w:t>
      </w:r>
      <w:r w:rsidR="00420483" w:rsidRPr="00665BFD">
        <w:rPr>
          <w:rFonts w:cs="Times New Roman"/>
          <w:szCs w:val="24"/>
        </w:rPr>
        <w:t xml:space="preserve"> (</w:t>
      </w:r>
      <w:r w:rsidR="00420483" w:rsidRPr="00665BFD">
        <w:rPr>
          <w:rFonts w:cs="Times New Roman"/>
          <w:szCs w:val="24"/>
          <w:shd w:val="clear" w:color="auto" w:fill="FFFFFF"/>
        </w:rPr>
        <w:t>Baker, 2002)</w:t>
      </w:r>
      <w:r w:rsidRPr="00665BFD">
        <w:rPr>
          <w:rFonts w:cs="Times New Roman"/>
          <w:szCs w:val="24"/>
        </w:rPr>
        <w:t xml:space="preserve">. These factors encompass demographics, consumer expectations of price, price of compliments, consumer income, consumer preferences, consumer tastes, and </w:t>
      </w:r>
      <w:r w:rsidR="00DE297E" w:rsidRPr="00665BFD">
        <w:rPr>
          <w:rFonts w:cs="Times New Roman"/>
          <w:szCs w:val="24"/>
        </w:rPr>
        <w:t>price of substitutes. For each of the factors that influence demand, this section will describe how Goodyear tires, which are the main product, are affected. Besides, it is imperative to indicate where the factors positively or negatively influence the demand for Goodyear tires. This approach will help in the estimation of demand and market equilibrium for Goodyear tires, especially in the contemporary dynamic industry environment.</w:t>
      </w:r>
    </w:p>
    <w:p w14:paraId="3CEBF7A6" w14:textId="77777777" w:rsidR="00E47D13" w:rsidRPr="00665BFD" w:rsidRDefault="00021A20" w:rsidP="00527353">
      <w:pPr>
        <w:pStyle w:val="Heading2"/>
        <w:spacing w:line="480" w:lineRule="auto"/>
        <w:rPr>
          <w:rFonts w:cs="Times New Roman"/>
          <w:szCs w:val="24"/>
        </w:rPr>
      </w:pPr>
      <w:bookmarkStart w:id="2" w:name="_Toc133517811"/>
      <w:r w:rsidRPr="00665BFD">
        <w:rPr>
          <w:rFonts w:cs="Times New Roman"/>
          <w:szCs w:val="24"/>
        </w:rPr>
        <w:t>Price of S</w:t>
      </w:r>
      <w:r w:rsidR="00AC676E" w:rsidRPr="00665BFD">
        <w:rPr>
          <w:rFonts w:cs="Times New Roman"/>
          <w:szCs w:val="24"/>
        </w:rPr>
        <w:t>ubstitutes</w:t>
      </w:r>
      <w:bookmarkEnd w:id="2"/>
    </w:p>
    <w:p w14:paraId="4388681B" w14:textId="5E735B1C" w:rsidR="00FE30BF" w:rsidRPr="00665BFD" w:rsidRDefault="000B1A4D" w:rsidP="00527353">
      <w:pPr>
        <w:ind w:firstLine="720"/>
        <w:rPr>
          <w:rFonts w:cs="Times New Roman"/>
          <w:szCs w:val="24"/>
        </w:rPr>
      </w:pPr>
      <w:r w:rsidRPr="00665BFD">
        <w:rPr>
          <w:rFonts w:cs="Times New Roman"/>
          <w:szCs w:val="24"/>
        </w:rPr>
        <w:t>Goodyear tires have multiple substitute products from rival companies. Fundamentally, Goodyear faces stiff competition from such international players as Pirelli, Michelin, Bridgestone, Continental, and Apollo Tires. These substitute products offer competitive prices at the market, which influences the pricing strategy of Goodyear</w:t>
      </w:r>
      <w:r w:rsidR="003E422B" w:rsidRPr="00665BFD">
        <w:rPr>
          <w:rFonts w:cs="Times New Roman"/>
          <w:szCs w:val="24"/>
        </w:rPr>
        <w:t xml:space="preserve"> </w:t>
      </w:r>
      <w:r w:rsidR="000B6352" w:rsidRPr="00665BFD">
        <w:rPr>
          <w:rFonts w:cs="Times New Roman"/>
          <w:szCs w:val="24"/>
        </w:rPr>
        <w:t>(</w:t>
      </w:r>
      <w:r w:rsidR="003E422B" w:rsidRPr="00665BFD">
        <w:rPr>
          <w:rFonts w:cs="Times New Roman"/>
          <w:szCs w:val="24"/>
          <w:shd w:val="clear" w:color="auto" w:fill="FFFFFF"/>
        </w:rPr>
        <w:t>Bansal &amp; Dua, 2022)</w:t>
      </w:r>
      <w:r w:rsidRPr="00665BFD">
        <w:rPr>
          <w:rFonts w:cs="Times New Roman"/>
          <w:szCs w:val="24"/>
        </w:rPr>
        <w:t xml:space="preserve">. Although these key brands vary in their pricing for various tyre categories, the price elasticity is within recommended levels. </w:t>
      </w:r>
      <w:r w:rsidR="00FE30BF" w:rsidRPr="00665BFD">
        <w:rPr>
          <w:rFonts w:cs="Times New Roman"/>
          <w:szCs w:val="24"/>
        </w:rPr>
        <w:t xml:space="preserve">The demand for substitute products, especially for Michelin, Bridgestone, and Continental, has increased substantially over the past five years. These substitute products includes tyres for motorbikes, cars, trucks, buses, SUVs, and military vehicles. </w:t>
      </w:r>
      <w:r w:rsidR="00B43742" w:rsidRPr="00665BFD">
        <w:rPr>
          <w:rFonts w:cs="Times New Roman"/>
          <w:szCs w:val="24"/>
        </w:rPr>
        <w:t>The price of substitute products is critical to establishing demand and market equilibrium.</w:t>
      </w:r>
    </w:p>
    <w:p w14:paraId="630EB49D" w14:textId="5045C698" w:rsidR="000B1A4D" w:rsidRPr="00665BFD" w:rsidRDefault="00FE30BF" w:rsidP="00527353">
      <w:pPr>
        <w:ind w:firstLine="720"/>
        <w:rPr>
          <w:rFonts w:cs="Times New Roman"/>
          <w:szCs w:val="24"/>
        </w:rPr>
      </w:pPr>
      <w:r w:rsidRPr="00665BFD">
        <w:rPr>
          <w:rFonts w:cs="Times New Roman"/>
          <w:szCs w:val="24"/>
        </w:rPr>
        <w:lastRenderedPageBreak/>
        <w:t>The rise in demand for substitute products affects the demand for Goodyear tires negatively, especially in North American and European markets. Prices of substitute products affect the demand for such products. For instance, the price of Michelin and Bridgestone tires are competitive compared to Goodyear tires</w:t>
      </w:r>
      <w:r w:rsidR="004F6F58" w:rsidRPr="00665BFD">
        <w:rPr>
          <w:rFonts w:cs="Times New Roman"/>
          <w:szCs w:val="24"/>
        </w:rPr>
        <w:t xml:space="preserve"> </w:t>
      </w:r>
      <w:r w:rsidR="004F6F58" w:rsidRPr="00665BFD">
        <w:rPr>
          <w:rFonts w:cs="Times New Roman"/>
          <w:szCs w:val="24"/>
          <w:shd w:val="clear" w:color="auto" w:fill="FFFFFF"/>
        </w:rPr>
        <w:t xml:space="preserve">(Galarraga, </w:t>
      </w:r>
      <w:r w:rsidR="000B6352" w:rsidRPr="00665BFD">
        <w:rPr>
          <w:rFonts w:cs="Times New Roman"/>
          <w:szCs w:val="24"/>
          <w:shd w:val="clear" w:color="auto" w:fill="FFFFFF"/>
        </w:rPr>
        <w:t>Kallbekken</w:t>
      </w:r>
      <w:r w:rsidR="004F6F58" w:rsidRPr="00665BFD">
        <w:rPr>
          <w:rFonts w:cs="Times New Roman"/>
          <w:szCs w:val="24"/>
          <w:shd w:val="clear" w:color="auto" w:fill="FFFFFF"/>
        </w:rPr>
        <w:t xml:space="preserve"> &amp; Silvestri, 2020)</w:t>
      </w:r>
      <w:r w:rsidRPr="00665BFD">
        <w:rPr>
          <w:rFonts w:cs="Times New Roman"/>
          <w:szCs w:val="24"/>
        </w:rPr>
        <w:t xml:space="preserve">. </w:t>
      </w:r>
      <w:r w:rsidR="00525575" w:rsidRPr="00665BFD">
        <w:rPr>
          <w:rFonts w:cs="Times New Roman"/>
          <w:szCs w:val="24"/>
        </w:rPr>
        <w:t xml:space="preserve">The premium pricing for these premium brands influences the demand from various consumers, especially consumers who prefer premium and quality products. </w:t>
      </w:r>
      <w:r w:rsidR="00B43742" w:rsidRPr="00665BFD">
        <w:rPr>
          <w:rFonts w:cs="Times New Roman"/>
          <w:szCs w:val="24"/>
        </w:rPr>
        <w:t>Prices of tire and rubber products have increased progressively over the decades due to such macroeconomic factors as political, economic, and environmental factors. However, prices of tires increase across the board, which means that all industry players price their products within consumer expectations. Accordingly, the demand for Goodyear products increases in the same rate as the demand for substitute products.</w:t>
      </w:r>
    </w:p>
    <w:p w14:paraId="4633DEF3" w14:textId="77777777" w:rsidR="00AC676E" w:rsidRPr="00665BFD" w:rsidRDefault="00021A20" w:rsidP="00527353">
      <w:pPr>
        <w:pStyle w:val="Heading2"/>
        <w:spacing w:line="480" w:lineRule="auto"/>
        <w:rPr>
          <w:rFonts w:cs="Times New Roman"/>
          <w:szCs w:val="24"/>
        </w:rPr>
      </w:pPr>
      <w:bookmarkStart w:id="3" w:name="_Toc133517812"/>
      <w:r w:rsidRPr="00665BFD">
        <w:rPr>
          <w:rFonts w:cs="Times New Roman"/>
          <w:szCs w:val="24"/>
        </w:rPr>
        <w:t>Price of C</w:t>
      </w:r>
      <w:r w:rsidR="00AC676E" w:rsidRPr="00665BFD">
        <w:rPr>
          <w:rFonts w:cs="Times New Roman"/>
          <w:szCs w:val="24"/>
        </w:rPr>
        <w:t>omplements</w:t>
      </w:r>
      <w:bookmarkEnd w:id="3"/>
    </w:p>
    <w:p w14:paraId="4EFCEA0A" w14:textId="337A25B8" w:rsidR="00FD5FF4" w:rsidRPr="00665BFD" w:rsidRDefault="00421D47" w:rsidP="00527353">
      <w:pPr>
        <w:ind w:firstLine="720"/>
        <w:rPr>
          <w:rFonts w:cs="Times New Roman"/>
          <w:szCs w:val="24"/>
        </w:rPr>
      </w:pPr>
      <w:r w:rsidRPr="00665BFD">
        <w:rPr>
          <w:rFonts w:cs="Times New Roman"/>
          <w:szCs w:val="24"/>
        </w:rPr>
        <w:t xml:space="preserve">The primary complimentary products to Goodyear tires are petroleum products, microchips, and cars, which influence Goodyear product demand substantially. </w:t>
      </w:r>
      <w:r w:rsidR="003D2E81" w:rsidRPr="00665BFD">
        <w:rPr>
          <w:rFonts w:cs="Times New Roman"/>
          <w:szCs w:val="24"/>
        </w:rPr>
        <w:t>Fundamentally, complimentary products are products that goods and services that are consumed together with others. For instance, c</w:t>
      </w:r>
      <w:r w:rsidRPr="00665BFD">
        <w:rPr>
          <w:rFonts w:cs="Times New Roman"/>
          <w:szCs w:val="24"/>
        </w:rPr>
        <w:t>ars use tires from various supplies, including Goodyear</w:t>
      </w:r>
      <w:r w:rsidR="001D1F9B" w:rsidRPr="00665BFD">
        <w:rPr>
          <w:rFonts w:cs="Times New Roman"/>
          <w:szCs w:val="24"/>
        </w:rPr>
        <w:t xml:space="preserve"> (</w:t>
      </w:r>
      <w:r w:rsidR="001D1F9B" w:rsidRPr="00665BFD">
        <w:rPr>
          <w:rFonts w:cs="Times New Roman"/>
          <w:szCs w:val="24"/>
          <w:shd w:val="clear" w:color="auto" w:fill="FFFFFF"/>
        </w:rPr>
        <w:t>Jiang &amp; He, 2021)</w:t>
      </w:r>
      <w:r w:rsidRPr="00665BFD">
        <w:rPr>
          <w:rFonts w:cs="Times New Roman"/>
          <w:szCs w:val="24"/>
        </w:rPr>
        <w:t xml:space="preserve">. Besides, consumers of cars need petrol and diesel to run their vehicles. It means that these complimentary products influence the market and demand for tires substantially. Prices of complimentary products, such as petroleum, cars, microchips, have </w:t>
      </w:r>
      <w:r w:rsidR="003D2E81" w:rsidRPr="00665BFD">
        <w:rPr>
          <w:rFonts w:cs="Times New Roman"/>
          <w:szCs w:val="24"/>
        </w:rPr>
        <w:t>increased substantially in the past two decades, occasioning a corresponding increase in complimentary products. The equilibrium market is achieved when the demand for complimentary goods is equivalent to the demand for the primary product.</w:t>
      </w:r>
    </w:p>
    <w:p w14:paraId="57AB72B3" w14:textId="3A49E6E8" w:rsidR="003D2E81" w:rsidRPr="00665BFD" w:rsidRDefault="00092EB5" w:rsidP="00527353">
      <w:pPr>
        <w:ind w:firstLine="720"/>
        <w:rPr>
          <w:rFonts w:cs="Times New Roman"/>
          <w:szCs w:val="24"/>
        </w:rPr>
      </w:pPr>
      <w:r w:rsidRPr="00665BFD">
        <w:rPr>
          <w:rFonts w:cs="Times New Roman"/>
          <w:szCs w:val="24"/>
        </w:rPr>
        <w:t xml:space="preserve">The increase in prices of complimentary products has not shifted the equilibrium for Goodyear tires due to a corresponding increase in demand. The prices of cars, microchips, and </w:t>
      </w:r>
      <w:r w:rsidRPr="00665BFD">
        <w:rPr>
          <w:rFonts w:cs="Times New Roman"/>
          <w:szCs w:val="24"/>
        </w:rPr>
        <w:lastRenderedPageBreak/>
        <w:t>petroleum products have increased, reducing the demand for such products in some consumer segments</w:t>
      </w:r>
      <w:r w:rsidR="003E422B" w:rsidRPr="00665BFD">
        <w:rPr>
          <w:rFonts w:cs="Times New Roman"/>
          <w:szCs w:val="24"/>
        </w:rPr>
        <w:t xml:space="preserve"> (</w:t>
      </w:r>
      <w:r w:rsidR="003E422B" w:rsidRPr="00665BFD">
        <w:rPr>
          <w:rFonts w:cs="Times New Roman"/>
          <w:szCs w:val="24"/>
          <w:shd w:val="clear" w:color="auto" w:fill="FFFFFF"/>
        </w:rPr>
        <w:t>Goodyear</w:t>
      </w:r>
      <w:r w:rsidR="003704B9" w:rsidRPr="00665BFD">
        <w:rPr>
          <w:rFonts w:cs="Times New Roman"/>
          <w:szCs w:val="24"/>
          <w:shd w:val="clear" w:color="auto" w:fill="FFFFFF"/>
        </w:rPr>
        <w:t>,</w:t>
      </w:r>
      <w:r w:rsidR="003E422B" w:rsidRPr="00665BFD">
        <w:rPr>
          <w:rFonts w:cs="Times New Roman"/>
          <w:szCs w:val="24"/>
          <w:shd w:val="clear" w:color="auto" w:fill="FFFFFF"/>
        </w:rPr>
        <w:t xml:space="preserve"> 2022)</w:t>
      </w:r>
      <w:r w:rsidRPr="00665BFD">
        <w:rPr>
          <w:rFonts w:cs="Times New Roman"/>
          <w:szCs w:val="24"/>
        </w:rPr>
        <w:t xml:space="preserve">. Since these complimentary products influence supply and value chains substantially, the rise in their prices does not significantly shift the market equilibrium. </w:t>
      </w:r>
      <w:r w:rsidR="00B95D6C" w:rsidRPr="00665BFD">
        <w:rPr>
          <w:rFonts w:cs="Times New Roman"/>
          <w:szCs w:val="24"/>
        </w:rPr>
        <w:t>Since the price increase in complements’ occasions a corresponding reduction in demand for such complimentary products, Goodyear products are affected substantially. The reduction in demand for cars will have a direct reduction in demand for Goodyear tires</w:t>
      </w:r>
      <w:r w:rsidR="00617AE5" w:rsidRPr="00665BFD">
        <w:rPr>
          <w:rFonts w:cs="Times New Roman"/>
          <w:szCs w:val="24"/>
        </w:rPr>
        <w:t xml:space="preserve"> (</w:t>
      </w:r>
      <w:r w:rsidR="00617AE5" w:rsidRPr="00665BFD">
        <w:rPr>
          <w:rFonts w:cs="Times New Roman"/>
          <w:szCs w:val="24"/>
          <w:shd w:val="clear" w:color="auto" w:fill="FFFFFF"/>
        </w:rPr>
        <w:t>Gillingham et al., 2019)</w:t>
      </w:r>
      <w:r w:rsidR="00B95D6C" w:rsidRPr="00665BFD">
        <w:rPr>
          <w:rFonts w:cs="Times New Roman"/>
          <w:szCs w:val="24"/>
        </w:rPr>
        <w:t xml:space="preserve">. However, the rise in petrol and diesel prices, which are fundamental complimentary products, do not affect the demand for Goodyear tires substantially. Accordingly, the demand equilibrium remands considerably stable with fluctuations in prices of complimentary products. </w:t>
      </w:r>
    </w:p>
    <w:p w14:paraId="675C1A89" w14:textId="77777777" w:rsidR="00AC676E" w:rsidRPr="00665BFD" w:rsidRDefault="00AC676E" w:rsidP="00527353">
      <w:pPr>
        <w:pStyle w:val="Heading2"/>
        <w:spacing w:line="480" w:lineRule="auto"/>
        <w:rPr>
          <w:rFonts w:cs="Times New Roman"/>
          <w:szCs w:val="24"/>
        </w:rPr>
      </w:pPr>
      <w:bookmarkStart w:id="4" w:name="_Toc133517813"/>
      <w:r w:rsidRPr="00665BFD">
        <w:rPr>
          <w:rFonts w:cs="Times New Roman"/>
          <w:szCs w:val="24"/>
        </w:rPr>
        <w:t>Consumer Income</w:t>
      </w:r>
      <w:bookmarkEnd w:id="4"/>
    </w:p>
    <w:p w14:paraId="5372EDFC" w14:textId="3AECEB0F" w:rsidR="00FD5FF4" w:rsidRPr="00665BFD" w:rsidRDefault="00B95D6C" w:rsidP="00527353">
      <w:pPr>
        <w:ind w:firstLine="720"/>
        <w:rPr>
          <w:rFonts w:cs="Times New Roman"/>
          <w:szCs w:val="24"/>
        </w:rPr>
      </w:pPr>
      <w:r w:rsidRPr="00665BFD">
        <w:rPr>
          <w:rFonts w:cs="Times New Roman"/>
          <w:szCs w:val="24"/>
        </w:rPr>
        <w:t xml:space="preserve">Consumer income, which is a function of population and economic growth, influences market and demand equilibriums for Goodyear tires. </w:t>
      </w:r>
      <w:r w:rsidR="00ED5F19" w:rsidRPr="00665BFD">
        <w:rPr>
          <w:rFonts w:cs="Times New Roman"/>
          <w:szCs w:val="24"/>
        </w:rPr>
        <w:t>Consumer income encompasses all earnings that individuals and families accrue annually. Economists use per capita GDP and gross national product to calculate consumer income in various countries. Although the global consumer income is relatively low, it is expected to grow by 2.5% by 2025</w:t>
      </w:r>
      <w:r w:rsidR="004F6F58" w:rsidRPr="00665BFD">
        <w:rPr>
          <w:rFonts w:cs="Times New Roman"/>
          <w:szCs w:val="24"/>
        </w:rPr>
        <w:t xml:space="preserve"> </w:t>
      </w:r>
      <w:r w:rsidR="004F6F58" w:rsidRPr="00665BFD">
        <w:rPr>
          <w:rFonts w:cs="Times New Roman"/>
          <w:szCs w:val="24"/>
          <w:shd w:val="clear" w:color="auto" w:fill="FFFFFF"/>
        </w:rPr>
        <w:t>(Galarraga, Kallbekken, &amp; Silvestri, 2020)</w:t>
      </w:r>
      <w:r w:rsidR="00ED5F19" w:rsidRPr="00665BFD">
        <w:rPr>
          <w:rFonts w:cs="Times New Roman"/>
          <w:szCs w:val="24"/>
        </w:rPr>
        <w:t xml:space="preserve">. </w:t>
      </w:r>
      <w:r w:rsidR="00DA0AE1" w:rsidRPr="00665BFD">
        <w:rPr>
          <w:rFonts w:cs="Times New Roman"/>
          <w:szCs w:val="24"/>
        </w:rPr>
        <w:t xml:space="preserve">However, consumer income in North America and Europe, where Goodyear enjoys a strong brand, is considerably high. Consumer income is increasing due to economic development, despite challenges that the pandemic occasioned in 2020. Since most economies are recovering, especially in Goodyear markets, the company is likely to experience a demand spike in the next two years. </w:t>
      </w:r>
    </w:p>
    <w:p w14:paraId="7B20ABD1" w14:textId="573D7DC8" w:rsidR="002A6B0C" w:rsidRPr="00665BFD" w:rsidRDefault="002A6B0C" w:rsidP="00527353">
      <w:pPr>
        <w:ind w:firstLine="720"/>
        <w:rPr>
          <w:rFonts w:cs="Times New Roman"/>
          <w:szCs w:val="24"/>
        </w:rPr>
      </w:pPr>
      <w:r w:rsidRPr="00665BFD">
        <w:rPr>
          <w:rFonts w:cs="Times New Roman"/>
          <w:szCs w:val="24"/>
        </w:rPr>
        <w:t xml:space="preserve">The increase in consumer demand affects demand equilibrium positively by influencing </w:t>
      </w:r>
      <w:r w:rsidR="003704B9" w:rsidRPr="00665BFD">
        <w:rPr>
          <w:rFonts w:cs="Times New Roman"/>
          <w:szCs w:val="24"/>
        </w:rPr>
        <w:t xml:space="preserve">the demand for Goodyear tires. According to Goodyear </w:t>
      </w:r>
      <w:r w:rsidR="003704B9" w:rsidRPr="00665BFD">
        <w:rPr>
          <w:rFonts w:cs="Times New Roman"/>
          <w:szCs w:val="24"/>
          <w:shd w:val="clear" w:color="auto" w:fill="FFFFFF"/>
        </w:rPr>
        <w:t>Jiang and He (2021)</w:t>
      </w:r>
      <w:r w:rsidR="003704B9" w:rsidRPr="00665BFD">
        <w:rPr>
          <w:rFonts w:cs="Times New Roman"/>
          <w:szCs w:val="24"/>
        </w:rPr>
        <w:t>, t</w:t>
      </w:r>
      <w:r w:rsidRPr="00665BFD">
        <w:rPr>
          <w:rFonts w:cs="Times New Roman"/>
          <w:szCs w:val="24"/>
        </w:rPr>
        <w:t xml:space="preserve">he progressive rise on consumer income, especially in the developed world, creates disposable income for purchasing both supplementary and complimentary products. Accordingly, more consumers who </w:t>
      </w:r>
      <w:r w:rsidRPr="00665BFD">
        <w:rPr>
          <w:rFonts w:cs="Times New Roman"/>
          <w:szCs w:val="24"/>
        </w:rPr>
        <w:lastRenderedPageBreak/>
        <w:t xml:space="preserve">can afford cars will require good quality tires. Since Goodyear is one of the most reputable tire brands globally, a consumer income rise triggers an equivalent rise in demand for Goodyear </w:t>
      </w:r>
      <w:r w:rsidR="00925B6D" w:rsidRPr="00665BFD">
        <w:rPr>
          <w:rFonts w:cs="Times New Roman"/>
          <w:szCs w:val="24"/>
        </w:rPr>
        <w:t>tires. Perhaps it is critical to compare consumer income to related factors, such as consumer preferences.</w:t>
      </w:r>
    </w:p>
    <w:p w14:paraId="2F6C77DF" w14:textId="77777777" w:rsidR="00AC676E" w:rsidRPr="00665BFD" w:rsidRDefault="00AC676E" w:rsidP="00527353">
      <w:pPr>
        <w:pStyle w:val="Heading2"/>
        <w:spacing w:line="480" w:lineRule="auto"/>
        <w:rPr>
          <w:rFonts w:cs="Times New Roman"/>
          <w:szCs w:val="24"/>
        </w:rPr>
      </w:pPr>
      <w:bookmarkStart w:id="5" w:name="_Toc133517814"/>
      <w:r w:rsidRPr="00665BFD">
        <w:rPr>
          <w:rFonts w:cs="Times New Roman"/>
          <w:szCs w:val="24"/>
        </w:rPr>
        <w:t xml:space="preserve">Consumer </w:t>
      </w:r>
      <w:r w:rsidR="00021A20" w:rsidRPr="00665BFD">
        <w:rPr>
          <w:rFonts w:cs="Times New Roman"/>
          <w:szCs w:val="24"/>
        </w:rPr>
        <w:t>Tastes &amp; Preferences</w:t>
      </w:r>
      <w:bookmarkEnd w:id="5"/>
    </w:p>
    <w:p w14:paraId="6F3F8518" w14:textId="7A08ABA9" w:rsidR="00FD5FF4" w:rsidRPr="00665BFD" w:rsidRDefault="00EC7F70" w:rsidP="00527353">
      <w:pPr>
        <w:ind w:firstLine="720"/>
        <w:rPr>
          <w:rFonts w:cs="Times New Roman"/>
          <w:szCs w:val="24"/>
        </w:rPr>
      </w:pPr>
      <w:r w:rsidRPr="00665BFD">
        <w:rPr>
          <w:rFonts w:cs="Times New Roman"/>
          <w:szCs w:val="24"/>
        </w:rPr>
        <w:t>Consumer tastes and preferences encompass specific traits that influence consumer behaviour and demand for Goodyear tires. The demand and market equilibrium for Goodyear tires depend on specific consumer tastes and preferences. However, consumer tastes and preferences are dynamic due to such factors as technology, sociocultural, and environmental factors. For instance, environmental sustainability influences consumer trends substantially, with 70% of consumers preferring environmentally friendly tires</w:t>
      </w:r>
      <w:r w:rsidR="004F6F58" w:rsidRPr="00665BFD">
        <w:rPr>
          <w:rFonts w:cs="Times New Roman"/>
          <w:szCs w:val="24"/>
        </w:rPr>
        <w:t xml:space="preserve"> </w:t>
      </w:r>
      <w:r w:rsidR="004F6F58" w:rsidRPr="00665BFD">
        <w:rPr>
          <w:rFonts w:cs="Times New Roman"/>
          <w:szCs w:val="24"/>
          <w:shd w:val="clear" w:color="auto" w:fill="FFFFFF"/>
        </w:rPr>
        <w:t>(Galarraga, Kallbekken, &amp; Silvestri, 2020)</w:t>
      </w:r>
      <w:r w:rsidRPr="00665BFD">
        <w:rPr>
          <w:rFonts w:cs="Times New Roman"/>
          <w:szCs w:val="24"/>
        </w:rPr>
        <w:t xml:space="preserve">. Besides, </w:t>
      </w:r>
      <w:r w:rsidR="005E0467" w:rsidRPr="00665BFD">
        <w:rPr>
          <w:rFonts w:cs="Times New Roman"/>
          <w:szCs w:val="24"/>
        </w:rPr>
        <w:t>such factors as pricing strategy and availability of complimentary and substitute products influence consumer preferences. Consumer income is also a critical factor when it comes to taste of tires. These factors may affect the demand for Goodyear tires substantially</w:t>
      </w:r>
      <w:r w:rsidR="000E0F29" w:rsidRPr="00665BFD">
        <w:rPr>
          <w:rFonts w:cs="Times New Roman"/>
          <w:szCs w:val="24"/>
        </w:rPr>
        <w:t>.</w:t>
      </w:r>
      <w:r w:rsidR="00972D83" w:rsidRPr="00665BFD">
        <w:rPr>
          <w:rFonts w:cs="Times New Roman"/>
          <w:szCs w:val="24"/>
        </w:rPr>
        <w:t xml:space="preserve"> Accordingly, it is worth examining the effect of these factors on market equilibrium.</w:t>
      </w:r>
    </w:p>
    <w:p w14:paraId="72E1D6D0" w14:textId="17FAE5B3" w:rsidR="000E0F29" w:rsidRPr="00665BFD" w:rsidRDefault="00033808" w:rsidP="00527353">
      <w:pPr>
        <w:ind w:firstLine="720"/>
        <w:rPr>
          <w:rFonts w:cs="Times New Roman"/>
          <w:szCs w:val="24"/>
        </w:rPr>
      </w:pPr>
      <w:r w:rsidRPr="00665BFD">
        <w:rPr>
          <w:rFonts w:cs="Times New Roman"/>
          <w:szCs w:val="24"/>
        </w:rPr>
        <w:t xml:space="preserve">The changing consumer preferences and tastes influence the demand for Goodyear significantly, although the brand maintains market equilibrium. Since consumers </w:t>
      </w:r>
      <w:r w:rsidR="00056A7F" w:rsidRPr="00665BFD">
        <w:rPr>
          <w:rFonts w:cs="Times New Roman"/>
          <w:szCs w:val="24"/>
        </w:rPr>
        <w:t xml:space="preserve">wield significant power due to market oligopoly, the demand for </w:t>
      </w:r>
      <w:r w:rsidR="006577CA" w:rsidRPr="00665BFD">
        <w:rPr>
          <w:rFonts w:cs="Times New Roman"/>
          <w:szCs w:val="24"/>
        </w:rPr>
        <w:t>Goodyear</w:t>
      </w:r>
      <w:r w:rsidR="00056A7F" w:rsidRPr="00665BFD">
        <w:rPr>
          <w:rFonts w:cs="Times New Roman"/>
          <w:szCs w:val="24"/>
        </w:rPr>
        <w:t xml:space="preserve"> tires may shift when rival products introduce innovative products</w:t>
      </w:r>
      <w:r w:rsidR="00420483" w:rsidRPr="00665BFD">
        <w:rPr>
          <w:rFonts w:cs="Times New Roman"/>
          <w:szCs w:val="24"/>
        </w:rPr>
        <w:t xml:space="preserve"> (</w:t>
      </w:r>
      <w:r w:rsidR="003704B9" w:rsidRPr="00665BFD">
        <w:rPr>
          <w:rFonts w:cs="Times New Roman"/>
          <w:szCs w:val="24"/>
          <w:shd w:val="clear" w:color="auto" w:fill="FFFFFF"/>
        </w:rPr>
        <w:t>Baker</w:t>
      </w:r>
      <w:r w:rsidR="00420483" w:rsidRPr="00665BFD">
        <w:rPr>
          <w:rFonts w:cs="Times New Roman"/>
          <w:szCs w:val="24"/>
          <w:shd w:val="clear" w:color="auto" w:fill="FFFFFF"/>
        </w:rPr>
        <w:t>, 2002)</w:t>
      </w:r>
      <w:r w:rsidR="00056A7F" w:rsidRPr="00665BFD">
        <w:rPr>
          <w:rFonts w:cs="Times New Roman"/>
          <w:szCs w:val="24"/>
        </w:rPr>
        <w:t xml:space="preserve">. For instance, the ambition by Michelin to introduce sustainability in the tire and rubber industry has shaken consumer preferences and states substantially. Accordingly, the demand equilibrium for </w:t>
      </w:r>
      <w:r w:rsidR="006577CA" w:rsidRPr="00665BFD">
        <w:rPr>
          <w:rFonts w:cs="Times New Roman"/>
          <w:szCs w:val="24"/>
        </w:rPr>
        <w:t>Goodyear</w:t>
      </w:r>
      <w:r w:rsidR="00056A7F" w:rsidRPr="00665BFD">
        <w:rPr>
          <w:rFonts w:cs="Times New Roman"/>
          <w:szCs w:val="24"/>
        </w:rPr>
        <w:t xml:space="preserve"> tires may fluctuate according to fundamental factors that influence consumer preferences and states. </w:t>
      </w:r>
      <w:r w:rsidR="006577CA" w:rsidRPr="00665BFD">
        <w:rPr>
          <w:rFonts w:cs="Times New Roman"/>
          <w:szCs w:val="24"/>
        </w:rPr>
        <w:t>However, Goodyear’s innovative strategies and a strong reputation sustain the demand for its products.</w:t>
      </w:r>
    </w:p>
    <w:p w14:paraId="5CFAD562" w14:textId="77777777" w:rsidR="00AC676E" w:rsidRPr="00665BFD" w:rsidRDefault="00AC676E" w:rsidP="00527353">
      <w:pPr>
        <w:pStyle w:val="Heading2"/>
        <w:spacing w:line="480" w:lineRule="auto"/>
        <w:rPr>
          <w:rFonts w:cs="Times New Roman"/>
          <w:szCs w:val="24"/>
        </w:rPr>
      </w:pPr>
      <w:bookmarkStart w:id="6" w:name="_Toc133517815"/>
      <w:r w:rsidRPr="00665BFD">
        <w:rPr>
          <w:rFonts w:cs="Times New Roman"/>
          <w:szCs w:val="24"/>
        </w:rPr>
        <w:lastRenderedPageBreak/>
        <w:t xml:space="preserve">Consumer </w:t>
      </w:r>
      <w:r w:rsidR="00021A20" w:rsidRPr="00665BFD">
        <w:rPr>
          <w:rFonts w:cs="Times New Roman"/>
          <w:szCs w:val="24"/>
        </w:rPr>
        <w:t>Expectations of Price</w:t>
      </w:r>
      <w:bookmarkEnd w:id="6"/>
    </w:p>
    <w:p w14:paraId="1DD8F921" w14:textId="6C40803D" w:rsidR="00FD5FF4" w:rsidRPr="00665BFD" w:rsidRDefault="00E25474" w:rsidP="00527353">
      <w:pPr>
        <w:ind w:firstLine="720"/>
        <w:rPr>
          <w:rFonts w:cs="Times New Roman"/>
          <w:szCs w:val="24"/>
        </w:rPr>
      </w:pPr>
      <w:r w:rsidRPr="00665BFD">
        <w:rPr>
          <w:rFonts w:cs="Times New Roman"/>
          <w:szCs w:val="24"/>
        </w:rPr>
        <w:t xml:space="preserve">Consumer expectation of price is a significant factor </w:t>
      </w:r>
      <w:r w:rsidR="00B16945" w:rsidRPr="00665BFD">
        <w:rPr>
          <w:rFonts w:cs="Times New Roman"/>
          <w:szCs w:val="24"/>
        </w:rPr>
        <w:t>regarding</w:t>
      </w:r>
      <w:r w:rsidRPr="00665BFD">
        <w:rPr>
          <w:rFonts w:cs="Times New Roman"/>
          <w:szCs w:val="24"/>
        </w:rPr>
        <w:t xml:space="preserve"> demand and market equilibriums for Goodyear tires. </w:t>
      </w:r>
      <w:r w:rsidR="00B16945" w:rsidRPr="00665BFD">
        <w:rPr>
          <w:rFonts w:cs="Times New Roman"/>
          <w:szCs w:val="24"/>
        </w:rPr>
        <w:t>Consumer expectations vary, depending on multiple factors, ranging from income to price of compliments</w:t>
      </w:r>
      <w:r w:rsidR="00CE155A" w:rsidRPr="00665BFD">
        <w:rPr>
          <w:rFonts w:cs="Times New Roman"/>
          <w:szCs w:val="24"/>
        </w:rPr>
        <w:t xml:space="preserve"> (</w:t>
      </w:r>
      <w:r w:rsidR="00CE155A" w:rsidRPr="00665BFD">
        <w:rPr>
          <w:rFonts w:cs="Times New Roman"/>
          <w:szCs w:val="24"/>
          <w:shd w:val="clear" w:color="auto" w:fill="FFFFFF"/>
        </w:rPr>
        <w:t>Valaskova, Durana, &amp; Adamko, 202</w:t>
      </w:r>
      <w:r w:rsidR="00665BFD" w:rsidRPr="00665BFD">
        <w:rPr>
          <w:rFonts w:cs="Times New Roman"/>
          <w:szCs w:val="24"/>
          <w:shd w:val="clear" w:color="auto" w:fill="FFFFFF"/>
        </w:rPr>
        <w:t>1</w:t>
      </w:r>
      <w:r w:rsidR="00CE155A" w:rsidRPr="00665BFD">
        <w:rPr>
          <w:rFonts w:cs="Times New Roman"/>
          <w:szCs w:val="24"/>
          <w:shd w:val="clear" w:color="auto" w:fill="FFFFFF"/>
        </w:rPr>
        <w:t>)</w:t>
      </w:r>
      <w:r w:rsidR="00B16945" w:rsidRPr="00665BFD">
        <w:rPr>
          <w:rFonts w:cs="Times New Roman"/>
          <w:szCs w:val="24"/>
        </w:rPr>
        <w:t xml:space="preserve">. Given the significance of consumer behaviour to market equilibrium, it is imperative for such large multinationals as Goodyear to understand price expectations. Goodyear embraces a premium pricing strategy for its tires due to a longstanding reputation for quality and </w:t>
      </w:r>
      <w:r w:rsidR="004D4AFB" w:rsidRPr="00665BFD">
        <w:rPr>
          <w:rFonts w:cs="Times New Roman"/>
          <w:szCs w:val="24"/>
        </w:rPr>
        <w:t xml:space="preserve">reliability. However, the company targets </w:t>
      </w:r>
      <w:r w:rsidR="0008390F" w:rsidRPr="00665BFD">
        <w:rPr>
          <w:rFonts w:cs="Times New Roman"/>
          <w:szCs w:val="24"/>
        </w:rPr>
        <w:t xml:space="preserve">and markets to </w:t>
      </w:r>
      <w:r w:rsidR="004D4AFB" w:rsidRPr="00665BFD">
        <w:rPr>
          <w:rFonts w:cs="Times New Roman"/>
          <w:szCs w:val="24"/>
        </w:rPr>
        <w:t xml:space="preserve">various consumer segments across the globe that have different price expectations. Since Goodyear faces stiff competition from substandard tires from the Asian market, its pricing strategy ought to be flexible to accommodate consumer expectations. </w:t>
      </w:r>
      <w:r w:rsidR="002939D2" w:rsidRPr="00665BFD">
        <w:rPr>
          <w:rFonts w:cs="Times New Roman"/>
          <w:szCs w:val="24"/>
        </w:rPr>
        <w:t>Since consumer expect prices of tires, complimentary products, and substitute products to drop, their demand for these products may be unstable</w:t>
      </w:r>
      <w:r w:rsidR="00B8750A" w:rsidRPr="00665BFD">
        <w:rPr>
          <w:rFonts w:cs="Times New Roman"/>
          <w:szCs w:val="24"/>
        </w:rPr>
        <w:t xml:space="preserve"> (</w:t>
      </w:r>
      <w:r w:rsidR="00B8750A" w:rsidRPr="00665BFD">
        <w:rPr>
          <w:rFonts w:cs="Times New Roman"/>
          <w:szCs w:val="24"/>
          <w:shd w:val="clear" w:color="auto" w:fill="FFFFFF"/>
        </w:rPr>
        <w:t>Ellickson, 2013)</w:t>
      </w:r>
      <w:r w:rsidR="002939D2" w:rsidRPr="00665BFD">
        <w:rPr>
          <w:rFonts w:cs="Times New Roman"/>
          <w:szCs w:val="24"/>
        </w:rPr>
        <w:t xml:space="preserve">. Consumers’ expectations of a potential drop in Goodyear tire prices may reduce demand and shift the market equilibrium against the company. </w:t>
      </w:r>
    </w:p>
    <w:p w14:paraId="27DA2960" w14:textId="77777777" w:rsidR="00AC676E" w:rsidRPr="00665BFD" w:rsidRDefault="00AC676E" w:rsidP="00527353">
      <w:pPr>
        <w:pStyle w:val="Heading2"/>
        <w:spacing w:line="480" w:lineRule="auto"/>
        <w:rPr>
          <w:rFonts w:cs="Times New Roman"/>
          <w:szCs w:val="24"/>
        </w:rPr>
      </w:pPr>
      <w:bookmarkStart w:id="7" w:name="_Toc133517816"/>
      <w:r w:rsidRPr="00665BFD">
        <w:rPr>
          <w:rFonts w:cs="Times New Roman"/>
          <w:szCs w:val="24"/>
        </w:rPr>
        <w:t>Demographics</w:t>
      </w:r>
      <w:bookmarkEnd w:id="7"/>
    </w:p>
    <w:p w14:paraId="77721F2A" w14:textId="0BCF40DA" w:rsidR="00AC676E" w:rsidRPr="00665BFD" w:rsidRDefault="00976DC7" w:rsidP="00527353">
      <w:pPr>
        <w:ind w:firstLine="720"/>
        <w:rPr>
          <w:rFonts w:cs="Times New Roman"/>
          <w:szCs w:val="24"/>
        </w:rPr>
      </w:pPr>
      <w:r w:rsidRPr="00665BFD">
        <w:rPr>
          <w:rFonts w:cs="Times New Roman"/>
          <w:szCs w:val="24"/>
        </w:rPr>
        <w:t xml:space="preserve">Demographics inform Goodyear tire demand and market equilibrium because it influences sociocultural factors that determine preferences and tastes. </w:t>
      </w:r>
      <w:r w:rsidR="009F2BBD" w:rsidRPr="00665BFD">
        <w:rPr>
          <w:rFonts w:cs="Times New Roman"/>
          <w:szCs w:val="24"/>
        </w:rPr>
        <w:t>By the fourth quarter of 2021</w:t>
      </w:r>
      <w:r w:rsidR="008B5267" w:rsidRPr="00665BFD">
        <w:rPr>
          <w:rFonts w:cs="Times New Roman"/>
          <w:szCs w:val="24"/>
        </w:rPr>
        <w:t>, the company’s customers had occasioned a 25% rise in the cost of revenue</w:t>
      </w:r>
      <w:r w:rsidR="009F2BBD" w:rsidRPr="00665BFD">
        <w:rPr>
          <w:rFonts w:cs="Times New Roman"/>
          <w:szCs w:val="24"/>
        </w:rPr>
        <w:t xml:space="preserve"> (</w:t>
      </w:r>
      <w:r w:rsidR="009F2BBD" w:rsidRPr="00665BFD">
        <w:rPr>
          <w:rFonts w:cs="Times New Roman"/>
          <w:szCs w:val="24"/>
          <w:shd w:val="clear" w:color="auto" w:fill="FFFFFF"/>
        </w:rPr>
        <w:t>Garz, Giné, Karlan, Mazer, Sanford, &amp; Zinman, 2021)</w:t>
      </w:r>
      <w:r w:rsidR="008B5267" w:rsidRPr="00665BFD">
        <w:rPr>
          <w:rFonts w:cs="Times New Roman"/>
          <w:szCs w:val="24"/>
        </w:rPr>
        <w:t xml:space="preserve">. The company sold over 26 million tires to its </w:t>
      </w:r>
      <w:r w:rsidR="00D56698" w:rsidRPr="00665BFD">
        <w:rPr>
          <w:rFonts w:cs="Times New Roman"/>
          <w:szCs w:val="24"/>
        </w:rPr>
        <w:t xml:space="preserve">8 million customers from across the globe. Since the number of </w:t>
      </w:r>
      <w:r w:rsidR="00873F24" w:rsidRPr="00665BFD">
        <w:rPr>
          <w:rFonts w:cs="Times New Roman"/>
          <w:szCs w:val="24"/>
        </w:rPr>
        <w:t xml:space="preserve">customers who </w:t>
      </w:r>
      <w:r w:rsidR="00D56698" w:rsidRPr="00665BFD">
        <w:rPr>
          <w:rFonts w:cs="Times New Roman"/>
          <w:szCs w:val="24"/>
        </w:rPr>
        <w:t>buy</w:t>
      </w:r>
      <w:r w:rsidR="00873F24" w:rsidRPr="00665BFD">
        <w:rPr>
          <w:rFonts w:cs="Times New Roman"/>
          <w:szCs w:val="24"/>
        </w:rPr>
        <w:t xml:space="preserve"> </w:t>
      </w:r>
      <w:r w:rsidR="00D56698" w:rsidRPr="00665BFD">
        <w:rPr>
          <w:rFonts w:cs="Times New Roman"/>
          <w:szCs w:val="24"/>
        </w:rPr>
        <w:t xml:space="preserve">cars is increasing due to affordability, the </w:t>
      </w:r>
      <w:r w:rsidR="00873F24" w:rsidRPr="00665BFD">
        <w:rPr>
          <w:rFonts w:cs="Times New Roman"/>
          <w:szCs w:val="24"/>
        </w:rPr>
        <w:t>demand for Goodyear products increases</w:t>
      </w:r>
      <w:r w:rsidR="00D56698" w:rsidRPr="00665BFD">
        <w:rPr>
          <w:rFonts w:cs="Times New Roman"/>
          <w:szCs w:val="24"/>
        </w:rPr>
        <w:t xml:space="preserve"> </w:t>
      </w:r>
      <w:r w:rsidR="00873F24" w:rsidRPr="00665BFD">
        <w:rPr>
          <w:rFonts w:cs="Times New Roman"/>
          <w:szCs w:val="24"/>
        </w:rPr>
        <w:t>accordingly</w:t>
      </w:r>
      <w:r w:rsidR="00D56698" w:rsidRPr="00665BFD">
        <w:rPr>
          <w:rFonts w:cs="Times New Roman"/>
          <w:szCs w:val="24"/>
        </w:rPr>
        <w:t xml:space="preserve">. Furthermore, the number of people who own cars increases every </w:t>
      </w:r>
      <w:r w:rsidR="00873F24" w:rsidRPr="00665BFD">
        <w:rPr>
          <w:rFonts w:cs="Times New Roman"/>
          <w:szCs w:val="24"/>
        </w:rPr>
        <w:t>year</w:t>
      </w:r>
      <w:r w:rsidR="00D56698" w:rsidRPr="00665BFD">
        <w:rPr>
          <w:rFonts w:cs="Times New Roman"/>
          <w:szCs w:val="24"/>
        </w:rPr>
        <w:t>, which leads to an expansion of Goodyear market base</w:t>
      </w:r>
      <w:r w:rsidR="001D1F9B" w:rsidRPr="00665BFD">
        <w:rPr>
          <w:rFonts w:cs="Times New Roman"/>
          <w:szCs w:val="24"/>
        </w:rPr>
        <w:t xml:space="preserve"> (</w:t>
      </w:r>
      <w:r w:rsidR="001D1F9B" w:rsidRPr="00665BFD">
        <w:rPr>
          <w:rFonts w:cs="Times New Roman"/>
          <w:szCs w:val="24"/>
          <w:shd w:val="clear" w:color="auto" w:fill="FFFFFF"/>
        </w:rPr>
        <w:t>Foot &amp; Gomez, 2014</w:t>
      </w:r>
      <w:r w:rsidR="00420483" w:rsidRPr="00665BFD">
        <w:rPr>
          <w:rFonts w:cs="Times New Roman"/>
          <w:szCs w:val="24"/>
          <w:shd w:val="clear" w:color="auto" w:fill="FFFFFF"/>
        </w:rPr>
        <w:t>; Aigner-Walder, 2015</w:t>
      </w:r>
      <w:r w:rsidR="001D1F9B" w:rsidRPr="00665BFD">
        <w:rPr>
          <w:rFonts w:cs="Times New Roman"/>
          <w:szCs w:val="24"/>
          <w:shd w:val="clear" w:color="auto" w:fill="FFFFFF"/>
        </w:rPr>
        <w:t>)</w:t>
      </w:r>
      <w:r w:rsidR="00D56698" w:rsidRPr="00665BFD">
        <w:rPr>
          <w:rFonts w:cs="Times New Roman"/>
          <w:szCs w:val="24"/>
        </w:rPr>
        <w:t xml:space="preserve">. The annual </w:t>
      </w:r>
      <w:r w:rsidR="00D56698" w:rsidRPr="00665BFD">
        <w:rPr>
          <w:rFonts w:cs="Times New Roman"/>
          <w:szCs w:val="24"/>
        </w:rPr>
        <w:lastRenderedPageBreak/>
        <w:t>increase in the number of customers who buy Goodyear tires affect the deman</w:t>
      </w:r>
      <w:r w:rsidR="00873F24" w:rsidRPr="00665BFD">
        <w:rPr>
          <w:rFonts w:cs="Times New Roman"/>
          <w:szCs w:val="24"/>
        </w:rPr>
        <w:t>d</w:t>
      </w:r>
      <w:r w:rsidR="00D56698" w:rsidRPr="00665BFD">
        <w:rPr>
          <w:rFonts w:cs="Times New Roman"/>
          <w:szCs w:val="24"/>
        </w:rPr>
        <w:t xml:space="preserve"> for such products positively. This increase shifts the market equilibrium in Goodyear’s favour </w:t>
      </w:r>
      <w:r w:rsidR="00873F24" w:rsidRPr="00665BFD">
        <w:rPr>
          <w:rFonts w:cs="Times New Roman"/>
          <w:szCs w:val="24"/>
        </w:rPr>
        <w:t xml:space="preserve">due to high demand. </w:t>
      </w:r>
    </w:p>
    <w:p w14:paraId="70227F8C" w14:textId="77777777" w:rsidR="00884166" w:rsidRPr="00665BFD" w:rsidRDefault="00884166" w:rsidP="00527353">
      <w:pPr>
        <w:pStyle w:val="Heading1"/>
        <w:spacing w:line="480" w:lineRule="auto"/>
        <w:rPr>
          <w:szCs w:val="24"/>
          <w:shd w:val="clear" w:color="auto" w:fill="FFFFFF"/>
        </w:rPr>
      </w:pPr>
      <w:bookmarkStart w:id="8" w:name="_Toc133517817"/>
      <w:r w:rsidRPr="00665BFD">
        <w:rPr>
          <w:szCs w:val="24"/>
        </w:rPr>
        <w:t>Demand Elasticity</w:t>
      </w:r>
      <w:bookmarkEnd w:id="8"/>
    </w:p>
    <w:p w14:paraId="76841046" w14:textId="23A231AF" w:rsidR="00416A0A" w:rsidRPr="00665BFD" w:rsidRDefault="00416A0A" w:rsidP="00527353">
      <w:pPr>
        <w:ind w:firstLine="720"/>
        <w:rPr>
          <w:rFonts w:cs="Times New Roman"/>
          <w:szCs w:val="24"/>
        </w:rPr>
      </w:pPr>
      <w:r w:rsidRPr="00665BFD">
        <w:rPr>
          <w:rFonts w:cs="Times New Roman"/>
          <w:szCs w:val="24"/>
        </w:rPr>
        <w:t xml:space="preserve">The price elasticity of demand for Goodyear tires depend on specific factors, as indicated in the company’s growth trajectory. Since vehicle tires are the primary product of </w:t>
      </w:r>
      <w:r w:rsidR="00411B90" w:rsidRPr="00665BFD">
        <w:rPr>
          <w:rFonts w:cs="Times New Roman"/>
          <w:szCs w:val="24"/>
        </w:rPr>
        <w:t>Goodyear</w:t>
      </w:r>
      <w:r w:rsidRPr="00665BFD">
        <w:rPr>
          <w:rFonts w:cs="Times New Roman"/>
          <w:szCs w:val="24"/>
        </w:rPr>
        <w:t>, the company’s pricing strategy is critical to its success because it influences demand substantially</w:t>
      </w:r>
      <w:r w:rsidR="00617AE5" w:rsidRPr="00665BFD">
        <w:rPr>
          <w:rFonts w:cs="Times New Roman"/>
          <w:szCs w:val="24"/>
        </w:rPr>
        <w:t xml:space="preserve"> (</w:t>
      </w:r>
      <w:r w:rsidR="00617AE5" w:rsidRPr="00665BFD">
        <w:rPr>
          <w:rFonts w:cs="Times New Roman"/>
          <w:szCs w:val="24"/>
          <w:shd w:val="clear" w:color="auto" w:fill="FFFFFF"/>
        </w:rPr>
        <w:t>Bagwell, 2005)</w:t>
      </w:r>
      <w:r w:rsidRPr="00665BFD">
        <w:rPr>
          <w:rFonts w:cs="Times New Roman"/>
          <w:szCs w:val="24"/>
        </w:rPr>
        <w:t xml:space="preserve">. The connection between demand and price of Goodyear tires helps in the determination of demand equilibrium. Accordingly, such factors as substitution effects and income effects are the two most fundamental factors that influence the price elasticity of demand. These factors determine where the demand for Goodyear tires is elastic or inelastic. Accordingly, this section explores these two factors of price elasticity of demand. This approach will involve the analysis of the elasticity of demand with reference to income effects and substitution effects. </w:t>
      </w:r>
    </w:p>
    <w:p w14:paraId="4371355B" w14:textId="77777777" w:rsidR="00873F24" w:rsidRPr="00665BFD" w:rsidRDefault="00D04A2D" w:rsidP="00527353">
      <w:pPr>
        <w:pStyle w:val="Heading2"/>
        <w:spacing w:line="480" w:lineRule="auto"/>
        <w:rPr>
          <w:rFonts w:cs="Times New Roman"/>
          <w:szCs w:val="24"/>
        </w:rPr>
      </w:pPr>
      <w:bookmarkStart w:id="9" w:name="_Toc133517818"/>
      <w:r w:rsidRPr="00665BFD">
        <w:rPr>
          <w:rFonts w:cs="Times New Roman"/>
          <w:szCs w:val="24"/>
        </w:rPr>
        <w:t>Substitution Effects</w:t>
      </w:r>
      <w:bookmarkEnd w:id="9"/>
    </w:p>
    <w:p w14:paraId="6918BB7F" w14:textId="45523114" w:rsidR="00460402" w:rsidRPr="00665BFD" w:rsidRDefault="00460402" w:rsidP="00527353">
      <w:pPr>
        <w:ind w:firstLine="720"/>
        <w:rPr>
          <w:rFonts w:cs="Times New Roman"/>
          <w:szCs w:val="24"/>
        </w:rPr>
      </w:pPr>
      <w:r w:rsidRPr="00665BFD">
        <w:rPr>
          <w:rFonts w:cs="Times New Roman"/>
          <w:szCs w:val="24"/>
        </w:rPr>
        <w:t>Substitution effects entail the availability of substitute products to Goodyear tires. Since Goodyear faces heightened competition for its tire product categories from various manufacturers, the substitution effect is valid. The demand for such products as Michelin, Pirelli, Bridgestone, and Continental depends on the</w:t>
      </w:r>
      <w:r w:rsidR="00565357" w:rsidRPr="00665BFD">
        <w:rPr>
          <w:rFonts w:cs="Times New Roman"/>
          <w:szCs w:val="24"/>
        </w:rPr>
        <w:t xml:space="preserve"> pricing strategy of Goodyear. According to </w:t>
      </w:r>
      <w:r w:rsidR="00565357" w:rsidRPr="00665BFD">
        <w:rPr>
          <w:rFonts w:cs="Times New Roman"/>
          <w:szCs w:val="24"/>
          <w:shd w:val="clear" w:color="auto" w:fill="FFFFFF"/>
        </w:rPr>
        <w:t>Aigner-Walder (2015)</w:t>
      </w:r>
      <w:r w:rsidR="00565357" w:rsidRPr="00665BFD">
        <w:rPr>
          <w:rFonts w:cs="Times New Roman"/>
          <w:szCs w:val="24"/>
        </w:rPr>
        <w:t>, t</w:t>
      </w:r>
      <w:r w:rsidRPr="00665BFD">
        <w:rPr>
          <w:rFonts w:cs="Times New Roman"/>
          <w:szCs w:val="24"/>
        </w:rPr>
        <w:t>hese substitute products offer competitive prices at the market, which influences consumer demand substantially. Substitution effects encompass the ease with which consumers perceive switching to substitute products</w:t>
      </w:r>
      <w:r w:rsidR="00565357" w:rsidRPr="00665BFD">
        <w:rPr>
          <w:rFonts w:cs="Times New Roman"/>
          <w:szCs w:val="24"/>
        </w:rPr>
        <w:t xml:space="preserve">. </w:t>
      </w:r>
      <w:r w:rsidRPr="00665BFD">
        <w:rPr>
          <w:rFonts w:cs="Times New Roman"/>
          <w:szCs w:val="24"/>
        </w:rPr>
        <w:t xml:space="preserve">However, it is critical to establish whether Goodyear product is a necessity or a luxury product, vis-a-vis substitute products. This approach is critical to the validation, or invalidation, of the company’s current pricing strategy, particularly in the contemporary market. </w:t>
      </w:r>
    </w:p>
    <w:p w14:paraId="74DDF65D" w14:textId="1E053C01" w:rsidR="00211FAB" w:rsidRPr="00665BFD" w:rsidRDefault="00211FAB" w:rsidP="00527353">
      <w:pPr>
        <w:ind w:firstLine="720"/>
        <w:rPr>
          <w:rFonts w:cs="Times New Roman"/>
          <w:szCs w:val="24"/>
        </w:rPr>
      </w:pPr>
      <w:r w:rsidRPr="00665BFD">
        <w:rPr>
          <w:rFonts w:cs="Times New Roman"/>
          <w:szCs w:val="24"/>
        </w:rPr>
        <w:lastRenderedPageBreak/>
        <w:t>Although some consumers view Goodyear tires as a necessity, a substantial proportion view the product as a luxury. Good year manufactures and sells quality tires at premium prices that are competitive. The company’s product quality and pricing are comparable to Michelin and Bridgestone</w:t>
      </w:r>
      <w:r w:rsidR="003E422B" w:rsidRPr="00665BFD">
        <w:rPr>
          <w:rFonts w:cs="Times New Roman"/>
          <w:szCs w:val="24"/>
        </w:rPr>
        <w:t xml:space="preserve"> (</w:t>
      </w:r>
      <w:r w:rsidR="003E422B" w:rsidRPr="00665BFD">
        <w:rPr>
          <w:rFonts w:cs="Times New Roman"/>
          <w:szCs w:val="24"/>
          <w:shd w:val="clear" w:color="auto" w:fill="FFFFFF"/>
        </w:rPr>
        <w:t>Goodyear</w:t>
      </w:r>
      <w:r w:rsidR="000C0A38" w:rsidRPr="00665BFD">
        <w:rPr>
          <w:rFonts w:cs="Times New Roman"/>
          <w:szCs w:val="24"/>
          <w:shd w:val="clear" w:color="auto" w:fill="FFFFFF"/>
        </w:rPr>
        <w:t xml:space="preserve">, </w:t>
      </w:r>
      <w:r w:rsidR="003E422B" w:rsidRPr="00665BFD">
        <w:rPr>
          <w:rFonts w:cs="Times New Roman"/>
          <w:szCs w:val="24"/>
          <w:shd w:val="clear" w:color="auto" w:fill="FFFFFF"/>
        </w:rPr>
        <w:t>2022)</w:t>
      </w:r>
      <w:r w:rsidRPr="00665BFD">
        <w:rPr>
          <w:rFonts w:cs="Times New Roman"/>
          <w:szCs w:val="24"/>
        </w:rPr>
        <w:t xml:space="preserve">. However, other industry players, such as Yokohama tires, offer similar products </w:t>
      </w:r>
      <w:r w:rsidR="003E422B" w:rsidRPr="00665BFD">
        <w:rPr>
          <w:rFonts w:cs="Times New Roman"/>
          <w:szCs w:val="24"/>
        </w:rPr>
        <w:t>are</w:t>
      </w:r>
      <w:r w:rsidRPr="00665BFD">
        <w:rPr>
          <w:rFonts w:cs="Times New Roman"/>
          <w:szCs w:val="24"/>
        </w:rPr>
        <w:t xml:space="preserve"> significantly lower price tags. The availability of cheap substitute products from Asian markets affects Goodyear’s demand equilibrium in African, South American, and Asian markets. It means that a premium product is a necessity in markets with high per capita incomes and dynamic consumer preferences</w:t>
      </w:r>
      <w:r w:rsidR="00617AE5" w:rsidRPr="00665BFD">
        <w:rPr>
          <w:rFonts w:cs="Times New Roman"/>
          <w:szCs w:val="24"/>
        </w:rPr>
        <w:t xml:space="preserve"> (</w:t>
      </w:r>
      <w:r w:rsidR="00617AE5" w:rsidRPr="00665BFD">
        <w:rPr>
          <w:rFonts w:cs="Times New Roman"/>
          <w:szCs w:val="24"/>
          <w:shd w:val="clear" w:color="auto" w:fill="FFFFFF"/>
        </w:rPr>
        <w:t>Gillingham et al., 2019)</w:t>
      </w:r>
      <w:r w:rsidRPr="00665BFD">
        <w:rPr>
          <w:rFonts w:cs="Times New Roman"/>
          <w:szCs w:val="24"/>
        </w:rPr>
        <w:t>. The Goodyear pricing strategy works effectively in North American and European markets. However, African and Asian markets consider Goodyear tires luxury products.</w:t>
      </w:r>
    </w:p>
    <w:p w14:paraId="024137F6" w14:textId="50C7B21F" w:rsidR="00D04A2D" w:rsidRPr="00665BFD" w:rsidRDefault="00211FAB" w:rsidP="00527353">
      <w:pPr>
        <w:ind w:firstLine="720"/>
        <w:rPr>
          <w:rFonts w:cs="Times New Roman"/>
          <w:szCs w:val="24"/>
        </w:rPr>
      </w:pPr>
      <w:r w:rsidRPr="00665BFD">
        <w:rPr>
          <w:rFonts w:cs="Times New Roman"/>
          <w:szCs w:val="24"/>
        </w:rPr>
        <w:t>The perception and categori</w:t>
      </w:r>
      <w:r w:rsidR="00665BFD" w:rsidRPr="00665BFD">
        <w:rPr>
          <w:rFonts w:cs="Times New Roman"/>
          <w:szCs w:val="24"/>
        </w:rPr>
        <w:t>s</w:t>
      </w:r>
      <w:r w:rsidRPr="00665BFD">
        <w:rPr>
          <w:rFonts w:cs="Times New Roman"/>
          <w:szCs w:val="24"/>
        </w:rPr>
        <w:t xml:space="preserve">ation of products into luxury and necessity influences the price elasticity of demand. </w:t>
      </w:r>
      <w:r w:rsidR="0092606F" w:rsidRPr="00665BFD">
        <w:rPr>
          <w:rFonts w:cs="Times New Roman"/>
          <w:szCs w:val="24"/>
        </w:rPr>
        <w:t>The categori</w:t>
      </w:r>
      <w:r w:rsidR="00665BFD" w:rsidRPr="00665BFD">
        <w:rPr>
          <w:rFonts w:cs="Times New Roman"/>
          <w:szCs w:val="24"/>
        </w:rPr>
        <w:t>s</w:t>
      </w:r>
      <w:r w:rsidR="0092606F" w:rsidRPr="00665BFD">
        <w:rPr>
          <w:rFonts w:cs="Times New Roman"/>
          <w:szCs w:val="24"/>
        </w:rPr>
        <w:t>ation of a product as premium, depending on the pricing strategy, influences consumer taste and preferences</w:t>
      </w:r>
      <w:r w:rsidR="00B8750A" w:rsidRPr="00665BFD">
        <w:rPr>
          <w:rFonts w:cs="Times New Roman"/>
          <w:szCs w:val="24"/>
        </w:rPr>
        <w:t xml:space="preserve"> (</w:t>
      </w:r>
      <w:r w:rsidR="00B8750A" w:rsidRPr="00665BFD">
        <w:rPr>
          <w:rFonts w:cs="Times New Roman"/>
          <w:szCs w:val="24"/>
          <w:shd w:val="clear" w:color="auto" w:fill="FFFFFF"/>
        </w:rPr>
        <w:t>Ellickson, 2013)</w:t>
      </w:r>
      <w:r w:rsidR="0092606F" w:rsidRPr="00665BFD">
        <w:rPr>
          <w:rFonts w:cs="Times New Roman"/>
          <w:szCs w:val="24"/>
        </w:rPr>
        <w:t xml:space="preserve">. This perception, in turn, affects the demand for the product. For instance, some consumers consider Goodyear tires as premium products, which </w:t>
      </w:r>
      <w:r w:rsidR="00DA620B" w:rsidRPr="00665BFD">
        <w:rPr>
          <w:rFonts w:cs="Times New Roman"/>
          <w:szCs w:val="24"/>
        </w:rPr>
        <w:t>reduce</w:t>
      </w:r>
      <w:r w:rsidR="0092606F" w:rsidRPr="00665BFD">
        <w:rPr>
          <w:rFonts w:cs="Times New Roman"/>
          <w:szCs w:val="24"/>
        </w:rPr>
        <w:t xml:space="preserve"> the demand for the product in specific markets. </w:t>
      </w:r>
      <w:r w:rsidR="00DA620B" w:rsidRPr="00665BFD">
        <w:rPr>
          <w:rFonts w:cs="Times New Roman"/>
          <w:szCs w:val="24"/>
        </w:rPr>
        <w:t>Mo</w:t>
      </w:r>
      <w:r w:rsidR="0092606F" w:rsidRPr="00665BFD">
        <w:rPr>
          <w:rFonts w:cs="Times New Roman"/>
          <w:szCs w:val="24"/>
        </w:rPr>
        <w:t xml:space="preserve">re than 60% of Goodyear customers consider Goodyear tires as necessity because of safety and </w:t>
      </w:r>
      <w:r w:rsidR="00DA620B" w:rsidRPr="00665BFD">
        <w:rPr>
          <w:rFonts w:cs="Times New Roman"/>
          <w:szCs w:val="24"/>
        </w:rPr>
        <w:t xml:space="preserve">reliability. Changes in prices of Goodyear tires do not have a substantial impact on the demand for the product. Accordingly, the demand for Goodyear products is inelastic in the Western world, where the company enjoys 25% market share. </w:t>
      </w:r>
    </w:p>
    <w:p w14:paraId="1B0C9AAE" w14:textId="77777777" w:rsidR="00D04A2D" w:rsidRPr="00665BFD" w:rsidRDefault="00D04A2D" w:rsidP="00527353">
      <w:pPr>
        <w:pStyle w:val="Heading2"/>
        <w:spacing w:line="480" w:lineRule="auto"/>
        <w:rPr>
          <w:rFonts w:cs="Times New Roman"/>
          <w:szCs w:val="24"/>
        </w:rPr>
      </w:pPr>
      <w:bookmarkStart w:id="10" w:name="_Toc133517819"/>
      <w:r w:rsidRPr="00665BFD">
        <w:rPr>
          <w:rFonts w:cs="Times New Roman"/>
          <w:szCs w:val="24"/>
        </w:rPr>
        <w:t>Income Effects</w:t>
      </w:r>
      <w:bookmarkEnd w:id="10"/>
    </w:p>
    <w:p w14:paraId="4D96D589" w14:textId="7F22F61A" w:rsidR="00760D3D" w:rsidRPr="00665BFD" w:rsidRDefault="00D6274A" w:rsidP="00527353">
      <w:pPr>
        <w:ind w:firstLine="720"/>
        <w:rPr>
          <w:rFonts w:cs="Times New Roman"/>
          <w:szCs w:val="24"/>
        </w:rPr>
      </w:pPr>
      <w:r w:rsidRPr="00665BFD">
        <w:rPr>
          <w:rFonts w:cs="Times New Roman"/>
          <w:szCs w:val="24"/>
        </w:rPr>
        <w:t>Income effects influence the price elasticity of demand</w:t>
      </w:r>
      <w:r w:rsidR="001335F4" w:rsidRPr="00665BFD">
        <w:rPr>
          <w:rFonts w:cs="Times New Roman"/>
          <w:szCs w:val="24"/>
        </w:rPr>
        <w:t xml:space="preserve"> because it influences consumer tastes and preferences. Consumer income effects are the aspects that determine the affordability, desire, and sustainability of specific goods</w:t>
      </w:r>
      <w:r w:rsidR="000C0A38" w:rsidRPr="00665BFD">
        <w:rPr>
          <w:rFonts w:cs="Times New Roman"/>
          <w:szCs w:val="24"/>
        </w:rPr>
        <w:t xml:space="preserve"> (</w:t>
      </w:r>
      <w:r w:rsidR="000C0A38" w:rsidRPr="00665BFD">
        <w:rPr>
          <w:rFonts w:cs="Times New Roman"/>
          <w:szCs w:val="24"/>
          <w:shd w:val="clear" w:color="auto" w:fill="FFFFFF"/>
        </w:rPr>
        <w:t>Aigner-Walder, 2015)</w:t>
      </w:r>
      <w:r w:rsidR="001335F4" w:rsidRPr="00665BFD">
        <w:rPr>
          <w:rFonts w:cs="Times New Roman"/>
          <w:szCs w:val="24"/>
        </w:rPr>
        <w:t xml:space="preserve">. Since Goodyear tires are available globally, consumer effects for the product encompass the capacity of consumers to buy </w:t>
      </w:r>
      <w:r w:rsidR="001335F4" w:rsidRPr="00665BFD">
        <w:rPr>
          <w:rFonts w:cs="Times New Roman"/>
          <w:szCs w:val="24"/>
        </w:rPr>
        <w:lastRenderedPageBreak/>
        <w:t xml:space="preserve">such products regularly and fulfil their needs. </w:t>
      </w:r>
      <w:r w:rsidR="00760D3D" w:rsidRPr="00665BFD">
        <w:rPr>
          <w:rFonts w:cs="Times New Roman"/>
          <w:szCs w:val="24"/>
        </w:rPr>
        <w:t xml:space="preserve">The annual consume income in Goodyear’s markets influences consumer tendencies, based on current pricing policies. Since Goodyear embraces the premium pricing strategy, the American multinational targets middle and high income market segments. </w:t>
      </w:r>
    </w:p>
    <w:p w14:paraId="2E8ACED3" w14:textId="562A9FDE" w:rsidR="00D04A2D" w:rsidRPr="00665BFD" w:rsidRDefault="00760D3D" w:rsidP="00527353">
      <w:pPr>
        <w:ind w:firstLine="720"/>
        <w:rPr>
          <w:rFonts w:cs="Times New Roman"/>
          <w:szCs w:val="24"/>
        </w:rPr>
      </w:pPr>
      <w:r w:rsidRPr="00665BFD">
        <w:rPr>
          <w:rFonts w:cs="Times New Roman"/>
          <w:szCs w:val="24"/>
        </w:rPr>
        <w:t>The global income inequality affects</w:t>
      </w:r>
      <w:r w:rsidR="0031496D" w:rsidRPr="00665BFD">
        <w:rPr>
          <w:rFonts w:cs="Times New Roman"/>
          <w:szCs w:val="24"/>
        </w:rPr>
        <w:t xml:space="preserve"> the demand equilibrium for Goodyear tires because of the company’s marketing strategy. The global purchasing power parity, which results from income, is critical to establishing potential markets. Since the global income stands at over $20,000, </w:t>
      </w:r>
      <w:r w:rsidR="00DC7598" w:rsidRPr="00665BFD">
        <w:rPr>
          <w:rFonts w:cs="Times New Roman"/>
          <w:szCs w:val="24"/>
        </w:rPr>
        <w:t>Goodyear expects the demand for its products to be more in developed countries than in developing countries</w:t>
      </w:r>
      <w:r w:rsidR="003E422B" w:rsidRPr="00665BFD">
        <w:rPr>
          <w:rFonts w:cs="Times New Roman"/>
          <w:szCs w:val="24"/>
        </w:rPr>
        <w:t xml:space="preserve"> (</w:t>
      </w:r>
      <w:r w:rsidR="003E422B" w:rsidRPr="00665BFD">
        <w:rPr>
          <w:rFonts w:cs="Times New Roman"/>
          <w:szCs w:val="24"/>
          <w:shd w:val="clear" w:color="auto" w:fill="FFFFFF"/>
        </w:rPr>
        <w:t>Goodyear</w:t>
      </w:r>
      <w:r w:rsidR="000C0A38" w:rsidRPr="00665BFD">
        <w:rPr>
          <w:rFonts w:cs="Times New Roman"/>
          <w:szCs w:val="24"/>
          <w:shd w:val="clear" w:color="auto" w:fill="FFFFFF"/>
        </w:rPr>
        <w:t>,</w:t>
      </w:r>
      <w:r w:rsidR="003E422B" w:rsidRPr="00665BFD">
        <w:rPr>
          <w:rFonts w:cs="Times New Roman"/>
          <w:szCs w:val="24"/>
          <w:shd w:val="clear" w:color="auto" w:fill="FFFFFF"/>
        </w:rPr>
        <w:t xml:space="preserve"> 2022)</w:t>
      </w:r>
      <w:r w:rsidR="00DC7598" w:rsidRPr="00665BFD">
        <w:rPr>
          <w:rFonts w:cs="Times New Roman"/>
          <w:szCs w:val="24"/>
        </w:rPr>
        <w:t>. The purchase of cars and Goodyear tires represents a small fraction of consumers’ incomes. Since 70% of people who purchase Goodyear premium tires have considerably prices vehicles, their purchases reflect a small proportion of their annual incomes</w:t>
      </w:r>
      <w:r w:rsidR="00420483" w:rsidRPr="00665BFD">
        <w:rPr>
          <w:rFonts w:cs="Times New Roman"/>
          <w:szCs w:val="24"/>
        </w:rPr>
        <w:t xml:space="preserve"> (Foot &amp; Gomez, 2006)</w:t>
      </w:r>
      <w:r w:rsidR="00DC7598" w:rsidRPr="00665BFD">
        <w:rPr>
          <w:rFonts w:cs="Times New Roman"/>
          <w:szCs w:val="24"/>
        </w:rPr>
        <w:t xml:space="preserve">. It means that Goodyear pricing strategy and price fluctuations do not affect the demand for its products. </w:t>
      </w:r>
      <w:r w:rsidR="00C57A05" w:rsidRPr="00665BFD">
        <w:rPr>
          <w:rFonts w:cs="Times New Roman"/>
          <w:szCs w:val="24"/>
        </w:rPr>
        <w:t xml:space="preserve">Accordingly, </w:t>
      </w:r>
      <w:r w:rsidR="00B77AEE" w:rsidRPr="00665BFD">
        <w:rPr>
          <w:rFonts w:cs="Times New Roman"/>
          <w:szCs w:val="24"/>
        </w:rPr>
        <w:t>the insignificant impact of price on consumer behaviour, due to consumer income, makes the demand for Goodyear tires inelastic. Inelastic demand implies the demand that stays consistent throughout fluctuations in such factors as prices and consumer incomes.</w:t>
      </w:r>
    </w:p>
    <w:p w14:paraId="1E2D3744" w14:textId="77777777" w:rsidR="00D04A2D" w:rsidRPr="00665BFD" w:rsidRDefault="00D04A2D" w:rsidP="00527353">
      <w:pPr>
        <w:pStyle w:val="Heading2"/>
        <w:spacing w:line="480" w:lineRule="auto"/>
        <w:rPr>
          <w:rFonts w:cs="Times New Roman"/>
          <w:szCs w:val="24"/>
        </w:rPr>
      </w:pPr>
      <w:bookmarkStart w:id="11" w:name="_Toc133517820"/>
      <w:r w:rsidRPr="00665BFD">
        <w:rPr>
          <w:rFonts w:cs="Times New Roman"/>
          <w:szCs w:val="24"/>
        </w:rPr>
        <w:t>Recommended Pricing Strategy</w:t>
      </w:r>
      <w:bookmarkEnd w:id="11"/>
    </w:p>
    <w:p w14:paraId="47ADF189" w14:textId="5BA4BEDC" w:rsidR="00411B90" w:rsidRPr="00665BFD" w:rsidRDefault="00E93BAF" w:rsidP="00527353">
      <w:pPr>
        <w:ind w:firstLine="720"/>
        <w:rPr>
          <w:rFonts w:cs="Times New Roman"/>
          <w:szCs w:val="24"/>
        </w:rPr>
      </w:pPr>
      <w:r w:rsidRPr="00665BFD">
        <w:rPr>
          <w:rFonts w:cs="Times New Roman"/>
          <w:szCs w:val="24"/>
        </w:rPr>
        <w:t xml:space="preserve">Given the analysis of Goodyear’s demand equilibrium and elasticity, the company </w:t>
      </w:r>
      <w:r w:rsidR="00BD5E28" w:rsidRPr="00665BFD">
        <w:rPr>
          <w:rFonts w:cs="Times New Roman"/>
          <w:szCs w:val="24"/>
        </w:rPr>
        <w:t>ought to</w:t>
      </w:r>
      <w:r w:rsidRPr="00665BFD">
        <w:rPr>
          <w:rFonts w:cs="Times New Roman"/>
          <w:szCs w:val="24"/>
        </w:rPr>
        <w:t xml:space="preserve"> </w:t>
      </w:r>
      <w:r w:rsidR="00BD5E28" w:rsidRPr="00665BFD">
        <w:rPr>
          <w:rFonts w:cs="Times New Roman"/>
          <w:szCs w:val="24"/>
        </w:rPr>
        <w:t>employ</w:t>
      </w:r>
      <w:r w:rsidRPr="00665BFD">
        <w:rPr>
          <w:rFonts w:cs="Times New Roman"/>
          <w:szCs w:val="24"/>
        </w:rPr>
        <w:t xml:space="preserve"> the competition-based pricing policy. The company currently adopts the premium pricing policy, which entails setting premium prices for its quality products, based on its strong brand and reliability of its products</w:t>
      </w:r>
      <w:r w:rsidR="00617AE5" w:rsidRPr="00665BFD">
        <w:rPr>
          <w:rFonts w:cs="Times New Roman"/>
          <w:szCs w:val="24"/>
        </w:rPr>
        <w:t xml:space="preserve"> (</w:t>
      </w:r>
      <w:r w:rsidR="00617AE5" w:rsidRPr="00665BFD">
        <w:rPr>
          <w:rFonts w:cs="Times New Roman"/>
          <w:szCs w:val="24"/>
          <w:shd w:val="clear" w:color="auto" w:fill="FFFFFF"/>
        </w:rPr>
        <w:t>Gillingham et al., 2019)</w:t>
      </w:r>
      <w:r w:rsidRPr="00665BFD">
        <w:rPr>
          <w:rFonts w:cs="Times New Roman"/>
          <w:szCs w:val="24"/>
        </w:rPr>
        <w:t xml:space="preserve">. </w:t>
      </w:r>
      <w:r w:rsidR="00EB5847" w:rsidRPr="00665BFD">
        <w:rPr>
          <w:rFonts w:cs="Times New Roman"/>
          <w:szCs w:val="24"/>
        </w:rPr>
        <w:t>However, the competition-based strategy considers the market price range as a basis for setting prices for specific products and services. Goodyear can set the price of its tires based on prices that its competitors face</w:t>
      </w:r>
      <w:r w:rsidR="00823287" w:rsidRPr="00665BFD">
        <w:rPr>
          <w:rFonts w:cs="Times New Roman"/>
          <w:szCs w:val="24"/>
        </w:rPr>
        <w:t xml:space="preserve"> (</w:t>
      </w:r>
      <w:r w:rsidR="00823287" w:rsidRPr="00665BFD">
        <w:rPr>
          <w:rFonts w:cs="Times New Roman"/>
          <w:szCs w:val="24"/>
          <w:shd w:val="clear" w:color="auto" w:fill="FFFFFF"/>
        </w:rPr>
        <w:t>Rasti-Barzoki &amp; Moon, 2020)</w:t>
      </w:r>
      <w:r w:rsidR="00EB5847" w:rsidRPr="00665BFD">
        <w:rPr>
          <w:rFonts w:cs="Times New Roman"/>
          <w:szCs w:val="24"/>
        </w:rPr>
        <w:t>. The primar</w:t>
      </w:r>
      <w:r w:rsidR="00BF7C82" w:rsidRPr="00665BFD">
        <w:rPr>
          <w:rFonts w:cs="Times New Roman"/>
          <w:szCs w:val="24"/>
        </w:rPr>
        <w:t>y drawback of premium pricing i</w:t>
      </w:r>
      <w:r w:rsidR="00EB5847" w:rsidRPr="00665BFD">
        <w:rPr>
          <w:rFonts w:cs="Times New Roman"/>
          <w:szCs w:val="24"/>
        </w:rPr>
        <w:t xml:space="preserve">s that it assumes high price </w:t>
      </w:r>
      <w:r w:rsidR="00EB5847" w:rsidRPr="00665BFD">
        <w:rPr>
          <w:rFonts w:cs="Times New Roman"/>
          <w:szCs w:val="24"/>
        </w:rPr>
        <w:lastRenderedPageBreak/>
        <w:t>tags for across Goodyear’s product range. However, competition-based pricing will set high prices for premium tires and market-specific prices for regular tires. This approach will enhance the demand for Goodyear tires across demographic and income profiles, especially in the developing world.</w:t>
      </w:r>
    </w:p>
    <w:p w14:paraId="7717F9B2" w14:textId="77777777" w:rsidR="00411B90" w:rsidRPr="00665BFD" w:rsidRDefault="00411B90" w:rsidP="00527353">
      <w:pPr>
        <w:rPr>
          <w:rFonts w:cs="Times New Roman"/>
          <w:szCs w:val="24"/>
        </w:rPr>
      </w:pPr>
      <w:r w:rsidRPr="00665BFD">
        <w:rPr>
          <w:rFonts w:cs="Times New Roman"/>
          <w:szCs w:val="24"/>
        </w:rPr>
        <w:br w:type="page"/>
      </w:r>
    </w:p>
    <w:p w14:paraId="6DD31533" w14:textId="77777777" w:rsidR="00D04A2D" w:rsidRPr="00665BFD" w:rsidRDefault="00D04A2D" w:rsidP="00527353">
      <w:pPr>
        <w:ind w:firstLine="720"/>
        <w:rPr>
          <w:rFonts w:cs="Times New Roman"/>
          <w:szCs w:val="24"/>
        </w:rPr>
      </w:pPr>
    </w:p>
    <w:p w14:paraId="55E14953" w14:textId="62F3AB16" w:rsidR="00C61FD5" w:rsidRPr="00665BFD" w:rsidRDefault="00C61FD5" w:rsidP="00527353">
      <w:pPr>
        <w:pStyle w:val="Heading1"/>
        <w:spacing w:line="480" w:lineRule="auto"/>
        <w:rPr>
          <w:szCs w:val="24"/>
        </w:rPr>
      </w:pPr>
      <w:bookmarkStart w:id="12" w:name="_Toc133517821"/>
      <w:r w:rsidRPr="00665BFD">
        <w:rPr>
          <w:szCs w:val="24"/>
        </w:rPr>
        <w:t>References</w:t>
      </w:r>
      <w:r w:rsidR="00665BFD" w:rsidRPr="00665BFD">
        <w:rPr>
          <w:szCs w:val="24"/>
        </w:rPr>
        <w:t xml:space="preserve"> List</w:t>
      </w:r>
      <w:bookmarkEnd w:id="12"/>
      <w:r w:rsidR="00665BFD" w:rsidRPr="00665BFD">
        <w:rPr>
          <w:szCs w:val="24"/>
        </w:rPr>
        <w:t xml:space="preserve"> </w:t>
      </w:r>
    </w:p>
    <w:p w14:paraId="3EC6E279"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Aigner-Walder, B., 2015. Effects of the Demographic Changes on Private Consumption: An Almost Ideal Demand System Analysis for Austria. </w:t>
      </w:r>
      <w:r w:rsidRPr="00665BFD">
        <w:rPr>
          <w:rFonts w:cs="Times New Roman"/>
          <w:i/>
          <w:iCs/>
          <w:szCs w:val="24"/>
          <w:shd w:val="clear" w:color="auto" w:fill="FFFFFF"/>
        </w:rPr>
        <w:t>Journal of Economic &amp; Social Studies (JECOSS)</w:t>
      </w:r>
      <w:r w:rsidRPr="00665BFD">
        <w:rPr>
          <w:rFonts w:cs="Times New Roman"/>
          <w:szCs w:val="24"/>
          <w:shd w:val="clear" w:color="auto" w:fill="FFFFFF"/>
        </w:rPr>
        <w:t>, </w:t>
      </w:r>
      <w:r w:rsidRPr="00665BFD">
        <w:rPr>
          <w:rFonts w:cs="Times New Roman"/>
          <w:i/>
          <w:iCs/>
          <w:szCs w:val="24"/>
          <w:shd w:val="clear" w:color="auto" w:fill="FFFFFF"/>
        </w:rPr>
        <w:t>5</w:t>
      </w:r>
      <w:r w:rsidR="000C0A38" w:rsidRPr="00665BFD">
        <w:rPr>
          <w:rFonts w:cs="Times New Roman"/>
          <w:szCs w:val="24"/>
          <w:shd w:val="clear" w:color="auto" w:fill="FFFFFF"/>
        </w:rPr>
        <w:t>(1). p</w:t>
      </w:r>
      <w:r w:rsidRPr="00665BFD">
        <w:rPr>
          <w:rFonts w:cs="Times New Roman"/>
          <w:szCs w:val="24"/>
          <w:shd w:val="clear" w:color="auto" w:fill="FFFFFF"/>
        </w:rPr>
        <w:t>p. 33-51.</w:t>
      </w:r>
    </w:p>
    <w:p w14:paraId="6EEB1651"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Bagwell, K., 2005. The economic analysis of advertising. </w:t>
      </w:r>
      <w:r w:rsidRPr="00665BFD">
        <w:rPr>
          <w:rFonts w:cs="Times New Roman"/>
          <w:i/>
          <w:iCs/>
          <w:szCs w:val="24"/>
          <w:shd w:val="clear" w:color="auto" w:fill="FFFFFF"/>
        </w:rPr>
        <w:t>Columbia University</w:t>
      </w:r>
      <w:r w:rsidRPr="00665BFD">
        <w:rPr>
          <w:rFonts w:cs="Times New Roman"/>
          <w:szCs w:val="24"/>
          <w:shd w:val="clear" w:color="auto" w:fill="FFFFFF"/>
        </w:rPr>
        <w:t>, </w:t>
      </w:r>
      <w:r w:rsidRPr="00665BFD">
        <w:rPr>
          <w:rFonts w:cs="Times New Roman"/>
          <w:i/>
          <w:szCs w:val="24"/>
        </w:rPr>
        <w:t>Discussion Paper No: 0506-01</w:t>
      </w:r>
      <w:r w:rsidRPr="00665BFD">
        <w:rPr>
          <w:rFonts w:cs="Times New Roman"/>
          <w:szCs w:val="24"/>
          <w:shd w:val="clear" w:color="auto" w:fill="FFFFFF"/>
        </w:rPr>
        <w:t>, pp.</w:t>
      </w:r>
      <w:r w:rsidR="000C0A38" w:rsidRPr="00665BFD">
        <w:rPr>
          <w:rFonts w:cs="Times New Roman"/>
          <w:szCs w:val="24"/>
          <w:shd w:val="clear" w:color="auto" w:fill="FFFFFF"/>
        </w:rPr>
        <w:t xml:space="preserve"> </w:t>
      </w:r>
      <w:r w:rsidRPr="00665BFD">
        <w:rPr>
          <w:rFonts w:cs="Times New Roman"/>
          <w:szCs w:val="24"/>
          <w:shd w:val="clear" w:color="auto" w:fill="FFFFFF"/>
        </w:rPr>
        <w:t>1701-1844.</w:t>
      </w:r>
    </w:p>
    <w:p w14:paraId="4BC423E0"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Baker, J.B., 2002. Competitive Price Discrimination: The Exercise of Market Power without Anticompetitive Effects. </w:t>
      </w:r>
      <w:r w:rsidRPr="00665BFD">
        <w:rPr>
          <w:rFonts w:cs="Times New Roman"/>
          <w:i/>
          <w:iCs/>
          <w:szCs w:val="24"/>
          <w:shd w:val="clear" w:color="auto" w:fill="FFFFFF"/>
        </w:rPr>
        <w:t>Antitrust Law Journal</w:t>
      </w:r>
      <w:r w:rsidRPr="00665BFD">
        <w:rPr>
          <w:rFonts w:cs="Times New Roman"/>
          <w:szCs w:val="24"/>
          <w:shd w:val="clear" w:color="auto" w:fill="FFFFFF"/>
        </w:rPr>
        <w:t xml:space="preserve">, </w:t>
      </w:r>
      <w:r w:rsidRPr="00665BFD">
        <w:rPr>
          <w:rFonts w:cs="Times New Roman"/>
          <w:i/>
          <w:iCs/>
          <w:szCs w:val="24"/>
          <w:shd w:val="clear" w:color="auto" w:fill="FFFFFF"/>
        </w:rPr>
        <w:t>70</w:t>
      </w:r>
      <w:r w:rsidRPr="00665BFD">
        <w:rPr>
          <w:rFonts w:cs="Times New Roman"/>
          <w:iCs/>
          <w:szCs w:val="24"/>
          <w:shd w:val="clear" w:color="auto" w:fill="FFFFFF"/>
        </w:rPr>
        <w:t>(3)</w:t>
      </w:r>
      <w:r w:rsidRPr="00665BFD">
        <w:rPr>
          <w:rFonts w:cs="Times New Roman"/>
          <w:szCs w:val="24"/>
          <w:shd w:val="clear" w:color="auto" w:fill="FFFFFF"/>
        </w:rPr>
        <w:t>, p. 643-654.</w:t>
      </w:r>
    </w:p>
    <w:p w14:paraId="3EA12B5B" w14:textId="77777777" w:rsidR="00617AE5" w:rsidRPr="00665BFD" w:rsidRDefault="00617AE5" w:rsidP="00527353">
      <w:pPr>
        <w:ind w:left="720" w:hanging="720"/>
        <w:rPr>
          <w:rFonts w:cs="Times New Roman"/>
          <w:szCs w:val="24"/>
        </w:rPr>
      </w:pPr>
      <w:r w:rsidRPr="00665BFD">
        <w:rPr>
          <w:rFonts w:cs="Times New Roman"/>
          <w:szCs w:val="24"/>
          <w:shd w:val="clear" w:color="auto" w:fill="FFFFFF"/>
        </w:rPr>
        <w:t>Bansal, P. and Dua, R., 2022. Fuel consumption elasticities, rebound effect and feebate effectiveness in the Indian and Chinese new car markets. </w:t>
      </w:r>
      <w:r w:rsidRPr="00665BFD">
        <w:rPr>
          <w:rFonts w:cs="Times New Roman"/>
          <w:i/>
          <w:iCs/>
          <w:szCs w:val="24"/>
          <w:shd w:val="clear" w:color="auto" w:fill="FFFFFF"/>
        </w:rPr>
        <w:t>Energy Economics</w:t>
      </w:r>
      <w:r w:rsidRPr="00665BFD">
        <w:rPr>
          <w:rFonts w:cs="Times New Roman"/>
          <w:szCs w:val="24"/>
          <w:shd w:val="clear" w:color="auto" w:fill="FFFFFF"/>
        </w:rPr>
        <w:t>, </w:t>
      </w:r>
      <w:r w:rsidRPr="00665BFD">
        <w:rPr>
          <w:rFonts w:cs="Times New Roman"/>
          <w:i/>
          <w:iCs/>
          <w:szCs w:val="24"/>
          <w:shd w:val="clear" w:color="auto" w:fill="FFFFFF"/>
        </w:rPr>
        <w:t>113</w:t>
      </w:r>
      <w:r w:rsidRPr="00665BFD">
        <w:rPr>
          <w:rFonts w:cs="Times New Roman"/>
          <w:szCs w:val="24"/>
          <w:shd w:val="clear" w:color="auto" w:fill="FFFFFF"/>
        </w:rPr>
        <w:t>, p.</w:t>
      </w:r>
      <w:r w:rsidR="000C0A38" w:rsidRPr="00665BFD">
        <w:rPr>
          <w:rFonts w:cs="Times New Roman"/>
          <w:szCs w:val="24"/>
          <w:shd w:val="clear" w:color="auto" w:fill="FFFFFF"/>
        </w:rPr>
        <w:t xml:space="preserve"> </w:t>
      </w:r>
      <w:r w:rsidRPr="00665BFD">
        <w:rPr>
          <w:rFonts w:cs="Times New Roman"/>
          <w:szCs w:val="24"/>
          <w:shd w:val="clear" w:color="auto" w:fill="FFFFFF"/>
        </w:rPr>
        <w:t>106192.</w:t>
      </w:r>
      <w:r w:rsidRPr="00665BFD">
        <w:rPr>
          <w:rFonts w:cs="Times New Roman"/>
          <w:szCs w:val="24"/>
        </w:rPr>
        <w:t xml:space="preserve"> </w:t>
      </w:r>
    </w:p>
    <w:p w14:paraId="480919E0"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Ellickson, P.B., 2013. Market structure and performance. </w:t>
      </w:r>
      <w:r w:rsidRPr="00665BFD">
        <w:rPr>
          <w:rFonts w:cs="Times New Roman"/>
          <w:i/>
          <w:iCs/>
          <w:szCs w:val="24"/>
          <w:shd w:val="clear" w:color="auto" w:fill="FFFFFF"/>
        </w:rPr>
        <w:t>International Encyclopedia of the Social and Behavioral Sciences,</w:t>
      </w:r>
      <w:r w:rsidRPr="00665BFD">
        <w:rPr>
          <w:rFonts w:cs="Times New Roman"/>
          <w:szCs w:val="24"/>
          <w:shd w:val="clear" w:color="auto" w:fill="FFFFFF"/>
        </w:rPr>
        <w:t> </w:t>
      </w:r>
      <w:r w:rsidRPr="00665BFD">
        <w:rPr>
          <w:rFonts w:cs="Times New Roman"/>
          <w:i/>
          <w:iCs/>
          <w:szCs w:val="24"/>
          <w:shd w:val="clear" w:color="auto" w:fill="FFFFFF"/>
        </w:rPr>
        <w:t>14</w:t>
      </w:r>
      <w:r w:rsidRPr="00665BFD">
        <w:rPr>
          <w:rFonts w:cs="Times New Roman"/>
          <w:szCs w:val="24"/>
          <w:shd w:val="clear" w:color="auto" w:fill="FFFFFF"/>
        </w:rPr>
        <w:t>, pp. 9211-9216.</w:t>
      </w:r>
    </w:p>
    <w:p w14:paraId="20327BB8" w14:textId="77777777" w:rsidR="00617AE5" w:rsidRPr="00665BFD" w:rsidRDefault="00617AE5" w:rsidP="00527353">
      <w:pPr>
        <w:ind w:left="720" w:hanging="720"/>
        <w:rPr>
          <w:rFonts w:cs="Times New Roman"/>
          <w:szCs w:val="24"/>
        </w:rPr>
      </w:pPr>
      <w:r w:rsidRPr="00665BFD">
        <w:rPr>
          <w:rFonts w:cs="Times New Roman"/>
          <w:szCs w:val="24"/>
        </w:rPr>
        <w:t xml:space="preserve">Foot, D. and Gomez, R. (2006) Population aging and sectorial growth: the case study of the UK, 2006- 2026. OJBE, 5:1 </w:t>
      </w:r>
    </w:p>
    <w:p w14:paraId="4BC11769"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Foot, D.K. and Gomez, R., 2014. Population ageing and sectoral growth: The case of the UK, 2006-2026. </w:t>
      </w:r>
      <w:r w:rsidRPr="00665BFD">
        <w:rPr>
          <w:rFonts w:cs="Times New Roman"/>
          <w:i/>
          <w:iCs/>
          <w:szCs w:val="24"/>
          <w:shd w:val="clear" w:color="auto" w:fill="FFFFFF"/>
        </w:rPr>
        <w:t>Oxford Journal: An International Journal of Business &amp; Economics</w:t>
      </w:r>
      <w:r w:rsidRPr="00665BFD">
        <w:rPr>
          <w:rFonts w:cs="Times New Roman"/>
          <w:szCs w:val="24"/>
          <w:shd w:val="clear" w:color="auto" w:fill="FFFFFF"/>
        </w:rPr>
        <w:t>, </w:t>
      </w:r>
      <w:r w:rsidRPr="00665BFD">
        <w:rPr>
          <w:rFonts w:cs="Times New Roman"/>
          <w:i/>
          <w:iCs/>
          <w:szCs w:val="24"/>
          <w:shd w:val="clear" w:color="auto" w:fill="FFFFFF"/>
        </w:rPr>
        <w:t>2</w:t>
      </w:r>
      <w:r w:rsidR="000C0A38" w:rsidRPr="00665BFD">
        <w:rPr>
          <w:rFonts w:cs="Times New Roman"/>
          <w:szCs w:val="24"/>
          <w:shd w:val="clear" w:color="auto" w:fill="FFFFFF"/>
        </w:rPr>
        <w:t>(1). p</w:t>
      </w:r>
      <w:r w:rsidRPr="00665BFD">
        <w:rPr>
          <w:rFonts w:cs="Times New Roman"/>
          <w:szCs w:val="24"/>
          <w:shd w:val="clear" w:color="auto" w:fill="FFFFFF"/>
        </w:rPr>
        <w:t>p</w:t>
      </w:r>
      <w:r w:rsidR="000C0A38" w:rsidRPr="00665BFD">
        <w:rPr>
          <w:rFonts w:cs="Times New Roman"/>
          <w:szCs w:val="24"/>
          <w:shd w:val="clear" w:color="auto" w:fill="FFFFFF"/>
        </w:rPr>
        <w:t>.</w:t>
      </w:r>
      <w:r w:rsidRPr="00665BFD">
        <w:rPr>
          <w:rFonts w:cs="Times New Roman"/>
          <w:szCs w:val="24"/>
          <w:shd w:val="clear" w:color="auto" w:fill="FFFFFF"/>
        </w:rPr>
        <w:t xml:space="preserve"> 1-10.</w:t>
      </w:r>
    </w:p>
    <w:p w14:paraId="49AC019E"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Galarraga, I., Kallbekken, S. and Silvestri, A., 2020. Consumer purchases of energy-efficient cars: How different labelling schemes could affect consumer response to price changes. </w:t>
      </w:r>
      <w:r w:rsidRPr="00665BFD">
        <w:rPr>
          <w:rFonts w:cs="Times New Roman"/>
          <w:i/>
          <w:iCs/>
          <w:szCs w:val="24"/>
          <w:shd w:val="clear" w:color="auto" w:fill="FFFFFF"/>
        </w:rPr>
        <w:t>Energy Policy</w:t>
      </w:r>
      <w:r w:rsidRPr="00665BFD">
        <w:rPr>
          <w:rFonts w:cs="Times New Roman"/>
          <w:szCs w:val="24"/>
          <w:shd w:val="clear" w:color="auto" w:fill="FFFFFF"/>
        </w:rPr>
        <w:t>, </w:t>
      </w:r>
      <w:r w:rsidRPr="00665BFD">
        <w:rPr>
          <w:rFonts w:cs="Times New Roman"/>
          <w:i/>
          <w:iCs/>
          <w:szCs w:val="24"/>
          <w:shd w:val="clear" w:color="auto" w:fill="FFFFFF"/>
        </w:rPr>
        <w:t>137</w:t>
      </w:r>
      <w:r w:rsidRPr="00665BFD">
        <w:rPr>
          <w:rFonts w:cs="Times New Roman"/>
          <w:szCs w:val="24"/>
          <w:shd w:val="clear" w:color="auto" w:fill="FFFFFF"/>
        </w:rPr>
        <w:t>, p.</w:t>
      </w:r>
      <w:r w:rsidR="000C0A38" w:rsidRPr="00665BFD">
        <w:rPr>
          <w:rFonts w:cs="Times New Roman"/>
          <w:szCs w:val="24"/>
          <w:shd w:val="clear" w:color="auto" w:fill="FFFFFF"/>
        </w:rPr>
        <w:t xml:space="preserve"> </w:t>
      </w:r>
      <w:r w:rsidRPr="00665BFD">
        <w:rPr>
          <w:rFonts w:cs="Times New Roman"/>
          <w:szCs w:val="24"/>
          <w:shd w:val="clear" w:color="auto" w:fill="FFFFFF"/>
        </w:rPr>
        <w:t>111181.</w:t>
      </w:r>
    </w:p>
    <w:p w14:paraId="66C6E882" w14:textId="77777777" w:rsidR="00617AE5" w:rsidRPr="00665BFD" w:rsidRDefault="00617AE5" w:rsidP="00527353">
      <w:pPr>
        <w:ind w:left="720" w:hanging="720"/>
        <w:rPr>
          <w:rFonts w:cs="Times New Roman"/>
          <w:szCs w:val="24"/>
        </w:rPr>
      </w:pPr>
      <w:r w:rsidRPr="00665BFD">
        <w:rPr>
          <w:rFonts w:cs="Times New Roman"/>
          <w:szCs w:val="24"/>
          <w:shd w:val="clear" w:color="auto" w:fill="FFFFFF"/>
        </w:rPr>
        <w:lastRenderedPageBreak/>
        <w:t>Garz, S., Giné, X., Karlan, D., Mazer, R., Sanford, C. and Zinman, J., 2021. Consumer protection for financial inclusion in low-and middle-income countries: Bridging regulator and academic perspectives. </w:t>
      </w:r>
      <w:r w:rsidRPr="00665BFD">
        <w:rPr>
          <w:rFonts w:cs="Times New Roman"/>
          <w:i/>
          <w:iCs/>
          <w:szCs w:val="24"/>
          <w:shd w:val="clear" w:color="auto" w:fill="FFFFFF"/>
        </w:rPr>
        <w:t>Annual Review of Financial Economics</w:t>
      </w:r>
      <w:r w:rsidRPr="00665BFD">
        <w:rPr>
          <w:rFonts w:cs="Times New Roman"/>
          <w:szCs w:val="24"/>
          <w:shd w:val="clear" w:color="auto" w:fill="FFFFFF"/>
        </w:rPr>
        <w:t>, </w:t>
      </w:r>
      <w:r w:rsidRPr="00665BFD">
        <w:rPr>
          <w:rFonts w:cs="Times New Roman"/>
          <w:i/>
          <w:iCs/>
          <w:szCs w:val="24"/>
          <w:shd w:val="clear" w:color="auto" w:fill="FFFFFF"/>
        </w:rPr>
        <w:t>13</w:t>
      </w:r>
      <w:r w:rsidRPr="00665BFD">
        <w:rPr>
          <w:rFonts w:cs="Times New Roman"/>
          <w:szCs w:val="24"/>
          <w:shd w:val="clear" w:color="auto" w:fill="FFFFFF"/>
        </w:rPr>
        <w:t>, pp.</w:t>
      </w:r>
      <w:r w:rsidR="00CE2DDE" w:rsidRPr="00665BFD">
        <w:rPr>
          <w:rFonts w:cs="Times New Roman"/>
          <w:szCs w:val="24"/>
          <w:shd w:val="clear" w:color="auto" w:fill="FFFFFF"/>
        </w:rPr>
        <w:t xml:space="preserve"> </w:t>
      </w:r>
      <w:r w:rsidRPr="00665BFD">
        <w:rPr>
          <w:rFonts w:cs="Times New Roman"/>
          <w:szCs w:val="24"/>
          <w:shd w:val="clear" w:color="auto" w:fill="FFFFFF"/>
        </w:rPr>
        <w:t>219-246.</w:t>
      </w:r>
    </w:p>
    <w:p w14:paraId="77D2A275"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Gillingham, K., Iskhakov, F., Munk-Nielsen, A., Rust, J. and Schjerning, B., 2022. Equilibrium trade in automobiles. </w:t>
      </w:r>
      <w:r w:rsidRPr="00665BFD">
        <w:rPr>
          <w:rFonts w:cs="Times New Roman"/>
          <w:i/>
          <w:iCs/>
          <w:szCs w:val="24"/>
          <w:shd w:val="clear" w:color="auto" w:fill="FFFFFF"/>
        </w:rPr>
        <w:t>Journal of Political Economy</w:t>
      </w:r>
      <w:r w:rsidRPr="00665BFD">
        <w:rPr>
          <w:rFonts w:cs="Times New Roman"/>
          <w:szCs w:val="24"/>
          <w:shd w:val="clear" w:color="auto" w:fill="FFFFFF"/>
        </w:rPr>
        <w:t>, </w:t>
      </w:r>
      <w:r w:rsidRPr="00665BFD">
        <w:rPr>
          <w:rFonts w:cs="Times New Roman"/>
          <w:i/>
          <w:iCs/>
          <w:szCs w:val="24"/>
          <w:shd w:val="clear" w:color="auto" w:fill="FFFFFF"/>
        </w:rPr>
        <w:t>130</w:t>
      </w:r>
      <w:r w:rsidRPr="00665BFD">
        <w:rPr>
          <w:rFonts w:cs="Times New Roman"/>
          <w:szCs w:val="24"/>
          <w:shd w:val="clear" w:color="auto" w:fill="FFFFFF"/>
        </w:rPr>
        <w:t>(10), pp.</w:t>
      </w:r>
      <w:r w:rsidR="00CE2DDE" w:rsidRPr="00665BFD">
        <w:rPr>
          <w:rFonts w:cs="Times New Roman"/>
          <w:szCs w:val="24"/>
          <w:shd w:val="clear" w:color="auto" w:fill="FFFFFF"/>
        </w:rPr>
        <w:t xml:space="preserve"> </w:t>
      </w:r>
      <w:r w:rsidRPr="00665BFD">
        <w:rPr>
          <w:rFonts w:cs="Times New Roman"/>
          <w:szCs w:val="24"/>
          <w:shd w:val="clear" w:color="auto" w:fill="FFFFFF"/>
        </w:rPr>
        <w:t>2534-2593.</w:t>
      </w:r>
    </w:p>
    <w:p w14:paraId="66AF5D89"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Goodyear. 2022. 2022 Annual Report. Accessed at https://corporate.goodyear.com/content/dam/goodyear-corp/documents/annualreports/2022%20Annual%20Report.pdf</w:t>
      </w:r>
    </w:p>
    <w:p w14:paraId="70A4347F"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Jiang, J. and He, C., 2021. Low-price guarantees in a dual channel of distribution. </w:t>
      </w:r>
      <w:r w:rsidRPr="00665BFD">
        <w:rPr>
          <w:rFonts w:cs="Times New Roman"/>
          <w:i/>
          <w:iCs/>
          <w:szCs w:val="24"/>
          <w:shd w:val="clear" w:color="auto" w:fill="FFFFFF"/>
        </w:rPr>
        <w:t>Marketing Science</w:t>
      </w:r>
      <w:r w:rsidRPr="00665BFD">
        <w:rPr>
          <w:rFonts w:cs="Times New Roman"/>
          <w:szCs w:val="24"/>
          <w:shd w:val="clear" w:color="auto" w:fill="FFFFFF"/>
        </w:rPr>
        <w:t>, </w:t>
      </w:r>
      <w:r w:rsidRPr="00665BFD">
        <w:rPr>
          <w:rFonts w:cs="Times New Roman"/>
          <w:i/>
          <w:iCs/>
          <w:szCs w:val="24"/>
          <w:shd w:val="clear" w:color="auto" w:fill="FFFFFF"/>
        </w:rPr>
        <w:t>40</w:t>
      </w:r>
      <w:r w:rsidRPr="00665BFD">
        <w:rPr>
          <w:rFonts w:cs="Times New Roman"/>
          <w:szCs w:val="24"/>
          <w:shd w:val="clear" w:color="auto" w:fill="FFFFFF"/>
        </w:rPr>
        <w:t>(4), pp.</w:t>
      </w:r>
      <w:r w:rsidR="00CE2DDE" w:rsidRPr="00665BFD">
        <w:rPr>
          <w:rFonts w:cs="Times New Roman"/>
          <w:szCs w:val="24"/>
          <w:shd w:val="clear" w:color="auto" w:fill="FFFFFF"/>
        </w:rPr>
        <w:t xml:space="preserve"> </w:t>
      </w:r>
      <w:r w:rsidRPr="00665BFD">
        <w:rPr>
          <w:rFonts w:cs="Times New Roman"/>
          <w:szCs w:val="24"/>
          <w:shd w:val="clear" w:color="auto" w:fill="FFFFFF"/>
        </w:rPr>
        <w:t>765-782.</w:t>
      </w:r>
    </w:p>
    <w:p w14:paraId="667EE345"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Rasti-Barzoki, M. and Moon, I., 2020. A game theoretic approach for car pricing and its energy efficiency level versus governmental sustainability goals by considering rebound effect: A case study of South Korea. </w:t>
      </w:r>
      <w:r w:rsidRPr="00665BFD">
        <w:rPr>
          <w:rFonts w:cs="Times New Roman"/>
          <w:i/>
          <w:iCs/>
          <w:szCs w:val="24"/>
          <w:shd w:val="clear" w:color="auto" w:fill="FFFFFF"/>
        </w:rPr>
        <w:t>Applied Energy</w:t>
      </w:r>
      <w:r w:rsidRPr="00665BFD">
        <w:rPr>
          <w:rFonts w:cs="Times New Roman"/>
          <w:szCs w:val="24"/>
          <w:shd w:val="clear" w:color="auto" w:fill="FFFFFF"/>
        </w:rPr>
        <w:t>, </w:t>
      </w:r>
      <w:r w:rsidRPr="00665BFD">
        <w:rPr>
          <w:rFonts w:cs="Times New Roman"/>
          <w:i/>
          <w:iCs/>
          <w:szCs w:val="24"/>
          <w:shd w:val="clear" w:color="auto" w:fill="FFFFFF"/>
        </w:rPr>
        <w:t>271</w:t>
      </w:r>
      <w:r w:rsidRPr="00665BFD">
        <w:rPr>
          <w:rFonts w:cs="Times New Roman"/>
          <w:szCs w:val="24"/>
          <w:shd w:val="clear" w:color="auto" w:fill="FFFFFF"/>
        </w:rPr>
        <w:t>, p.</w:t>
      </w:r>
      <w:r w:rsidR="00CE2DDE" w:rsidRPr="00665BFD">
        <w:rPr>
          <w:rFonts w:cs="Times New Roman"/>
          <w:szCs w:val="24"/>
          <w:shd w:val="clear" w:color="auto" w:fill="FFFFFF"/>
        </w:rPr>
        <w:t xml:space="preserve"> </w:t>
      </w:r>
      <w:r w:rsidRPr="00665BFD">
        <w:rPr>
          <w:rFonts w:cs="Times New Roman"/>
          <w:szCs w:val="24"/>
          <w:shd w:val="clear" w:color="auto" w:fill="FFFFFF"/>
        </w:rPr>
        <w:t xml:space="preserve">115196. </w:t>
      </w:r>
    </w:p>
    <w:p w14:paraId="2CE1C714" w14:textId="77777777" w:rsidR="00617AE5" w:rsidRPr="00665BFD" w:rsidRDefault="00617AE5" w:rsidP="00527353">
      <w:pPr>
        <w:ind w:left="720" w:hanging="720"/>
        <w:rPr>
          <w:rFonts w:cs="Times New Roman"/>
          <w:szCs w:val="24"/>
          <w:shd w:val="clear" w:color="auto" w:fill="FFFFFF"/>
        </w:rPr>
      </w:pPr>
      <w:r w:rsidRPr="00665BFD">
        <w:rPr>
          <w:rFonts w:cs="Times New Roman"/>
          <w:szCs w:val="24"/>
          <w:shd w:val="clear" w:color="auto" w:fill="FFFFFF"/>
        </w:rPr>
        <w:t>Valaskova, K., Durana, P. and Adamko, P., 2021. Changes in consumers’ purchase patterns as a consequence of the COVID-19 pandemic. </w:t>
      </w:r>
      <w:r w:rsidRPr="00665BFD">
        <w:rPr>
          <w:rFonts w:cs="Times New Roman"/>
          <w:i/>
          <w:iCs/>
          <w:szCs w:val="24"/>
          <w:shd w:val="clear" w:color="auto" w:fill="FFFFFF"/>
        </w:rPr>
        <w:t>Mathematics</w:t>
      </w:r>
      <w:r w:rsidRPr="00665BFD">
        <w:rPr>
          <w:rFonts w:cs="Times New Roman"/>
          <w:szCs w:val="24"/>
          <w:shd w:val="clear" w:color="auto" w:fill="FFFFFF"/>
        </w:rPr>
        <w:t>, </w:t>
      </w:r>
      <w:r w:rsidRPr="00665BFD">
        <w:rPr>
          <w:rFonts w:cs="Times New Roman"/>
          <w:i/>
          <w:iCs/>
          <w:szCs w:val="24"/>
          <w:shd w:val="clear" w:color="auto" w:fill="FFFFFF"/>
        </w:rPr>
        <w:t>9</w:t>
      </w:r>
      <w:r w:rsidRPr="00665BFD">
        <w:rPr>
          <w:rFonts w:cs="Times New Roman"/>
          <w:szCs w:val="24"/>
          <w:shd w:val="clear" w:color="auto" w:fill="FFFFFF"/>
        </w:rPr>
        <w:t>(15), p.</w:t>
      </w:r>
      <w:r w:rsidR="00CE2DDE" w:rsidRPr="00665BFD">
        <w:rPr>
          <w:rFonts w:cs="Times New Roman"/>
          <w:szCs w:val="24"/>
          <w:shd w:val="clear" w:color="auto" w:fill="FFFFFF"/>
        </w:rPr>
        <w:t xml:space="preserve"> </w:t>
      </w:r>
      <w:r w:rsidRPr="00665BFD">
        <w:rPr>
          <w:rFonts w:cs="Times New Roman"/>
          <w:szCs w:val="24"/>
          <w:shd w:val="clear" w:color="auto" w:fill="FFFFFF"/>
        </w:rPr>
        <w:t>1788.</w:t>
      </w:r>
    </w:p>
    <w:sectPr w:rsidR="00617AE5" w:rsidRPr="00665BFD">
      <w:headerReference w:type="default" r:id="rId7"/>
      <w:footerReference w:type="default" r:id="rId8"/>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10886" w14:textId="77777777" w:rsidR="00820760" w:rsidRDefault="00820760" w:rsidP="00DD5B64">
      <w:pPr>
        <w:spacing w:line="240" w:lineRule="auto"/>
      </w:pPr>
      <w:r>
        <w:separator/>
      </w:r>
    </w:p>
  </w:endnote>
  <w:endnote w:type="continuationSeparator" w:id="0">
    <w:p w14:paraId="37A5AA7A" w14:textId="77777777" w:rsidR="00820760" w:rsidRDefault="00820760" w:rsidP="00DD5B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034777"/>
      <w:docPartObj>
        <w:docPartGallery w:val="Page Numbers (Bottom of Page)"/>
        <w:docPartUnique/>
      </w:docPartObj>
    </w:sdtPr>
    <w:sdtEndPr>
      <w:rPr>
        <w:noProof/>
      </w:rPr>
    </w:sdtEndPr>
    <w:sdtContent>
      <w:p w14:paraId="50C8D9AA" w14:textId="77777777" w:rsidR="00DD5B64" w:rsidRDefault="00F4110B" w:rsidP="00F4110B">
        <w:pPr>
          <w:pStyle w:val="Footer"/>
          <w:spacing w:line="480" w:lineRule="auto"/>
          <w:jc w:val="center"/>
        </w:pPr>
        <w:r>
          <w:fldChar w:fldCharType="begin"/>
        </w:r>
        <w:r>
          <w:instrText xml:space="preserve"> PAGE   \* MERGEFORMAT </w:instrText>
        </w:r>
        <w:r>
          <w:fldChar w:fldCharType="separate"/>
        </w:r>
        <w:r w:rsidR="00537AF2">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03F36" w14:textId="77777777" w:rsidR="00820760" w:rsidRDefault="00820760" w:rsidP="00DD5B64">
      <w:pPr>
        <w:spacing w:line="240" w:lineRule="auto"/>
      </w:pPr>
      <w:r>
        <w:separator/>
      </w:r>
    </w:p>
  </w:footnote>
  <w:footnote w:type="continuationSeparator" w:id="0">
    <w:p w14:paraId="40C0092B" w14:textId="77777777" w:rsidR="00820760" w:rsidRDefault="00820760" w:rsidP="00DD5B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816E2" w14:textId="77777777" w:rsidR="00DD5B64" w:rsidRDefault="00DD5B64" w:rsidP="00F4110B">
    <w:pPr>
      <w:pStyle w:val="Header"/>
      <w:jc w:val="right"/>
    </w:pPr>
    <w:r>
      <w:t>Goo</w:t>
    </w:r>
    <w:r w:rsidR="00F4110B">
      <w:t>dyear Market Analysis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58B"/>
    <w:rsid w:val="000136EE"/>
    <w:rsid w:val="00021A20"/>
    <w:rsid w:val="00033808"/>
    <w:rsid w:val="000354E5"/>
    <w:rsid w:val="00056A7F"/>
    <w:rsid w:val="00062DB6"/>
    <w:rsid w:val="00070875"/>
    <w:rsid w:val="0008390F"/>
    <w:rsid w:val="00092EB5"/>
    <w:rsid w:val="000B1A4D"/>
    <w:rsid w:val="000B6352"/>
    <w:rsid w:val="000C0A38"/>
    <w:rsid w:val="000D42DB"/>
    <w:rsid w:val="000E0F29"/>
    <w:rsid w:val="001312FD"/>
    <w:rsid w:val="001335F4"/>
    <w:rsid w:val="00155062"/>
    <w:rsid w:val="0016736F"/>
    <w:rsid w:val="00191847"/>
    <w:rsid w:val="001D1F9B"/>
    <w:rsid w:val="001D304B"/>
    <w:rsid w:val="001D702D"/>
    <w:rsid w:val="00206A3D"/>
    <w:rsid w:val="00211FAB"/>
    <w:rsid w:val="002222E8"/>
    <w:rsid w:val="002505F4"/>
    <w:rsid w:val="00261041"/>
    <w:rsid w:val="002939D2"/>
    <w:rsid w:val="00297B6E"/>
    <w:rsid w:val="002A6B0C"/>
    <w:rsid w:val="002B7C2E"/>
    <w:rsid w:val="002D0E15"/>
    <w:rsid w:val="002D458B"/>
    <w:rsid w:val="002D4F0B"/>
    <w:rsid w:val="002E21E5"/>
    <w:rsid w:val="002F24DF"/>
    <w:rsid w:val="0031496D"/>
    <w:rsid w:val="00320A71"/>
    <w:rsid w:val="003416D1"/>
    <w:rsid w:val="003704B9"/>
    <w:rsid w:val="003A2EEF"/>
    <w:rsid w:val="003A56FE"/>
    <w:rsid w:val="003A729C"/>
    <w:rsid w:val="003B19A6"/>
    <w:rsid w:val="003D2E81"/>
    <w:rsid w:val="003D67D2"/>
    <w:rsid w:val="003E422B"/>
    <w:rsid w:val="003F360F"/>
    <w:rsid w:val="003F5BDD"/>
    <w:rsid w:val="00402CEF"/>
    <w:rsid w:val="00411B90"/>
    <w:rsid w:val="00416A0A"/>
    <w:rsid w:val="00420483"/>
    <w:rsid w:val="00421D47"/>
    <w:rsid w:val="00427026"/>
    <w:rsid w:val="00442DD6"/>
    <w:rsid w:val="004458BF"/>
    <w:rsid w:val="00446AB5"/>
    <w:rsid w:val="00446E46"/>
    <w:rsid w:val="00460402"/>
    <w:rsid w:val="00476223"/>
    <w:rsid w:val="004867F7"/>
    <w:rsid w:val="004D076B"/>
    <w:rsid w:val="004D4AFB"/>
    <w:rsid w:val="004F6F58"/>
    <w:rsid w:val="00503A8C"/>
    <w:rsid w:val="00514379"/>
    <w:rsid w:val="00517215"/>
    <w:rsid w:val="00525575"/>
    <w:rsid w:val="00527353"/>
    <w:rsid w:val="00537AF2"/>
    <w:rsid w:val="005442EC"/>
    <w:rsid w:val="00565357"/>
    <w:rsid w:val="005654EA"/>
    <w:rsid w:val="0059219B"/>
    <w:rsid w:val="0059353E"/>
    <w:rsid w:val="005A4887"/>
    <w:rsid w:val="005B3BC4"/>
    <w:rsid w:val="005E0467"/>
    <w:rsid w:val="0060104C"/>
    <w:rsid w:val="00617AE5"/>
    <w:rsid w:val="00633CF7"/>
    <w:rsid w:val="00637043"/>
    <w:rsid w:val="00637A9A"/>
    <w:rsid w:val="00653587"/>
    <w:rsid w:val="00655887"/>
    <w:rsid w:val="006577CA"/>
    <w:rsid w:val="00665BFD"/>
    <w:rsid w:val="0070039C"/>
    <w:rsid w:val="0072492B"/>
    <w:rsid w:val="00760D3D"/>
    <w:rsid w:val="007D7283"/>
    <w:rsid w:val="007E43C5"/>
    <w:rsid w:val="0081774A"/>
    <w:rsid w:val="00820760"/>
    <w:rsid w:val="00823287"/>
    <w:rsid w:val="0082544B"/>
    <w:rsid w:val="00831932"/>
    <w:rsid w:val="00832CE9"/>
    <w:rsid w:val="00841572"/>
    <w:rsid w:val="00872450"/>
    <w:rsid w:val="00873F24"/>
    <w:rsid w:val="00877DF1"/>
    <w:rsid w:val="00884166"/>
    <w:rsid w:val="008A4AA8"/>
    <w:rsid w:val="008B5267"/>
    <w:rsid w:val="008B647E"/>
    <w:rsid w:val="008C0D1D"/>
    <w:rsid w:val="009004B2"/>
    <w:rsid w:val="00906356"/>
    <w:rsid w:val="00925B6D"/>
    <w:rsid w:val="0092606F"/>
    <w:rsid w:val="0094002C"/>
    <w:rsid w:val="00972D83"/>
    <w:rsid w:val="00976DC7"/>
    <w:rsid w:val="009E41E8"/>
    <w:rsid w:val="009F2BBD"/>
    <w:rsid w:val="00A06731"/>
    <w:rsid w:val="00A204AF"/>
    <w:rsid w:val="00A3551C"/>
    <w:rsid w:val="00A4739D"/>
    <w:rsid w:val="00A66D4B"/>
    <w:rsid w:val="00A7174F"/>
    <w:rsid w:val="00A7560F"/>
    <w:rsid w:val="00A8102C"/>
    <w:rsid w:val="00A85C7C"/>
    <w:rsid w:val="00A85FEF"/>
    <w:rsid w:val="00AA4E06"/>
    <w:rsid w:val="00AA5127"/>
    <w:rsid w:val="00AB6330"/>
    <w:rsid w:val="00AC658B"/>
    <w:rsid w:val="00AC676E"/>
    <w:rsid w:val="00AF1CDB"/>
    <w:rsid w:val="00B00657"/>
    <w:rsid w:val="00B16945"/>
    <w:rsid w:val="00B43742"/>
    <w:rsid w:val="00B5568F"/>
    <w:rsid w:val="00B57A2B"/>
    <w:rsid w:val="00B77AEE"/>
    <w:rsid w:val="00B85A41"/>
    <w:rsid w:val="00B8750A"/>
    <w:rsid w:val="00B90137"/>
    <w:rsid w:val="00B901A6"/>
    <w:rsid w:val="00B95D6C"/>
    <w:rsid w:val="00BC6F34"/>
    <w:rsid w:val="00BD5E28"/>
    <w:rsid w:val="00BE2BFC"/>
    <w:rsid w:val="00BE77F3"/>
    <w:rsid w:val="00BF7C82"/>
    <w:rsid w:val="00C24100"/>
    <w:rsid w:val="00C33F36"/>
    <w:rsid w:val="00C4258A"/>
    <w:rsid w:val="00C45D61"/>
    <w:rsid w:val="00C57A05"/>
    <w:rsid w:val="00C61FD5"/>
    <w:rsid w:val="00C65891"/>
    <w:rsid w:val="00C8249D"/>
    <w:rsid w:val="00C97FC8"/>
    <w:rsid w:val="00CA2A48"/>
    <w:rsid w:val="00CA2A72"/>
    <w:rsid w:val="00CB0D6B"/>
    <w:rsid w:val="00CE155A"/>
    <w:rsid w:val="00CE2DDE"/>
    <w:rsid w:val="00CE6B9E"/>
    <w:rsid w:val="00CF5E78"/>
    <w:rsid w:val="00D04A2D"/>
    <w:rsid w:val="00D04BB0"/>
    <w:rsid w:val="00D13DFA"/>
    <w:rsid w:val="00D25AFE"/>
    <w:rsid w:val="00D25CFF"/>
    <w:rsid w:val="00D270AC"/>
    <w:rsid w:val="00D56698"/>
    <w:rsid w:val="00D6274A"/>
    <w:rsid w:val="00D87FE7"/>
    <w:rsid w:val="00D92D7B"/>
    <w:rsid w:val="00DA0AE1"/>
    <w:rsid w:val="00DA620B"/>
    <w:rsid w:val="00DB30D9"/>
    <w:rsid w:val="00DC7598"/>
    <w:rsid w:val="00DD0C37"/>
    <w:rsid w:val="00DD4A74"/>
    <w:rsid w:val="00DD5B64"/>
    <w:rsid w:val="00DD74B5"/>
    <w:rsid w:val="00DE297E"/>
    <w:rsid w:val="00E01DB8"/>
    <w:rsid w:val="00E065D5"/>
    <w:rsid w:val="00E11412"/>
    <w:rsid w:val="00E1367E"/>
    <w:rsid w:val="00E25474"/>
    <w:rsid w:val="00E47D13"/>
    <w:rsid w:val="00E507BD"/>
    <w:rsid w:val="00E9356E"/>
    <w:rsid w:val="00E93BAF"/>
    <w:rsid w:val="00EB5847"/>
    <w:rsid w:val="00EB6B8C"/>
    <w:rsid w:val="00EC7F70"/>
    <w:rsid w:val="00ED5F19"/>
    <w:rsid w:val="00F11D53"/>
    <w:rsid w:val="00F13B16"/>
    <w:rsid w:val="00F148FB"/>
    <w:rsid w:val="00F4110B"/>
    <w:rsid w:val="00F5057F"/>
    <w:rsid w:val="00F51323"/>
    <w:rsid w:val="00F9678B"/>
    <w:rsid w:val="00FA1002"/>
    <w:rsid w:val="00FA208C"/>
    <w:rsid w:val="00FA21C1"/>
    <w:rsid w:val="00FD5FF4"/>
    <w:rsid w:val="00FE30BF"/>
    <w:rsid w:val="00FF18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C9D27"/>
  <w15:docId w15:val="{7E314C89-B609-44B5-8D93-93EDBF793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autoRedefine/>
    <w:uiPriority w:val="9"/>
    <w:qFormat/>
    <w:rsid w:val="00877DF1"/>
    <w:pPr>
      <w:spacing w:line="360" w:lineRule="auto"/>
      <w:contextualSpacing/>
      <w:jc w:val="center"/>
      <w:outlineLvl w:val="0"/>
    </w:pPr>
    <w:rPr>
      <w:rFonts w:eastAsia="Times New Roman" w:cs="Times New Roman"/>
      <w:b/>
      <w:bCs/>
      <w:kern w:val="36"/>
      <w:szCs w:val="48"/>
    </w:rPr>
  </w:style>
  <w:style w:type="paragraph" w:styleId="Heading2">
    <w:name w:val="heading 2"/>
    <w:basedOn w:val="Normal"/>
    <w:next w:val="Normal"/>
    <w:link w:val="Heading2Char"/>
    <w:uiPriority w:val="9"/>
    <w:unhideWhenUsed/>
    <w:qFormat/>
    <w:rsid w:val="00877DF1"/>
    <w:pPr>
      <w:keepNext/>
      <w:keepLines/>
      <w:spacing w:line="360" w:lineRule="auto"/>
      <w:contextualSpacing/>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DD74B5"/>
    <w:pPr>
      <w:keepNext/>
      <w:keepLines/>
      <w:ind w:firstLine="720"/>
      <w:contextualSpacing/>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DF1"/>
    <w:rPr>
      <w:rFonts w:eastAsia="Times New Roman" w:cs="Times New Roman"/>
      <w:b/>
      <w:bCs/>
      <w:kern w:val="36"/>
      <w:szCs w:val="48"/>
      <w:lang w:val="en-GB"/>
    </w:rPr>
  </w:style>
  <w:style w:type="character" w:customStyle="1" w:styleId="Heading2Char">
    <w:name w:val="Heading 2 Char"/>
    <w:basedOn w:val="DefaultParagraphFont"/>
    <w:link w:val="Heading2"/>
    <w:uiPriority w:val="9"/>
    <w:rsid w:val="00877DF1"/>
    <w:rPr>
      <w:rFonts w:eastAsiaTheme="majorEastAsia" w:cstheme="majorBidi"/>
      <w:b/>
      <w:bCs/>
      <w:szCs w:val="26"/>
      <w:lang w:val="en-GB"/>
    </w:rPr>
  </w:style>
  <w:style w:type="character" w:styleId="Hyperlink">
    <w:name w:val="Hyperlink"/>
    <w:basedOn w:val="DefaultParagraphFont"/>
    <w:uiPriority w:val="99"/>
    <w:unhideWhenUsed/>
    <w:rsid w:val="00B90137"/>
    <w:rPr>
      <w:color w:val="0000FF" w:themeColor="hyperlink"/>
      <w:u w:val="single"/>
    </w:rPr>
  </w:style>
  <w:style w:type="paragraph" w:styleId="Header">
    <w:name w:val="header"/>
    <w:basedOn w:val="Normal"/>
    <w:link w:val="HeaderChar"/>
    <w:uiPriority w:val="99"/>
    <w:unhideWhenUsed/>
    <w:rsid w:val="00DD5B64"/>
    <w:pPr>
      <w:tabs>
        <w:tab w:val="center" w:pos="4680"/>
        <w:tab w:val="right" w:pos="9360"/>
      </w:tabs>
      <w:spacing w:line="240" w:lineRule="auto"/>
    </w:pPr>
  </w:style>
  <w:style w:type="character" w:customStyle="1" w:styleId="HeaderChar">
    <w:name w:val="Header Char"/>
    <w:basedOn w:val="DefaultParagraphFont"/>
    <w:link w:val="Header"/>
    <w:uiPriority w:val="99"/>
    <w:rsid w:val="00DD5B64"/>
    <w:rPr>
      <w:lang w:val="en-GB"/>
    </w:rPr>
  </w:style>
  <w:style w:type="paragraph" w:styleId="Footer">
    <w:name w:val="footer"/>
    <w:basedOn w:val="Normal"/>
    <w:link w:val="FooterChar"/>
    <w:uiPriority w:val="99"/>
    <w:unhideWhenUsed/>
    <w:rsid w:val="00DD5B64"/>
    <w:pPr>
      <w:tabs>
        <w:tab w:val="center" w:pos="4680"/>
        <w:tab w:val="right" w:pos="9360"/>
      </w:tabs>
      <w:spacing w:line="240" w:lineRule="auto"/>
    </w:pPr>
  </w:style>
  <w:style w:type="character" w:customStyle="1" w:styleId="FooterChar">
    <w:name w:val="Footer Char"/>
    <w:basedOn w:val="DefaultParagraphFont"/>
    <w:link w:val="Footer"/>
    <w:uiPriority w:val="99"/>
    <w:rsid w:val="00DD5B64"/>
    <w:rPr>
      <w:lang w:val="en-GB"/>
    </w:rPr>
  </w:style>
  <w:style w:type="paragraph" w:styleId="NormalWeb">
    <w:name w:val="Normal (Web)"/>
    <w:basedOn w:val="Normal"/>
    <w:uiPriority w:val="99"/>
    <w:semiHidden/>
    <w:unhideWhenUsed/>
    <w:rsid w:val="00261041"/>
    <w:pPr>
      <w:spacing w:before="100" w:beforeAutospacing="1" w:after="100" w:afterAutospacing="1" w:line="240" w:lineRule="auto"/>
    </w:pPr>
    <w:rPr>
      <w:rFonts w:eastAsia="Times New Roman" w:cs="Times New Roman"/>
      <w:szCs w:val="24"/>
      <w:lang w:val="en-US"/>
    </w:rPr>
  </w:style>
  <w:style w:type="character" w:customStyle="1" w:styleId="Heading3Char">
    <w:name w:val="Heading 3 Char"/>
    <w:basedOn w:val="DefaultParagraphFont"/>
    <w:link w:val="Heading3"/>
    <w:uiPriority w:val="9"/>
    <w:rsid w:val="00DD74B5"/>
    <w:rPr>
      <w:rFonts w:eastAsiaTheme="majorEastAsia" w:cstheme="majorBidi"/>
      <w:b/>
      <w:bCs/>
      <w:lang w:val="en-GB"/>
    </w:rPr>
  </w:style>
  <w:style w:type="character" w:customStyle="1" w:styleId="b">
    <w:name w:val="b"/>
    <w:basedOn w:val="DefaultParagraphFont"/>
    <w:rsid w:val="008B5267"/>
  </w:style>
  <w:style w:type="paragraph" w:styleId="TOCHeading">
    <w:name w:val="TOC Heading"/>
    <w:basedOn w:val="Heading1"/>
    <w:next w:val="Normal"/>
    <w:uiPriority w:val="39"/>
    <w:unhideWhenUsed/>
    <w:qFormat/>
    <w:rsid w:val="00665BFD"/>
    <w:pPr>
      <w:keepNext/>
      <w:keepLines/>
      <w:spacing w:before="240" w:line="259" w:lineRule="auto"/>
      <w:contextualSpacing w:val="0"/>
      <w:jc w:val="left"/>
      <w:outlineLvl w:val="9"/>
    </w:pPr>
    <w:rPr>
      <w:rFonts w:asciiTheme="majorHAnsi" w:eastAsiaTheme="majorEastAsia" w:hAnsiTheme="majorHAnsi" w:cstheme="majorBidi"/>
      <w:b w:val="0"/>
      <w:bCs w:val="0"/>
      <w:color w:val="365F91" w:themeColor="accent1" w:themeShade="BF"/>
      <w:kern w:val="0"/>
      <w:sz w:val="32"/>
      <w:szCs w:val="32"/>
      <w:lang w:val="en-US"/>
    </w:rPr>
  </w:style>
  <w:style w:type="paragraph" w:styleId="TOC1">
    <w:name w:val="toc 1"/>
    <w:basedOn w:val="Normal"/>
    <w:next w:val="Normal"/>
    <w:autoRedefine/>
    <w:uiPriority w:val="39"/>
    <w:unhideWhenUsed/>
    <w:rsid w:val="00665BFD"/>
    <w:pPr>
      <w:spacing w:after="100"/>
    </w:pPr>
  </w:style>
  <w:style w:type="paragraph" w:styleId="TOC2">
    <w:name w:val="toc 2"/>
    <w:basedOn w:val="Normal"/>
    <w:next w:val="Normal"/>
    <w:autoRedefine/>
    <w:uiPriority w:val="39"/>
    <w:unhideWhenUsed/>
    <w:rsid w:val="00665BF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8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439D1-06E4-4605-AEE2-5A282083A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3297</Words>
  <Characters>18798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Ministry of Education</Company>
  <LinksUpToDate>false</LinksUpToDate>
  <CharactersWithSpaces>22051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Fastclick</dc:creator>
  <cp:lastModifiedBy>Ivan Gunchev</cp:lastModifiedBy>
  <cp:revision>4</cp:revision>
  <dcterms:created xsi:type="dcterms:W3CDTF">2023-04-27T16:56:00Z</dcterms:created>
  <dcterms:modified xsi:type="dcterms:W3CDTF">2023-05-06T07:46:00Z</dcterms:modified>
</cp:coreProperties>
</file>