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8118330"/>
        <w:docPartObj>
          <w:docPartGallery w:val="Cover Pages"/>
          <w:docPartUnique/>
        </w:docPartObj>
      </w:sdtPr>
      <w:sdtEndPr/>
      <w:sdtContent>
        <w:p w14:paraId="659B44C3" w14:textId="104A0A99" w:rsidR="008563F2" w:rsidRDefault="008563F2">
          <w:r>
            <w:rPr>
              <w:noProof/>
            </w:rPr>
            <mc:AlternateContent>
              <mc:Choice Requires="wpg">
                <w:drawing>
                  <wp:anchor distT="0" distB="0" distL="114300" distR="114300" simplePos="0" relativeHeight="251659264" behindDoc="0" locked="0" layoutInCell="1" allowOverlap="1" wp14:anchorId="5C5D3133" wp14:editId="7E356211">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2-04-27T00:00:00Z">
                                      <w:dateFormat w:val="yyyy"/>
                                      <w:lid w:val="en-US"/>
                                      <w:storeMappedDataAs w:val="dateTime"/>
                                      <w:calendar w:val="gregorian"/>
                                    </w:date>
                                  </w:sdtPr>
                                  <w:sdtEndPr/>
                                  <w:sdtContent>
                                    <w:p w14:paraId="2D3ADE63" w14:textId="415239B7" w:rsidR="008563F2" w:rsidRDefault="008563F2">
                                      <w:pPr>
                                        <w:pStyle w:val="NoSpacing"/>
                                        <w:rPr>
                                          <w:color w:val="FFFFFF" w:themeColor="background1"/>
                                          <w:sz w:val="96"/>
                                          <w:szCs w:val="96"/>
                                        </w:rPr>
                                      </w:pPr>
                                      <w:r>
                                        <w:rPr>
                                          <w:color w:val="FFFFFF" w:themeColor="background1"/>
                                          <w:sz w:val="96"/>
                                          <w:szCs w:val="96"/>
                                        </w:rPr>
                                        <w:t>2022</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46723F40" w14:textId="26FCAD0D" w:rsidR="008563F2" w:rsidRDefault="008563F2">
                                      <w:pPr>
                                        <w:pStyle w:val="NoSpacing"/>
                                        <w:spacing w:line="360" w:lineRule="auto"/>
                                        <w:rPr>
                                          <w:color w:val="FFFFFF" w:themeColor="background1"/>
                                        </w:rPr>
                                      </w:pPr>
                                      <w:r>
                                        <w:rPr>
                                          <w:color w:val="FFFFFF" w:themeColor="background1"/>
                                        </w:rPr>
                                        <w:t>Mel Box (2003707)</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27F15870" w14:textId="75FEFEC3" w:rsidR="008563F2" w:rsidRDefault="008563F2">
                                      <w:pPr>
                                        <w:pStyle w:val="NoSpacing"/>
                                        <w:spacing w:line="360" w:lineRule="auto"/>
                                        <w:rPr>
                                          <w:color w:val="FFFFFF" w:themeColor="background1"/>
                                        </w:rPr>
                                      </w:pPr>
                                      <w:r>
                                        <w:rPr>
                                          <w:color w:val="FFFFFF" w:themeColor="background1"/>
                                        </w:rPr>
                                        <w:t>European Union Law (BMLW5007).</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2-04-27T00:00:00Z">
                                      <w:dateFormat w:val="M/d/yyyy"/>
                                      <w:lid w:val="en-US"/>
                                      <w:storeMappedDataAs w:val="dateTime"/>
                                      <w:calendar w:val="gregorian"/>
                                    </w:date>
                                  </w:sdtPr>
                                  <w:sdtEndPr/>
                                  <w:sdtContent>
                                    <w:p w14:paraId="70DA8086" w14:textId="27CBCAB3" w:rsidR="008563F2" w:rsidRDefault="008563F2">
                                      <w:pPr>
                                        <w:pStyle w:val="NoSpacing"/>
                                        <w:spacing w:line="360" w:lineRule="auto"/>
                                        <w:rPr>
                                          <w:color w:val="FFFFFF" w:themeColor="background1"/>
                                        </w:rPr>
                                      </w:pPr>
                                      <w:r>
                                        <w:rPr>
                                          <w:color w:val="FFFFFF" w:themeColor="background1"/>
                                        </w:rPr>
                                        <w:t>4/27/2022</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5C5D3133"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" fillcolor="#a8d08d [1945]" stroked="f" strokecolor="white" strokeweight="1pt">
                      <v:fill r:id="rId5"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2-04-27T00:00:00Z">
                                <w:dateFormat w:val="yyyy"/>
                                <w:lid w:val="en-US"/>
                                <w:storeMappedDataAs w:val="dateTime"/>
                                <w:calendar w:val="gregorian"/>
                              </w:date>
                            </w:sdtPr>
                            <w:sdtEndPr/>
                            <w:sdtContent>
                              <w:p w14:paraId="2D3ADE63" w14:textId="415239B7" w:rsidR="008563F2" w:rsidRDefault="008563F2">
                                <w:pPr>
                                  <w:pStyle w:val="NoSpacing"/>
                                  <w:rPr>
                                    <w:color w:val="FFFFFF" w:themeColor="background1"/>
                                    <w:sz w:val="96"/>
                                    <w:szCs w:val="96"/>
                                  </w:rPr>
                                </w:pPr>
                                <w:r>
                                  <w:rPr>
                                    <w:color w:val="FFFFFF" w:themeColor="background1"/>
                                    <w:sz w:val="96"/>
                                    <w:szCs w:val="96"/>
                                  </w:rPr>
                                  <w:t>2022</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46723F40" w14:textId="26FCAD0D" w:rsidR="008563F2" w:rsidRDefault="008563F2">
                                <w:pPr>
                                  <w:pStyle w:val="NoSpacing"/>
                                  <w:spacing w:line="360" w:lineRule="auto"/>
                                  <w:rPr>
                                    <w:color w:val="FFFFFF" w:themeColor="background1"/>
                                  </w:rPr>
                                </w:pPr>
                                <w:r>
                                  <w:rPr>
                                    <w:color w:val="FFFFFF" w:themeColor="background1"/>
                                  </w:rPr>
                                  <w:t>Mel Box (2003707)</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27F15870" w14:textId="75FEFEC3" w:rsidR="008563F2" w:rsidRDefault="008563F2">
                                <w:pPr>
                                  <w:pStyle w:val="NoSpacing"/>
                                  <w:spacing w:line="360" w:lineRule="auto"/>
                                  <w:rPr>
                                    <w:color w:val="FFFFFF" w:themeColor="background1"/>
                                  </w:rPr>
                                </w:pPr>
                                <w:r>
                                  <w:rPr>
                                    <w:color w:val="FFFFFF" w:themeColor="background1"/>
                                  </w:rPr>
                                  <w:t>European Union Law (BMLW5007).</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2-04-27T00:00:00Z">
                                <w:dateFormat w:val="M/d/yyyy"/>
                                <w:lid w:val="en-US"/>
                                <w:storeMappedDataAs w:val="dateTime"/>
                                <w:calendar w:val="gregorian"/>
                              </w:date>
                            </w:sdtPr>
                            <w:sdtEndPr/>
                            <w:sdtContent>
                              <w:p w14:paraId="70DA8086" w14:textId="27CBCAB3" w:rsidR="008563F2" w:rsidRDefault="008563F2">
                                <w:pPr>
                                  <w:pStyle w:val="NoSpacing"/>
                                  <w:spacing w:line="360" w:lineRule="auto"/>
                                  <w:rPr>
                                    <w:color w:val="FFFFFF" w:themeColor="background1"/>
                                  </w:rPr>
                                </w:pPr>
                                <w:r>
                                  <w:rPr>
                                    <w:color w:val="FFFFFF" w:themeColor="background1"/>
                                  </w:rPr>
                                  <w:t>4/27/2022</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61001FA2" wp14:editId="5CCA749F">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49D503E2" w14:textId="6A99D7CB" w:rsidR="008563F2" w:rsidRDefault="008563F2">
                                    <w:pPr>
                                      <w:pStyle w:val="NoSpacing"/>
                                      <w:jc w:val="right"/>
                                      <w:rPr>
                                        <w:color w:val="FFFFFF" w:themeColor="background1"/>
                                        <w:sz w:val="72"/>
                                        <w:szCs w:val="72"/>
                                      </w:rPr>
                                    </w:pPr>
                                    <w:r>
                                      <w:rPr>
                                        <w:color w:val="FFFFFF" w:themeColor="background1"/>
                                        <w:sz w:val="72"/>
                                        <w:szCs w:val="72"/>
                                      </w:rPr>
                                      <w:t xml:space="preserve">Direct effect, indirect </w:t>
                                    </w:r>
                                    <w:r w:rsidR="009668FD">
                                      <w:rPr>
                                        <w:color w:val="FFFFFF" w:themeColor="background1"/>
                                        <w:sz w:val="72"/>
                                        <w:szCs w:val="72"/>
                                      </w:rPr>
                                      <w:t>effect,</w:t>
                                    </w:r>
                                    <w:r>
                                      <w:rPr>
                                        <w:color w:val="FFFFFF" w:themeColor="background1"/>
                                        <w:sz w:val="72"/>
                                        <w:szCs w:val="72"/>
                                      </w:rPr>
                                      <w:t xml:space="preserve"> and Member State Liability.</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61001FA2"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49D503E2" w14:textId="6A99D7CB" w:rsidR="008563F2" w:rsidRDefault="008563F2">
                              <w:pPr>
                                <w:pStyle w:val="NoSpacing"/>
                                <w:jc w:val="right"/>
                                <w:rPr>
                                  <w:color w:val="FFFFFF" w:themeColor="background1"/>
                                  <w:sz w:val="72"/>
                                  <w:szCs w:val="72"/>
                                </w:rPr>
                              </w:pPr>
                              <w:r>
                                <w:rPr>
                                  <w:color w:val="FFFFFF" w:themeColor="background1"/>
                                  <w:sz w:val="72"/>
                                  <w:szCs w:val="72"/>
                                </w:rPr>
                                <w:t xml:space="preserve">Direct effect, indirect </w:t>
                              </w:r>
                              <w:r w:rsidR="009668FD">
                                <w:rPr>
                                  <w:color w:val="FFFFFF" w:themeColor="background1"/>
                                  <w:sz w:val="72"/>
                                  <w:szCs w:val="72"/>
                                </w:rPr>
                                <w:t>effect,</w:t>
                              </w:r>
                              <w:r>
                                <w:rPr>
                                  <w:color w:val="FFFFFF" w:themeColor="background1"/>
                                  <w:sz w:val="72"/>
                                  <w:szCs w:val="72"/>
                                </w:rPr>
                                <w:t xml:space="preserve"> and Member State Liability.</w:t>
                              </w:r>
                            </w:p>
                          </w:sdtContent>
                        </w:sdt>
                      </w:txbxContent>
                    </v:textbox>
                    <w10:wrap anchorx="page" anchory="page"/>
                  </v:rect>
                </w:pict>
              </mc:Fallback>
            </mc:AlternateContent>
          </w:r>
        </w:p>
        <w:p w14:paraId="6402CA7D" w14:textId="244543E2" w:rsidR="008563F2" w:rsidRDefault="008563F2">
          <w:r>
            <w:rPr>
              <w:noProof/>
            </w:rPr>
            <w:drawing>
              <wp:anchor distT="0" distB="0" distL="114300" distR="114300" simplePos="0" relativeHeight="251660288" behindDoc="0" locked="0" layoutInCell="0" allowOverlap="1" wp14:anchorId="5DE8F1BE" wp14:editId="4C8EFB23">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6">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p w14:paraId="238E82C1" w14:textId="6566C706" w:rsidR="008563F2" w:rsidRDefault="008563F2" w:rsidP="008563F2">
      <w:pPr>
        <w:spacing w:line="480" w:lineRule="auto"/>
        <w:rPr>
          <w:rFonts w:ascii="Arial" w:hAnsi="Arial" w:cs="Arial"/>
          <w:sz w:val="24"/>
          <w:szCs w:val="24"/>
        </w:rPr>
      </w:pPr>
      <w:r>
        <w:rPr>
          <w:rFonts w:ascii="Arial" w:hAnsi="Arial" w:cs="Arial"/>
          <w:sz w:val="24"/>
          <w:szCs w:val="24"/>
        </w:rPr>
        <w:lastRenderedPageBreak/>
        <w:t>This assignment</w:t>
      </w:r>
      <w:r w:rsidR="009668FD">
        <w:rPr>
          <w:rFonts w:ascii="Arial" w:hAnsi="Arial" w:cs="Arial"/>
          <w:sz w:val="24"/>
          <w:szCs w:val="24"/>
        </w:rPr>
        <w:t xml:space="preserve"> is trying to discover what the principles are towards direct and indirect effect </w:t>
      </w:r>
      <w:proofErr w:type="gramStart"/>
      <w:r w:rsidR="009668FD">
        <w:rPr>
          <w:rFonts w:ascii="Arial" w:hAnsi="Arial" w:cs="Arial"/>
          <w:sz w:val="24"/>
          <w:szCs w:val="24"/>
        </w:rPr>
        <w:t>and also</w:t>
      </w:r>
      <w:proofErr w:type="gramEnd"/>
      <w:r w:rsidR="009668FD">
        <w:rPr>
          <w:rFonts w:ascii="Arial" w:hAnsi="Arial" w:cs="Arial"/>
          <w:sz w:val="24"/>
          <w:szCs w:val="24"/>
        </w:rPr>
        <w:t xml:space="preserve"> towards Member State liability to allow legal and natural people to be able to enforce their rights under European Union law (EU).</w:t>
      </w:r>
    </w:p>
    <w:p w14:paraId="32EE2518" w14:textId="41ED158C" w:rsidR="009668FD" w:rsidRDefault="009668FD" w:rsidP="008563F2">
      <w:pPr>
        <w:spacing w:line="480" w:lineRule="auto"/>
        <w:rPr>
          <w:rFonts w:ascii="Arial" w:hAnsi="Arial" w:cs="Arial"/>
          <w:sz w:val="24"/>
          <w:szCs w:val="24"/>
        </w:rPr>
      </w:pPr>
      <w:r>
        <w:rPr>
          <w:rFonts w:ascii="Arial" w:hAnsi="Arial" w:cs="Arial"/>
          <w:sz w:val="24"/>
          <w:szCs w:val="24"/>
        </w:rPr>
        <w:t>The Court of Justice for the European Union have always refused to apply any horizontal direct effect to any directive provisions. Due to this, all directives are to be considered as not binding on any individual and cannot be used as a source of obligation towards them.</w:t>
      </w:r>
    </w:p>
    <w:p w14:paraId="4E487208" w14:textId="4EDFE7DA" w:rsidR="009668FD" w:rsidRDefault="009668FD" w:rsidP="008563F2">
      <w:pPr>
        <w:spacing w:line="480" w:lineRule="auto"/>
        <w:rPr>
          <w:rFonts w:ascii="Arial" w:hAnsi="Arial" w:cs="Arial"/>
          <w:sz w:val="24"/>
          <w:szCs w:val="24"/>
        </w:rPr>
      </w:pPr>
      <w:r>
        <w:rPr>
          <w:rFonts w:ascii="Arial" w:hAnsi="Arial" w:cs="Arial"/>
          <w:sz w:val="24"/>
          <w:szCs w:val="24"/>
        </w:rPr>
        <w:t xml:space="preserve">Any of the above effects </w:t>
      </w:r>
      <w:proofErr w:type="gramStart"/>
      <w:r>
        <w:rPr>
          <w:rFonts w:ascii="Arial" w:hAnsi="Arial" w:cs="Arial"/>
          <w:sz w:val="24"/>
          <w:szCs w:val="24"/>
        </w:rPr>
        <w:t>and also</w:t>
      </w:r>
      <w:proofErr w:type="gramEnd"/>
      <w:r>
        <w:rPr>
          <w:rFonts w:ascii="Arial" w:hAnsi="Arial" w:cs="Arial"/>
          <w:sz w:val="24"/>
          <w:szCs w:val="24"/>
        </w:rPr>
        <w:t xml:space="preserve"> the state liability is to be used by the Court of Justice</w:t>
      </w:r>
      <w:r w:rsidR="00B367BC">
        <w:rPr>
          <w:rFonts w:ascii="Arial" w:hAnsi="Arial" w:cs="Arial"/>
          <w:sz w:val="24"/>
          <w:szCs w:val="24"/>
        </w:rPr>
        <w:t xml:space="preserve"> of the European Union, (CJEU) this would be used against any non – compliance to the European Union law (EU) by Member states only to be able to clarify and uphold these laws in many different ways. This is done to allow legal and natural people to be able to enforce their rights under the European Union. A natural person is a human with rights and obligations. (Foster, 2017).</w:t>
      </w:r>
    </w:p>
    <w:p w14:paraId="7ECE6385" w14:textId="6BE23CB0" w:rsidR="00B367BC" w:rsidRDefault="00B367BC" w:rsidP="008563F2">
      <w:pPr>
        <w:spacing w:line="480" w:lineRule="auto"/>
        <w:rPr>
          <w:rFonts w:ascii="Arial" w:hAnsi="Arial" w:cs="Arial"/>
          <w:sz w:val="24"/>
          <w:szCs w:val="24"/>
        </w:rPr>
      </w:pPr>
      <w:r>
        <w:rPr>
          <w:rFonts w:ascii="Arial" w:hAnsi="Arial" w:cs="Arial"/>
          <w:sz w:val="24"/>
          <w:szCs w:val="24"/>
        </w:rPr>
        <w:t>Van Gen den Loos and any other subsequent case law went on to establish direct effect of ant Treaty provisions. Case law for the courts over the years have stated that the direct effect of any key Treaty provisions, which would be seen as free movement of goods, people, capital, equal pay, state aid and competition law. This could also appear that any direct eff</w:t>
      </w:r>
      <w:r w:rsidR="001C6A09">
        <w:rPr>
          <w:rFonts w:ascii="Arial" w:hAnsi="Arial" w:cs="Arial"/>
          <w:sz w:val="24"/>
          <w:szCs w:val="24"/>
        </w:rPr>
        <w:t>ective Treaty provisions may well be invoked in such terms of legal relationship. This would be vertical, which also includes reverse vertical as well as horizontal. (Barnard, Peers 2014).</w:t>
      </w:r>
    </w:p>
    <w:p w14:paraId="613F283E" w14:textId="594A5A55" w:rsidR="001C6A09" w:rsidRDefault="001C6A09" w:rsidP="008563F2">
      <w:pPr>
        <w:spacing w:line="480" w:lineRule="auto"/>
        <w:rPr>
          <w:rFonts w:ascii="Arial" w:hAnsi="Arial" w:cs="Arial"/>
          <w:sz w:val="24"/>
          <w:szCs w:val="24"/>
        </w:rPr>
      </w:pPr>
      <w:r>
        <w:rPr>
          <w:rFonts w:ascii="Arial" w:hAnsi="Arial" w:cs="Arial"/>
          <w:sz w:val="24"/>
          <w:szCs w:val="24"/>
        </w:rPr>
        <w:t>This regulation went on to be the correct candidate towards direct effect from the very start of the European Economic Community (EEC) the Treaty were to state that all regulations were to be binding in its full form and should therefore apply to all Member states who are involved.</w:t>
      </w:r>
    </w:p>
    <w:p w14:paraId="14786006" w14:textId="0135B6AD" w:rsidR="002E2255" w:rsidRDefault="002E2255" w:rsidP="008563F2">
      <w:pPr>
        <w:spacing w:line="480" w:lineRule="auto"/>
        <w:rPr>
          <w:rFonts w:ascii="Arial" w:hAnsi="Arial" w:cs="Arial"/>
          <w:sz w:val="24"/>
          <w:szCs w:val="24"/>
        </w:rPr>
      </w:pPr>
      <w:r>
        <w:rPr>
          <w:rFonts w:ascii="Arial" w:hAnsi="Arial" w:cs="Arial"/>
          <w:sz w:val="24"/>
          <w:szCs w:val="24"/>
        </w:rPr>
        <w:lastRenderedPageBreak/>
        <w:t xml:space="preserve">Any decisions which are under Article 288 on the Treaty of the Functioning of the European Union are but two of a kind. They are non – addressed and addressed. The difference between the two is that an addressed decision would be an individual act which states its concrete addressee, whereas a non – addressed decision would only be in practice to a legislative act, in all but its name. Just because a non – addressed decision states it is a decision this does not name any of its addresses, it only goes as far as providing a set of general and abstract rules. For a decision, direct effect is known to be limited to any vertical situations, theses would be where an individual involves a direct effective provision which is against the Member state that </w:t>
      </w:r>
      <w:r w:rsidR="00622F16">
        <w:rPr>
          <w:rFonts w:ascii="Arial" w:hAnsi="Arial" w:cs="Arial"/>
          <w:sz w:val="24"/>
          <w:szCs w:val="24"/>
        </w:rPr>
        <w:t>this is addressing. (Barnard, Peers 2014).</w:t>
      </w:r>
    </w:p>
    <w:p w14:paraId="7CD6C150" w14:textId="77777777" w:rsidR="00C720F1" w:rsidRDefault="00622F16" w:rsidP="008563F2">
      <w:pPr>
        <w:spacing w:line="480" w:lineRule="auto"/>
        <w:rPr>
          <w:rFonts w:ascii="Arial" w:hAnsi="Arial" w:cs="Arial"/>
          <w:sz w:val="24"/>
          <w:szCs w:val="24"/>
        </w:rPr>
      </w:pPr>
      <w:r>
        <w:rPr>
          <w:rFonts w:ascii="Arial" w:hAnsi="Arial" w:cs="Arial"/>
          <w:sz w:val="24"/>
          <w:szCs w:val="24"/>
        </w:rPr>
        <w:t xml:space="preserve">In the case of Von </w:t>
      </w:r>
      <w:proofErr w:type="spellStart"/>
      <w:r>
        <w:rPr>
          <w:rFonts w:ascii="Arial" w:hAnsi="Arial" w:cs="Arial"/>
          <w:sz w:val="24"/>
          <w:szCs w:val="24"/>
        </w:rPr>
        <w:t>Duyn</w:t>
      </w:r>
      <w:proofErr w:type="spellEnd"/>
      <w:r>
        <w:rPr>
          <w:rFonts w:ascii="Arial" w:hAnsi="Arial" w:cs="Arial"/>
          <w:sz w:val="24"/>
          <w:szCs w:val="24"/>
        </w:rPr>
        <w:t xml:space="preserve"> v Home Office (1974) it was to be stated by court that directives could be vertically directly effective. This was a case to which a Mrs</w:t>
      </w:r>
      <w:r w:rsidR="006C4021">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Duyn</w:t>
      </w:r>
      <w:proofErr w:type="spellEnd"/>
      <w:r>
        <w:rPr>
          <w:rFonts w:ascii="Arial" w:hAnsi="Arial" w:cs="Arial"/>
          <w:sz w:val="24"/>
          <w:szCs w:val="24"/>
        </w:rPr>
        <w:t xml:space="preserve"> was involved with. Mrs. </w:t>
      </w:r>
      <w:proofErr w:type="spellStart"/>
      <w:r>
        <w:rPr>
          <w:rFonts w:ascii="Arial" w:hAnsi="Arial" w:cs="Arial"/>
          <w:sz w:val="24"/>
          <w:szCs w:val="24"/>
        </w:rPr>
        <w:t>Duyn</w:t>
      </w:r>
      <w:proofErr w:type="spellEnd"/>
      <w:r>
        <w:rPr>
          <w:rFonts w:ascii="Arial" w:hAnsi="Arial" w:cs="Arial"/>
          <w:sz w:val="24"/>
          <w:szCs w:val="24"/>
        </w:rPr>
        <w:t xml:space="preserve"> who was Dutch, was not allowed to leave Holland to enter the United Kingdom</w:t>
      </w:r>
      <w:r w:rsidR="006C4021">
        <w:rPr>
          <w:rFonts w:ascii="Arial" w:hAnsi="Arial" w:cs="Arial"/>
          <w:sz w:val="24"/>
          <w:szCs w:val="24"/>
        </w:rPr>
        <w:t xml:space="preserve">, to gain employment as a secretary for the Church of Scientology. The United Kingdom are believed to say that this would be socially harmful. Mrs. </w:t>
      </w:r>
      <w:proofErr w:type="spellStart"/>
      <w:r w:rsidR="006C4021">
        <w:rPr>
          <w:rFonts w:ascii="Arial" w:hAnsi="Arial" w:cs="Arial"/>
          <w:sz w:val="24"/>
          <w:szCs w:val="24"/>
        </w:rPr>
        <w:t>Duyn</w:t>
      </w:r>
      <w:proofErr w:type="spellEnd"/>
      <w:r w:rsidR="006C4021">
        <w:rPr>
          <w:rFonts w:ascii="Arial" w:hAnsi="Arial" w:cs="Arial"/>
          <w:sz w:val="24"/>
          <w:szCs w:val="24"/>
        </w:rPr>
        <w:t xml:space="preserve"> appealed and wished to rely inter alia (among others) as provisions of a directive. Individuals can rely upon the provisions of a directive which vindicates any of their rights against any state Members. To do this though, the provision of the directive </w:t>
      </w:r>
      <w:proofErr w:type="gramStart"/>
      <w:r w:rsidR="006C4021">
        <w:rPr>
          <w:rFonts w:ascii="Arial" w:hAnsi="Arial" w:cs="Arial"/>
          <w:sz w:val="24"/>
          <w:szCs w:val="24"/>
        </w:rPr>
        <w:t>has to</w:t>
      </w:r>
      <w:proofErr w:type="gramEnd"/>
      <w:r w:rsidR="006C4021">
        <w:rPr>
          <w:rFonts w:ascii="Arial" w:hAnsi="Arial" w:cs="Arial"/>
          <w:sz w:val="24"/>
          <w:szCs w:val="24"/>
        </w:rPr>
        <w:t xml:space="preserve"> be made very clear and precise and unconditional too. Implementation period for the Member state also has</w:t>
      </w:r>
      <w:r w:rsidR="00C720F1">
        <w:rPr>
          <w:rFonts w:ascii="Arial" w:hAnsi="Arial" w:cs="Arial"/>
          <w:sz w:val="24"/>
          <w:szCs w:val="24"/>
        </w:rPr>
        <w:t xml:space="preserve"> for transposing this directive into a national legal order </w:t>
      </w:r>
      <w:proofErr w:type="gramStart"/>
      <w:r w:rsidR="00C720F1">
        <w:rPr>
          <w:rFonts w:ascii="Arial" w:hAnsi="Arial" w:cs="Arial"/>
          <w:sz w:val="24"/>
          <w:szCs w:val="24"/>
        </w:rPr>
        <w:t>has to</w:t>
      </w:r>
      <w:proofErr w:type="gramEnd"/>
      <w:r w:rsidR="00C720F1">
        <w:rPr>
          <w:rFonts w:ascii="Arial" w:hAnsi="Arial" w:cs="Arial"/>
          <w:sz w:val="24"/>
          <w:szCs w:val="24"/>
        </w:rPr>
        <w:t xml:space="preserve"> have already passed. (Barnard, Peers 2014).</w:t>
      </w:r>
    </w:p>
    <w:p w14:paraId="341F9F9C" w14:textId="77777777" w:rsidR="002B46FC" w:rsidRDefault="00C720F1" w:rsidP="008563F2">
      <w:pPr>
        <w:spacing w:line="480" w:lineRule="auto"/>
        <w:rPr>
          <w:rFonts w:ascii="Arial" w:hAnsi="Arial" w:cs="Arial"/>
          <w:sz w:val="24"/>
          <w:szCs w:val="24"/>
        </w:rPr>
      </w:pPr>
      <w:r>
        <w:rPr>
          <w:rFonts w:ascii="Arial" w:hAnsi="Arial" w:cs="Arial"/>
          <w:sz w:val="24"/>
          <w:szCs w:val="24"/>
        </w:rPr>
        <w:t>Indirect effect has the provisions of directives but contain rights for individuals which are unambiguous and clear, but also may after they have expired from the transitional period be pleaded against the state.</w:t>
      </w:r>
      <w:r w:rsidR="002B46FC">
        <w:rPr>
          <w:rFonts w:ascii="Arial" w:hAnsi="Arial" w:cs="Arial"/>
          <w:sz w:val="24"/>
          <w:szCs w:val="24"/>
        </w:rPr>
        <w:t xml:space="preserve"> These rights must not be pleaded </w:t>
      </w:r>
      <w:r w:rsidR="002B46FC">
        <w:rPr>
          <w:rFonts w:ascii="Arial" w:hAnsi="Arial" w:cs="Arial"/>
          <w:sz w:val="24"/>
          <w:szCs w:val="24"/>
        </w:rPr>
        <w:lastRenderedPageBreak/>
        <w:t>towards any private parties as directives will always be vertical effect and not a horizontal effect. To use an example of this, for a woman who is made to retire at the age of sixty by a private sector employer would be in breach of the principle known as equal treatment which can be found in the directive 76/207/EEC. The provisions of this directive cannot be relied upon. If the woman had been employed by the state and not by the private sector, then they are able to use these rights within this directive to challenge any of the decisions which have been made against them. (</w:t>
      </w:r>
      <w:proofErr w:type="spellStart"/>
      <w:r w:rsidR="002B46FC">
        <w:rPr>
          <w:rFonts w:ascii="Arial" w:hAnsi="Arial" w:cs="Arial"/>
          <w:sz w:val="24"/>
          <w:szCs w:val="24"/>
        </w:rPr>
        <w:t>Szyszczak</w:t>
      </w:r>
      <w:proofErr w:type="spellEnd"/>
      <w:r w:rsidR="002B46FC">
        <w:rPr>
          <w:rFonts w:ascii="Arial" w:hAnsi="Arial" w:cs="Arial"/>
          <w:sz w:val="24"/>
          <w:szCs w:val="24"/>
        </w:rPr>
        <w:t xml:space="preserve">, </w:t>
      </w:r>
      <w:proofErr w:type="spellStart"/>
      <w:r w:rsidR="002B46FC">
        <w:rPr>
          <w:rFonts w:ascii="Arial" w:hAnsi="Arial" w:cs="Arial"/>
          <w:sz w:val="24"/>
          <w:szCs w:val="24"/>
        </w:rPr>
        <w:t>Cygan</w:t>
      </w:r>
      <w:proofErr w:type="spellEnd"/>
      <w:r w:rsidR="002B46FC">
        <w:rPr>
          <w:rFonts w:ascii="Arial" w:hAnsi="Arial" w:cs="Arial"/>
          <w:sz w:val="24"/>
          <w:szCs w:val="24"/>
        </w:rPr>
        <w:t xml:space="preserve"> 2008).</w:t>
      </w:r>
      <w:r>
        <w:rPr>
          <w:rFonts w:ascii="Arial" w:hAnsi="Arial" w:cs="Arial"/>
          <w:sz w:val="24"/>
          <w:szCs w:val="24"/>
        </w:rPr>
        <w:t xml:space="preserve"> </w:t>
      </w:r>
    </w:p>
    <w:p w14:paraId="04ADBF14" w14:textId="0775AD47" w:rsidR="00622F16" w:rsidRDefault="002B46FC" w:rsidP="008563F2">
      <w:pPr>
        <w:spacing w:line="480" w:lineRule="auto"/>
        <w:rPr>
          <w:rFonts w:ascii="Arial" w:hAnsi="Arial" w:cs="Arial"/>
          <w:sz w:val="24"/>
          <w:szCs w:val="24"/>
        </w:rPr>
      </w:pPr>
      <w:r>
        <w:rPr>
          <w:rFonts w:ascii="Arial" w:hAnsi="Arial" w:cs="Arial"/>
          <w:sz w:val="24"/>
          <w:szCs w:val="24"/>
        </w:rPr>
        <w:t xml:space="preserve">In the case of Von Colson v Land </w:t>
      </w:r>
      <w:proofErr w:type="spellStart"/>
      <w:r>
        <w:rPr>
          <w:rFonts w:ascii="Arial" w:hAnsi="Arial" w:cs="Arial"/>
          <w:sz w:val="24"/>
          <w:szCs w:val="24"/>
        </w:rPr>
        <w:t>Nordhein</w:t>
      </w:r>
      <w:proofErr w:type="spellEnd"/>
      <w:r>
        <w:rPr>
          <w:rFonts w:ascii="Arial" w:hAnsi="Arial" w:cs="Arial"/>
          <w:sz w:val="24"/>
          <w:szCs w:val="24"/>
        </w:rPr>
        <w:t xml:space="preserve"> Westfalen (1984) this was centred on an implementation of the Equal Treatment, directive </w:t>
      </w:r>
      <w:r w:rsidR="00E521C0">
        <w:rPr>
          <w:rFonts w:ascii="Arial" w:hAnsi="Arial" w:cs="Arial"/>
          <w:sz w:val="24"/>
          <w:szCs w:val="24"/>
        </w:rPr>
        <w:t>76/207/ EEC. It explains how two women had applied for posts within a German prison who had both been turned down on rounds of their gender. Any remedies that were open to the German Labour Court seemed to be limited to only the re – issue of travel expenses so the two women may attend their interviews, they were discriminated against this too. The German Court used Article 234 EC procedure; they referred all questions to the European Court of Justice (ECJ) which concerned any adequacy towards national remedies within this directive. (</w:t>
      </w:r>
      <w:proofErr w:type="spellStart"/>
      <w:r w:rsidR="00E521C0">
        <w:rPr>
          <w:rFonts w:ascii="Arial" w:hAnsi="Arial" w:cs="Arial"/>
          <w:sz w:val="24"/>
          <w:szCs w:val="24"/>
        </w:rPr>
        <w:t>Szyszczac</w:t>
      </w:r>
      <w:proofErr w:type="spellEnd"/>
      <w:r w:rsidR="00E521C0">
        <w:rPr>
          <w:rFonts w:ascii="Arial" w:hAnsi="Arial" w:cs="Arial"/>
          <w:sz w:val="24"/>
          <w:szCs w:val="24"/>
        </w:rPr>
        <w:t xml:space="preserve">, </w:t>
      </w:r>
      <w:proofErr w:type="spellStart"/>
      <w:r w:rsidR="00E521C0">
        <w:rPr>
          <w:rFonts w:ascii="Arial" w:hAnsi="Arial" w:cs="Arial"/>
          <w:sz w:val="24"/>
          <w:szCs w:val="24"/>
        </w:rPr>
        <w:t>Cygan</w:t>
      </w:r>
      <w:proofErr w:type="spellEnd"/>
      <w:r w:rsidR="00E521C0">
        <w:rPr>
          <w:rFonts w:ascii="Arial" w:hAnsi="Arial" w:cs="Arial"/>
          <w:sz w:val="24"/>
          <w:szCs w:val="24"/>
        </w:rPr>
        <w:t xml:space="preserve"> 2008).</w:t>
      </w:r>
      <w:r w:rsidR="006C4021">
        <w:rPr>
          <w:rFonts w:ascii="Arial" w:hAnsi="Arial" w:cs="Arial"/>
          <w:sz w:val="24"/>
          <w:szCs w:val="24"/>
        </w:rPr>
        <w:t xml:space="preserve"> </w:t>
      </w:r>
    </w:p>
    <w:p w14:paraId="48852D92" w14:textId="4389A84D" w:rsidR="00E521C0" w:rsidRDefault="00E521C0" w:rsidP="008563F2">
      <w:pPr>
        <w:spacing w:line="480" w:lineRule="auto"/>
        <w:rPr>
          <w:rFonts w:ascii="Arial" w:hAnsi="Arial" w:cs="Arial"/>
          <w:sz w:val="24"/>
          <w:szCs w:val="24"/>
        </w:rPr>
      </w:pPr>
      <w:r>
        <w:rPr>
          <w:rFonts w:ascii="Arial" w:hAnsi="Arial" w:cs="Arial"/>
          <w:sz w:val="24"/>
          <w:szCs w:val="24"/>
        </w:rPr>
        <w:t xml:space="preserve">This was a case which concerned the transposing of legislation. The case of Von Colson’s relationship was indeed a vertical one and the defendant was the state, so the directive did not go on to fulfil any of its requirements for the direct effect. Horizontal indirect effect can be seen in the </w:t>
      </w:r>
      <w:proofErr w:type="spellStart"/>
      <w:r>
        <w:rPr>
          <w:rFonts w:ascii="Arial" w:hAnsi="Arial" w:cs="Arial"/>
          <w:sz w:val="24"/>
          <w:szCs w:val="24"/>
        </w:rPr>
        <w:t>Marleasing</w:t>
      </w:r>
      <w:proofErr w:type="spellEnd"/>
      <w:r>
        <w:rPr>
          <w:rFonts w:ascii="Arial" w:hAnsi="Arial" w:cs="Arial"/>
          <w:sz w:val="24"/>
          <w:szCs w:val="24"/>
        </w:rPr>
        <w:t xml:space="preserve"> SA v CIA case 1990. The case of </w:t>
      </w:r>
      <w:proofErr w:type="spellStart"/>
      <w:r>
        <w:rPr>
          <w:rFonts w:ascii="Arial" w:hAnsi="Arial" w:cs="Arial"/>
          <w:sz w:val="24"/>
          <w:szCs w:val="24"/>
        </w:rPr>
        <w:t>Marleasing</w:t>
      </w:r>
      <w:proofErr w:type="spellEnd"/>
      <w:r>
        <w:rPr>
          <w:rFonts w:ascii="Arial" w:hAnsi="Arial" w:cs="Arial"/>
          <w:sz w:val="24"/>
          <w:szCs w:val="24"/>
        </w:rPr>
        <w:t xml:space="preserve"> SA v CIA </w:t>
      </w:r>
      <w:r w:rsidR="00D93EE4">
        <w:rPr>
          <w:rFonts w:ascii="Arial" w:hAnsi="Arial" w:cs="Arial"/>
          <w:sz w:val="24"/>
          <w:szCs w:val="24"/>
        </w:rPr>
        <w:t xml:space="preserve">(1990) involved litigation somewhere in Spain, involving two private parties. It was held by the European Court of Justice with regards to any pre - existing legislation, that this would not change the outcome to the fact that this litigation had two private parties involved. The court was to argue that all Member </w:t>
      </w:r>
      <w:r w:rsidR="00D93EE4">
        <w:rPr>
          <w:rFonts w:ascii="Arial" w:hAnsi="Arial" w:cs="Arial"/>
          <w:sz w:val="24"/>
          <w:szCs w:val="24"/>
        </w:rPr>
        <w:lastRenderedPageBreak/>
        <w:t>states are under such an obligation to create private party conditions to exercise their community rights of law. Article 10 of the EC says that national courts must interpret the national law to make sure there is at least some compatibility within community law.</w:t>
      </w:r>
    </w:p>
    <w:p w14:paraId="130A6BAA" w14:textId="3EB22E3F" w:rsidR="00D93EE4" w:rsidRDefault="00D93EE4" w:rsidP="008563F2">
      <w:pPr>
        <w:spacing w:line="480" w:lineRule="auto"/>
        <w:rPr>
          <w:rFonts w:ascii="Arial" w:hAnsi="Arial" w:cs="Arial"/>
          <w:sz w:val="24"/>
          <w:szCs w:val="24"/>
        </w:rPr>
      </w:pPr>
      <w:r>
        <w:rPr>
          <w:rFonts w:ascii="Arial" w:hAnsi="Arial" w:cs="Arial"/>
          <w:sz w:val="24"/>
          <w:szCs w:val="24"/>
        </w:rPr>
        <w:t xml:space="preserve">The European Court of Justice did not answer one question which was raised by </w:t>
      </w:r>
      <w:proofErr w:type="spellStart"/>
      <w:r>
        <w:rPr>
          <w:rFonts w:ascii="Arial" w:hAnsi="Arial" w:cs="Arial"/>
          <w:sz w:val="24"/>
          <w:szCs w:val="24"/>
        </w:rPr>
        <w:t>Marleasing</w:t>
      </w:r>
      <w:proofErr w:type="spellEnd"/>
      <w:r>
        <w:rPr>
          <w:rFonts w:ascii="Arial" w:hAnsi="Arial" w:cs="Arial"/>
          <w:sz w:val="24"/>
          <w:szCs w:val="24"/>
        </w:rPr>
        <w:t>. The question was if any what were the limits to the power of national courts to interpret legislation to ensure</w:t>
      </w:r>
      <w:r w:rsidR="00A51589">
        <w:rPr>
          <w:rFonts w:ascii="Arial" w:hAnsi="Arial" w:cs="Arial"/>
          <w:sz w:val="24"/>
          <w:szCs w:val="24"/>
        </w:rPr>
        <w:t xml:space="preserve"> conformity?</w:t>
      </w:r>
    </w:p>
    <w:p w14:paraId="54A4EC45" w14:textId="26541B35" w:rsidR="00A51589" w:rsidRDefault="00A51589" w:rsidP="008563F2">
      <w:pPr>
        <w:spacing w:line="480" w:lineRule="auto"/>
        <w:rPr>
          <w:rFonts w:ascii="Arial" w:hAnsi="Arial" w:cs="Arial"/>
          <w:sz w:val="24"/>
          <w:szCs w:val="24"/>
        </w:rPr>
      </w:pPr>
      <w:r>
        <w:rPr>
          <w:rFonts w:ascii="Arial" w:hAnsi="Arial" w:cs="Arial"/>
          <w:sz w:val="24"/>
          <w:szCs w:val="24"/>
        </w:rPr>
        <w:t>Would there also be anything where the national legislation and community law were too far apart that it would be impossible for any likely interpretation. (</w:t>
      </w:r>
      <w:proofErr w:type="spellStart"/>
      <w:r>
        <w:rPr>
          <w:rFonts w:ascii="Arial" w:hAnsi="Arial" w:cs="Arial"/>
          <w:sz w:val="24"/>
          <w:szCs w:val="24"/>
        </w:rPr>
        <w:t>Szyszczak</w:t>
      </w:r>
      <w:proofErr w:type="spellEnd"/>
      <w:r>
        <w:rPr>
          <w:rFonts w:ascii="Arial" w:hAnsi="Arial" w:cs="Arial"/>
          <w:sz w:val="24"/>
          <w:szCs w:val="24"/>
        </w:rPr>
        <w:t xml:space="preserve">, </w:t>
      </w:r>
      <w:proofErr w:type="spellStart"/>
      <w:r>
        <w:rPr>
          <w:rFonts w:ascii="Arial" w:hAnsi="Arial" w:cs="Arial"/>
          <w:sz w:val="24"/>
          <w:szCs w:val="24"/>
        </w:rPr>
        <w:t>Cygan</w:t>
      </w:r>
      <w:proofErr w:type="spellEnd"/>
      <w:r>
        <w:rPr>
          <w:rFonts w:ascii="Arial" w:hAnsi="Arial" w:cs="Arial"/>
          <w:sz w:val="24"/>
          <w:szCs w:val="24"/>
        </w:rPr>
        <w:t xml:space="preserve"> 2008).</w:t>
      </w:r>
    </w:p>
    <w:p w14:paraId="03A4984C" w14:textId="588ADAD2" w:rsidR="0024274F" w:rsidRDefault="0024274F" w:rsidP="008563F2">
      <w:pPr>
        <w:spacing w:line="480" w:lineRule="auto"/>
        <w:rPr>
          <w:rFonts w:ascii="Arial" w:hAnsi="Arial" w:cs="Arial"/>
          <w:sz w:val="24"/>
          <w:szCs w:val="24"/>
        </w:rPr>
      </w:pPr>
      <w:r>
        <w:rPr>
          <w:rFonts w:ascii="Arial" w:hAnsi="Arial" w:cs="Arial"/>
          <w:sz w:val="24"/>
          <w:szCs w:val="24"/>
        </w:rPr>
        <w:t xml:space="preserve">In the Wagner </w:t>
      </w:r>
      <w:proofErr w:type="spellStart"/>
      <w:r>
        <w:rPr>
          <w:rFonts w:ascii="Arial" w:hAnsi="Arial" w:cs="Arial"/>
          <w:sz w:val="24"/>
          <w:szCs w:val="24"/>
        </w:rPr>
        <w:t>Miret</w:t>
      </w:r>
      <w:proofErr w:type="spellEnd"/>
      <w:r>
        <w:rPr>
          <w:rFonts w:ascii="Arial" w:hAnsi="Arial" w:cs="Arial"/>
          <w:sz w:val="24"/>
          <w:szCs w:val="24"/>
        </w:rPr>
        <w:t xml:space="preserve"> (1993) case, there seems to have been a more restricted approach to this. Wagner </w:t>
      </w:r>
      <w:proofErr w:type="spellStart"/>
      <w:r>
        <w:rPr>
          <w:rFonts w:ascii="Arial" w:hAnsi="Arial" w:cs="Arial"/>
          <w:sz w:val="24"/>
          <w:szCs w:val="24"/>
        </w:rPr>
        <w:t>Miret</w:t>
      </w:r>
      <w:proofErr w:type="spellEnd"/>
      <w:r>
        <w:rPr>
          <w:rFonts w:ascii="Arial" w:hAnsi="Arial" w:cs="Arial"/>
          <w:sz w:val="24"/>
          <w:szCs w:val="24"/>
        </w:rPr>
        <w:t xml:space="preserve"> was a senior manager of a company which became insolvent. Directive 80/897, so Member states had to set up a payment scheme to try to be able to recompense </w:t>
      </w:r>
      <w:proofErr w:type="gramStart"/>
      <w:r>
        <w:rPr>
          <w:rFonts w:ascii="Arial" w:hAnsi="Arial" w:cs="Arial"/>
          <w:sz w:val="24"/>
          <w:szCs w:val="24"/>
        </w:rPr>
        <w:t>all of</w:t>
      </w:r>
      <w:proofErr w:type="gramEnd"/>
      <w:r>
        <w:rPr>
          <w:rFonts w:ascii="Arial" w:hAnsi="Arial" w:cs="Arial"/>
          <w:sz w:val="24"/>
          <w:szCs w:val="24"/>
        </w:rPr>
        <w:t xml:space="preserve"> the employees of those employers who had become insolvent. There was a fund for this in Spain, but it failed to cover any payments for any higher management staff. This fund should have covered all employees as was stated. Wagner </w:t>
      </w:r>
      <w:proofErr w:type="spellStart"/>
      <w:r>
        <w:rPr>
          <w:rFonts w:ascii="Arial" w:hAnsi="Arial" w:cs="Arial"/>
          <w:sz w:val="24"/>
          <w:szCs w:val="24"/>
        </w:rPr>
        <w:t>Miret</w:t>
      </w:r>
      <w:proofErr w:type="spellEnd"/>
      <w:r>
        <w:rPr>
          <w:rFonts w:ascii="Arial" w:hAnsi="Arial" w:cs="Arial"/>
          <w:sz w:val="24"/>
          <w:szCs w:val="24"/>
        </w:rPr>
        <w:t xml:space="preserve"> stated that his loss was caused by the state, so they should compensate him for this. A national court could not be expected to override any wording of national law to give effect to a directive. </w:t>
      </w:r>
      <w:r w:rsidR="00D607F2">
        <w:rPr>
          <w:rFonts w:ascii="Arial" w:hAnsi="Arial" w:cs="Arial"/>
          <w:sz w:val="24"/>
          <w:szCs w:val="24"/>
        </w:rPr>
        <w:t>(Foster</w:t>
      </w:r>
      <w:r>
        <w:rPr>
          <w:rFonts w:ascii="Arial" w:hAnsi="Arial" w:cs="Arial"/>
          <w:sz w:val="24"/>
          <w:szCs w:val="24"/>
        </w:rPr>
        <w:t>,2017).</w:t>
      </w:r>
    </w:p>
    <w:p w14:paraId="6A930EB9" w14:textId="5E6047F9" w:rsidR="00D607F2" w:rsidRDefault="00D607F2" w:rsidP="008563F2">
      <w:pPr>
        <w:spacing w:line="480" w:lineRule="auto"/>
        <w:rPr>
          <w:rFonts w:ascii="Arial" w:hAnsi="Arial" w:cs="Arial"/>
          <w:sz w:val="24"/>
          <w:szCs w:val="24"/>
        </w:rPr>
      </w:pPr>
      <w:r>
        <w:rPr>
          <w:rFonts w:ascii="Arial" w:hAnsi="Arial" w:cs="Arial"/>
          <w:sz w:val="24"/>
          <w:szCs w:val="24"/>
        </w:rPr>
        <w:t>If an Eu directive is not fully communicated by an Eu Member state or fails to put right any violations that have been suspected under Eu law the European Commissions (</w:t>
      </w:r>
      <w:proofErr w:type="spellStart"/>
      <w:r>
        <w:rPr>
          <w:rFonts w:ascii="Arial" w:hAnsi="Arial" w:cs="Arial"/>
          <w:sz w:val="24"/>
          <w:szCs w:val="24"/>
        </w:rPr>
        <w:t>Ec</w:t>
      </w:r>
      <w:proofErr w:type="spellEnd"/>
      <w:r>
        <w:rPr>
          <w:rFonts w:ascii="Arial" w:hAnsi="Arial" w:cs="Arial"/>
          <w:sz w:val="24"/>
          <w:szCs w:val="24"/>
        </w:rPr>
        <w:t>) could follow this up with what is known as an infringement</w:t>
      </w:r>
      <w:r w:rsidR="00EA36B3">
        <w:rPr>
          <w:rFonts w:ascii="Arial" w:hAnsi="Arial" w:cs="Arial"/>
          <w:sz w:val="24"/>
          <w:szCs w:val="24"/>
        </w:rPr>
        <w:t xml:space="preserve"> procedure which can be found in Article 258 of the Treaty on the Functioning of the European Union (TFEU). This procedure would be bound by taking steps, which are </w:t>
      </w:r>
      <w:r w:rsidR="00EA36B3">
        <w:rPr>
          <w:rFonts w:ascii="Arial" w:hAnsi="Arial" w:cs="Arial"/>
          <w:sz w:val="24"/>
          <w:szCs w:val="24"/>
        </w:rPr>
        <w:lastRenderedPageBreak/>
        <w:t>placed out in Article 258 Treaty on the Functioning of the European Union (TFEU) and would no doubt end with a formal decision. (LexisNexis 2022).</w:t>
      </w:r>
    </w:p>
    <w:p w14:paraId="2EB60003" w14:textId="241BF29D" w:rsidR="00F26416" w:rsidRDefault="00F26416" w:rsidP="008563F2">
      <w:pPr>
        <w:spacing w:line="480" w:lineRule="auto"/>
        <w:rPr>
          <w:rFonts w:ascii="Arial" w:hAnsi="Arial" w:cs="Arial"/>
          <w:sz w:val="24"/>
          <w:szCs w:val="24"/>
        </w:rPr>
      </w:pPr>
      <w:r>
        <w:rPr>
          <w:rFonts w:ascii="Arial" w:hAnsi="Arial" w:cs="Arial"/>
          <w:sz w:val="24"/>
          <w:szCs w:val="24"/>
        </w:rPr>
        <w:t xml:space="preserve">The European Unions competences </w:t>
      </w:r>
      <w:proofErr w:type="gramStart"/>
      <w:r>
        <w:rPr>
          <w:rFonts w:ascii="Arial" w:hAnsi="Arial" w:cs="Arial"/>
          <w:sz w:val="24"/>
          <w:szCs w:val="24"/>
        </w:rPr>
        <w:t>have to</w:t>
      </w:r>
      <w:proofErr w:type="gramEnd"/>
      <w:r>
        <w:rPr>
          <w:rFonts w:ascii="Arial" w:hAnsi="Arial" w:cs="Arial"/>
          <w:sz w:val="24"/>
          <w:szCs w:val="24"/>
        </w:rPr>
        <w:t xml:space="preserve"> adopt opinions, regulations, recommendations, decisions plus directives too. The regulations must have general application as this is binding in its entirety which would be directly applicable to all Member states. Directives must also be binding if a result is to be achieved, this will be addressed to each Member state. The methods and forms for a directive are left to the national authorities to choose. All decisions are binding upon entry, the decision that specifies to whom it is addressed is binding on them only. Opinions or recommendations would have no binding force upon them. (Access to European Union law).</w:t>
      </w:r>
    </w:p>
    <w:p w14:paraId="5F372BA1" w14:textId="02B1FFDA" w:rsidR="00AD5D65" w:rsidRDefault="00AD5D65" w:rsidP="008563F2">
      <w:pPr>
        <w:spacing w:line="480" w:lineRule="auto"/>
        <w:rPr>
          <w:rFonts w:ascii="Arial" w:hAnsi="Arial" w:cs="Arial"/>
          <w:sz w:val="24"/>
          <w:szCs w:val="24"/>
        </w:rPr>
      </w:pPr>
      <w:r>
        <w:rPr>
          <w:rFonts w:ascii="Arial" w:hAnsi="Arial" w:cs="Arial"/>
          <w:sz w:val="24"/>
          <w:szCs w:val="24"/>
        </w:rPr>
        <w:t>The Treaty on the European Union (TEU), Article 4 (3) has an obligation on all Member states to positively achieve all goals of the Treaty plus they should not act any other way, otherwise this is likely to jeopardise those aims.</w:t>
      </w:r>
    </w:p>
    <w:p w14:paraId="01B0F503" w14:textId="6DEBF6BF" w:rsidR="00AD5D65" w:rsidRDefault="00AD5D65" w:rsidP="008563F2">
      <w:pPr>
        <w:spacing w:line="480" w:lineRule="auto"/>
        <w:rPr>
          <w:rFonts w:ascii="Arial" w:hAnsi="Arial" w:cs="Arial"/>
          <w:sz w:val="24"/>
          <w:szCs w:val="24"/>
        </w:rPr>
      </w:pPr>
      <w:r>
        <w:rPr>
          <w:rFonts w:ascii="Arial" w:hAnsi="Arial" w:cs="Arial"/>
          <w:sz w:val="24"/>
          <w:szCs w:val="24"/>
        </w:rPr>
        <w:t xml:space="preserve">The rest of the Treaty on the Functioning of the European Union (TFEU) provides just an outline for the agreed area of law by Member states that should be integrated. This provides the basics for any free movement of workers, goods, agriculture </w:t>
      </w:r>
      <w:proofErr w:type="gramStart"/>
      <w:r>
        <w:rPr>
          <w:rFonts w:ascii="Arial" w:hAnsi="Arial" w:cs="Arial"/>
          <w:sz w:val="24"/>
          <w:szCs w:val="24"/>
        </w:rPr>
        <w:t>and also</w:t>
      </w:r>
      <w:proofErr w:type="gramEnd"/>
      <w:r>
        <w:rPr>
          <w:rFonts w:ascii="Arial" w:hAnsi="Arial" w:cs="Arial"/>
          <w:sz w:val="24"/>
          <w:szCs w:val="24"/>
        </w:rPr>
        <w:t xml:space="preserve"> of competition law.</w:t>
      </w:r>
    </w:p>
    <w:p w14:paraId="1065EF0E" w14:textId="56E4BD44" w:rsidR="00AD5D65" w:rsidRDefault="00AD5D65" w:rsidP="008563F2">
      <w:pPr>
        <w:spacing w:line="480" w:lineRule="auto"/>
        <w:rPr>
          <w:rFonts w:ascii="Arial" w:hAnsi="Arial" w:cs="Arial"/>
          <w:sz w:val="24"/>
          <w:szCs w:val="24"/>
        </w:rPr>
      </w:pPr>
      <w:r>
        <w:rPr>
          <w:rFonts w:ascii="Arial" w:hAnsi="Arial" w:cs="Arial"/>
          <w:sz w:val="24"/>
          <w:szCs w:val="24"/>
        </w:rPr>
        <w:t xml:space="preserve">In the case of Francovich V Italy (1991), it gave individuals a remedy that would come not from any provision of an EU directly. This was to stem from a breach by the Member state of general obligations which are found in what was known as Articles 10 and 249 EC. These are </w:t>
      </w:r>
      <w:r w:rsidR="00850956">
        <w:rPr>
          <w:rFonts w:ascii="Arial" w:hAnsi="Arial" w:cs="Arial"/>
          <w:sz w:val="24"/>
          <w:szCs w:val="24"/>
        </w:rPr>
        <w:t xml:space="preserve">now known as Article 4 (3) TEU </w:t>
      </w:r>
      <w:proofErr w:type="gramStart"/>
      <w:r w:rsidR="00850956">
        <w:rPr>
          <w:rFonts w:ascii="Arial" w:hAnsi="Arial" w:cs="Arial"/>
          <w:sz w:val="24"/>
          <w:szCs w:val="24"/>
        </w:rPr>
        <w:t>and also</w:t>
      </w:r>
      <w:proofErr w:type="gramEnd"/>
      <w:r w:rsidR="00850956">
        <w:rPr>
          <w:rFonts w:ascii="Arial" w:hAnsi="Arial" w:cs="Arial"/>
          <w:sz w:val="24"/>
          <w:szCs w:val="24"/>
        </w:rPr>
        <w:t xml:space="preserve"> Article 288 TFEU these now comply with European Union law. This case gives remedies to the individual so they may fill the gap for where the European Union provisions may </w:t>
      </w:r>
      <w:r w:rsidR="00850956">
        <w:rPr>
          <w:rFonts w:ascii="Arial" w:hAnsi="Arial" w:cs="Arial"/>
          <w:sz w:val="24"/>
          <w:szCs w:val="24"/>
        </w:rPr>
        <w:lastRenderedPageBreak/>
        <w:t>not have been implemented by Member states. These are not to be held directly effective or that directives are only effective upon the vertical axis and not the horizontal axis. (Foster, 2017).</w:t>
      </w:r>
    </w:p>
    <w:p w14:paraId="203DB485" w14:textId="7A430B7C" w:rsidR="00364C91" w:rsidRDefault="00364C91" w:rsidP="008563F2">
      <w:pPr>
        <w:spacing w:line="480" w:lineRule="auto"/>
        <w:rPr>
          <w:rFonts w:ascii="Arial" w:hAnsi="Arial" w:cs="Arial"/>
          <w:sz w:val="24"/>
          <w:szCs w:val="24"/>
        </w:rPr>
      </w:pPr>
    </w:p>
    <w:p w14:paraId="791C8496" w14:textId="71CBAD04" w:rsidR="00364C91" w:rsidRDefault="00364C91" w:rsidP="008563F2">
      <w:pPr>
        <w:spacing w:line="480" w:lineRule="auto"/>
        <w:rPr>
          <w:rFonts w:ascii="Arial" w:hAnsi="Arial" w:cs="Arial"/>
          <w:sz w:val="24"/>
          <w:szCs w:val="24"/>
        </w:rPr>
      </w:pPr>
    </w:p>
    <w:p w14:paraId="2DB95ECD" w14:textId="3B76AB20" w:rsidR="00364C91" w:rsidRDefault="00364C91" w:rsidP="008563F2">
      <w:pPr>
        <w:spacing w:line="480" w:lineRule="auto"/>
        <w:rPr>
          <w:rFonts w:ascii="Arial" w:hAnsi="Arial" w:cs="Arial"/>
          <w:sz w:val="24"/>
          <w:szCs w:val="24"/>
        </w:rPr>
      </w:pPr>
    </w:p>
    <w:p w14:paraId="528FBD7F" w14:textId="6F6586ED" w:rsidR="00364C91" w:rsidRDefault="00364C91" w:rsidP="008563F2">
      <w:pPr>
        <w:spacing w:line="480" w:lineRule="auto"/>
        <w:rPr>
          <w:rFonts w:ascii="Arial" w:hAnsi="Arial" w:cs="Arial"/>
          <w:sz w:val="24"/>
          <w:szCs w:val="24"/>
        </w:rPr>
      </w:pPr>
    </w:p>
    <w:p w14:paraId="24F6317A" w14:textId="13D4E712" w:rsidR="00364C91" w:rsidRDefault="00364C91" w:rsidP="008563F2">
      <w:pPr>
        <w:spacing w:line="480" w:lineRule="auto"/>
        <w:rPr>
          <w:rFonts w:ascii="Arial" w:hAnsi="Arial" w:cs="Arial"/>
          <w:sz w:val="24"/>
          <w:szCs w:val="24"/>
        </w:rPr>
      </w:pPr>
    </w:p>
    <w:p w14:paraId="69B15788" w14:textId="5377ECDF" w:rsidR="00364C91" w:rsidRDefault="00364C91" w:rsidP="008563F2">
      <w:pPr>
        <w:spacing w:line="480" w:lineRule="auto"/>
        <w:rPr>
          <w:rFonts w:ascii="Arial" w:hAnsi="Arial" w:cs="Arial"/>
          <w:sz w:val="24"/>
          <w:szCs w:val="24"/>
        </w:rPr>
      </w:pPr>
    </w:p>
    <w:p w14:paraId="3AC71981" w14:textId="032A3253" w:rsidR="00364C91" w:rsidRDefault="00364C91" w:rsidP="008563F2">
      <w:pPr>
        <w:spacing w:line="480" w:lineRule="auto"/>
        <w:rPr>
          <w:rFonts w:ascii="Arial" w:hAnsi="Arial" w:cs="Arial"/>
          <w:sz w:val="24"/>
          <w:szCs w:val="24"/>
        </w:rPr>
      </w:pPr>
    </w:p>
    <w:p w14:paraId="04D94012" w14:textId="1D7BA293" w:rsidR="00364C91" w:rsidRDefault="00364C91" w:rsidP="008563F2">
      <w:pPr>
        <w:spacing w:line="480" w:lineRule="auto"/>
        <w:rPr>
          <w:rFonts w:ascii="Arial" w:hAnsi="Arial" w:cs="Arial"/>
          <w:sz w:val="24"/>
          <w:szCs w:val="24"/>
        </w:rPr>
      </w:pPr>
    </w:p>
    <w:p w14:paraId="2B189612" w14:textId="6941EF5D" w:rsidR="00364C91" w:rsidRDefault="00364C91" w:rsidP="008563F2">
      <w:pPr>
        <w:spacing w:line="480" w:lineRule="auto"/>
        <w:rPr>
          <w:rFonts w:ascii="Arial" w:hAnsi="Arial" w:cs="Arial"/>
          <w:sz w:val="24"/>
          <w:szCs w:val="24"/>
        </w:rPr>
      </w:pPr>
    </w:p>
    <w:p w14:paraId="2188BB89" w14:textId="158F326A" w:rsidR="00364C91" w:rsidRDefault="00364C91" w:rsidP="008563F2">
      <w:pPr>
        <w:spacing w:line="480" w:lineRule="auto"/>
        <w:rPr>
          <w:rFonts w:ascii="Arial" w:hAnsi="Arial" w:cs="Arial"/>
          <w:sz w:val="24"/>
          <w:szCs w:val="24"/>
        </w:rPr>
      </w:pPr>
    </w:p>
    <w:p w14:paraId="318DD677" w14:textId="2969516C" w:rsidR="00364C91" w:rsidRDefault="00364C91" w:rsidP="008563F2">
      <w:pPr>
        <w:spacing w:line="480" w:lineRule="auto"/>
        <w:rPr>
          <w:rFonts w:ascii="Arial" w:hAnsi="Arial" w:cs="Arial"/>
          <w:sz w:val="24"/>
          <w:szCs w:val="24"/>
        </w:rPr>
      </w:pPr>
    </w:p>
    <w:p w14:paraId="48656CEF" w14:textId="7610D859" w:rsidR="00364C91" w:rsidRDefault="00364C91" w:rsidP="008563F2">
      <w:pPr>
        <w:spacing w:line="480" w:lineRule="auto"/>
        <w:rPr>
          <w:rFonts w:ascii="Arial" w:hAnsi="Arial" w:cs="Arial"/>
          <w:sz w:val="24"/>
          <w:szCs w:val="24"/>
        </w:rPr>
      </w:pPr>
    </w:p>
    <w:p w14:paraId="7F48D221" w14:textId="27B2294F" w:rsidR="00364C91" w:rsidRDefault="00364C91" w:rsidP="008563F2">
      <w:pPr>
        <w:spacing w:line="480" w:lineRule="auto"/>
        <w:rPr>
          <w:rFonts w:ascii="Arial" w:hAnsi="Arial" w:cs="Arial"/>
          <w:sz w:val="24"/>
          <w:szCs w:val="24"/>
        </w:rPr>
      </w:pPr>
    </w:p>
    <w:p w14:paraId="78E79622" w14:textId="67779FC5" w:rsidR="00364C91" w:rsidRDefault="00364C91" w:rsidP="008563F2">
      <w:pPr>
        <w:spacing w:line="480" w:lineRule="auto"/>
        <w:rPr>
          <w:rFonts w:ascii="Arial" w:hAnsi="Arial" w:cs="Arial"/>
          <w:sz w:val="24"/>
          <w:szCs w:val="24"/>
        </w:rPr>
      </w:pPr>
    </w:p>
    <w:p w14:paraId="7339277F" w14:textId="72AD38A8" w:rsidR="00364C91" w:rsidRDefault="00364C91" w:rsidP="008563F2">
      <w:pPr>
        <w:spacing w:line="480" w:lineRule="auto"/>
        <w:rPr>
          <w:rFonts w:ascii="Arial" w:hAnsi="Arial" w:cs="Arial"/>
          <w:sz w:val="24"/>
          <w:szCs w:val="24"/>
        </w:rPr>
      </w:pPr>
    </w:p>
    <w:p w14:paraId="7A63793E" w14:textId="552F353C" w:rsidR="00364C91" w:rsidRDefault="00364C91" w:rsidP="008563F2">
      <w:pPr>
        <w:spacing w:line="480" w:lineRule="auto"/>
        <w:rPr>
          <w:rFonts w:ascii="Arial" w:hAnsi="Arial" w:cs="Arial"/>
          <w:sz w:val="24"/>
          <w:szCs w:val="24"/>
        </w:rPr>
      </w:pPr>
    </w:p>
    <w:p w14:paraId="0F1A266D" w14:textId="7940DF16" w:rsidR="00364C91" w:rsidRDefault="00364C91" w:rsidP="008563F2">
      <w:pPr>
        <w:spacing w:line="480" w:lineRule="auto"/>
        <w:rPr>
          <w:rFonts w:ascii="Arial" w:hAnsi="Arial" w:cs="Arial"/>
          <w:sz w:val="24"/>
          <w:szCs w:val="24"/>
        </w:rPr>
      </w:pPr>
    </w:p>
    <w:p w14:paraId="48BB57BC" w14:textId="1B1867BF" w:rsidR="00364C91" w:rsidRDefault="00364C91" w:rsidP="008563F2">
      <w:pPr>
        <w:spacing w:line="480" w:lineRule="auto"/>
        <w:rPr>
          <w:rFonts w:ascii="Arial" w:hAnsi="Arial" w:cs="Arial"/>
          <w:sz w:val="24"/>
          <w:szCs w:val="24"/>
        </w:rPr>
      </w:pPr>
      <w:r>
        <w:rPr>
          <w:rFonts w:ascii="Arial" w:hAnsi="Arial" w:cs="Arial"/>
          <w:sz w:val="24"/>
          <w:szCs w:val="24"/>
        </w:rPr>
        <w:lastRenderedPageBreak/>
        <w:t>This assignment was to be able to try and find out as to what extent any principles of direct effect, indirect effect and Member state liability would allow legal and natural people to enforce any rights which are to be conferred on them by European Union (EU) law.</w:t>
      </w:r>
    </w:p>
    <w:p w14:paraId="1250D82A" w14:textId="446B5C4D" w:rsidR="00364C91" w:rsidRDefault="00364C91" w:rsidP="008563F2">
      <w:pPr>
        <w:spacing w:line="480" w:lineRule="auto"/>
        <w:rPr>
          <w:rFonts w:ascii="Arial" w:hAnsi="Arial" w:cs="Arial"/>
          <w:sz w:val="24"/>
          <w:szCs w:val="24"/>
        </w:rPr>
      </w:pPr>
      <w:r>
        <w:rPr>
          <w:rFonts w:ascii="Arial" w:hAnsi="Arial" w:cs="Arial"/>
          <w:sz w:val="24"/>
          <w:szCs w:val="24"/>
        </w:rPr>
        <w:t xml:space="preserve">This is about the correct way to which regulations would apply to all Member states </w:t>
      </w:r>
      <w:proofErr w:type="gramStart"/>
      <w:r>
        <w:rPr>
          <w:rFonts w:ascii="Arial" w:hAnsi="Arial" w:cs="Arial"/>
          <w:sz w:val="24"/>
          <w:szCs w:val="24"/>
        </w:rPr>
        <w:t>and also</w:t>
      </w:r>
      <w:proofErr w:type="gramEnd"/>
      <w:r>
        <w:rPr>
          <w:rFonts w:ascii="Arial" w:hAnsi="Arial" w:cs="Arial"/>
          <w:sz w:val="24"/>
          <w:szCs w:val="24"/>
        </w:rPr>
        <w:t xml:space="preserve"> as to how all Member states should behave with regards to Articles and also regulations which have been bestowed upon them.</w:t>
      </w:r>
    </w:p>
    <w:p w14:paraId="65C0CE03" w14:textId="4FEB9C58" w:rsidR="00364C91" w:rsidRDefault="00364C91" w:rsidP="008563F2">
      <w:pPr>
        <w:spacing w:line="480" w:lineRule="auto"/>
        <w:rPr>
          <w:rFonts w:ascii="Arial" w:hAnsi="Arial" w:cs="Arial"/>
          <w:sz w:val="24"/>
          <w:szCs w:val="24"/>
        </w:rPr>
      </w:pPr>
      <w:r>
        <w:rPr>
          <w:rFonts w:ascii="Arial" w:hAnsi="Arial" w:cs="Arial"/>
          <w:sz w:val="24"/>
          <w:szCs w:val="24"/>
        </w:rPr>
        <w:t>The most important part of this assignment was trying to remember case laws to add which will back up anything like arguments and differences. The single most important thing to remember about this assignment was the fact it took time to collaborate it all, and get it together in a legible form, hopefully the correct way even though it was rather difficult to do.</w:t>
      </w:r>
    </w:p>
    <w:p w14:paraId="1CD9CE50" w14:textId="6ACC8D94" w:rsidR="00364C91" w:rsidRDefault="00364C91" w:rsidP="008563F2">
      <w:pPr>
        <w:spacing w:line="480" w:lineRule="auto"/>
        <w:rPr>
          <w:rFonts w:ascii="Arial" w:hAnsi="Arial" w:cs="Arial"/>
          <w:sz w:val="24"/>
          <w:szCs w:val="24"/>
        </w:rPr>
      </w:pPr>
    </w:p>
    <w:p w14:paraId="446061A6" w14:textId="408EF2F3" w:rsidR="00364C91" w:rsidRDefault="00364C91" w:rsidP="008563F2">
      <w:pPr>
        <w:spacing w:line="480" w:lineRule="auto"/>
        <w:rPr>
          <w:rFonts w:ascii="Arial" w:hAnsi="Arial" w:cs="Arial"/>
          <w:sz w:val="24"/>
          <w:szCs w:val="24"/>
        </w:rPr>
      </w:pPr>
    </w:p>
    <w:p w14:paraId="470B1F5B" w14:textId="10BEC00D" w:rsidR="00364C91" w:rsidRDefault="00364C91" w:rsidP="008563F2">
      <w:pPr>
        <w:spacing w:line="480" w:lineRule="auto"/>
        <w:rPr>
          <w:rFonts w:ascii="Arial" w:hAnsi="Arial" w:cs="Arial"/>
          <w:sz w:val="24"/>
          <w:szCs w:val="24"/>
        </w:rPr>
      </w:pPr>
    </w:p>
    <w:p w14:paraId="00DA6BF9" w14:textId="566CDA3D" w:rsidR="00364C91" w:rsidRDefault="00364C91" w:rsidP="008563F2">
      <w:pPr>
        <w:spacing w:line="480" w:lineRule="auto"/>
        <w:rPr>
          <w:rFonts w:ascii="Arial" w:hAnsi="Arial" w:cs="Arial"/>
          <w:sz w:val="24"/>
          <w:szCs w:val="24"/>
        </w:rPr>
      </w:pPr>
    </w:p>
    <w:p w14:paraId="28FD4B80" w14:textId="18463DAD" w:rsidR="00364C91" w:rsidRDefault="00364C91" w:rsidP="008563F2">
      <w:pPr>
        <w:spacing w:line="480" w:lineRule="auto"/>
        <w:rPr>
          <w:rFonts w:ascii="Arial" w:hAnsi="Arial" w:cs="Arial"/>
          <w:sz w:val="24"/>
          <w:szCs w:val="24"/>
        </w:rPr>
      </w:pPr>
    </w:p>
    <w:p w14:paraId="59B8D6F6" w14:textId="231B6F4A" w:rsidR="00364C91" w:rsidRDefault="00364C91" w:rsidP="008563F2">
      <w:pPr>
        <w:spacing w:line="480" w:lineRule="auto"/>
        <w:rPr>
          <w:rFonts w:ascii="Arial" w:hAnsi="Arial" w:cs="Arial"/>
          <w:sz w:val="24"/>
          <w:szCs w:val="24"/>
        </w:rPr>
      </w:pPr>
    </w:p>
    <w:p w14:paraId="6E892E24" w14:textId="1FBC0721" w:rsidR="00364C91" w:rsidRDefault="00364C91" w:rsidP="008563F2">
      <w:pPr>
        <w:spacing w:line="480" w:lineRule="auto"/>
        <w:rPr>
          <w:rFonts w:ascii="Arial" w:hAnsi="Arial" w:cs="Arial"/>
          <w:sz w:val="24"/>
          <w:szCs w:val="24"/>
        </w:rPr>
      </w:pPr>
    </w:p>
    <w:p w14:paraId="0B6A2DC5" w14:textId="036A9B90" w:rsidR="00364C91" w:rsidRDefault="00364C91" w:rsidP="008563F2">
      <w:pPr>
        <w:spacing w:line="480" w:lineRule="auto"/>
        <w:rPr>
          <w:rFonts w:ascii="Arial" w:hAnsi="Arial" w:cs="Arial"/>
          <w:sz w:val="24"/>
          <w:szCs w:val="24"/>
        </w:rPr>
      </w:pPr>
    </w:p>
    <w:p w14:paraId="2BDE913F" w14:textId="1476DEA1" w:rsidR="00364C91" w:rsidRDefault="00364C91" w:rsidP="008563F2">
      <w:pPr>
        <w:spacing w:line="480" w:lineRule="auto"/>
        <w:rPr>
          <w:rFonts w:ascii="Arial" w:hAnsi="Arial" w:cs="Arial"/>
          <w:sz w:val="24"/>
          <w:szCs w:val="24"/>
        </w:rPr>
      </w:pPr>
    </w:p>
    <w:p w14:paraId="0A06568C" w14:textId="3032E5AB" w:rsidR="00364C91" w:rsidRDefault="00364C91" w:rsidP="008563F2">
      <w:pPr>
        <w:spacing w:line="480" w:lineRule="auto"/>
        <w:rPr>
          <w:rFonts w:ascii="Arial" w:hAnsi="Arial" w:cs="Arial"/>
          <w:sz w:val="24"/>
          <w:szCs w:val="24"/>
        </w:rPr>
      </w:pPr>
    </w:p>
    <w:p w14:paraId="2BA19C6D" w14:textId="4A4D24EB" w:rsidR="00364C91" w:rsidRDefault="00364C91" w:rsidP="008563F2">
      <w:pPr>
        <w:spacing w:line="480" w:lineRule="auto"/>
        <w:rPr>
          <w:rFonts w:ascii="Arial" w:hAnsi="Arial" w:cs="Arial"/>
          <w:sz w:val="24"/>
          <w:szCs w:val="24"/>
        </w:rPr>
      </w:pPr>
      <w:r>
        <w:rPr>
          <w:rFonts w:ascii="Arial" w:hAnsi="Arial" w:cs="Arial"/>
          <w:sz w:val="24"/>
          <w:szCs w:val="24"/>
        </w:rPr>
        <w:lastRenderedPageBreak/>
        <w:t xml:space="preserve">Barnard, C, Peers, S (2014) European Union </w:t>
      </w:r>
      <w:r w:rsidR="00475464">
        <w:rPr>
          <w:rFonts w:ascii="Arial" w:hAnsi="Arial" w:cs="Arial"/>
          <w:sz w:val="24"/>
          <w:szCs w:val="24"/>
        </w:rPr>
        <w:t>Law, 4</w:t>
      </w:r>
      <w:r w:rsidR="00475464" w:rsidRPr="00475464">
        <w:rPr>
          <w:rFonts w:ascii="Arial" w:hAnsi="Arial" w:cs="Arial"/>
          <w:sz w:val="24"/>
          <w:szCs w:val="24"/>
          <w:vertAlign w:val="superscript"/>
        </w:rPr>
        <w:t>th</w:t>
      </w:r>
      <w:r w:rsidR="00475464">
        <w:rPr>
          <w:rFonts w:ascii="Arial" w:hAnsi="Arial" w:cs="Arial"/>
          <w:sz w:val="24"/>
          <w:szCs w:val="24"/>
        </w:rPr>
        <w:t xml:space="preserve"> </w:t>
      </w:r>
      <w:proofErr w:type="spellStart"/>
      <w:r w:rsidR="00475464">
        <w:rPr>
          <w:rFonts w:ascii="Arial" w:hAnsi="Arial" w:cs="Arial"/>
          <w:sz w:val="24"/>
          <w:szCs w:val="24"/>
        </w:rPr>
        <w:t>edn</w:t>
      </w:r>
      <w:proofErr w:type="spellEnd"/>
      <w:r w:rsidR="00475464">
        <w:rPr>
          <w:rFonts w:ascii="Arial" w:hAnsi="Arial" w:cs="Arial"/>
          <w:sz w:val="24"/>
          <w:szCs w:val="24"/>
        </w:rPr>
        <w:t>. Oxford: Oxford University Press.</w:t>
      </w:r>
    </w:p>
    <w:p w14:paraId="0C8E1A46" w14:textId="7163F58A" w:rsidR="00475464" w:rsidRDefault="00475464" w:rsidP="008563F2">
      <w:pPr>
        <w:spacing w:line="480" w:lineRule="auto"/>
        <w:rPr>
          <w:rFonts w:ascii="Arial" w:hAnsi="Arial" w:cs="Arial"/>
          <w:sz w:val="24"/>
          <w:szCs w:val="24"/>
        </w:rPr>
      </w:pPr>
      <w:r>
        <w:rPr>
          <w:rFonts w:ascii="Arial" w:hAnsi="Arial" w:cs="Arial"/>
          <w:sz w:val="24"/>
          <w:szCs w:val="24"/>
        </w:rPr>
        <w:t>Foster, N (2017) Foster on Eu Law. 6</w:t>
      </w:r>
      <w:r w:rsidRPr="00475464">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Oxford: Oxford University Press.</w:t>
      </w:r>
    </w:p>
    <w:p w14:paraId="22CFB389" w14:textId="3A0EA89F" w:rsidR="00475464" w:rsidRDefault="00475464" w:rsidP="008563F2">
      <w:pPr>
        <w:spacing w:line="480" w:lineRule="auto"/>
        <w:rPr>
          <w:rFonts w:ascii="Arial" w:hAnsi="Arial" w:cs="Arial"/>
          <w:sz w:val="24"/>
          <w:szCs w:val="24"/>
        </w:rPr>
      </w:pPr>
      <w:proofErr w:type="spellStart"/>
      <w:r>
        <w:rPr>
          <w:rFonts w:ascii="Arial" w:hAnsi="Arial" w:cs="Arial"/>
          <w:sz w:val="24"/>
          <w:szCs w:val="24"/>
        </w:rPr>
        <w:t>Szyszcak</w:t>
      </w:r>
      <w:proofErr w:type="spellEnd"/>
      <w:r>
        <w:rPr>
          <w:rFonts w:ascii="Arial" w:hAnsi="Arial" w:cs="Arial"/>
          <w:sz w:val="24"/>
          <w:szCs w:val="24"/>
        </w:rPr>
        <w:t>, E, Cyan, A (2008) Understanding Eu Law. 2</w:t>
      </w:r>
      <w:r w:rsidRPr="00475464">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Sweet &amp; Maxwell Limited</w:t>
      </w:r>
    </w:p>
    <w:p w14:paraId="5F67A57D" w14:textId="2644A26D" w:rsidR="00475464" w:rsidRDefault="00475464" w:rsidP="008563F2">
      <w:pPr>
        <w:spacing w:line="480" w:lineRule="auto"/>
        <w:rPr>
          <w:rFonts w:ascii="Arial" w:hAnsi="Arial" w:cs="Arial"/>
          <w:sz w:val="24"/>
          <w:szCs w:val="24"/>
        </w:rPr>
      </w:pPr>
    </w:p>
    <w:p w14:paraId="3217E64C" w14:textId="7F2AC648" w:rsidR="00475464" w:rsidRDefault="00475464" w:rsidP="008563F2">
      <w:pPr>
        <w:spacing w:line="480" w:lineRule="auto"/>
        <w:rPr>
          <w:rFonts w:ascii="Arial" w:hAnsi="Arial" w:cs="Arial"/>
          <w:sz w:val="24"/>
          <w:szCs w:val="24"/>
        </w:rPr>
      </w:pPr>
      <w:hyperlink r:id="rId7" w:history="1">
        <w:r w:rsidRPr="00301650">
          <w:rPr>
            <w:rStyle w:val="Hyperlink"/>
            <w:rFonts w:ascii="Arial" w:hAnsi="Arial" w:cs="Arial"/>
            <w:sz w:val="24"/>
            <w:szCs w:val="24"/>
          </w:rPr>
          <w:t>https://eur-lex.europa.eu/legal-content/EN/TXT/?uri=celex%3A12012E2288</w:t>
        </w:r>
      </w:hyperlink>
      <w:r>
        <w:rPr>
          <w:rFonts w:ascii="Arial" w:hAnsi="Arial" w:cs="Arial"/>
          <w:sz w:val="24"/>
          <w:szCs w:val="24"/>
        </w:rPr>
        <w:t xml:space="preserve">  (Accessed – 28/04/2022).</w:t>
      </w:r>
    </w:p>
    <w:p w14:paraId="2705C134" w14:textId="494840B5" w:rsidR="00475464" w:rsidRDefault="00475464" w:rsidP="008563F2">
      <w:pPr>
        <w:spacing w:line="480" w:lineRule="auto"/>
        <w:rPr>
          <w:rFonts w:ascii="Arial" w:hAnsi="Arial" w:cs="Arial"/>
          <w:sz w:val="24"/>
          <w:szCs w:val="24"/>
        </w:rPr>
      </w:pPr>
      <w:hyperlink r:id="rId8" w:history="1">
        <w:r w:rsidRPr="00301650">
          <w:rPr>
            <w:rStyle w:val="Hyperlink"/>
            <w:rFonts w:ascii="Arial" w:hAnsi="Arial" w:cs="Arial"/>
            <w:sz w:val="24"/>
            <w:szCs w:val="24"/>
          </w:rPr>
          <w:t>https://www.lexisnexis.co.uk/legal/guidance/what-is-the-eu-infringement-procedure-under-article258</w:t>
        </w:r>
      </w:hyperlink>
      <w:r>
        <w:rPr>
          <w:rFonts w:ascii="Arial" w:hAnsi="Arial" w:cs="Arial"/>
          <w:sz w:val="24"/>
          <w:szCs w:val="24"/>
        </w:rPr>
        <w:t>...   (Accessed 28/04/2022).</w:t>
      </w:r>
    </w:p>
    <w:p w14:paraId="73E72968" w14:textId="062C69D4" w:rsidR="00475464" w:rsidRDefault="00475464" w:rsidP="008563F2">
      <w:pPr>
        <w:spacing w:line="480" w:lineRule="auto"/>
        <w:rPr>
          <w:rFonts w:ascii="Arial" w:hAnsi="Arial" w:cs="Arial"/>
          <w:sz w:val="24"/>
          <w:szCs w:val="24"/>
        </w:rPr>
      </w:pPr>
    </w:p>
    <w:p w14:paraId="70E4A4FB" w14:textId="0E9A2F84" w:rsidR="00475464" w:rsidRDefault="00475464" w:rsidP="008563F2">
      <w:pPr>
        <w:spacing w:line="480" w:lineRule="auto"/>
        <w:rPr>
          <w:rFonts w:ascii="Arial" w:hAnsi="Arial" w:cs="Arial"/>
          <w:sz w:val="24"/>
          <w:szCs w:val="24"/>
        </w:rPr>
      </w:pPr>
    </w:p>
    <w:p w14:paraId="4C1D9805" w14:textId="3A12AC94" w:rsidR="00475464" w:rsidRDefault="00475464" w:rsidP="008563F2">
      <w:pPr>
        <w:spacing w:line="480" w:lineRule="auto"/>
        <w:rPr>
          <w:rFonts w:ascii="Arial" w:hAnsi="Arial" w:cs="Arial"/>
          <w:sz w:val="24"/>
          <w:szCs w:val="24"/>
        </w:rPr>
      </w:pPr>
      <w:r>
        <w:rPr>
          <w:rFonts w:ascii="Arial" w:hAnsi="Arial" w:cs="Arial"/>
          <w:sz w:val="24"/>
          <w:szCs w:val="24"/>
        </w:rPr>
        <w:t>Francovich v Italy (C – 6/ 90 &amp; C – 9/90) (1991).</w:t>
      </w:r>
    </w:p>
    <w:p w14:paraId="79737F7B" w14:textId="2E3760B4" w:rsidR="00475464" w:rsidRDefault="00475464" w:rsidP="008563F2">
      <w:pPr>
        <w:spacing w:line="480" w:lineRule="auto"/>
        <w:rPr>
          <w:rFonts w:ascii="Arial" w:hAnsi="Arial" w:cs="Arial"/>
          <w:sz w:val="24"/>
          <w:szCs w:val="24"/>
        </w:rPr>
      </w:pPr>
      <w:proofErr w:type="spellStart"/>
      <w:r>
        <w:rPr>
          <w:rFonts w:ascii="Arial" w:hAnsi="Arial" w:cs="Arial"/>
          <w:sz w:val="24"/>
          <w:szCs w:val="24"/>
        </w:rPr>
        <w:t>Marleasing</w:t>
      </w:r>
      <w:proofErr w:type="spellEnd"/>
      <w:r>
        <w:rPr>
          <w:rFonts w:ascii="Arial" w:hAnsi="Arial" w:cs="Arial"/>
          <w:sz w:val="24"/>
          <w:szCs w:val="24"/>
        </w:rPr>
        <w:t xml:space="preserve"> SA v La </w:t>
      </w:r>
      <w:proofErr w:type="spellStart"/>
      <w:r>
        <w:rPr>
          <w:rFonts w:ascii="Arial" w:hAnsi="Arial" w:cs="Arial"/>
          <w:sz w:val="24"/>
          <w:szCs w:val="24"/>
        </w:rPr>
        <w:t>Comercial</w:t>
      </w:r>
      <w:proofErr w:type="spellEnd"/>
      <w:r>
        <w:rPr>
          <w:rFonts w:ascii="Arial" w:hAnsi="Arial" w:cs="Arial"/>
          <w:sz w:val="24"/>
          <w:szCs w:val="24"/>
        </w:rPr>
        <w:t xml:space="preserve"> </w:t>
      </w:r>
      <w:proofErr w:type="spellStart"/>
      <w:r>
        <w:rPr>
          <w:rFonts w:ascii="Arial" w:hAnsi="Arial" w:cs="Arial"/>
          <w:sz w:val="24"/>
          <w:szCs w:val="24"/>
        </w:rPr>
        <w:t>Internacionale</w:t>
      </w:r>
      <w:proofErr w:type="spellEnd"/>
      <w:r>
        <w:rPr>
          <w:rFonts w:ascii="Arial" w:hAnsi="Arial" w:cs="Arial"/>
          <w:sz w:val="24"/>
          <w:szCs w:val="24"/>
        </w:rPr>
        <w:t xml:space="preserve"> de </w:t>
      </w:r>
      <w:proofErr w:type="spellStart"/>
      <w:r>
        <w:rPr>
          <w:rFonts w:ascii="Arial" w:hAnsi="Arial" w:cs="Arial"/>
          <w:sz w:val="24"/>
          <w:szCs w:val="24"/>
        </w:rPr>
        <w:t>Almentacion</w:t>
      </w:r>
      <w:proofErr w:type="spellEnd"/>
      <w:r>
        <w:rPr>
          <w:rFonts w:ascii="Arial" w:hAnsi="Arial" w:cs="Arial"/>
          <w:sz w:val="24"/>
          <w:szCs w:val="24"/>
        </w:rPr>
        <w:t xml:space="preserve"> SA (C – 106/89) (1990).</w:t>
      </w:r>
    </w:p>
    <w:p w14:paraId="1D85970F" w14:textId="754F0721" w:rsidR="00475464" w:rsidRDefault="00475464" w:rsidP="008563F2">
      <w:pPr>
        <w:spacing w:line="480" w:lineRule="auto"/>
        <w:rPr>
          <w:rFonts w:ascii="Arial" w:hAnsi="Arial" w:cs="Arial"/>
          <w:sz w:val="24"/>
          <w:szCs w:val="24"/>
        </w:rPr>
      </w:pPr>
      <w:r>
        <w:rPr>
          <w:rFonts w:ascii="Arial" w:hAnsi="Arial" w:cs="Arial"/>
          <w:sz w:val="24"/>
          <w:szCs w:val="24"/>
        </w:rPr>
        <w:t xml:space="preserve">Van </w:t>
      </w:r>
      <w:proofErr w:type="spellStart"/>
      <w:r>
        <w:rPr>
          <w:rFonts w:ascii="Arial" w:hAnsi="Arial" w:cs="Arial"/>
          <w:sz w:val="24"/>
          <w:szCs w:val="24"/>
        </w:rPr>
        <w:t>Duyn</w:t>
      </w:r>
      <w:proofErr w:type="spellEnd"/>
      <w:r>
        <w:rPr>
          <w:rFonts w:ascii="Arial" w:hAnsi="Arial" w:cs="Arial"/>
          <w:sz w:val="24"/>
          <w:szCs w:val="24"/>
        </w:rPr>
        <w:t xml:space="preserve"> v Home Office (41/74) (1974).</w:t>
      </w:r>
    </w:p>
    <w:p w14:paraId="73D18488" w14:textId="0842AFFE" w:rsidR="00475464" w:rsidRDefault="00475464" w:rsidP="008563F2">
      <w:pPr>
        <w:spacing w:line="480" w:lineRule="auto"/>
        <w:rPr>
          <w:rFonts w:ascii="Arial" w:hAnsi="Arial" w:cs="Arial"/>
          <w:sz w:val="24"/>
          <w:szCs w:val="24"/>
        </w:rPr>
      </w:pPr>
      <w:r>
        <w:rPr>
          <w:rFonts w:ascii="Arial" w:hAnsi="Arial" w:cs="Arial"/>
          <w:sz w:val="24"/>
          <w:szCs w:val="24"/>
        </w:rPr>
        <w:t>Van Gen den Loos (26/</w:t>
      </w:r>
      <w:r w:rsidR="00DF4EFB">
        <w:rPr>
          <w:rFonts w:ascii="Arial" w:hAnsi="Arial" w:cs="Arial"/>
          <w:sz w:val="24"/>
          <w:szCs w:val="24"/>
        </w:rPr>
        <w:t>62) (1963).</w:t>
      </w:r>
    </w:p>
    <w:p w14:paraId="01664C6A" w14:textId="34C1DBDE" w:rsidR="00DF4EFB" w:rsidRDefault="00DF4EFB" w:rsidP="008563F2">
      <w:pPr>
        <w:spacing w:line="480" w:lineRule="auto"/>
        <w:rPr>
          <w:rFonts w:ascii="Arial" w:hAnsi="Arial" w:cs="Arial"/>
          <w:sz w:val="24"/>
          <w:szCs w:val="24"/>
        </w:rPr>
      </w:pPr>
      <w:r>
        <w:rPr>
          <w:rFonts w:ascii="Arial" w:hAnsi="Arial" w:cs="Arial"/>
          <w:sz w:val="24"/>
          <w:szCs w:val="24"/>
        </w:rPr>
        <w:t xml:space="preserve">Von Colson v Land </w:t>
      </w:r>
      <w:proofErr w:type="spellStart"/>
      <w:r>
        <w:rPr>
          <w:rFonts w:ascii="Arial" w:hAnsi="Arial" w:cs="Arial"/>
          <w:sz w:val="24"/>
          <w:szCs w:val="24"/>
        </w:rPr>
        <w:t>Nordhein</w:t>
      </w:r>
      <w:proofErr w:type="spellEnd"/>
      <w:r>
        <w:rPr>
          <w:rFonts w:ascii="Arial" w:hAnsi="Arial" w:cs="Arial"/>
          <w:sz w:val="24"/>
          <w:szCs w:val="24"/>
        </w:rPr>
        <w:t xml:space="preserve"> – </w:t>
      </w:r>
      <w:proofErr w:type="spellStart"/>
      <w:r>
        <w:rPr>
          <w:rFonts w:ascii="Arial" w:hAnsi="Arial" w:cs="Arial"/>
          <w:sz w:val="24"/>
          <w:szCs w:val="24"/>
        </w:rPr>
        <w:t>Westfahlen</w:t>
      </w:r>
      <w:proofErr w:type="spellEnd"/>
      <w:r>
        <w:rPr>
          <w:rFonts w:ascii="Arial" w:hAnsi="Arial" w:cs="Arial"/>
          <w:sz w:val="24"/>
          <w:szCs w:val="24"/>
        </w:rPr>
        <w:t xml:space="preserve"> (14/83) (1984).</w:t>
      </w:r>
    </w:p>
    <w:p w14:paraId="0C1C90CB" w14:textId="1D0EAB80" w:rsidR="00DF4EFB" w:rsidRPr="008563F2" w:rsidRDefault="00DF4EFB" w:rsidP="008563F2">
      <w:pPr>
        <w:spacing w:line="480" w:lineRule="auto"/>
        <w:rPr>
          <w:rFonts w:ascii="Arial" w:hAnsi="Arial" w:cs="Arial"/>
          <w:sz w:val="24"/>
          <w:szCs w:val="24"/>
        </w:rPr>
      </w:pPr>
      <w:r>
        <w:rPr>
          <w:rFonts w:ascii="Arial" w:hAnsi="Arial" w:cs="Arial"/>
          <w:sz w:val="24"/>
          <w:szCs w:val="24"/>
        </w:rPr>
        <w:t xml:space="preserve">Wagner v </w:t>
      </w:r>
      <w:proofErr w:type="spellStart"/>
      <w:r>
        <w:rPr>
          <w:rFonts w:ascii="Arial" w:hAnsi="Arial" w:cs="Arial"/>
          <w:sz w:val="24"/>
          <w:szCs w:val="24"/>
        </w:rPr>
        <w:t>Miret</w:t>
      </w:r>
      <w:proofErr w:type="spellEnd"/>
      <w:r>
        <w:rPr>
          <w:rFonts w:ascii="Arial" w:hAnsi="Arial" w:cs="Arial"/>
          <w:sz w:val="24"/>
          <w:szCs w:val="24"/>
        </w:rPr>
        <w:t xml:space="preserve"> (80/897) (1993).</w:t>
      </w:r>
    </w:p>
    <w:sectPr w:rsidR="00DF4EFB" w:rsidRPr="008563F2" w:rsidSect="008563F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3F2"/>
    <w:rsid w:val="001C6A09"/>
    <w:rsid w:val="0024274F"/>
    <w:rsid w:val="002B46FC"/>
    <w:rsid w:val="002E2255"/>
    <w:rsid w:val="00364C91"/>
    <w:rsid w:val="00475464"/>
    <w:rsid w:val="00622F16"/>
    <w:rsid w:val="006C4021"/>
    <w:rsid w:val="00850956"/>
    <w:rsid w:val="008563F2"/>
    <w:rsid w:val="009668FD"/>
    <w:rsid w:val="00A40569"/>
    <w:rsid w:val="00A51589"/>
    <w:rsid w:val="00AD5D65"/>
    <w:rsid w:val="00B367BC"/>
    <w:rsid w:val="00C720F1"/>
    <w:rsid w:val="00D607F2"/>
    <w:rsid w:val="00D93EE4"/>
    <w:rsid w:val="00DF4EFB"/>
    <w:rsid w:val="00E521C0"/>
    <w:rsid w:val="00EA36B3"/>
    <w:rsid w:val="00F26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929E4"/>
  <w15:chartTrackingRefBased/>
  <w15:docId w15:val="{9FD5647F-A70A-4026-85BF-B8C1CC3BF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563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63F2"/>
    <w:rPr>
      <w:rFonts w:eastAsiaTheme="minorEastAsia"/>
      <w:lang w:val="en-US"/>
    </w:rPr>
  </w:style>
  <w:style w:type="character" w:styleId="Hyperlink">
    <w:name w:val="Hyperlink"/>
    <w:basedOn w:val="DefaultParagraphFont"/>
    <w:uiPriority w:val="99"/>
    <w:unhideWhenUsed/>
    <w:rsid w:val="00475464"/>
    <w:rPr>
      <w:color w:val="0563C1" w:themeColor="hyperlink"/>
      <w:u w:val="single"/>
    </w:rPr>
  </w:style>
  <w:style w:type="character" w:styleId="UnresolvedMention">
    <w:name w:val="Unresolved Mention"/>
    <w:basedOn w:val="DefaultParagraphFont"/>
    <w:uiPriority w:val="99"/>
    <w:semiHidden/>
    <w:unhideWhenUsed/>
    <w:rsid w:val="004754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xisnexis.co.uk/legal/guidance/what-is-the-eu-infringement-procedure-under-article258" TargetMode="External"/><Relationship Id="rId3" Type="http://schemas.openxmlformats.org/officeDocument/2006/relationships/settings" Target="settings.xml"/><Relationship Id="rId7" Type="http://schemas.openxmlformats.org/officeDocument/2006/relationships/hyperlink" Target="https://eur-lex.europa.eu/legal-content/EN/TXT/?uri=celex%3A12012E2288"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gif"/><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2022-04-27T00:00:00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1697</Words>
  <Characters>9676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Direct effect, indirect effect, and Member State Liability.</vt:lpstr>
    </vt:vector>
  </TitlesOfParts>
  <Company>European Union Law (BMLW5007).</Company>
  <LinksUpToDate>false</LinksUpToDate>
  <CharactersWithSpaces>11351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Direct effect, indirect effect, and Member State Liability.</dc:title>
  <dc:subject/>
  <dc:creator>Mel Box (2003707)</dc:creator>
  <cp:keywords/>
  <dc:description/>
  <cp:lastModifiedBy>Mel Box (2003707)</cp:lastModifiedBy>
  <cp:revision>2</cp:revision>
  <dcterms:created xsi:type="dcterms:W3CDTF">2022-04-29T11:21:00Z</dcterms:created>
  <dcterms:modified xsi:type="dcterms:W3CDTF">2022-04-29T11:21:00Z</dcterms:modified>
</cp:coreProperties>
</file>