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9DA639" w14:textId="77777777" w:rsidR="00EB1D5C" w:rsidRPr="00F57F96" w:rsidRDefault="00EB1D5C" w:rsidP="00EB1D5C">
      <w:pPr>
        <w:jc w:val="center"/>
        <w:rPr>
          <w:rFonts w:ascii="Arial" w:hAnsi="Arial" w:cs="Arial"/>
          <w:sz w:val="56"/>
        </w:rPr>
      </w:pPr>
    </w:p>
    <w:p w14:paraId="392BF807" w14:textId="77777777" w:rsidR="00EB1D5C" w:rsidRPr="00F57F96" w:rsidRDefault="00EB1D5C" w:rsidP="00EB1D5C">
      <w:pPr>
        <w:jc w:val="center"/>
        <w:rPr>
          <w:rFonts w:ascii="Arial" w:hAnsi="Arial" w:cs="Arial"/>
          <w:sz w:val="56"/>
        </w:rPr>
      </w:pPr>
    </w:p>
    <w:p w14:paraId="0F8690C2" w14:textId="479613E0" w:rsidR="00EB1D5C" w:rsidRPr="00F57F96" w:rsidRDefault="00EB1D5C" w:rsidP="00EB1D5C">
      <w:pPr>
        <w:jc w:val="center"/>
        <w:rPr>
          <w:rFonts w:ascii="Arial" w:hAnsi="Arial" w:cs="Arial"/>
          <w:sz w:val="56"/>
        </w:rPr>
      </w:pPr>
      <w:r w:rsidRPr="00F57F96">
        <w:rPr>
          <w:rFonts w:ascii="Arial" w:hAnsi="Arial" w:cs="Arial"/>
          <w:sz w:val="56"/>
        </w:rPr>
        <w:t>AC</w:t>
      </w:r>
      <w:r w:rsidR="002A7D27">
        <w:rPr>
          <w:rFonts w:ascii="Arial" w:hAnsi="Arial" w:cs="Arial"/>
          <w:sz w:val="56"/>
        </w:rPr>
        <w:t>C</w:t>
      </w:r>
      <w:r w:rsidRPr="00F57F96">
        <w:rPr>
          <w:rFonts w:ascii="Arial" w:hAnsi="Arial" w:cs="Arial"/>
          <w:sz w:val="56"/>
        </w:rPr>
        <w:t>A 60</w:t>
      </w:r>
      <w:r w:rsidR="002A7D27">
        <w:rPr>
          <w:rFonts w:ascii="Arial" w:hAnsi="Arial" w:cs="Arial"/>
          <w:sz w:val="56"/>
        </w:rPr>
        <w:t>20</w:t>
      </w:r>
      <w:r w:rsidRPr="00F57F96">
        <w:rPr>
          <w:rFonts w:ascii="Arial" w:hAnsi="Arial" w:cs="Arial"/>
          <w:sz w:val="56"/>
        </w:rPr>
        <w:t xml:space="preserve"> - BEng (Hons) Ordnance, Munitions and Explosives</w:t>
      </w:r>
    </w:p>
    <w:p w14:paraId="5D93D39A" w14:textId="77777777" w:rsidR="005E2F5D" w:rsidRPr="00F57F96" w:rsidRDefault="005E2F5D" w:rsidP="002A7D27">
      <w:pPr>
        <w:rPr>
          <w:rFonts w:ascii="Arial" w:hAnsi="Arial" w:cs="Arial"/>
          <w:sz w:val="56"/>
        </w:rPr>
      </w:pPr>
    </w:p>
    <w:p w14:paraId="0B299889" w14:textId="176B6A40" w:rsidR="00264E9F" w:rsidRPr="00F57F96" w:rsidRDefault="00353C2C" w:rsidP="005E2F5D">
      <w:pPr>
        <w:jc w:val="center"/>
        <w:rPr>
          <w:rFonts w:ascii="Arial" w:hAnsi="Arial" w:cs="Arial"/>
          <w:sz w:val="56"/>
        </w:rPr>
      </w:pPr>
      <w:r w:rsidRPr="00F57F96">
        <w:rPr>
          <w:rFonts w:ascii="Arial" w:hAnsi="Arial" w:cs="Arial"/>
          <w:sz w:val="56"/>
        </w:rPr>
        <w:t xml:space="preserve">In-Service Surveillance of </w:t>
      </w:r>
      <w:r w:rsidR="007A0815" w:rsidRPr="00F57F96">
        <w:rPr>
          <w:rFonts w:ascii="Arial" w:hAnsi="Arial" w:cs="Arial"/>
          <w:sz w:val="56"/>
        </w:rPr>
        <w:t>40mm Signal Cartridges</w:t>
      </w:r>
    </w:p>
    <w:p w14:paraId="1BD2AC7B" w14:textId="77777777" w:rsidR="00014427" w:rsidRPr="00F57F96" w:rsidRDefault="00014427" w:rsidP="005E2F5D">
      <w:pPr>
        <w:jc w:val="center"/>
        <w:rPr>
          <w:rFonts w:ascii="Arial" w:hAnsi="Arial" w:cs="Arial"/>
          <w:sz w:val="56"/>
        </w:rPr>
      </w:pPr>
    </w:p>
    <w:p w14:paraId="075D1E2E" w14:textId="4256E0EF" w:rsidR="007A0815" w:rsidRPr="00F57F96" w:rsidRDefault="007A0815" w:rsidP="005E2F5D">
      <w:pPr>
        <w:jc w:val="center"/>
        <w:rPr>
          <w:rFonts w:ascii="Arial" w:hAnsi="Arial" w:cs="Arial"/>
          <w:sz w:val="56"/>
        </w:rPr>
      </w:pPr>
      <w:r w:rsidRPr="00F57F96">
        <w:rPr>
          <w:rFonts w:ascii="Arial" w:hAnsi="Arial" w:cs="Arial"/>
          <w:sz w:val="56"/>
        </w:rPr>
        <w:t>By</w:t>
      </w:r>
    </w:p>
    <w:p w14:paraId="450A7239" w14:textId="4A055E5E" w:rsidR="005E2F5D" w:rsidRPr="00F57F96" w:rsidRDefault="00014427" w:rsidP="005E2F5D">
      <w:pPr>
        <w:jc w:val="center"/>
        <w:rPr>
          <w:rFonts w:ascii="Arial" w:hAnsi="Arial" w:cs="Arial"/>
          <w:sz w:val="56"/>
          <w:szCs w:val="56"/>
        </w:rPr>
      </w:pPr>
      <w:r w:rsidRPr="00F57F96">
        <w:rPr>
          <w:rFonts w:ascii="Arial" w:hAnsi="Arial" w:cs="Arial"/>
          <w:sz w:val="56"/>
          <w:szCs w:val="56"/>
        </w:rPr>
        <w:t>Samuel Hawkins</w:t>
      </w:r>
    </w:p>
    <w:p w14:paraId="228C758D" w14:textId="77777777" w:rsidR="001A69C3" w:rsidRDefault="001A69C3" w:rsidP="001A69C3">
      <w:pPr>
        <w:tabs>
          <w:tab w:val="center" w:pos="4513"/>
        </w:tabs>
        <w:jc w:val="center"/>
        <w:rPr>
          <w:rFonts w:ascii="Arial" w:hAnsi="Arial" w:cs="Arial"/>
          <w:sz w:val="48"/>
        </w:rPr>
      </w:pPr>
    </w:p>
    <w:p w14:paraId="1D89380D" w14:textId="77777777" w:rsidR="001A69C3" w:rsidRDefault="001A69C3" w:rsidP="001A69C3">
      <w:pPr>
        <w:tabs>
          <w:tab w:val="center" w:pos="4513"/>
        </w:tabs>
        <w:jc w:val="center"/>
        <w:rPr>
          <w:rFonts w:ascii="Arial" w:hAnsi="Arial" w:cs="Arial"/>
          <w:sz w:val="48"/>
        </w:rPr>
      </w:pPr>
    </w:p>
    <w:p w14:paraId="6384632C" w14:textId="42952846" w:rsidR="001A69C3" w:rsidRDefault="001A69C3" w:rsidP="001A69C3">
      <w:pPr>
        <w:tabs>
          <w:tab w:val="center" w:pos="4513"/>
        </w:tabs>
        <w:jc w:val="center"/>
        <w:rPr>
          <w:rFonts w:ascii="Arial" w:hAnsi="Arial" w:cs="Arial"/>
          <w:sz w:val="48"/>
        </w:rPr>
      </w:pPr>
      <w:r>
        <w:rPr>
          <w:rFonts w:ascii="Arial" w:hAnsi="Arial" w:cs="Arial"/>
          <w:sz w:val="48"/>
        </w:rPr>
        <w:t>Date: 19/06/2026</w:t>
      </w:r>
    </w:p>
    <w:p w14:paraId="3CCCD5AA" w14:textId="08DAEEB0" w:rsidR="005E2F5D" w:rsidRPr="00F57F96" w:rsidRDefault="005E2F5D" w:rsidP="001A69C3">
      <w:pPr>
        <w:tabs>
          <w:tab w:val="center" w:pos="4513"/>
        </w:tabs>
        <w:rPr>
          <w:rFonts w:ascii="Arial" w:hAnsi="Arial" w:cs="Arial"/>
          <w:sz w:val="48"/>
        </w:rPr>
      </w:pPr>
      <w:r w:rsidRPr="001A69C3">
        <w:rPr>
          <w:rFonts w:ascii="Arial" w:hAnsi="Arial" w:cs="Arial"/>
          <w:sz w:val="48"/>
        </w:rPr>
        <w:br w:type="page"/>
      </w:r>
    </w:p>
    <w:sdt>
      <w:sdtPr>
        <w:rPr>
          <w:rFonts w:ascii="Arial" w:eastAsia="Times New Roman" w:hAnsi="Arial" w:cs="Arial"/>
          <w:color w:val="auto"/>
          <w:sz w:val="20"/>
          <w:szCs w:val="20"/>
          <w:lang w:val="en-GB" w:eastAsia="en-GB"/>
        </w:rPr>
        <w:id w:val="-2059306146"/>
        <w:docPartObj>
          <w:docPartGallery w:val="Table of Contents"/>
          <w:docPartUnique/>
        </w:docPartObj>
      </w:sdtPr>
      <w:sdtEndPr>
        <w:rPr>
          <w:rFonts w:eastAsiaTheme="minorHAnsi"/>
          <w:sz w:val="22"/>
          <w:szCs w:val="22"/>
          <w:lang w:eastAsia="en-US"/>
        </w:rPr>
      </w:sdtEndPr>
      <w:sdtContent>
        <w:p w14:paraId="297F18CC" w14:textId="77777777" w:rsidR="00E628E0" w:rsidRPr="00F57F96" w:rsidRDefault="00E628E0" w:rsidP="00E628E0">
          <w:pPr>
            <w:pStyle w:val="TOCHeading"/>
            <w:rPr>
              <w:rFonts w:ascii="Arial" w:hAnsi="Arial" w:cs="Arial"/>
            </w:rPr>
          </w:pPr>
          <w:r w:rsidRPr="00F57F96">
            <w:rPr>
              <w:rFonts w:ascii="Arial" w:hAnsi="Arial" w:cs="Arial"/>
            </w:rPr>
            <w:t>Contents</w:t>
          </w:r>
        </w:p>
        <w:p w14:paraId="16DDC4A8" w14:textId="3484883E" w:rsidR="00526D84" w:rsidRDefault="00E628E0">
          <w:pPr>
            <w:pStyle w:val="TOC1"/>
            <w:rPr>
              <w:rFonts w:asciiTheme="minorHAnsi" w:eastAsiaTheme="minorEastAsia" w:hAnsiTheme="minorHAnsi" w:cstheme="minorBidi"/>
              <w:kern w:val="2"/>
              <w:sz w:val="24"/>
              <w:szCs w:val="24"/>
              <w14:ligatures w14:val="standardContextual"/>
            </w:rPr>
          </w:pPr>
          <w:r w:rsidRPr="00F57F96">
            <w:rPr>
              <w:rFonts w:ascii="Arial" w:hAnsi="Arial" w:cs="Arial"/>
            </w:rPr>
            <w:fldChar w:fldCharType="begin"/>
          </w:r>
          <w:r w:rsidRPr="00F57F96">
            <w:rPr>
              <w:rFonts w:ascii="Arial" w:hAnsi="Arial" w:cs="Arial"/>
            </w:rPr>
            <w:instrText xml:space="preserve"> TOC \o "1-3" \h \z \u </w:instrText>
          </w:r>
          <w:r w:rsidRPr="00F57F96">
            <w:rPr>
              <w:rFonts w:ascii="Arial" w:hAnsi="Arial" w:cs="Arial"/>
            </w:rPr>
            <w:fldChar w:fldCharType="separate"/>
          </w:r>
          <w:hyperlink w:anchor="_Toc232764354" w:history="1">
            <w:r w:rsidR="00526D84" w:rsidRPr="00165BA7">
              <w:rPr>
                <w:rStyle w:val="Hyperlink"/>
              </w:rPr>
              <w:t>1.</w:t>
            </w:r>
            <w:r w:rsidR="00526D84">
              <w:rPr>
                <w:rFonts w:asciiTheme="minorHAnsi" w:eastAsiaTheme="minorEastAsia" w:hAnsiTheme="minorHAnsi" w:cstheme="minorBidi"/>
                <w:kern w:val="2"/>
                <w:sz w:val="24"/>
                <w:szCs w:val="24"/>
                <w14:ligatures w14:val="standardContextual"/>
              </w:rPr>
              <w:tab/>
            </w:r>
            <w:r w:rsidR="00526D84" w:rsidRPr="00165BA7">
              <w:rPr>
                <w:rStyle w:val="Hyperlink"/>
              </w:rPr>
              <w:t>Introduction</w:t>
            </w:r>
            <w:r w:rsidR="00526D84">
              <w:rPr>
                <w:webHidden/>
              </w:rPr>
              <w:tab/>
            </w:r>
            <w:r w:rsidR="00526D84">
              <w:rPr>
                <w:webHidden/>
              </w:rPr>
              <w:fldChar w:fldCharType="begin"/>
            </w:r>
            <w:r w:rsidR="00526D84">
              <w:rPr>
                <w:webHidden/>
              </w:rPr>
              <w:instrText xml:space="preserve"> PAGEREF _Toc232764354 \h </w:instrText>
            </w:r>
            <w:r w:rsidR="00526D84">
              <w:rPr>
                <w:webHidden/>
              </w:rPr>
            </w:r>
            <w:r w:rsidR="00526D84">
              <w:rPr>
                <w:webHidden/>
              </w:rPr>
              <w:fldChar w:fldCharType="separate"/>
            </w:r>
            <w:r w:rsidR="00526D84">
              <w:rPr>
                <w:webHidden/>
              </w:rPr>
              <w:t>3</w:t>
            </w:r>
            <w:r w:rsidR="00526D84">
              <w:rPr>
                <w:webHidden/>
              </w:rPr>
              <w:fldChar w:fldCharType="end"/>
            </w:r>
          </w:hyperlink>
        </w:p>
        <w:p w14:paraId="54CE140E" w14:textId="49368EF9" w:rsidR="00526D84" w:rsidRDefault="00526D84">
          <w:pPr>
            <w:pStyle w:val="TOC1"/>
            <w:rPr>
              <w:rFonts w:asciiTheme="minorHAnsi" w:eastAsiaTheme="minorEastAsia" w:hAnsiTheme="minorHAnsi" w:cstheme="minorBidi"/>
              <w:kern w:val="2"/>
              <w:sz w:val="24"/>
              <w:szCs w:val="24"/>
              <w14:ligatures w14:val="standardContextual"/>
            </w:rPr>
          </w:pPr>
          <w:hyperlink w:anchor="_Toc232764355" w:history="1">
            <w:r w:rsidRPr="00165BA7">
              <w:rPr>
                <w:rStyle w:val="Hyperlink"/>
              </w:rPr>
              <w:t>2.</w:t>
            </w:r>
            <w:r>
              <w:rPr>
                <w:rFonts w:asciiTheme="minorHAnsi" w:eastAsiaTheme="minorEastAsia" w:hAnsiTheme="minorHAnsi" w:cstheme="minorBidi"/>
                <w:kern w:val="2"/>
                <w:sz w:val="24"/>
                <w:szCs w:val="24"/>
                <w14:ligatures w14:val="standardContextual"/>
              </w:rPr>
              <w:tab/>
            </w:r>
            <w:r w:rsidRPr="00165BA7">
              <w:rPr>
                <w:rStyle w:val="Hyperlink"/>
              </w:rPr>
              <w:t>Background/Literature Review</w:t>
            </w:r>
            <w:r>
              <w:rPr>
                <w:webHidden/>
              </w:rPr>
              <w:tab/>
            </w:r>
            <w:r>
              <w:rPr>
                <w:webHidden/>
              </w:rPr>
              <w:fldChar w:fldCharType="begin"/>
            </w:r>
            <w:r>
              <w:rPr>
                <w:webHidden/>
              </w:rPr>
              <w:instrText xml:space="preserve"> PAGEREF _Toc232764355 \h </w:instrText>
            </w:r>
            <w:r>
              <w:rPr>
                <w:webHidden/>
              </w:rPr>
            </w:r>
            <w:r>
              <w:rPr>
                <w:webHidden/>
              </w:rPr>
              <w:fldChar w:fldCharType="separate"/>
            </w:r>
            <w:r>
              <w:rPr>
                <w:webHidden/>
              </w:rPr>
              <w:t>3</w:t>
            </w:r>
            <w:r>
              <w:rPr>
                <w:webHidden/>
              </w:rPr>
              <w:fldChar w:fldCharType="end"/>
            </w:r>
          </w:hyperlink>
        </w:p>
        <w:p w14:paraId="00E451AE" w14:textId="22F9B821" w:rsidR="00526D84" w:rsidRDefault="00526D84">
          <w:pPr>
            <w:pStyle w:val="TOC1"/>
            <w:rPr>
              <w:rFonts w:asciiTheme="minorHAnsi" w:eastAsiaTheme="minorEastAsia" w:hAnsiTheme="minorHAnsi" w:cstheme="minorBidi"/>
              <w:kern w:val="2"/>
              <w:sz w:val="24"/>
              <w:szCs w:val="24"/>
              <w14:ligatures w14:val="standardContextual"/>
            </w:rPr>
          </w:pPr>
          <w:hyperlink w:anchor="_Toc232764356" w:history="1">
            <w:r w:rsidRPr="00165BA7">
              <w:rPr>
                <w:rStyle w:val="Hyperlink"/>
              </w:rPr>
              <w:t>3.</w:t>
            </w:r>
            <w:r>
              <w:rPr>
                <w:rFonts w:asciiTheme="minorHAnsi" w:eastAsiaTheme="minorEastAsia" w:hAnsiTheme="minorHAnsi" w:cstheme="minorBidi"/>
                <w:kern w:val="2"/>
                <w:sz w:val="24"/>
                <w:szCs w:val="24"/>
                <w14:ligatures w14:val="standardContextual"/>
              </w:rPr>
              <w:tab/>
            </w:r>
            <w:r w:rsidRPr="00165BA7">
              <w:rPr>
                <w:rStyle w:val="Hyperlink"/>
              </w:rPr>
              <w:t>Project Activities</w:t>
            </w:r>
            <w:r>
              <w:rPr>
                <w:webHidden/>
              </w:rPr>
              <w:tab/>
            </w:r>
            <w:r>
              <w:rPr>
                <w:webHidden/>
              </w:rPr>
              <w:fldChar w:fldCharType="begin"/>
            </w:r>
            <w:r>
              <w:rPr>
                <w:webHidden/>
              </w:rPr>
              <w:instrText xml:space="preserve"> PAGEREF _Toc232764356 \h </w:instrText>
            </w:r>
            <w:r>
              <w:rPr>
                <w:webHidden/>
              </w:rPr>
            </w:r>
            <w:r>
              <w:rPr>
                <w:webHidden/>
              </w:rPr>
              <w:fldChar w:fldCharType="separate"/>
            </w:r>
            <w:r>
              <w:rPr>
                <w:webHidden/>
              </w:rPr>
              <w:t>4</w:t>
            </w:r>
            <w:r>
              <w:rPr>
                <w:webHidden/>
              </w:rPr>
              <w:fldChar w:fldCharType="end"/>
            </w:r>
          </w:hyperlink>
        </w:p>
        <w:p w14:paraId="521E2599" w14:textId="2BF478A0" w:rsidR="00526D84" w:rsidRDefault="00526D84">
          <w:pPr>
            <w:pStyle w:val="TOC1"/>
            <w:rPr>
              <w:rFonts w:asciiTheme="minorHAnsi" w:eastAsiaTheme="minorEastAsia" w:hAnsiTheme="minorHAnsi" w:cstheme="minorBidi"/>
              <w:kern w:val="2"/>
              <w:sz w:val="24"/>
              <w:szCs w:val="24"/>
              <w14:ligatures w14:val="standardContextual"/>
            </w:rPr>
          </w:pPr>
          <w:hyperlink w:anchor="_Toc232764357" w:history="1">
            <w:r w:rsidRPr="00165BA7">
              <w:rPr>
                <w:rStyle w:val="Hyperlink"/>
              </w:rPr>
              <w:t>4.</w:t>
            </w:r>
            <w:r>
              <w:rPr>
                <w:rFonts w:asciiTheme="minorHAnsi" w:eastAsiaTheme="minorEastAsia" w:hAnsiTheme="minorHAnsi" w:cstheme="minorBidi"/>
                <w:kern w:val="2"/>
                <w:sz w:val="24"/>
                <w:szCs w:val="24"/>
                <w14:ligatures w14:val="standardContextual"/>
              </w:rPr>
              <w:tab/>
            </w:r>
            <w:r w:rsidRPr="00165BA7">
              <w:rPr>
                <w:rStyle w:val="Hyperlink"/>
              </w:rPr>
              <w:t>Resources &amp; Planning</w:t>
            </w:r>
            <w:r>
              <w:rPr>
                <w:webHidden/>
              </w:rPr>
              <w:tab/>
            </w:r>
            <w:r>
              <w:rPr>
                <w:webHidden/>
              </w:rPr>
              <w:fldChar w:fldCharType="begin"/>
            </w:r>
            <w:r>
              <w:rPr>
                <w:webHidden/>
              </w:rPr>
              <w:instrText xml:space="preserve"> PAGEREF _Toc232764357 \h </w:instrText>
            </w:r>
            <w:r>
              <w:rPr>
                <w:webHidden/>
              </w:rPr>
            </w:r>
            <w:r>
              <w:rPr>
                <w:webHidden/>
              </w:rPr>
              <w:fldChar w:fldCharType="separate"/>
            </w:r>
            <w:r>
              <w:rPr>
                <w:webHidden/>
              </w:rPr>
              <w:t>5</w:t>
            </w:r>
            <w:r>
              <w:rPr>
                <w:webHidden/>
              </w:rPr>
              <w:fldChar w:fldCharType="end"/>
            </w:r>
          </w:hyperlink>
        </w:p>
        <w:p w14:paraId="699550EC" w14:textId="746F0B6B" w:rsidR="00526D84" w:rsidRDefault="00526D84">
          <w:pPr>
            <w:pStyle w:val="TOC1"/>
            <w:rPr>
              <w:rFonts w:asciiTheme="minorHAnsi" w:eastAsiaTheme="minorEastAsia" w:hAnsiTheme="minorHAnsi" w:cstheme="minorBidi"/>
              <w:kern w:val="2"/>
              <w:sz w:val="24"/>
              <w:szCs w:val="24"/>
              <w14:ligatures w14:val="standardContextual"/>
            </w:rPr>
          </w:pPr>
          <w:hyperlink w:anchor="_Toc232764358" w:history="1">
            <w:r w:rsidRPr="00165BA7">
              <w:rPr>
                <w:rStyle w:val="Hyperlink"/>
                <w:rFonts w:ascii="Arial" w:hAnsi="Arial" w:cs="Arial"/>
              </w:rPr>
              <w:t>References</w:t>
            </w:r>
            <w:r>
              <w:rPr>
                <w:webHidden/>
              </w:rPr>
              <w:tab/>
            </w:r>
            <w:r>
              <w:rPr>
                <w:webHidden/>
              </w:rPr>
              <w:fldChar w:fldCharType="begin"/>
            </w:r>
            <w:r>
              <w:rPr>
                <w:webHidden/>
              </w:rPr>
              <w:instrText xml:space="preserve"> PAGEREF _Toc232764358 \h </w:instrText>
            </w:r>
            <w:r>
              <w:rPr>
                <w:webHidden/>
              </w:rPr>
            </w:r>
            <w:r>
              <w:rPr>
                <w:webHidden/>
              </w:rPr>
              <w:fldChar w:fldCharType="separate"/>
            </w:r>
            <w:r>
              <w:rPr>
                <w:webHidden/>
              </w:rPr>
              <w:t>6</w:t>
            </w:r>
            <w:r>
              <w:rPr>
                <w:webHidden/>
              </w:rPr>
              <w:fldChar w:fldCharType="end"/>
            </w:r>
          </w:hyperlink>
        </w:p>
        <w:p w14:paraId="204E5A15" w14:textId="5FE18B68" w:rsidR="00526D84" w:rsidRDefault="00526D84">
          <w:pPr>
            <w:pStyle w:val="TOC1"/>
            <w:rPr>
              <w:rFonts w:asciiTheme="minorHAnsi" w:eastAsiaTheme="minorEastAsia" w:hAnsiTheme="minorHAnsi" w:cstheme="minorBidi"/>
              <w:kern w:val="2"/>
              <w:sz w:val="24"/>
              <w:szCs w:val="24"/>
              <w14:ligatures w14:val="standardContextual"/>
            </w:rPr>
          </w:pPr>
          <w:hyperlink w:anchor="_Toc232764359" w:history="1">
            <w:r w:rsidRPr="00165BA7">
              <w:rPr>
                <w:rStyle w:val="Hyperlink"/>
                <w:rFonts w:eastAsia="Arial"/>
              </w:rPr>
              <w:t>Annex A – Data Collected</w:t>
            </w:r>
            <w:r>
              <w:rPr>
                <w:webHidden/>
              </w:rPr>
              <w:tab/>
            </w:r>
            <w:r>
              <w:rPr>
                <w:webHidden/>
              </w:rPr>
              <w:fldChar w:fldCharType="begin"/>
            </w:r>
            <w:r>
              <w:rPr>
                <w:webHidden/>
              </w:rPr>
              <w:instrText xml:space="preserve"> PAGEREF _Toc232764359 \h </w:instrText>
            </w:r>
            <w:r>
              <w:rPr>
                <w:webHidden/>
              </w:rPr>
            </w:r>
            <w:r>
              <w:rPr>
                <w:webHidden/>
              </w:rPr>
              <w:fldChar w:fldCharType="separate"/>
            </w:r>
            <w:r>
              <w:rPr>
                <w:webHidden/>
              </w:rPr>
              <w:t>8</w:t>
            </w:r>
            <w:r>
              <w:rPr>
                <w:webHidden/>
              </w:rPr>
              <w:fldChar w:fldCharType="end"/>
            </w:r>
          </w:hyperlink>
        </w:p>
        <w:p w14:paraId="78E2A421" w14:textId="2E8B3138" w:rsidR="00526D84" w:rsidRDefault="00526D84">
          <w:pPr>
            <w:pStyle w:val="TOC1"/>
            <w:rPr>
              <w:rFonts w:asciiTheme="minorHAnsi" w:eastAsiaTheme="minorEastAsia" w:hAnsiTheme="minorHAnsi" w:cstheme="minorBidi"/>
              <w:kern w:val="2"/>
              <w:sz w:val="24"/>
              <w:szCs w:val="24"/>
              <w14:ligatures w14:val="standardContextual"/>
            </w:rPr>
          </w:pPr>
          <w:hyperlink w:anchor="_Toc232764360" w:history="1">
            <w:r w:rsidRPr="00165BA7">
              <w:rPr>
                <w:rStyle w:val="Hyperlink"/>
                <w:rFonts w:eastAsia="Arial"/>
              </w:rPr>
              <w:t>Annex B – SoAC Ethics Form</w:t>
            </w:r>
            <w:r>
              <w:rPr>
                <w:webHidden/>
              </w:rPr>
              <w:tab/>
            </w:r>
            <w:r>
              <w:rPr>
                <w:webHidden/>
              </w:rPr>
              <w:fldChar w:fldCharType="begin"/>
            </w:r>
            <w:r>
              <w:rPr>
                <w:webHidden/>
              </w:rPr>
              <w:instrText xml:space="preserve"> PAGEREF _Toc232764360 \h </w:instrText>
            </w:r>
            <w:r>
              <w:rPr>
                <w:webHidden/>
              </w:rPr>
            </w:r>
            <w:r>
              <w:rPr>
                <w:webHidden/>
              </w:rPr>
              <w:fldChar w:fldCharType="separate"/>
            </w:r>
            <w:r>
              <w:rPr>
                <w:webHidden/>
              </w:rPr>
              <w:t>8</w:t>
            </w:r>
            <w:r>
              <w:rPr>
                <w:webHidden/>
              </w:rPr>
              <w:fldChar w:fldCharType="end"/>
            </w:r>
          </w:hyperlink>
        </w:p>
        <w:p w14:paraId="29BF714A" w14:textId="7398DCB9" w:rsidR="00526D84" w:rsidRDefault="00526D84">
          <w:pPr>
            <w:pStyle w:val="TOC1"/>
            <w:rPr>
              <w:rFonts w:asciiTheme="minorHAnsi" w:eastAsiaTheme="minorEastAsia" w:hAnsiTheme="minorHAnsi" w:cstheme="minorBidi"/>
              <w:kern w:val="2"/>
              <w:sz w:val="24"/>
              <w:szCs w:val="24"/>
              <w14:ligatures w14:val="standardContextual"/>
            </w:rPr>
          </w:pPr>
          <w:hyperlink w:anchor="_Toc232764361" w:history="1">
            <w:r w:rsidRPr="00165BA7">
              <w:rPr>
                <w:rStyle w:val="Hyperlink"/>
                <w:rFonts w:eastAsia="Arial"/>
              </w:rPr>
              <w:t>Annex C - Timeline</w:t>
            </w:r>
            <w:r>
              <w:rPr>
                <w:webHidden/>
              </w:rPr>
              <w:tab/>
            </w:r>
            <w:r>
              <w:rPr>
                <w:webHidden/>
              </w:rPr>
              <w:fldChar w:fldCharType="begin"/>
            </w:r>
            <w:r>
              <w:rPr>
                <w:webHidden/>
              </w:rPr>
              <w:instrText xml:space="preserve"> PAGEREF _Toc232764361 \h </w:instrText>
            </w:r>
            <w:r>
              <w:rPr>
                <w:webHidden/>
              </w:rPr>
            </w:r>
            <w:r>
              <w:rPr>
                <w:webHidden/>
              </w:rPr>
              <w:fldChar w:fldCharType="separate"/>
            </w:r>
            <w:r>
              <w:rPr>
                <w:webHidden/>
              </w:rPr>
              <w:t>9</w:t>
            </w:r>
            <w:r>
              <w:rPr>
                <w:webHidden/>
              </w:rPr>
              <w:fldChar w:fldCharType="end"/>
            </w:r>
          </w:hyperlink>
        </w:p>
        <w:p w14:paraId="3AEE0EE2" w14:textId="3069DB8E" w:rsidR="00E628E0" w:rsidRPr="00F57F96" w:rsidRDefault="00E628E0" w:rsidP="00E628E0">
          <w:pPr>
            <w:rPr>
              <w:rFonts w:ascii="Arial" w:eastAsia="Times New Roman" w:hAnsi="Arial" w:cs="Arial"/>
              <w:sz w:val="20"/>
              <w:szCs w:val="20"/>
            </w:rPr>
          </w:pPr>
          <w:r w:rsidRPr="00F57F96">
            <w:rPr>
              <w:rFonts w:ascii="Arial" w:hAnsi="Arial" w:cs="Arial"/>
              <w:b/>
              <w:bCs/>
              <w:noProof/>
            </w:rPr>
            <w:fldChar w:fldCharType="end"/>
          </w:r>
        </w:p>
      </w:sdtContent>
    </w:sdt>
    <w:p w14:paraId="46441144" w14:textId="77777777" w:rsidR="005E2F5D" w:rsidRPr="00F57F96" w:rsidRDefault="005E2F5D">
      <w:pPr>
        <w:rPr>
          <w:rFonts w:ascii="Arial" w:hAnsi="Arial" w:cs="Arial"/>
        </w:rPr>
      </w:pPr>
      <w:r w:rsidRPr="00F57F96">
        <w:rPr>
          <w:rFonts w:ascii="Arial" w:hAnsi="Arial" w:cs="Arial"/>
        </w:rPr>
        <w:br w:type="page"/>
      </w:r>
    </w:p>
    <w:p w14:paraId="3C573033" w14:textId="7687BB09" w:rsidR="005E2F5D" w:rsidRPr="00DE262B" w:rsidRDefault="005E2F5D" w:rsidP="001A69C3">
      <w:pPr>
        <w:pStyle w:val="Heading1"/>
        <w:numPr>
          <w:ilvl w:val="0"/>
          <w:numId w:val="19"/>
        </w:numPr>
        <w:spacing w:line="240" w:lineRule="auto"/>
        <w:rPr>
          <w:lang w:eastAsia="en-GB"/>
        </w:rPr>
      </w:pPr>
      <w:bookmarkStart w:id="0" w:name="_Toc232764354"/>
      <w:r w:rsidRPr="00DE262B">
        <w:rPr>
          <w:lang w:eastAsia="en-GB"/>
        </w:rPr>
        <w:lastRenderedPageBreak/>
        <w:t>Introduction</w:t>
      </w:r>
      <w:bookmarkEnd w:id="0"/>
    </w:p>
    <w:p w14:paraId="2DD749D9" w14:textId="77777777" w:rsidR="00DE262B" w:rsidRDefault="00DE262B" w:rsidP="00E02908">
      <w:pPr>
        <w:rPr>
          <w:rFonts w:ascii="Arial" w:hAnsi="Arial" w:cs="Arial"/>
        </w:rPr>
      </w:pPr>
    </w:p>
    <w:p w14:paraId="6F6901FE" w14:textId="578185B4" w:rsidR="00003BEF" w:rsidRDefault="00003BEF" w:rsidP="00003BEF">
      <w:pPr>
        <w:pStyle w:val="ListParagraph"/>
        <w:numPr>
          <w:ilvl w:val="1"/>
          <w:numId w:val="19"/>
        </w:numPr>
        <w:spacing w:after="0" w:line="240" w:lineRule="auto"/>
        <w:rPr>
          <w:rFonts w:ascii="Arial" w:hAnsi="Arial" w:cs="Arial"/>
        </w:rPr>
      </w:pPr>
      <w:r w:rsidRPr="00003BEF">
        <w:rPr>
          <w:rFonts w:ascii="Arial" w:hAnsi="Arial" w:cs="Arial"/>
        </w:rPr>
        <w:t xml:space="preserve">Many countries face the challenge of ageing munitions stockpiles that may still be serviceable, such as the 40mm Cartridge Signal. </w:t>
      </w:r>
      <w:sdt>
        <w:sdtPr>
          <w:rPr>
            <w:rFonts w:ascii="Arial" w:hAnsi="Arial" w:cs="Arial"/>
          </w:rPr>
          <w:id w:val="-451934661"/>
          <w:citation/>
        </w:sdtPr>
        <w:sdtContent>
          <w:r w:rsidR="00B47D72">
            <w:rPr>
              <w:rFonts w:ascii="Arial" w:hAnsi="Arial" w:cs="Arial"/>
            </w:rPr>
            <w:fldChar w:fldCharType="begin"/>
          </w:r>
          <w:r w:rsidR="00B47D72">
            <w:rPr>
              <w:rFonts w:ascii="Arial" w:hAnsi="Arial" w:cs="Arial"/>
            </w:rPr>
            <w:instrText xml:space="preserve"> CITATION WES26 \l 2057 </w:instrText>
          </w:r>
          <w:r w:rsidR="00B47D72">
            <w:rPr>
              <w:rFonts w:ascii="Arial" w:hAnsi="Arial" w:cs="Arial"/>
            </w:rPr>
            <w:fldChar w:fldCharType="separate"/>
          </w:r>
          <w:r w:rsidR="00526D84" w:rsidRPr="00526D84">
            <w:rPr>
              <w:rFonts w:ascii="Arial" w:hAnsi="Arial" w:cs="Arial"/>
              <w:noProof/>
            </w:rPr>
            <w:t>[1]</w:t>
          </w:r>
          <w:r w:rsidR="00B47D72">
            <w:rPr>
              <w:rFonts w:ascii="Arial" w:hAnsi="Arial" w:cs="Arial"/>
            </w:rPr>
            <w:fldChar w:fldCharType="end"/>
          </w:r>
        </w:sdtContent>
      </w:sdt>
      <w:r w:rsidR="00B47D72">
        <w:rPr>
          <w:rFonts w:ascii="Arial" w:hAnsi="Arial" w:cs="Arial"/>
        </w:rPr>
        <w:t xml:space="preserve"> </w:t>
      </w:r>
      <w:r w:rsidRPr="00003BEF">
        <w:rPr>
          <w:rFonts w:ascii="Arial" w:hAnsi="Arial" w:cs="Arial"/>
        </w:rPr>
        <w:t xml:space="preserve">The key issue is whether the life of these stocks can be safely extended to maintain operational capability while ensuring no degradation in safety or performance during storage. </w:t>
      </w:r>
    </w:p>
    <w:p w14:paraId="1E21CAA8" w14:textId="77777777" w:rsidR="00003BEF" w:rsidRPr="00003BEF" w:rsidRDefault="00003BEF" w:rsidP="00003BEF">
      <w:pPr>
        <w:pStyle w:val="ListParagraph"/>
        <w:spacing w:after="0" w:line="240" w:lineRule="auto"/>
        <w:ind w:left="792"/>
        <w:rPr>
          <w:rFonts w:ascii="Arial" w:hAnsi="Arial" w:cs="Arial"/>
        </w:rPr>
      </w:pPr>
    </w:p>
    <w:p w14:paraId="2A7E6BC1" w14:textId="5668FC79" w:rsidR="00003BEF" w:rsidRDefault="00003BEF" w:rsidP="00003BEF">
      <w:pPr>
        <w:pStyle w:val="ListParagraph"/>
        <w:numPr>
          <w:ilvl w:val="1"/>
          <w:numId w:val="19"/>
        </w:numPr>
        <w:spacing w:after="0" w:line="240" w:lineRule="auto"/>
        <w:rPr>
          <w:rFonts w:ascii="Arial" w:hAnsi="Arial" w:cs="Arial"/>
        </w:rPr>
      </w:pPr>
      <w:r w:rsidRPr="00003BEF">
        <w:rPr>
          <w:rFonts w:ascii="Arial" w:hAnsi="Arial" w:cs="Arial"/>
        </w:rPr>
        <w:t>This project aims to plan, conduct tests and inspections and analyse results to enable a short</w:t>
      </w:r>
      <w:r w:rsidRPr="00003BEF">
        <w:rPr>
          <w:rFonts w:ascii="Arial" w:hAnsi="Arial" w:cs="Arial"/>
        </w:rPr>
        <w:noBreakHyphen/>
        <w:t>term life extension (STLE) of 12 months for the 40mm signal cartridges. This will result in a 12</w:t>
      </w:r>
      <w:r w:rsidRPr="00003BEF">
        <w:rPr>
          <w:rFonts w:ascii="Arial" w:hAnsi="Arial" w:cs="Arial"/>
        </w:rPr>
        <w:noBreakHyphen/>
        <w:t>month life extension maintaining operational capability. It will use existing In</w:t>
      </w:r>
      <w:r w:rsidRPr="00003BEF">
        <w:rPr>
          <w:rFonts w:ascii="Arial" w:hAnsi="Arial" w:cs="Arial"/>
        </w:rPr>
        <w:noBreakHyphen/>
        <w:t>Service Surveillance (ISS) teams, technical resources, and contractual arrangements, ensuring no impact on users or additional funding requirements. Work will be conducted by February 27, allowing an STLE and summary report to be generated by March 27.</w:t>
      </w:r>
    </w:p>
    <w:p w14:paraId="13FF4F8D" w14:textId="77777777" w:rsidR="00003BEF" w:rsidRPr="00003BEF" w:rsidRDefault="00003BEF" w:rsidP="00003BEF">
      <w:pPr>
        <w:pStyle w:val="ListParagraph"/>
        <w:spacing w:after="0" w:line="240" w:lineRule="auto"/>
        <w:ind w:left="792"/>
        <w:rPr>
          <w:rFonts w:ascii="Arial" w:hAnsi="Arial" w:cs="Arial"/>
        </w:rPr>
      </w:pPr>
    </w:p>
    <w:p w14:paraId="4EF895F7" w14:textId="596AB680" w:rsidR="00003BEF" w:rsidRDefault="00003BEF" w:rsidP="00003BEF">
      <w:pPr>
        <w:pStyle w:val="ListParagraph"/>
        <w:numPr>
          <w:ilvl w:val="1"/>
          <w:numId w:val="19"/>
        </w:numPr>
        <w:spacing w:after="0" w:line="240" w:lineRule="auto"/>
        <w:rPr>
          <w:rFonts w:ascii="Arial" w:hAnsi="Arial" w:cs="Arial"/>
        </w:rPr>
      </w:pPr>
      <w:r w:rsidRPr="00003BEF">
        <w:rPr>
          <w:rFonts w:ascii="Arial" w:hAnsi="Arial" w:cs="Arial"/>
        </w:rPr>
        <w:t>By supporting life extension activities, the project will maintain munition capability and provide valuable data on ageing effects, reducing risks of unexpected failures and informing future stock management. The project requires collaboration with stakeholders, access to test stock and facilities, and qualified personnel to gather essential data for evidence</w:t>
      </w:r>
      <w:r w:rsidRPr="00003BEF">
        <w:rPr>
          <w:rFonts w:ascii="Arial" w:hAnsi="Arial" w:cs="Arial"/>
        </w:rPr>
        <w:noBreakHyphen/>
        <w:t>based recommendations.</w:t>
      </w:r>
    </w:p>
    <w:p w14:paraId="7C41E507" w14:textId="77777777" w:rsidR="00003BEF" w:rsidRPr="00003BEF" w:rsidRDefault="00003BEF" w:rsidP="00003BEF">
      <w:pPr>
        <w:pStyle w:val="ListParagraph"/>
        <w:spacing w:after="0" w:line="240" w:lineRule="auto"/>
        <w:ind w:left="792"/>
        <w:rPr>
          <w:rFonts w:ascii="Arial" w:hAnsi="Arial" w:cs="Arial"/>
        </w:rPr>
      </w:pPr>
    </w:p>
    <w:p w14:paraId="319E102E" w14:textId="6BF6135A" w:rsidR="00003BEF" w:rsidRPr="00003BEF" w:rsidRDefault="00003BEF" w:rsidP="00003BEF">
      <w:pPr>
        <w:pStyle w:val="ListParagraph"/>
        <w:numPr>
          <w:ilvl w:val="1"/>
          <w:numId w:val="19"/>
        </w:numPr>
        <w:spacing w:after="0" w:line="240" w:lineRule="auto"/>
        <w:rPr>
          <w:rFonts w:ascii="Arial" w:hAnsi="Arial" w:cs="Arial"/>
        </w:rPr>
      </w:pPr>
      <w:r w:rsidRPr="00003BEF">
        <w:rPr>
          <w:rFonts w:ascii="Arial" w:hAnsi="Arial" w:cs="Arial"/>
        </w:rPr>
        <w:t>Deliverables include an ISS plan outlining testing procedures, a results report on stock condition and performance, an STLE proposal for chief engineer review, and a summary report demonstrating relevant knowledge and skills. Ultimately, this will extend the stock’s service life by 12 months while ensuring safety and operational effectiveness.</w:t>
      </w:r>
    </w:p>
    <w:p w14:paraId="69922DCC" w14:textId="77777777" w:rsidR="006929D9" w:rsidRPr="00F57F96" w:rsidRDefault="006929D9" w:rsidP="00E87ECD">
      <w:pPr>
        <w:rPr>
          <w:rFonts w:ascii="Arial" w:hAnsi="Arial" w:cs="Arial"/>
        </w:rPr>
      </w:pPr>
    </w:p>
    <w:p w14:paraId="4C40916A" w14:textId="6252770F" w:rsidR="00B60AF0" w:rsidRPr="00DE262B" w:rsidRDefault="00AA605E" w:rsidP="00DE262B">
      <w:pPr>
        <w:pStyle w:val="Heading1"/>
        <w:numPr>
          <w:ilvl w:val="0"/>
          <w:numId w:val="19"/>
        </w:numPr>
        <w:spacing w:line="240" w:lineRule="auto"/>
        <w:rPr>
          <w:lang w:eastAsia="en-GB"/>
        </w:rPr>
      </w:pPr>
      <w:bookmarkStart w:id="1" w:name="_Toc232764355"/>
      <w:r w:rsidRPr="00DE262B">
        <w:rPr>
          <w:lang w:eastAsia="en-GB"/>
        </w:rPr>
        <w:t>Background/Literature Review</w:t>
      </w:r>
      <w:bookmarkEnd w:id="1"/>
    </w:p>
    <w:p w14:paraId="6F143DC3" w14:textId="77777777" w:rsidR="008C1FA8" w:rsidRPr="00F57F96" w:rsidRDefault="008C1FA8" w:rsidP="00E87ECD">
      <w:pPr>
        <w:rPr>
          <w:rFonts w:ascii="Arial" w:hAnsi="Arial" w:cs="Arial"/>
        </w:rPr>
      </w:pPr>
    </w:p>
    <w:p w14:paraId="70494215" w14:textId="105F7864" w:rsidR="00E010B8" w:rsidRDefault="00003BEF" w:rsidP="00DE262B">
      <w:pPr>
        <w:pStyle w:val="ListParagraph"/>
        <w:numPr>
          <w:ilvl w:val="1"/>
          <w:numId w:val="19"/>
        </w:numPr>
        <w:spacing w:after="0" w:line="240" w:lineRule="auto"/>
        <w:rPr>
          <w:rFonts w:ascii="Arial" w:hAnsi="Arial" w:cs="Arial"/>
        </w:rPr>
      </w:pPr>
      <w:r w:rsidRPr="00003BEF">
        <w:rPr>
          <w:rFonts w:ascii="Arial" w:hAnsi="Arial" w:cs="Arial"/>
        </w:rPr>
        <w:t xml:space="preserve">UK MOD follows Defence Safety Authority guidance to ensure risks associated with Ordnance, Munitions and Explosives (OME) remain as low as reasonably practicable </w:t>
      </w:r>
      <w:r>
        <w:rPr>
          <w:rFonts w:ascii="Arial" w:hAnsi="Arial" w:cs="Arial"/>
        </w:rPr>
        <w:t xml:space="preserve">(ALARP) </w:t>
      </w:r>
      <w:r w:rsidRPr="00003BEF">
        <w:rPr>
          <w:rFonts w:ascii="Arial" w:hAnsi="Arial" w:cs="Arial"/>
        </w:rPr>
        <w:t>throughout their life.</w:t>
      </w:r>
      <w:r w:rsidRPr="00003BEF">
        <w:rPr>
          <w:rFonts w:ascii="Arial" w:hAnsi="Arial" w:cs="Arial"/>
        </w:rPr>
        <w:t xml:space="preserve"> </w:t>
      </w:r>
      <w:sdt>
        <w:sdtPr>
          <w:rPr>
            <w:rFonts w:ascii="Arial" w:hAnsi="Arial" w:cs="Arial"/>
          </w:rPr>
          <w:id w:val="1628042055"/>
          <w:citation/>
        </w:sdtPr>
        <w:sdtContent>
          <w:r w:rsidR="007C21C9" w:rsidRPr="00F57F96">
            <w:rPr>
              <w:rFonts w:ascii="Arial" w:hAnsi="Arial" w:cs="Arial"/>
            </w:rPr>
            <w:fldChar w:fldCharType="begin"/>
          </w:r>
          <w:r w:rsidR="007C21C9" w:rsidRPr="00DE262B">
            <w:rPr>
              <w:rFonts w:ascii="Arial" w:hAnsi="Arial" w:cs="Arial"/>
            </w:rPr>
            <w:instrText xml:space="preserve"> CITATION Min25 \l 1033 </w:instrText>
          </w:r>
          <w:r w:rsidR="007C21C9" w:rsidRPr="00F57F96">
            <w:rPr>
              <w:rFonts w:ascii="Arial" w:hAnsi="Arial" w:cs="Arial"/>
            </w:rPr>
            <w:fldChar w:fldCharType="separate"/>
          </w:r>
          <w:r w:rsidR="00526D84" w:rsidRPr="00526D84">
            <w:rPr>
              <w:rFonts w:ascii="Arial" w:hAnsi="Arial" w:cs="Arial"/>
              <w:noProof/>
            </w:rPr>
            <w:t>[2]</w:t>
          </w:r>
          <w:r w:rsidR="007C21C9" w:rsidRPr="00F57F96">
            <w:rPr>
              <w:rFonts w:ascii="Arial" w:hAnsi="Arial" w:cs="Arial"/>
            </w:rPr>
            <w:fldChar w:fldCharType="end"/>
          </w:r>
        </w:sdtContent>
      </w:sdt>
      <w:r w:rsidR="007C21C9" w:rsidRPr="00F57F96">
        <w:rPr>
          <w:rFonts w:ascii="Arial" w:hAnsi="Arial" w:cs="Arial"/>
        </w:rPr>
        <w:t xml:space="preserve"> </w:t>
      </w:r>
      <w:r w:rsidRPr="00003BEF">
        <w:rPr>
          <w:rFonts w:ascii="Arial" w:hAnsi="Arial" w:cs="Arial"/>
        </w:rPr>
        <w:t>Guidance is provided through Defence Codes of Practice (DCOP), which outline strategy, processes, tools and best practices to demonstrate munition safety and performance. DCOP 113 supports effective through</w:t>
      </w:r>
      <w:r w:rsidRPr="00003BEF">
        <w:rPr>
          <w:rFonts w:ascii="Arial" w:hAnsi="Arial" w:cs="Arial"/>
        </w:rPr>
        <w:noBreakHyphen/>
        <w:t xml:space="preserve">life management </w:t>
      </w:r>
      <w:sdt>
        <w:sdtPr>
          <w:rPr>
            <w:rFonts w:ascii="Arial" w:hAnsi="Arial" w:cs="Arial"/>
          </w:rPr>
          <w:id w:val="1099990495"/>
          <w:citation/>
        </w:sdtPr>
        <w:sdtContent>
          <w:r w:rsidR="00C10409" w:rsidRPr="00F57F96">
            <w:rPr>
              <w:rFonts w:ascii="Arial" w:hAnsi="Arial" w:cs="Arial"/>
            </w:rPr>
            <w:fldChar w:fldCharType="begin"/>
          </w:r>
          <w:r w:rsidR="007C21C9" w:rsidRPr="00DE262B">
            <w:rPr>
              <w:rFonts w:ascii="Arial" w:hAnsi="Arial" w:cs="Arial"/>
            </w:rPr>
            <w:instrText xml:space="preserve">CITATION Def \l 1033 </w:instrText>
          </w:r>
          <w:r w:rsidR="00C10409" w:rsidRPr="00F57F96">
            <w:rPr>
              <w:rFonts w:ascii="Arial" w:hAnsi="Arial" w:cs="Arial"/>
            </w:rPr>
            <w:fldChar w:fldCharType="separate"/>
          </w:r>
          <w:r w:rsidR="00526D84" w:rsidRPr="00526D84">
            <w:rPr>
              <w:rFonts w:ascii="Arial" w:hAnsi="Arial" w:cs="Arial"/>
              <w:noProof/>
            </w:rPr>
            <w:t>[3]</w:t>
          </w:r>
          <w:r w:rsidR="00C10409" w:rsidRPr="00F57F96">
            <w:rPr>
              <w:rFonts w:ascii="Arial" w:hAnsi="Arial" w:cs="Arial"/>
            </w:rPr>
            <w:fldChar w:fldCharType="end"/>
          </w:r>
        </w:sdtContent>
      </w:sdt>
      <w:r w:rsidR="007C449E" w:rsidRPr="00F57F96">
        <w:rPr>
          <w:rFonts w:ascii="Arial" w:hAnsi="Arial" w:cs="Arial"/>
        </w:rPr>
        <w:t xml:space="preserve">, supported by STANAG </w:t>
      </w:r>
      <w:r w:rsidR="002B36D7" w:rsidRPr="00F57F96">
        <w:rPr>
          <w:rFonts w:ascii="Arial" w:hAnsi="Arial" w:cs="Arial"/>
        </w:rPr>
        <w:t>4675</w:t>
      </w:r>
      <w:r w:rsidR="006D24AA" w:rsidRPr="00F57F96">
        <w:rPr>
          <w:rFonts w:ascii="Arial" w:hAnsi="Arial" w:cs="Arial"/>
        </w:rPr>
        <w:t xml:space="preserve"> </w:t>
      </w:r>
      <w:sdt>
        <w:sdtPr>
          <w:rPr>
            <w:rFonts w:ascii="Arial" w:hAnsi="Arial" w:cs="Arial"/>
          </w:rPr>
          <w:id w:val="-90861165"/>
          <w:citation/>
        </w:sdtPr>
        <w:sdtContent>
          <w:r w:rsidR="00FB6AA5" w:rsidRPr="00F57F96">
            <w:rPr>
              <w:rFonts w:ascii="Arial" w:hAnsi="Arial" w:cs="Arial"/>
            </w:rPr>
            <w:fldChar w:fldCharType="begin"/>
          </w:r>
          <w:r w:rsidR="004020AF" w:rsidRPr="00DE262B">
            <w:rPr>
              <w:rFonts w:ascii="Arial" w:hAnsi="Arial" w:cs="Arial"/>
            </w:rPr>
            <w:instrText xml:space="preserve">CITATION NAT17 \l 1033 </w:instrText>
          </w:r>
          <w:r w:rsidR="00FB6AA5" w:rsidRPr="00F57F96">
            <w:rPr>
              <w:rFonts w:ascii="Arial" w:hAnsi="Arial" w:cs="Arial"/>
            </w:rPr>
            <w:fldChar w:fldCharType="separate"/>
          </w:r>
          <w:r w:rsidR="00526D84" w:rsidRPr="00526D84">
            <w:rPr>
              <w:rFonts w:ascii="Arial" w:hAnsi="Arial" w:cs="Arial"/>
              <w:noProof/>
            </w:rPr>
            <w:t>[4]</w:t>
          </w:r>
          <w:r w:rsidR="00FB6AA5" w:rsidRPr="00F57F96">
            <w:rPr>
              <w:rFonts w:ascii="Arial" w:hAnsi="Arial" w:cs="Arial"/>
            </w:rPr>
            <w:fldChar w:fldCharType="end"/>
          </w:r>
        </w:sdtContent>
      </w:sdt>
      <w:r w:rsidR="004A2A7A" w:rsidRPr="00F57F96">
        <w:rPr>
          <w:rFonts w:ascii="Arial" w:hAnsi="Arial" w:cs="Arial"/>
        </w:rPr>
        <w:t xml:space="preserve"> </w:t>
      </w:r>
      <w:sdt>
        <w:sdtPr>
          <w:rPr>
            <w:rFonts w:ascii="Arial" w:hAnsi="Arial" w:cs="Arial"/>
          </w:rPr>
          <w:id w:val="1991282033"/>
          <w:citation/>
        </w:sdtPr>
        <w:sdtContent>
          <w:r w:rsidR="004020AF" w:rsidRPr="00F57F96">
            <w:rPr>
              <w:rFonts w:ascii="Arial" w:hAnsi="Arial" w:cs="Arial"/>
            </w:rPr>
            <w:fldChar w:fldCharType="begin"/>
          </w:r>
          <w:r w:rsidR="004020AF" w:rsidRPr="00DE262B">
            <w:rPr>
              <w:rFonts w:ascii="Arial" w:hAnsi="Arial" w:cs="Arial"/>
            </w:rPr>
            <w:instrText xml:space="preserve"> CITATION Nor17 \l 1033 </w:instrText>
          </w:r>
          <w:r w:rsidR="004020AF" w:rsidRPr="00F57F96">
            <w:rPr>
              <w:rFonts w:ascii="Arial" w:hAnsi="Arial" w:cs="Arial"/>
            </w:rPr>
            <w:fldChar w:fldCharType="separate"/>
          </w:r>
          <w:r w:rsidR="00526D84" w:rsidRPr="00526D84">
            <w:rPr>
              <w:rFonts w:ascii="Arial" w:hAnsi="Arial" w:cs="Arial"/>
              <w:noProof/>
            </w:rPr>
            <w:t>[5]</w:t>
          </w:r>
          <w:r w:rsidR="004020AF" w:rsidRPr="00F57F96">
            <w:rPr>
              <w:rFonts w:ascii="Arial" w:hAnsi="Arial" w:cs="Arial"/>
            </w:rPr>
            <w:fldChar w:fldCharType="end"/>
          </w:r>
        </w:sdtContent>
      </w:sdt>
      <w:r w:rsidR="004020AF" w:rsidRPr="00F57F96">
        <w:rPr>
          <w:rFonts w:ascii="Arial" w:hAnsi="Arial" w:cs="Arial"/>
        </w:rPr>
        <w:t xml:space="preserve"> </w:t>
      </w:r>
      <w:r w:rsidR="002353DB" w:rsidRPr="00F57F96">
        <w:rPr>
          <w:rFonts w:ascii="Arial" w:hAnsi="Arial" w:cs="Arial"/>
        </w:rPr>
        <w:t xml:space="preserve">and DEF Stan 05-101 </w:t>
      </w:r>
      <w:sdt>
        <w:sdtPr>
          <w:rPr>
            <w:rFonts w:ascii="Arial" w:hAnsi="Arial" w:cs="Arial"/>
          </w:rPr>
          <w:id w:val="-2100712872"/>
          <w:citation/>
        </w:sdtPr>
        <w:sdtContent>
          <w:r w:rsidR="002353DB" w:rsidRPr="00F57F96">
            <w:rPr>
              <w:rFonts w:ascii="Arial" w:hAnsi="Arial" w:cs="Arial"/>
            </w:rPr>
            <w:fldChar w:fldCharType="begin"/>
          </w:r>
          <w:r w:rsidR="002353DB" w:rsidRPr="00DE262B">
            <w:rPr>
              <w:rFonts w:ascii="Arial" w:hAnsi="Arial" w:cs="Arial"/>
            </w:rPr>
            <w:instrText xml:space="preserve"> CITATION UKM05 \l 1033 </w:instrText>
          </w:r>
          <w:r w:rsidR="002353DB" w:rsidRPr="00F57F96">
            <w:rPr>
              <w:rFonts w:ascii="Arial" w:hAnsi="Arial" w:cs="Arial"/>
            </w:rPr>
            <w:fldChar w:fldCharType="separate"/>
          </w:r>
          <w:r w:rsidR="00526D84" w:rsidRPr="00526D84">
            <w:rPr>
              <w:rFonts w:ascii="Arial" w:hAnsi="Arial" w:cs="Arial"/>
              <w:noProof/>
            </w:rPr>
            <w:t>[6]</w:t>
          </w:r>
          <w:r w:rsidR="002353DB" w:rsidRPr="00F57F96">
            <w:rPr>
              <w:rFonts w:ascii="Arial" w:hAnsi="Arial" w:cs="Arial"/>
            </w:rPr>
            <w:fldChar w:fldCharType="end"/>
          </w:r>
        </w:sdtContent>
      </w:sdt>
      <w:r w:rsidR="002353DB" w:rsidRPr="00F57F96">
        <w:rPr>
          <w:rFonts w:ascii="Arial" w:hAnsi="Arial" w:cs="Arial"/>
        </w:rPr>
        <w:t xml:space="preserve"> </w:t>
      </w:r>
      <w:r w:rsidRPr="00003BEF">
        <w:rPr>
          <w:rFonts w:ascii="Arial" w:hAnsi="Arial" w:cs="Arial"/>
        </w:rPr>
        <w:t xml:space="preserve">which define NATO requirements for ISS used with established project team </w:t>
      </w:r>
      <w:r w:rsidRPr="00003BEF">
        <w:rPr>
          <w:rFonts w:ascii="Arial" w:hAnsi="Arial" w:cs="Arial"/>
        </w:rPr>
        <w:t>procedures.</w:t>
      </w:r>
      <w:r w:rsidR="00BD3312">
        <w:rPr>
          <w:rStyle w:val="FootnoteReference"/>
          <w:rFonts w:ascii="Arial" w:hAnsi="Arial" w:cs="Arial"/>
        </w:rPr>
        <w:footnoteReference w:id="1"/>
      </w:r>
      <w:r w:rsidR="00F7355F">
        <w:rPr>
          <w:rFonts w:ascii="Arial" w:hAnsi="Arial" w:cs="Arial"/>
        </w:rPr>
        <w:t xml:space="preserve"> </w:t>
      </w:r>
      <w:sdt>
        <w:sdtPr>
          <w:rPr>
            <w:rFonts w:ascii="Arial" w:hAnsi="Arial" w:cs="Arial"/>
          </w:rPr>
          <w:id w:val="-1266993740"/>
          <w:citation/>
        </w:sdtPr>
        <w:sdtContent>
          <w:r w:rsidR="00F7355F">
            <w:rPr>
              <w:rFonts w:ascii="Arial" w:hAnsi="Arial" w:cs="Arial"/>
            </w:rPr>
            <w:fldChar w:fldCharType="begin"/>
          </w:r>
          <w:r w:rsidR="00F7355F">
            <w:rPr>
              <w:rFonts w:ascii="Arial" w:hAnsi="Arial" w:cs="Arial"/>
            </w:rPr>
            <w:instrText xml:space="preserve"> CITATION Car18 \l 2057 </w:instrText>
          </w:r>
          <w:r w:rsidR="00F7355F">
            <w:rPr>
              <w:rFonts w:ascii="Arial" w:hAnsi="Arial" w:cs="Arial"/>
            </w:rPr>
            <w:fldChar w:fldCharType="separate"/>
          </w:r>
          <w:r w:rsidR="00526D84" w:rsidRPr="00526D84">
            <w:rPr>
              <w:rFonts w:ascii="Arial" w:hAnsi="Arial" w:cs="Arial"/>
              <w:noProof/>
            </w:rPr>
            <w:t>[7]</w:t>
          </w:r>
          <w:r w:rsidR="00F7355F">
            <w:rPr>
              <w:rFonts w:ascii="Arial" w:hAnsi="Arial" w:cs="Arial"/>
            </w:rPr>
            <w:fldChar w:fldCharType="end"/>
          </w:r>
        </w:sdtContent>
      </w:sdt>
    </w:p>
    <w:p w14:paraId="60106052" w14:textId="77777777" w:rsidR="00DE262B" w:rsidRDefault="00DE262B" w:rsidP="00DE262B">
      <w:pPr>
        <w:pStyle w:val="ListParagraph"/>
        <w:spacing w:after="0" w:line="240" w:lineRule="auto"/>
        <w:ind w:left="792"/>
        <w:rPr>
          <w:rFonts w:ascii="Arial" w:hAnsi="Arial" w:cs="Arial"/>
        </w:rPr>
      </w:pPr>
    </w:p>
    <w:p w14:paraId="5311C4A6" w14:textId="5222CFCD" w:rsidR="00475B2F" w:rsidRPr="009F6777" w:rsidRDefault="00003BEF" w:rsidP="009F6777">
      <w:pPr>
        <w:pStyle w:val="ListParagraph"/>
        <w:numPr>
          <w:ilvl w:val="1"/>
          <w:numId w:val="19"/>
        </w:numPr>
        <w:spacing w:after="0" w:line="240" w:lineRule="auto"/>
        <w:rPr>
          <w:rFonts w:ascii="Arial" w:hAnsi="Arial" w:cs="Arial"/>
        </w:rPr>
      </w:pPr>
      <w:r w:rsidRPr="00003BEF">
        <w:rPr>
          <w:rFonts w:ascii="Arial" w:hAnsi="Arial" w:cs="Arial"/>
        </w:rPr>
        <w:t>In addition to firings,</w:t>
      </w:r>
      <w:r w:rsidR="00C47437">
        <w:rPr>
          <w:rFonts w:ascii="Arial" w:hAnsi="Arial" w:cs="Arial"/>
        </w:rPr>
        <w:t xml:space="preserve"> </w:t>
      </w:r>
      <w:sdt>
        <w:sdtPr>
          <w:rPr>
            <w:rFonts w:ascii="Arial" w:hAnsi="Arial" w:cs="Arial"/>
          </w:rPr>
          <w:id w:val="-1129859751"/>
          <w:citation/>
        </w:sdtPr>
        <w:sdtContent>
          <w:r w:rsidR="00C47437">
            <w:rPr>
              <w:rFonts w:ascii="Arial" w:hAnsi="Arial" w:cs="Arial"/>
            </w:rPr>
            <w:fldChar w:fldCharType="begin"/>
          </w:r>
          <w:r w:rsidR="00C47437">
            <w:rPr>
              <w:rFonts w:ascii="Arial" w:hAnsi="Arial" w:cs="Arial"/>
            </w:rPr>
            <w:instrText xml:space="preserve"> CITATION Cay10 \l 2057 </w:instrText>
          </w:r>
          <w:r w:rsidR="00C47437">
            <w:rPr>
              <w:rFonts w:ascii="Arial" w:hAnsi="Arial" w:cs="Arial"/>
            </w:rPr>
            <w:fldChar w:fldCharType="separate"/>
          </w:r>
          <w:r w:rsidR="00526D84" w:rsidRPr="00526D84">
            <w:rPr>
              <w:rFonts w:ascii="Arial" w:hAnsi="Arial" w:cs="Arial"/>
              <w:noProof/>
            </w:rPr>
            <w:t>[8]</w:t>
          </w:r>
          <w:r w:rsidR="00C47437">
            <w:rPr>
              <w:rFonts w:ascii="Arial" w:hAnsi="Arial" w:cs="Arial"/>
            </w:rPr>
            <w:fldChar w:fldCharType="end"/>
          </w:r>
        </w:sdtContent>
      </w:sdt>
      <w:r w:rsidRPr="00003BEF">
        <w:rPr>
          <w:rFonts w:ascii="Arial" w:hAnsi="Arial" w:cs="Arial"/>
        </w:rPr>
        <w:t xml:space="preserve"> non</w:t>
      </w:r>
      <w:r w:rsidRPr="00003BEF">
        <w:rPr>
          <w:rFonts w:ascii="Arial" w:hAnsi="Arial" w:cs="Arial"/>
        </w:rPr>
        <w:noBreakHyphen/>
        <w:t>destructive testing (NDT) is increasingly used as it provides valuable data on internal munition condition before functioning. Other nations employ a wider range of NDT methods than the UK, such as X</w:t>
      </w:r>
      <w:r w:rsidRPr="00003BEF">
        <w:rPr>
          <w:rFonts w:ascii="Arial" w:hAnsi="Arial" w:cs="Arial"/>
        </w:rPr>
        <w:noBreakHyphen/>
        <w:t>rays, thermography, ultrasonics and liquid penetrant testing</w:t>
      </w:r>
      <w:r>
        <w:rPr>
          <w:rFonts w:ascii="Arial" w:hAnsi="Arial" w:cs="Arial"/>
        </w:rPr>
        <w:t>.</w:t>
      </w:r>
      <w:r w:rsidRPr="00003BEF">
        <w:rPr>
          <w:rFonts w:ascii="Arial" w:hAnsi="Arial" w:cs="Arial"/>
        </w:rPr>
        <w:t xml:space="preserve"> </w:t>
      </w:r>
      <w:sdt>
        <w:sdtPr>
          <w:rPr>
            <w:rFonts w:ascii="Arial" w:hAnsi="Arial" w:cs="Arial"/>
          </w:rPr>
          <w:id w:val="-1725368373"/>
          <w:citation/>
        </w:sdtPr>
        <w:sdtContent>
          <w:r w:rsidR="009F6777" w:rsidRPr="00F57F96">
            <w:rPr>
              <w:rFonts w:ascii="Arial" w:hAnsi="Arial" w:cs="Arial"/>
            </w:rPr>
            <w:fldChar w:fldCharType="begin"/>
          </w:r>
          <w:r w:rsidR="009F6777" w:rsidRPr="00F57F96">
            <w:rPr>
              <w:rFonts w:ascii="Arial" w:hAnsi="Arial" w:cs="Arial"/>
            </w:rPr>
            <w:instrText xml:space="preserve"> CITATION GEN18 \l 2057 </w:instrText>
          </w:r>
          <w:r w:rsidR="009F6777" w:rsidRPr="00F57F96">
            <w:rPr>
              <w:rFonts w:ascii="Arial" w:hAnsi="Arial" w:cs="Arial"/>
            </w:rPr>
            <w:fldChar w:fldCharType="separate"/>
          </w:r>
          <w:r w:rsidR="00526D84" w:rsidRPr="00526D84">
            <w:rPr>
              <w:rFonts w:ascii="Arial" w:hAnsi="Arial" w:cs="Arial"/>
              <w:noProof/>
            </w:rPr>
            <w:t>[9]</w:t>
          </w:r>
          <w:r w:rsidR="009F6777" w:rsidRPr="00F57F96">
            <w:rPr>
              <w:rFonts w:ascii="Arial" w:hAnsi="Arial" w:cs="Arial"/>
            </w:rPr>
            <w:fldChar w:fldCharType="end"/>
          </w:r>
        </w:sdtContent>
      </w:sdt>
      <w:r w:rsidR="009F6777" w:rsidRPr="00F57F96">
        <w:rPr>
          <w:rFonts w:ascii="Arial" w:hAnsi="Arial" w:cs="Arial"/>
        </w:rPr>
        <w:t xml:space="preserve"> </w:t>
      </w:r>
      <w:sdt>
        <w:sdtPr>
          <w:rPr>
            <w:rFonts w:ascii="Arial" w:hAnsi="Arial" w:cs="Arial"/>
          </w:rPr>
          <w:id w:val="-1752502226"/>
          <w:citation/>
        </w:sdtPr>
        <w:sdtContent>
          <w:r w:rsidR="009F6777" w:rsidRPr="00F57F96">
            <w:rPr>
              <w:rFonts w:ascii="Arial" w:hAnsi="Arial" w:cs="Arial"/>
            </w:rPr>
            <w:fldChar w:fldCharType="begin"/>
          </w:r>
          <w:r w:rsidR="009F6777" w:rsidRPr="00F57F96">
            <w:rPr>
              <w:rFonts w:ascii="Arial" w:hAnsi="Arial" w:cs="Arial"/>
            </w:rPr>
            <w:instrText xml:space="preserve"> CITATION Mar24 \l 2057 </w:instrText>
          </w:r>
          <w:r w:rsidR="009F6777" w:rsidRPr="00F57F96">
            <w:rPr>
              <w:rFonts w:ascii="Arial" w:hAnsi="Arial" w:cs="Arial"/>
            </w:rPr>
            <w:fldChar w:fldCharType="separate"/>
          </w:r>
          <w:r w:rsidR="00526D84" w:rsidRPr="00526D84">
            <w:rPr>
              <w:rFonts w:ascii="Arial" w:hAnsi="Arial" w:cs="Arial"/>
              <w:noProof/>
            </w:rPr>
            <w:t>[10]</w:t>
          </w:r>
          <w:r w:rsidR="009F6777" w:rsidRPr="00F57F96">
            <w:rPr>
              <w:rFonts w:ascii="Arial" w:hAnsi="Arial" w:cs="Arial"/>
            </w:rPr>
            <w:fldChar w:fldCharType="end"/>
          </w:r>
        </w:sdtContent>
      </w:sdt>
      <w:r w:rsidR="009F6777" w:rsidRPr="00E010B8">
        <w:rPr>
          <w:rFonts w:ascii="Arial" w:hAnsi="Arial" w:cs="Arial"/>
        </w:rPr>
        <w:t xml:space="preserve"> </w:t>
      </w:r>
      <w:r w:rsidRPr="00003BEF">
        <w:rPr>
          <w:rFonts w:ascii="Arial" w:hAnsi="Arial" w:cs="Arial"/>
        </w:rPr>
        <w:t>Visual inspections identify degradation such as seal damage, stabiliser depletion and cracks in energetics caused by moisture, heat and vibration. Functional firings then verify performance and capture data</w:t>
      </w:r>
      <w:r w:rsidR="009F6777" w:rsidRPr="00E010B8">
        <w:rPr>
          <w:rFonts w:ascii="Arial" w:hAnsi="Arial" w:cs="Arial"/>
        </w:rPr>
        <w:t>.</w:t>
      </w:r>
      <w:r w:rsidR="009F6777">
        <w:rPr>
          <w:rFonts w:ascii="Arial" w:hAnsi="Arial" w:cs="Arial"/>
        </w:rPr>
        <w:t xml:space="preserve"> </w:t>
      </w:r>
      <w:sdt>
        <w:sdtPr>
          <w:rPr>
            <w:rFonts w:ascii="Arial" w:hAnsi="Arial" w:cs="Arial"/>
          </w:rPr>
          <w:id w:val="-1207477255"/>
          <w:citation/>
        </w:sdtPr>
        <w:sdtContent>
          <w:r w:rsidR="009F6777" w:rsidRPr="00F57F96">
            <w:rPr>
              <w:rFonts w:ascii="Arial" w:hAnsi="Arial" w:cs="Arial"/>
            </w:rPr>
            <w:fldChar w:fldCharType="begin"/>
          </w:r>
          <w:r w:rsidR="009F6777" w:rsidRPr="00F57F96">
            <w:rPr>
              <w:rFonts w:ascii="Arial" w:hAnsi="Arial" w:cs="Arial"/>
            </w:rPr>
            <w:instrText xml:space="preserve"> CITATION BON23 \l 2057 </w:instrText>
          </w:r>
          <w:r w:rsidR="009F6777" w:rsidRPr="00F57F96">
            <w:rPr>
              <w:rFonts w:ascii="Arial" w:hAnsi="Arial" w:cs="Arial"/>
            </w:rPr>
            <w:fldChar w:fldCharType="separate"/>
          </w:r>
          <w:r w:rsidR="00526D84" w:rsidRPr="00526D84">
            <w:rPr>
              <w:rFonts w:ascii="Arial" w:hAnsi="Arial" w:cs="Arial"/>
              <w:noProof/>
            </w:rPr>
            <w:t>[11]</w:t>
          </w:r>
          <w:r w:rsidR="009F6777" w:rsidRPr="00F57F96">
            <w:rPr>
              <w:rFonts w:ascii="Arial" w:hAnsi="Arial" w:cs="Arial"/>
            </w:rPr>
            <w:fldChar w:fldCharType="end"/>
          </w:r>
        </w:sdtContent>
      </w:sdt>
      <w:r w:rsidR="00160085">
        <w:rPr>
          <w:rFonts w:ascii="Arial" w:hAnsi="Arial" w:cs="Arial"/>
        </w:rPr>
        <w:t xml:space="preserve"> </w:t>
      </w:r>
      <w:sdt>
        <w:sdtPr>
          <w:rPr>
            <w:rFonts w:ascii="Arial" w:hAnsi="Arial" w:cs="Arial"/>
          </w:rPr>
          <w:id w:val="-628168981"/>
          <w:citation/>
        </w:sdtPr>
        <w:sdtContent>
          <w:r w:rsidR="00160085">
            <w:rPr>
              <w:rFonts w:ascii="Arial" w:hAnsi="Arial" w:cs="Arial"/>
            </w:rPr>
            <w:fldChar w:fldCharType="begin"/>
          </w:r>
          <w:r w:rsidR="00160085">
            <w:rPr>
              <w:rFonts w:ascii="Arial" w:hAnsi="Arial" w:cs="Arial"/>
            </w:rPr>
            <w:instrText xml:space="preserve"> CITATION Col21 \l 2057 </w:instrText>
          </w:r>
          <w:r w:rsidR="00160085">
            <w:rPr>
              <w:rFonts w:ascii="Arial" w:hAnsi="Arial" w:cs="Arial"/>
            </w:rPr>
            <w:fldChar w:fldCharType="separate"/>
          </w:r>
          <w:r w:rsidR="00526D84" w:rsidRPr="00526D84">
            <w:rPr>
              <w:rFonts w:ascii="Arial" w:hAnsi="Arial" w:cs="Arial"/>
              <w:noProof/>
            </w:rPr>
            <w:t>[12]</w:t>
          </w:r>
          <w:r w:rsidR="00160085">
            <w:rPr>
              <w:rFonts w:ascii="Arial" w:hAnsi="Arial" w:cs="Arial"/>
            </w:rPr>
            <w:fldChar w:fldCharType="end"/>
          </w:r>
        </w:sdtContent>
      </w:sdt>
    </w:p>
    <w:p w14:paraId="0C8BF550" w14:textId="77777777" w:rsidR="00DE262B" w:rsidRPr="00DE262B" w:rsidRDefault="00DE262B" w:rsidP="00DE262B">
      <w:pPr>
        <w:pStyle w:val="ListParagraph"/>
        <w:rPr>
          <w:rFonts w:ascii="Arial" w:hAnsi="Arial" w:cs="Arial"/>
        </w:rPr>
      </w:pPr>
    </w:p>
    <w:p w14:paraId="4B5216B5" w14:textId="3F08F530" w:rsidR="00E010B8" w:rsidRDefault="008C7F9C" w:rsidP="00DE262B">
      <w:pPr>
        <w:pStyle w:val="ListParagraph"/>
        <w:numPr>
          <w:ilvl w:val="1"/>
          <w:numId w:val="19"/>
        </w:numPr>
        <w:spacing w:after="0" w:line="240" w:lineRule="auto"/>
        <w:rPr>
          <w:rFonts w:ascii="Arial" w:hAnsi="Arial" w:cs="Arial"/>
        </w:rPr>
      </w:pPr>
      <w:r w:rsidRPr="00F57F96">
        <w:rPr>
          <w:rFonts w:ascii="Arial" w:hAnsi="Arial" w:cs="Arial"/>
        </w:rPr>
        <w:t>After collecting the data</w:t>
      </w:r>
      <w:r w:rsidR="00FF213B" w:rsidRPr="00F57F96">
        <w:rPr>
          <w:rFonts w:ascii="Arial" w:hAnsi="Arial" w:cs="Arial"/>
        </w:rPr>
        <w:t xml:space="preserve">, the results will be analysed to determine if there are any performance failures referring to </w:t>
      </w:r>
      <w:r w:rsidR="000962BA" w:rsidRPr="00F57F96">
        <w:rPr>
          <w:rFonts w:ascii="Arial" w:hAnsi="Arial" w:cs="Arial"/>
        </w:rPr>
        <w:t>the design specification and proof testing results.</w:t>
      </w:r>
      <w:r w:rsidRPr="00F57F96">
        <w:rPr>
          <w:rFonts w:ascii="Arial" w:hAnsi="Arial" w:cs="Arial"/>
        </w:rPr>
        <w:t xml:space="preserve"> </w:t>
      </w:r>
      <w:r w:rsidR="00C013F1" w:rsidRPr="00F57F96">
        <w:rPr>
          <w:rFonts w:ascii="Arial" w:hAnsi="Arial" w:cs="Arial"/>
        </w:rPr>
        <w:lastRenderedPageBreak/>
        <w:t>Functional Limiting Quality</w:t>
      </w:r>
      <w:r w:rsidR="000D53C4" w:rsidRPr="00F57F96">
        <w:rPr>
          <w:rFonts w:ascii="Arial" w:hAnsi="Arial" w:cs="Arial"/>
        </w:rPr>
        <w:t xml:space="preserve"> is the minimum quality standard for munitions to be used</w:t>
      </w:r>
      <w:r w:rsidR="008E33D8" w:rsidRPr="00F57F96">
        <w:rPr>
          <w:rFonts w:ascii="Arial" w:hAnsi="Arial" w:cs="Arial"/>
        </w:rPr>
        <w:t xml:space="preserve"> that is acceptable. This is defined as class 1 being 96%</w:t>
      </w:r>
      <w:r w:rsidR="00DE37D1" w:rsidRPr="00F57F96">
        <w:rPr>
          <w:rFonts w:ascii="Arial" w:hAnsi="Arial" w:cs="Arial"/>
        </w:rPr>
        <w:t>, expressed as 96% confidence level</w:t>
      </w:r>
      <w:r w:rsidR="000D53C4" w:rsidRPr="00F57F96">
        <w:rPr>
          <w:rFonts w:ascii="Arial" w:hAnsi="Arial" w:cs="Arial"/>
        </w:rPr>
        <w:t xml:space="preserve">. </w:t>
      </w:r>
      <w:r w:rsidR="00DD6A62" w:rsidRPr="00F57F96">
        <w:rPr>
          <w:rFonts w:ascii="Arial" w:hAnsi="Arial" w:cs="Arial"/>
        </w:rPr>
        <w:t>There are at least two methods that can be used to determine FLQ, Binomial and Poisson</w:t>
      </w:r>
      <w:r w:rsidR="00C013F1" w:rsidRPr="00F57F96">
        <w:rPr>
          <w:rFonts w:ascii="Arial" w:hAnsi="Arial" w:cs="Arial"/>
        </w:rPr>
        <w:t>,</w:t>
      </w:r>
      <w:r w:rsidR="00127E54" w:rsidRPr="00F57F96">
        <w:rPr>
          <w:rFonts w:ascii="Arial" w:hAnsi="Arial" w:cs="Arial"/>
        </w:rPr>
        <w:t xml:space="preserve"> </w:t>
      </w:r>
      <w:r w:rsidR="00EC0AE2" w:rsidRPr="00F57F96">
        <w:rPr>
          <w:rFonts w:ascii="Arial" w:hAnsi="Arial" w:cs="Arial"/>
        </w:rPr>
        <w:t>we use the Poisson Distribution</w:t>
      </w:r>
      <w:r w:rsidR="00C013F1" w:rsidRPr="00F57F96">
        <w:rPr>
          <w:rFonts w:ascii="Arial" w:hAnsi="Arial" w:cs="Arial"/>
        </w:rPr>
        <w:t>.</w:t>
      </w:r>
      <w:r w:rsidR="00EC0AE2" w:rsidRPr="00F57F96">
        <w:rPr>
          <w:rFonts w:ascii="Arial" w:hAnsi="Arial" w:cs="Arial"/>
        </w:rPr>
        <w:t xml:space="preserve"> </w:t>
      </w:r>
      <w:sdt>
        <w:sdtPr>
          <w:rPr>
            <w:rFonts w:ascii="Arial" w:hAnsi="Arial" w:cs="Arial"/>
          </w:rPr>
          <w:id w:val="526686922"/>
          <w:citation/>
        </w:sdtPr>
        <w:sdtContent>
          <w:r w:rsidR="004A0F40" w:rsidRPr="00F57F96">
            <w:rPr>
              <w:rFonts w:ascii="Arial" w:hAnsi="Arial" w:cs="Arial"/>
            </w:rPr>
            <w:fldChar w:fldCharType="begin"/>
          </w:r>
          <w:r w:rsidR="004A0F40" w:rsidRPr="00F57F96">
            <w:rPr>
              <w:rFonts w:ascii="Arial" w:hAnsi="Arial" w:cs="Arial"/>
            </w:rPr>
            <w:instrText xml:space="preserve"> CITATION Yam1 \l 2057 </w:instrText>
          </w:r>
          <w:r w:rsidR="004A0F40" w:rsidRPr="00F57F96">
            <w:rPr>
              <w:rFonts w:ascii="Arial" w:hAnsi="Arial" w:cs="Arial"/>
            </w:rPr>
            <w:fldChar w:fldCharType="separate"/>
          </w:r>
          <w:r w:rsidR="00526D84" w:rsidRPr="00526D84">
            <w:rPr>
              <w:rFonts w:ascii="Arial" w:hAnsi="Arial" w:cs="Arial"/>
              <w:noProof/>
            </w:rPr>
            <w:t>[13]</w:t>
          </w:r>
          <w:r w:rsidR="004A0F40" w:rsidRPr="00F57F96">
            <w:rPr>
              <w:rFonts w:ascii="Arial" w:hAnsi="Arial" w:cs="Arial"/>
            </w:rPr>
            <w:fldChar w:fldCharType="end"/>
          </w:r>
        </w:sdtContent>
      </w:sdt>
      <w:r w:rsidR="00235542" w:rsidRPr="00F57F96">
        <w:rPr>
          <w:rFonts w:ascii="Arial" w:hAnsi="Arial" w:cs="Arial"/>
        </w:rPr>
        <w:t xml:space="preserve"> </w:t>
      </w:r>
      <w:sdt>
        <w:sdtPr>
          <w:rPr>
            <w:rFonts w:ascii="Arial" w:hAnsi="Arial" w:cs="Arial"/>
          </w:rPr>
          <w:id w:val="850993922"/>
          <w:citation/>
        </w:sdtPr>
        <w:sdtContent>
          <w:r w:rsidR="00235542" w:rsidRPr="00F57F96">
            <w:rPr>
              <w:rFonts w:ascii="Arial" w:hAnsi="Arial" w:cs="Arial"/>
            </w:rPr>
            <w:fldChar w:fldCharType="begin"/>
          </w:r>
          <w:r w:rsidR="00235542" w:rsidRPr="00F57F96">
            <w:rPr>
              <w:rFonts w:ascii="Arial" w:hAnsi="Arial" w:cs="Arial"/>
            </w:rPr>
            <w:instrText xml:space="preserve"> CITATION Int26 \l 2057 </w:instrText>
          </w:r>
          <w:r w:rsidR="00235542" w:rsidRPr="00F57F96">
            <w:rPr>
              <w:rFonts w:ascii="Arial" w:hAnsi="Arial" w:cs="Arial"/>
            </w:rPr>
            <w:fldChar w:fldCharType="separate"/>
          </w:r>
          <w:r w:rsidR="00526D84" w:rsidRPr="00526D84">
            <w:rPr>
              <w:rFonts w:ascii="Arial" w:hAnsi="Arial" w:cs="Arial"/>
              <w:noProof/>
            </w:rPr>
            <w:t>[14]</w:t>
          </w:r>
          <w:r w:rsidR="00235542" w:rsidRPr="00F57F96">
            <w:rPr>
              <w:rFonts w:ascii="Arial" w:hAnsi="Arial" w:cs="Arial"/>
            </w:rPr>
            <w:fldChar w:fldCharType="end"/>
          </w:r>
        </w:sdtContent>
      </w:sdt>
    </w:p>
    <w:p w14:paraId="05CCA523" w14:textId="77777777" w:rsidR="00DE262B" w:rsidRPr="00DE262B" w:rsidRDefault="00DE262B" w:rsidP="00DE262B">
      <w:pPr>
        <w:pStyle w:val="ListParagraph"/>
        <w:rPr>
          <w:rFonts w:ascii="Arial" w:hAnsi="Arial" w:cs="Arial"/>
        </w:rPr>
      </w:pPr>
    </w:p>
    <w:p w14:paraId="16941DD3" w14:textId="22A4D830" w:rsidR="00E010B8" w:rsidRPr="00E010B8" w:rsidRDefault="00E010B8" w:rsidP="00DE262B">
      <w:pPr>
        <w:pStyle w:val="ListParagraph"/>
        <w:numPr>
          <w:ilvl w:val="1"/>
          <w:numId w:val="19"/>
        </w:numPr>
        <w:spacing w:after="0" w:line="240" w:lineRule="auto"/>
        <w:rPr>
          <w:rFonts w:ascii="Arial" w:hAnsi="Arial" w:cs="Arial"/>
        </w:rPr>
      </w:pPr>
      <w:r w:rsidRPr="00E010B8">
        <w:rPr>
          <w:rFonts w:ascii="Arial" w:hAnsi="Arial" w:cs="Arial"/>
        </w:rPr>
        <w:t xml:space="preserve">ISS evidence, combined with other information, informs STLE, allowing controlled, temporary life extensions when replacement or refurbishment is not feasible. </w:t>
      </w:r>
      <w:sdt>
        <w:sdtPr>
          <w:rPr>
            <w:rFonts w:ascii="Arial" w:hAnsi="Arial" w:cs="Arial"/>
          </w:rPr>
          <w:id w:val="735132298"/>
          <w:citation/>
        </w:sdtPr>
        <w:sdtContent>
          <w:r w:rsidR="00382441" w:rsidRPr="00F57F96">
            <w:rPr>
              <w:rFonts w:ascii="Arial" w:hAnsi="Arial" w:cs="Arial"/>
            </w:rPr>
            <w:fldChar w:fldCharType="begin"/>
          </w:r>
          <w:r w:rsidR="00382441" w:rsidRPr="00F57F96">
            <w:rPr>
              <w:rFonts w:ascii="Arial" w:hAnsi="Arial" w:cs="Arial"/>
            </w:rPr>
            <w:instrText xml:space="preserve"> CITATION Def25 \l 2057 </w:instrText>
          </w:r>
          <w:r w:rsidR="00382441" w:rsidRPr="00F57F96">
            <w:rPr>
              <w:rFonts w:ascii="Arial" w:hAnsi="Arial" w:cs="Arial"/>
            </w:rPr>
            <w:fldChar w:fldCharType="separate"/>
          </w:r>
          <w:r w:rsidR="00526D84" w:rsidRPr="00526D84">
            <w:rPr>
              <w:rFonts w:ascii="Arial" w:hAnsi="Arial" w:cs="Arial"/>
              <w:noProof/>
            </w:rPr>
            <w:t>[15]</w:t>
          </w:r>
          <w:r w:rsidR="00382441" w:rsidRPr="00F57F96">
            <w:rPr>
              <w:rFonts w:ascii="Arial" w:hAnsi="Arial" w:cs="Arial"/>
            </w:rPr>
            <w:fldChar w:fldCharType="end"/>
          </w:r>
        </w:sdtContent>
      </w:sdt>
      <w:r w:rsidR="00382441" w:rsidRPr="00E010B8">
        <w:rPr>
          <w:rFonts w:ascii="Arial" w:hAnsi="Arial" w:cs="Arial"/>
        </w:rPr>
        <w:t xml:space="preserve"> </w:t>
      </w:r>
      <w:r w:rsidRPr="00E010B8">
        <w:rPr>
          <w:rFonts w:ascii="Arial" w:hAnsi="Arial" w:cs="Arial"/>
        </w:rPr>
        <w:t>Previous work in closed communities shows that less invasive, throughout-life testing can better predict munition health and maximise service life, a practice that could be further adopted to enhance stock condition monitoring.</w:t>
      </w:r>
      <w:r w:rsidR="00382441" w:rsidRPr="00382441">
        <w:rPr>
          <w:rFonts w:ascii="Arial" w:hAnsi="Arial" w:cs="Arial"/>
        </w:rPr>
        <w:t xml:space="preserve"> </w:t>
      </w:r>
      <w:sdt>
        <w:sdtPr>
          <w:rPr>
            <w:rFonts w:ascii="Arial" w:hAnsi="Arial" w:cs="Arial"/>
          </w:rPr>
          <w:id w:val="-1361424208"/>
          <w:citation/>
        </w:sdtPr>
        <w:sdtContent>
          <w:r w:rsidR="00382441" w:rsidRPr="00F57F96">
            <w:rPr>
              <w:rFonts w:ascii="Arial" w:hAnsi="Arial" w:cs="Arial"/>
            </w:rPr>
            <w:fldChar w:fldCharType="begin"/>
          </w:r>
          <w:r w:rsidR="00382441" w:rsidRPr="00DE262B">
            <w:rPr>
              <w:rFonts w:ascii="Arial" w:hAnsi="Arial" w:cs="Arial"/>
            </w:rPr>
            <w:instrText xml:space="preserve"> CITATION Sch11 \l 1033 </w:instrText>
          </w:r>
          <w:r w:rsidR="00382441" w:rsidRPr="00F57F96">
            <w:rPr>
              <w:rFonts w:ascii="Arial" w:hAnsi="Arial" w:cs="Arial"/>
            </w:rPr>
            <w:fldChar w:fldCharType="separate"/>
          </w:r>
          <w:r w:rsidR="00526D84" w:rsidRPr="00526D84">
            <w:rPr>
              <w:rFonts w:ascii="Arial" w:hAnsi="Arial" w:cs="Arial"/>
              <w:noProof/>
            </w:rPr>
            <w:t>[16]</w:t>
          </w:r>
          <w:r w:rsidR="00382441" w:rsidRPr="00F57F96">
            <w:rPr>
              <w:rFonts w:ascii="Arial" w:hAnsi="Arial" w:cs="Arial"/>
            </w:rPr>
            <w:fldChar w:fldCharType="end"/>
          </w:r>
        </w:sdtContent>
      </w:sdt>
    </w:p>
    <w:p w14:paraId="03DBADCC" w14:textId="77777777" w:rsidR="003B75E0" w:rsidRPr="00BF798C" w:rsidRDefault="003B75E0">
      <w:pPr>
        <w:rPr>
          <w:rFonts w:ascii="Arial" w:eastAsiaTheme="majorEastAsia" w:hAnsi="Arial" w:cs="Arial"/>
          <w:color w:val="2E74B5" w:themeColor="accent1" w:themeShade="BF"/>
          <w:sz w:val="16"/>
          <w:szCs w:val="16"/>
        </w:rPr>
      </w:pPr>
    </w:p>
    <w:p w14:paraId="2CDB54FC" w14:textId="71B68E26" w:rsidR="005E2F5D" w:rsidRPr="00DE262B" w:rsidRDefault="00242491" w:rsidP="00DE262B">
      <w:pPr>
        <w:pStyle w:val="Heading1"/>
        <w:numPr>
          <w:ilvl w:val="0"/>
          <w:numId w:val="19"/>
        </w:numPr>
        <w:spacing w:line="240" w:lineRule="auto"/>
        <w:rPr>
          <w:lang w:eastAsia="en-GB"/>
        </w:rPr>
      </w:pPr>
      <w:bookmarkStart w:id="2" w:name="_Toc232764356"/>
      <w:r w:rsidRPr="00DE262B">
        <w:rPr>
          <w:lang w:eastAsia="en-GB"/>
        </w:rPr>
        <w:t>Project Activities</w:t>
      </w:r>
      <w:bookmarkEnd w:id="2"/>
    </w:p>
    <w:p w14:paraId="7558080F" w14:textId="77777777" w:rsidR="005E2F5D" w:rsidRPr="00F57F96" w:rsidRDefault="005E2F5D" w:rsidP="005E2F5D">
      <w:pPr>
        <w:rPr>
          <w:rFonts w:ascii="Arial" w:hAnsi="Arial" w:cs="Arial"/>
        </w:rPr>
      </w:pPr>
    </w:p>
    <w:p w14:paraId="5A8AF346" w14:textId="6B7C5025" w:rsidR="00242491" w:rsidRDefault="00242491" w:rsidP="00DE262B">
      <w:pPr>
        <w:pStyle w:val="ListParagraph"/>
        <w:numPr>
          <w:ilvl w:val="1"/>
          <w:numId w:val="19"/>
        </w:numPr>
        <w:spacing w:after="0" w:line="240" w:lineRule="auto"/>
        <w:rPr>
          <w:rFonts w:ascii="Arial" w:hAnsi="Arial" w:cs="Arial"/>
        </w:rPr>
      </w:pPr>
      <w:r w:rsidRPr="00F57F96">
        <w:rPr>
          <w:rFonts w:ascii="Arial" w:hAnsi="Arial" w:cs="Arial"/>
        </w:rPr>
        <w:t xml:space="preserve">This project will be split into </w:t>
      </w:r>
      <w:r w:rsidR="0098116A" w:rsidRPr="00F57F96">
        <w:rPr>
          <w:rFonts w:ascii="Arial" w:hAnsi="Arial" w:cs="Arial"/>
        </w:rPr>
        <w:t>four sections:</w:t>
      </w:r>
    </w:p>
    <w:p w14:paraId="78C6D415" w14:textId="77777777" w:rsidR="00DE262B" w:rsidRPr="00F57F96" w:rsidRDefault="00DE262B" w:rsidP="00DE262B">
      <w:pPr>
        <w:pStyle w:val="ListParagraph"/>
        <w:spacing w:after="0" w:line="240" w:lineRule="auto"/>
        <w:ind w:left="792"/>
        <w:rPr>
          <w:rFonts w:ascii="Arial" w:hAnsi="Arial" w:cs="Arial"/>
        </w:rPr>
      </w:pPr>
    </w:p>
    <w:p w14:paraId="0C1AE71B" w14:textId="31B77A35" w:rsidR="0098116A" w:rsidRPr="00DE262B" w:rsidRDefault="0098116A" w:rsidP="00DE262B">
      <w:pPr>
        <w:pStyle w:val="ListParagraph"/>
        <w:numPr>
          <w:ilvl w:val="0"/>
          <w:numId w:val="22"/>
        </w:numPr>
        <w:rPr>
          <w:rFonts w:ascii="Arial" w:hAnsi="Arial" w:cs="Arial"/>
        </w:rPr>
      </w:pPr>
      <w:r w:rsidRPr="00DE262B">
        <w:rPr>
          <w:rFonts w:ascii="Arial" w:hAnsi="Arial" w:cs="Arial"/>
        </w:rPr>
        <w:t>Plan the in-service surveillance activities</w:t>
      </w:r>
      <w:r w:rsidR="00DC127C" w:rsidRPr="00DE262B">
        <w:rPr>
          <w:rFonts w:ascii="Arial" w:hAnsi="Arial" w:cs="Arial"/>
        </w:rPr>
        <w:t>;</w:t>
      </w:r>
      <w:r w:rsidRPr="00DE262B">
        <w:rPr>
          <w:rFonts w:ascii="Arial" w:hAnsi="Arial" w:cs="Arial"/>
        </w:rPr>
        <w:t xml:space="preserve"> </w:t>
      </w:r>
      <w:r w:rsidR="00953570" w:rsidRPr="00DE262B">
        <w:rPr>
          <w:rFonts w:ascii="Arial" w:hAnsi="Arial" w:cs="Arial"/>
        </w:rPr>
        <w:t xml:space="preserve">Information </w:t>
      </w:r>
      <w:r w:rsidR="00D02D32" w:rsidRPr="00DE262B">
        <w:rPr>
          <w:rFonts w:ascii="Arial" w:hAnsi="Arial" w:cs="Arial"/>
        </w:rPr>
        <w:t>gathering and r</w:t>
      </w:r>
      <w:r w:rsidR="001E0B26" w:rsidRPr="00DE262B">
        <w:rPr>
          <w:rFonts w:ascii="Arial" w:hAnsi="Arial" w:cs="Arial"/>
        </w:rPr>
        <w:t>esearch, d</w:t>
      </w:r>
      <w:r w:rsidRPr="00DE262B">
        <w:rPr>
          <w:rFonts w:ascii="Arial" w:hAnsi="Arial" w:cs="Arial"/>
        </w:rPr>
        <w:t>etail Batch Key Indicators, number of munitions to be tested. Organise the testing area (QQ Pendine)</w:t>
      </w:r>
      <w:r w:rsidR="00DC127C" w:rsidRPr="00DE262B">
        <w:rPr>
          <w:rFonts w:ascii="Arial" w:hAnsi="Arial" w:cs="Arial"/>
        </w:rPr>
        <w:t xml:space="preserve"> and specify t</w:t>
      </w:r>
      <w:r w:rsidR="003B149C" w:rsidRPr="00DE262B">
        <w:rPr>
          <w:rFonts w:ascii="Arial" w:hAnsi="Arial" w:cs="Arial"/>
        </w:rPr>
        <w:t>he test and inspection regime</w:t>
      </w:r>
      <w:r w:rsidR="00DC127C" w:rsidRPr="00DE262B">
        <w:rPr>
          <w:rFonts w:ascii="Arial" w:hAnsi="Arial" w:cs="Arial"/>
        </w:rPr>
        <w:t xml:space="preserve">. Organise equipment and tools required. Pyro pistols, </w:t>
      </w:r>
      <w:r w:rsidR="00EE7DCE" w:rsidRPr="00DE262B">
        <w:rPr>
          <w:rFonts w:ascii="Arial" w:hAnsi="Arial" w:cs="Arial"/>
        </w:rPr>
        <w:t xml:space="preserve">sensors, data recorders and loggers and videos cameras. </w:t>
      </w:r>
    </w:p>
    <w:p w14:paraId="74336603" w14:textId="2DEC0950" w:rsidR="00EE7DCE" w:rsidRPr="00DE262B" w:rsidRDefault="007B2F79" w:rsidP="00DE262B">
      <w:pPr>
        <w:pStyle w:val="ListParagraph"/>
        <w:numPr>
          <w:ilvl w:val="0"/>
          <w:numId w:val="22"/>
        </w:numPr>
        <w:rPr>
          <w:rFonts w:ascii="Arial" w:hAnsi="Arial" w:cs="Arial"/>
        </w:rPr>
      </w:pPr>
      <w:r w:rsidRPr="00DE262B">
        <w:rPr>
          <w:rFonts w:ascii="Arial" w:hAnsi="Arial" w:cs="Arial"/>
        </w:rPr>
        <w:t>Conduct the in-service testing in accordance with the ISS plan and gather results.</w:t>
      </w:r>
    </w:p>
    <w:p w14:paraId="0771127E" w14:textId="1238E72A" w:rsidR="007B2F79" w:rsidRPr="00DE262B" w:rsidRDefault="00A13E41" w:rsidP="00DE262B">
      <w:pPr>
        <w:pStyle w:val="ListParagraph"/>
        <w:numPr>
          <w:ilvl w:val="0"/>
          <w:numId w:val="22"/>
        </w:numPr>
        <w:rPr>
          <w:rFonts w:ascii="Arial" w:hAnsi="Arial" w:cs="Arial"/>
        </w:rPr>
      </w:pPr>
      <w:r w:rsidRPr="00DE262B">
        <w:rPr>
          <w:rFonts w:ascii="Arial" w:hAnsi="Arial" w:cs="Arial"/>
        </w:rPr>
        <w:t>Extract and analyse the result</w:t>
      </w:r>
      <w:r w:rsidR="00953570" w:rsidRPr="00DE262B">
        <w:rPr>
          <w:rFonts w:ascii="Arial" w:hAnsi="Arial" w:cs="Arial"/>
        </w:rPr>
        <w:t>s</w:t>
      </w:r>
      <w:r w:rsidRPr="00DE262B">
        <w:rPr>
          <w:rFonts w:ascii="Arial" w:hAnsi="Arial" w:cs="Arial"/>
        </w:rPr>
        <w:t xml:space="preserve"> comparing the performance and safety characteristics against that of the proof firings when they were manufactured to determine </w:t>
      </w:r>
      <w:r w:rsidR="00953570" w:rsidRPr="00DE262B">
        <w:rPr>
          <w:rFonts w:ascii="Arial" w:hAnsi="Arial" w:cs="Arial"/>
        </w:rPr>
        <w:t xml:space="preserve">any </w:t>
      </w:r>
      <w:r w:rsidRPr="00DE262B">
        <w:rPr>
          <w:rFonts w:ascii="Arial" w:hAnsi="Arial" w:cs="Arial"/>
        </w:rPr>
        <w:t>deltas.</w:t>
      </w:r>
    </w:p>
    <w:p w14:paraId="47920B8F" w14:textId="3D36F98A" w:rsidR="00A248E9" w:rsidRPr="00DE262B" w:rsidRDefault="001E0B26" w:rsidP="00DE262B">
      <w:pPr>
        <w:pStyle w:val="ListParagraph"/>
        <w:numPr>
          <w:ilvl w:val="0"/>
          <w:numId w:val="22"/>
        </w:numPr>
        <w:rPr>
          <w:rFonts w:ascii="Arial" w:hAnsi="Arial" w:cs="Arial"/>
        </w:rPr>
      </w:pPr>
      <w:r w:rsidRPr="00DE262B">
        <w:rPr>
          <w:rFonts w:ascii="Arial" w:hAnsi="Arial" w:cs="Arial"/>
        </w:rPr>
        <w:t>Present an interpretation of</w:t>
      </w:r>
      <w:r w:rsidR="00970BEC" w:rsidRPr="00DE262B">
        <w:rPr>
          <w:rFonts w:ascii="Arial" w:hAnsi="Arial" w:cs="Arial"/>
        </w:rPr>
        <w:t xml:space="preserve"> all the available data</w:t>
      </w:r>
      <w:r w:rsidRPr="00DE262B">
        <w:rPr>
          <w:rFonts w:ascii="Arial" w:hAnsi="Arial" w:cs="Arial"/>
        </w:rPr>
        <w:t xml:space="preserve"> </w:t>
      </w:r>
      <w:r w:rsidR="00936EAB" w:rsidRPr="00DE262B">
        <w:rPr>
          <w:rFonts w:ascii="Arial" w:hAnsi="Arial" w:cs="Arial"/>
        </w:rPr>
        <w:t>providing an informed argument</w:t>
      </w:r>
      <w:r w:rsidR="00970BEC" w:rsidRPr="00DE262B">
        <w:rPr>
          <w:rFonts w:ascii="Arial" w:hAnsi="Arial" w:cs="Arial"/>
        </w:rPr>
        <w:t xml:space="preserve"> to justify a life extension based on safety and performance </w:t>
      </w:r>
      <w:r w:rsidR="00523A46" w:rsidRPr="00DE262B">
        <w:rPr>
          <w:rFonts w:ascii="Arial" w:hAnsi="Arial" w:cs="Arial"/>
        </w:rPr>
        <w:t xml:space="preserve">criteria </w:t>
      </w:r>
      <w:r w:rsidR="009F6777" w:rsidRPr="00DE262B">
        <w:rPr>
          <w:rFonts w:ascii="Arial" w:hAnsi="Arial" w:cs="Arial"/>
        </w:rPr>
        <w:t>considering</w:t>
      </w:r>
      <w:r w:rsidR="00970BEC" w:rsidRPr="00DE262B">
        <w:rPr>
          <w:rFonts w:ascii="Arial" w:hAnsi="Arial" w:cs="Arial"/>
        </w:rPr>
        <w:t xml:space="preserve"> any incidents, issues </w:t>
      </w:r>
      <w:r w:rsidR="00697642" w:rsidRPr="00DE262B">
        <w:rPr>
          <w:rFonts w:ascii="Arial" w:hAnsi="Arial" w:cs="Arial"/>
        </w:rPr>
        <w:t>considering</w:t>
      </w:r>
      <w:r w:rsidR="00987218" w:rsidRPr="00DE262B">
        <w:rPr>
          <w:rFonts w:ascii="Arial" w:hAnsi="Arial" w:cs="Arial"/>
        </w:rPr>
        <w:t xml:space="preserve"> historical data </w:t>
      </w:r>
      <w:r w:rsidR="00523A46" w:rsidRPr="00DE262B">
        <w:rPr>
          <w:rFonts w:ascii="Arial" w:hAnsi="Arial" w:cs="Arial"/>
        </w:rPr>
        <w:t xml:space="preserve">and </w:t>
      </w:r>
      <w:r w:rsidR="00987218" w:rsidRPr="00DE262B">
        <w:rPr>
          <w:rFonts w:ascii="Arial" w:hAnsi="Arial" w:cs="Arial"/>
        </w:rPr>
        <w:t xml:space="preserve">any </w:t>
      </w:r>
      <w:r w:rsidR="00523A46" w:rsidRPr="00DE262B">
        <w:rPr>
          <w:rFonts w:ascii="Arial" w:hAnsi="Arial" w:cs="Arial"/>
        </w:rPr>
        <w:t>c</w:t>
      </w:r>
      <w:r w:rsidR="00970BEC" w:rsidRPr="00DE262B">
        <w:rPr>
          <w:rFonts w:ascii="Arial" w:hAnsi="Arial" w:cs="Arial"/>
        </w:rPr>
        <w:t xml:space="preserve">oncerns raised by stakeholders </w:t>
      </w:r>
      <w:r w:rsidR="00B864B8" w:rsidRPr="00DE262B">
        <w:rPr>
          <w:rFonts w:ascii="Arial" w:hAnsi="Arial" w:cs="Arial"/>
        </w:rPr>
        <w:t xml:space="preserve">throughout this project. </w:t>
      </w:r>
    </w:p>
    <w:p w14:paraId="529CA788" w14:textId="77777777" w:rsidR="00DE262B" w:rsidRPr="00F57F96" w:rsidRDefault="00DE262B" w:rsidP="00DE262B">
      <w:pPr>
        <w:pStyle w:val="ListParagraph"/>
        <w:spacing w:after="0" w:line="240" w:lineRule="auto"/>
        <w:ind w:left="1224"/>
        <w:rPr>
          <w:rFonts w:ascii="Arial" w:hAnsi="Arial" w:cs="Arial"/>
        </w:rPr>
      </w:pPr>
    </w:p>
    <w:p w14:paraId="787440D8" w14:textId="03D910DB" w:rsidR="00B03BCE" w:rsidRDefault="009D53E8" w:rsidP="00DE262B">
      <w:pPr>
        <w:pStyle w:val="ListParagraph"/>
        <w:numPr>
          <w:ilvl w:val="1"/>
          <w:numId w:val="19"/>
        </w:numPr>
        <w:spacing w:after="0" w:line="240" w:lineRule="auto"/>
        <w:rPr>
          <w:rFonts w:ascii="Arial" w:hAnsi="Arial" w:cs="Arial"/>
        </w:rPr>
      </w:pPr>
      <w:r w:rsidRPr="00F57F96">
        <w:rPr>
          <w:rFonts w:ascii="Arial" w:hAnsi="Arial" w:cs="Arial"/>
        </w:rPr>
        <w:t xml:space="preserve">The main experimental section of this project will be the ISS activity. This will require access </w:t>
      </w:r>
      <w:r w:rsidR="002A1A91" w:rsidRPr="00F57F96">
        <w:rPr>
          <w:rFonts w:ascii="Arial" w:hAnsi="Arial" w:cs="Arial"/>
        </w:rPr>
        <w:t xml:space="preserve">to a range of which QinetiQ Pendine is contracted. </w:t>
      </w:r>
      <w:sdt>
        <w:sdtPr>
          <w:rPr>
            <w:rFonts w:ascii="Arial" w:hAnsi="Arial" w:cs="Arial"/>
          </w:rPr>
          <w:id w:val="-1863813133"/>
          <w:citation/>
        </w:sdtPr>
        <w:sdtContent>
          <w:r w:rsidR="00B32C84" w:rsidRPr="00F57F96">
            <w:rPr>
              <w:rFonts w:ascii="Arial" w:hAnsi="Arial" w:cs="Arial"/>
            </w:rPr>
            <w:fldChar w:fldCharType="begin"/>
          </w:r>
          <w:r w:rsidR="00B32C84" w:rsidRPr="00F57F96">
            <w:rPr>
              <w:rFonts w:ascii="Arial" w:hAnsi="Arial" w:cs="Arial"/>
            </w:rPr>
            <w:instrText xml:space="preserve"> CITATION Qin26 \l 2057 </w:instrText>
          </w:r>
          <w:r w:rsidR="00B32C84" w:rsidRPr="00F57F96">
            <w:rPr>
              <w:rFonts w:ascii="Arial" w:hAnsi="Arial" w:cs="Arial"/>
            </w:rPr>
            <w:fldChar w:fldCharType="separate"/>
          </w:r>
          <w:r w:rsidR="00526D84" w:rsidRPr="00526D84">
            <w:rPr>
              <w:rFonts w:ascii="Arial" w:hAnsi="Arial" w:cs="Arial"/>
              <w:noProof/>
            </w:rPr>
            <w:t>[17]</w:t>
          </w:r>
          <w:r w:rsidR="00B32C84" w:rsidRPr="00F57F96">
            <w:rPr>
              <w:rFonts w:ascii="Arial" w:hAnsi="Arial" w:cs="Arial"/>
            </w:rPr>
            <w:fldChar w:fldCharType="end"/>
          </w:r>
        </w:sdtContent>
      </w:sdt>
      <w:r w:rsidR="00830E66" w:rsidRPr="00F57F96">
        <w:rPr>
          <w:rFonts w:ascii="Arial" w:hAnsi="Arial" w:cs="Arial"/>
        </w:rPr>
        <w:t xml:space="preserve"> </w:t>
      </w:r>
    </w:p>
    <w:p w14:paraId="0F00A9BC" w14:textId="77777777" w:rsidR="00DE262B" w:rsidRPr="00DE262B" w:rsidRDefault="00DE262B" w:rsidP="00DE262B">
      <w:pPr>
        <w:pStyle w:val="ListParagraph"/>
        <w:spacing w:after="0" w:line="240" w:lineRule="auto"/>
        <w:ind w:left="792"/>
        <w:rPr>
          <w:rFonts w:ascii="Arial" w:hAnsi="Arial" w:cs="Arial"/>
        </w:rPr>
      </w:pPr>
    </w:p>
    <w:p w14:paraId="7A8624A1" w14:textId="36E55046" w:rsidR="00001FCB" w:rsidRDefault="00697642" w:rsidP="00DE262B">
      <w:pPr>
        <w:pStyle w:val="ListParagraph"/>
        <w:numPr>
          <w:ilvl w:val="1"/>
          <w:numId w:val="19"/>
        </w:numPr>
        <w:spacing w:after="0" w:line="240" w:lineRule="auto"/>
        <w:rPr>
          <w:rFonts w:ascii="Arial" w:hAnsi="Arial" w:cs="Arial"/>
        </w:rPr>
      </w:pPr>
      <w:r w:rsidRPr="00F57F96">
        <w:rPr>
          <w:rFonts w:ascii="Arial" w:hAnsi="Arial" w:cs="Arial"/>
        </w:rPr>
        <w:t xml:space="preserve">Data collection will take place using </w:t>
      </w:r>
      <w:r w:rsidR="00196E57" w:rsidRPr="00F57F96">
        <w:rPr>
          <w:rFonts w:ascii="Arial" w:hAnsi="Arial" w:cs="Arial"/>
        </w:rPr>
        <w:t xml:space="preserve">equipment specified in the ISS plan such as video cameras, </w:t>
      </w:r>
      <w:r w:rsidR="00BD0CA4" w:rsidRPr="00F57F96">
        <w:rPr>
          <w:rFonts w:ascii="Arial" w:hAnsi="Arial" w:cs="Arial"/>
        </w:rPr>
        <w:t>x-ray, meteorological equipment (wind speed/direction temperature and humidity)</w:t>
      </w:r>
      <w:r w:rsidR="00FC38F7" w:rsidRPr="00F57F96">
        <w:rPr>
          <w:rFonts w:ascii="Arial" w:hAnsi="Arial" w:cs="Arial"/>
        </w:rPr>
        <w:t xml:space="preserve">. Time keeping </w:t>
      </w:r>
      <w:r w:rsidR="001011CC">
        <w:rPr>
          <w:rFonts w:ascii="Arial" w:hAnsi="Arial" w:cs="Arial"/>
        </w:rPr>
        <w:t xml:space="preserve">and </w:t>
      </w:r>
      <w:r w:rsidR="00173222">
        <w:rPr>
          <w:rFonts w:ascii="Arial" w:hAnsi="Arial" w:cs="Arial"/>
        </w:rPr>
        <w:t xml:space="preserve">height equipment. </w:t>
      </w:r>
      <w:r w:rsidR="008F3849">
        <w:rPr>
          <w:rFonts w:ascii="Arial" w:hAnsi="Arial" w:cs="Arial"/>
        </w:rPr>
        <w:t xml:space="preserve">See annex A. </w:t>
      </w:r>
    </w:p>
    <w:p w14:paraId="484E90A3" w14:textId="77777777" w:rsidR="00DE262B" w:rsidRPr="00DE262B" w:rsidRDefault="00DE262B" w:rsidP="00DE262B">
      <w:pPr>
        <w:pStyle w:val="ListParagraph"/>
        <w:rPr>
          <w:rFonts w:ascii="Arial" w:hAnsi="Arial" w:cs="Arial"/>
        </w:rPr>
      </w:pPr>
    </w:p>
    <w:p w14:paraId="4115B3F9" w14:textId="6EB21B4A" w:rsidR="00B03BCE" w:rsidRDefault="00FE68D6" w:rsidP="00DE262B">
      <w:pPr>
        <w:pStyle w:val="ListParagraph"/>
        <w:numPr>
          <w:ilvl w:val="1"/>
          <w:numId w:val="19"/>
        </w:numPr>
        <w:spacing w:after="0" w:line="240" w:lineRule="auto"/>
        <w:rPr>
          <w:rFonts w:ascii="Arial" w:hAnsi="Arial" w:cs="Arial"/>
        </w:rPr>
      </w:pPr>
      <w:r>
        <w:rPr>
          <w:rFonts w:ascii="Arial" w:hAnsi="Arial" w:cs="Arial"/>
        </w:rPr>
        <w:t xml:space="preserve">Data evaluation will </w:t>
      </w:r>
      <w:r w:rsidR="00B8377C">
        <w:rPr>
          <w:rFonts w:ascii="Arial" w:hAnsi="Arial" w:cs="Arial"/>
        </w:rPr>
        <w:t>be conducted using formulae, input from subject matter experts</w:t>
      </w:r>
      <w:r w:rsidR="00D87CAE">
        <w:rPr>
          <w:rFonts w:ascii="Arial" w:hAnsi="Arial" w:cs="Arial"/>
        </w:rPr>
        <w:t>, minor/ major failure criteria</w:t>
      </w:r>
      <w:r w:rsidR="00B8377C">
        <w:rPr>
          <w:rFonts w:ascii="Arial" w:hAnsi="Arial" w:cs="Arial"/>
        </w:rPr>
        <w:t xml:space="preserve"> and </w:t>
      </w:r>
      <w:r w:rsidR="00D87CAE">
        <w:rPr>
          <w:rFonts w:ascii="Arial" w:hAnsi="Arial" w:cs="Arial"/>
        </w:rPr>
        <w:t xml:space="preserve">best judgment. </w:t>
      </w:r>
    </w:p>
    <w:p w14:paraId="0FDFD8D6" w14:textId="77777777" w:rsidR="00DE262B" w:rsidRDefault="00DE262B" w:rsidP="00DE262B">
      <w:pPr>
        <w:pStyle w:val="ListParagraph"/>
        <w:spacing w:after="0" w:line="240" w:lineRule="auto"/>
        <w:ind w:left="792"/>
        <w:rPr>
          <w:rFonts w:ascii="Arial" w:hAnsi="Arial" w:cs="Arial"/>
        </w:rPr>
      </w:pPr>
    </w:p>
    <w:p w14:paraId="40E70F3B" w14:textId="7659DE15" w:rsidR="00B03BCE" w:rsidRDefault="00B03BCE" w:rsidP="00DE262B">
      <w:pPr>
        <w:pStyle w:val="ListParagraph"/>
        <w:numPr>
          <w:ilvl w:val="1"/>
          <w:numId w:val="19"/>
        </w:numPr>
        <w:spacing w:after="0" w:line="240" w:lineRule="auto"/>
        <w:rPr>
          <w:rFonts w:ascii="Arial" w:hAnsi="Arial" w:cs="Arial"/>
        </w:rPr>
      </w:pPr>
      <w:r>
        <w:rPr>
          <w:rFonts w:ascii="Arial" w:hAnsi="Arial" w:cs="Arial"/>
        </w:rPr>
        <w:t>As with anything when involving munitions, there is a safety risk</w:t>
      </w:r>
      <w:r w:rsidR="009F6777">
        <w:rPr>
          <w:rFonts w:ascii="Arial" w:hAnsi="Arial" w:cs="Arial"/>
        </w:rPr>
        <w:t xml:space="preserve">. </w:t>
      </w:r>
      <w:r>
        <w:rPr>
          <w:rFonts w:ascii="Arial" w:hAnsi="Arial" w:cs="Arial"/>
        </w:rPr>
        <w:t>As par</w:t>
      </w:r>
      <w:r w:rsidR="00BC7544">
        <w:rPr>
          <w:rFonts w:ascii="Arial" w:hAnsi="Arial" w:cs="Arial"/>
        </w:rPr>
        <w:t xml:space="preserve">t of the planning and </w:t>
      </w:r>
      <w:r w:rsidR="00D47AC7">
        <w:rPr>
          <w:rFonts w:ascii="Arial" w:hAnsi="Arial" w:cs="Arial"/>
        </w:rPr>
        <w:t xml:space="preserve">test process, a risk assessment will be conducted to identify and mitigate any potential hazards that could occur. </w:t>
      </w:r>
    </w:p>
    <w:p w14:paraId="2353832F" w14:textId="77777777" w:rsidR="009F6777" w:rsidRPr="009F6777" w:rsidRDefault="009F6777" w:rsidP="009F6777">
      <w:pPr>
        <w:pStyle w:val="ListParagraph"/>
        <w:rPr>
          <w:rFonts w:ascii="Arial" w:hAnsi="Arial" w:cs="Arial"/>
        </w:rPr>
      </w:pPr>
    </w:p>
    <w:p w14:paraId="2024FD3F" w14:textId="6534FFEC" w:rsidR="00D47AC7" w:rsidRDefault="00D47AC7" w:rsidP="00DE262B">
      <w:pPr>
        <w:pStyle w:val="ListParagraph"/>
        <w:numPr>
          <w:ilvl w:val="1"/>
          <w:numId w:val="19"/>
        </w:numPr>
        <w:spacing w:after="0" w:line="240" w:lineRule="auto"/>
        <w:rPr>
          <w:rFonts w:ascii="Arial" w:hAnsi="Arial" w:cs="Arial"/>
        </w:rPr>
      </w:pPr>
      <w:r>
        <w:rPr>
          <w:rFonts w:ascii="Arial" w:hAnsi="Arial" w:cs="Arial"/>
        </w:rPr>
        <w:t>A p</w:t>
      </w:r>
      <w:r w:rsidR="006836C5">
        <w:rPr>
          <w:rFonts w:ascii="Arial" w:hAnsi="Arial" w:cs="Arial"/>
        </w:rPr>
        <w:t xml:space="preserve">ossible risk to the munition following the testing could be a significant failure could occur where it is </w:t>
      </w:r>
      <w:r w:rsidR="00C066EB">
        <w:rPr>
          <w:rFonts w:ascii="Arial" w:hAnsi="Arial" w:cs="Arial"/>
        </w:rPr>
        <w:t>apparent</w:t>
      </w:r>
      <w:r w:rsidR="006836C5">
        <w:rPr>
          <w:rFonts w:ascii="Arial" w:hAnsi="Arial" w:cs="Arial"/>
        </w:rPr>
        <w:t xml:space="preserve"> that the munition stock is no longer safe and suitable for service and so must be </w:t>
      </w:r>
      <w:r w:rsidR="00C066EB">
        <w:rPr>
          <w:rFonts w:ascii="Arial" w:hAnsi="Arial" w:cs="Arial"/>
        </w:rPr>
        <w:t xml:space="preserve">disposed of. This would not be </w:t>
      </w:r>
      <w:r w:rsidR="00D87CAE">
        <w:rPr>
          <w:rFonts w:ascii="Arial" w:hAnsi="Arial" w:cs="Arial"/>
        </w:rPr>
        <w:t>desirable,</w:t>
      </w:r>
      <w:r w:rsidR="00C066EB">
        <w:rPr>
          <w:rFonts w:ascii="Arial" w:hAnsi="Arial" w:cs="Arial"/>
        </w:rPr>
        <w:t xml:space="preserve"> but it</w:t>
      </w:r>
      <w:r w:rsidR="00F653B1">
        <w:rPr>
          <w:rFonts w:ascii="Arial" w:hAnsi="Arial" w:cs="Arial"/>
        </w:rPr>
        <w:t xml:space="preserve"> is</w:t>
      </w:r>
      <w:r w:rsidR="00C066EB">
        <w:rPr>
          <w:rFonts w:ascii="Arial" w:hAnsi="Arial" w:cs="Arial"/>
        </w:rPr>
        <w:t xml:space="preserve"> not a bad thing as </w:t>
      </w:r>
      <w:r w:rsidR="00F653B1">
        <w:rPr>
          <w:rFonts w:ascii="Arial" w:hAnsi="Arial" w:cs="Arial"/>
        </w:rPr>
        <w:t xml:space="preserve">unsafe stock would have been identified and withdrawn in accordance with </w:t>
      </w:r>
      <w:r w:rsidR="005D134C">
        <w:rPr>
          <w:rFonts w:ascii="Arial" w:hAnsi="Arial" w:cs="Arial"/>
        </w:rPr>
        <w:t xml:space="preserve">defence standards and </w:t>
      </w:r>
      <w:r w:rsidR="00F653B1">
        <w:rPr>
          <w:rFonts w:ascii="Arial" w:hAnsi="Arial" w:cs="Arial"/>
        </w:rPr>
        <w:t xml:space="preserve">ensuring the user community is safe. </w:t>
      </w:r>
    </w:p>
    <w:p w14:paraId="7CBE9F1B" w14:textId="77777777" w:rsidR="00391F78" w:rsidRPr="00F57F96" w:rsidRDefault="00391F78" w:rsidP="00DE262B">
      <w:pPr>
        <w:pStyle w:val="ListParagraph"/>
        <w:spacing w:after="0" w:line="240" w:lineRule="auto"/>
        <w:ind w:left="792"/>
        <w:rPr>
          <w:rFonts w:ascii="Arial" w:hAnsi="Arial" w:cs="Arial"/>
        </w:rPr>
      </w:pPr>
    </w:p>
    <w:p w14:paraId="7C824A5F" w14:textId="697B2495" w:rsidR="00897264" w:rsidRDefault="00897264" w:rsidP="00DE262B">
      <w:pPr>
        <w:pStyle w:val="ListParagraph"/>
        <w:numPr>
          <w:ilvl w:val="1"/>
          <w:numId w:val="19"/>
        </w:numPr>
        <w:spacing w:after="0" w:line="240" w:lineRule="auto"/>
        <w:rPr>
          <w:rFonts w:ascii="Arial" w:hAnsi="Arial" w:cs="Arial"/>
        </w:rPr>
      </w:pPr>
      <w:r>
        <w:rPr>
          <w:rFonts w:ascii="Arial" w:hAnsi="Arial" w:cs="Arial"/>
        </w:rPr>
        <w:t xml:space="preserve">Ethics is considered in SoAC Ethics Form, Annex </w:t>
      </w:r>
      <w:r w:rsidR="008F3849">
        <w:rPr>
          <w:rFonts w:ascii="Arial" w:hAnsi="Arial" w:cs="Arial"/>
        </w:rPr>
        <w:t>B</w:t>
      </w:r>
      <w:r>
        <w:rPr>
          <w:rFonts w:ascii="Arial" w:hAnsi="Arial" w:cs="Arial"/>
        </w:rPr>
        <w:t>.</w:t>
      </w:r>
    </w:p>
    <w:p w14:paraId="23C1C37C" w14:textId="77777777" w:rsidR="00590465" w:rsidRPr="00DE262B" w:rsidRDefault="00590465" w:rsidP="00DE262B">
      <w:pPr>
        <w:pStyle w:val="Heading1"/>
        <w:numPr>
          <w:ilvl w:val="0"/>
          <w:numId w:val="19"/>
        </w:numPr>
        <w:spacing w:line="240" w:lineRule="auto"/>
        <w:rPr>
          <w:lang w:eastAsia="en-GB"/>
        </w:rPr>
      </w:pPr>
      <w:bookmarkStart w:id="3" w:name="_Toc232764357"/>
      <w:r w:rsidRPr="00DE262B">
        <w:rPr>
          <w:lang w:eastAsia="en-GB"/>
        </w:rPr>
        <w:lastRenderedPageBreak/>
        <w:t>Resources &amp; Planning</w:t>
      </w:r>
      <w:bookmarkEnd w:id="3"/>
    </w:p>
    <w:p w14:paraId="74A2CCCE" w14:textId="77777777" w:rsidR="00391F78" w:rsidRDefault="00391F78" w:rsidP="00391F78">
      <w:pPr>
        <w:rPr>
          <w:rFonts w:ascii="Arial" w:hAnsi="Arial" w:cs="Arial"/>
        </w:rPr>
      </w:pPr>
    </w:p>
    <w:p w14:paraId="75B47E4F" w14:textId="4FA16AA9" w:rsidR="00391F78" w:rsidRDefault="00391F78" w:rsidP="00DE262B">
      <w:pPr>
        <w:pStyle w:val="ListParagraph"/>
        <w:numPr>
          <w:ilvl w:val="1"/>
          <w:numId w:val="19"/>
        </w:numPr>
        <w:spacing w:after="0" w:line="240" w:lineRule="auto"/>
        <w:rPr>
          <w:rFonts w:ascii="Arial" w:hAnsi="Arial" w:cs="Arial"/>
        </w:rPr>
      </w:pPr>
      <w:r>
        <w:rPr>
          <w:rFonts w:ascii="Arial" w:hAnsi="Arial" w:cs="Arial"/>
        </w:rPr>
        <w:t>Timeframe for this project is:</w:t>
      </w:r>
    </w:p>
    <w:p w14:paraId="6DDC4738" w14:textId="77777777" w:rsidR="00DE262B" w:rsidRDefault="00DE262B" w:rsidP="00DE262B">
      <w:pPr>
        <w:pStyle w:val="ListParagraph"/>
        <w:spacing w:after="0" w:line="240" w:lineRule="auto"/>
        <w:ind w:left="792"/>
        <w:rPr>
          <w:rFonts w:ascii="Arial" w:hAnsi="Arial" w:cs="Arial"/>
        </w:rPr>
      </w:pPr>
    </w:p>
    <w:p w14:paraId="730DD2D0" w14:textId="77777777" w:rsidR="00391F78" w:rsidRPr="00391F78" w:rsidRDefault="00391F78" w:rsidP="00391F78">
      <w:pPr>
        <w:numPr>
          <w:ilvl w:val="0"/>
          <w:numId w:val="16"/>
        </w:numPr>
        <w:rPr>
          <w:rFonts w:ascii="Arial" w:hAnsi="Arial" w:cs="Arial"/>
        </w:rPr>
      </w:pPr>
      <w:r w:rsidRPr="00391F78">
        <w:rPr>
          <w:rFonts w:ascii="Arial" w:hAnsi="Arial" w:cs="Arial"/>
          <w:b/>
          <w:bCs/>
        </w:rPr>
        <w:t>Project proposal due:</w:t>
      </w:r>
      <w:r w:rsidRPr="00391F78">
        <w:rPr>
          <w:rFonts w:ascii="Arial" w:hAnsi="Arial" w:cs="Arial"/>
        </w:rPr>
        <w:t> 19 June 2026</w:t>
      </w:r>
    </w:p>
    <w:p w14:paraId="745D6787" w14:textId="77777777" w:rsidR="00391F78" w:rsidRPr="00391F78" w:rsidRDefault="00391F78" w:rsidP="00391F78">
      <w:pPr>
        <w:numPr>
          <w:ilvl w:val="0"/>
          <w:numId w:val="16"/>
        </w:numPr>
        <w:rPr>
          <w:rFonts w:ascii="Arial" w:hAnsi="Arial" w:cs="Arial"/>
        </w:rPr>
      </w:pPr>
      <w:r w:rsidRPr="00391F78">
        <w:rPr>
          <w:rFonts w:ascii="Arial" w:hAnsi="Arial" w:cs="Arial"/>
          <w:b/>
          <w:bCs/>
        </w:rPr>
        <w:t>Planning for ISS testing:</w:t>
      </w:r>
      <w:r w:rsidRPr="00391F78">
        <w:rPr>
          <w:rFonts w:ascii="Arial" w:hAnsi="Arial" w:cs="Arial"/>
        </w:rPr>
        <w:t> July to December 2026</w:t>
      </w:r>
    </w:p>
    <w:p w14:paraId="3E598A86" w14:textId="77777777" w:rsidR="00391F78" w:rsidRPr="00391F78" w:rsidRDefault="00391F78" w:rsidP="00391F78">
      <w:pPr>
        <w:numPr>
          <w:ilvl w:val="0"/>
          <w:numId w:val="16"/>
        </w:numPr>
        <w:rPr>
          <w:rFonts w:ascii="Arial" w:hAnsi="Arial" w:cs="Arial"/>
        </w:rPr>
      </w:pPr>
      <w:r w:rsidRPr="00391F78">
        <w:rPr>
          <w:rFonts w:ascii="Arial" w:hAnsi="Arial" w:cs="Arial"/>
          <w:b/>
          <w:bCs/>
        </w:rPr>
        <w:t>ISS testing:</w:t>
      </w:r>
      <w:r w:rsidRPr="00391F78">
        <w:rPr>
          <w:rFonts w:ascii="Arial" w:hAnsi="Arial" w:cs="Arial"/>
        </w:rPr>
        <w:t> Early January to early February 2027</w:t>
      </w:r>
    </w:p>
    <w:p w14:paraId="0C24007D" w14:textId="77777777" w:rsidR="00391F78" w:rsidRPr="00391F78" w:rsidRDefault="00391F78" w:rsidP="00391F78">
      <w:pPr>
        <w:numPr>
          <w:ilvl w:val="0"/>
          <w:numId w:val="16"/>
        </w:numPr>
        <w:rPr>
          <w:rFonts w:ascii="Arial" w:hAnsi="Arial" w:cs="Arial"/>
        </w:rPr>
      </w:pPr>
      <w:r w:rsidRPr="00391F78">
        <w:rPr>
          <w:rFonts w:ascii="Arial" w:hAnsi="Arial" w:cs="Arial"/>
          <w:b/>
          <w:bCs/>
        </w:rPr>
        <w:t>Analysis of results:</w:t>
      </w:r>
      <w:r w:rsidRPr="00391F78">
        <w:rPr>
          <w:rFonts w:ascii="Arial" w:hAnsi="Arial" w:cs="Arial"/>
        </w:rPr>
        <w:t> Mid-February to start of March 2027</w:t>
      </w:r>
    </w:p>
    <w:p w14:paraId="5C336BAA" w14:textId="77777777" w:rsidR="00391F78" w:rsidRPr="00391F78" w:rsidRDefault="00391F78" w:rsidP="00391F78">
      <w:pPr>
        <w:numPr>
          <w:ilvl w:val="0"/>
          <w:numId w:val="16"/>
        </w:numPr>
        <w:rPr>
          <w:rFonts w:ascii="Arial" w:hAnsi="Arial" w:cs="Arial"/>
        </w:rPr>
      </w:pPr>
      <w:r w:rsidRPr="00391F78">
        <w:rPr>
          <w:rFonts w:ascii="Arial" w:hAnsi="Arial" w:cs="Arial"/>
          <w:b/>
          <w:bCs/>
        </w:rPr>
        <w:t>Final report due:</w:t>
      </w:r>
      <w:r w:rsidRPr="00391F78">
        <w:rPr>
          <w:rFonts w:ascii="Arial" w:hAnsi="Arial" w:cs="Arial"/>
        </w:rPr>
        <w:t> 19 March 2027</w:t>
      </w:r>
    </w:p>
    <w:p w14:paraId="45CC9B25" w14:textId="77777777" w:rsidR="00391F78" w:rsidRDefault="00391F78" w:rsidP="00391F78">
      <w:pPr>
        <w:rPr>
          <w:rFonts w:ascii="Arial" w:hAnsi="Arial" w:cs="Arial"/>
        </w:rPr>
      </w:pPr>
    </w:p>
    <w:p w14:paraId="033AD8E9" w14:textId="3B45CF50" w:rsidR="00511BCB" w:rsidRDefault="00511BCB" w:rsidP="00626A01">
      <w:pPr>
        <w:pStyle w:val="ListParagraph"/>
        <w:numPr>
          <w:ilvl w:val="1"/>
          <w:numId w:val="19"/>
        </w:numPr>
        <w:spacing w:after="0" w:line="240" w:lineRule="auto"/>
        <w:rPr>
          <w:rFonts w:ascii="Arial" w:hAnsi="Arial" w:cs="Arial"/>
        </w:rPr>
      </w:pPr>
      <w:r>
        <w:rPr>
          <w:rFonts w:ascii="Arial" w:hAnsi="Arial" w:cs="Arial"/>
        </w:rPr>
        <w:t>See Annex C for Gannt Chart.</w:t>
      </w:r>
    </w:p>
    <w:p w14:paraId="28032FF0" w14:textId="77777777" w:rsidR="00511BCB" w:rsidRDefault="00511BCB" w:rsidP="00511BCB">
      <w:pPr>
        <w:pStyle w:val="ListParagraph"/>
        <w:spacing w:after="0" w:line="240" w:lineRule="auto"/>
        <w:ind w:left="792"/>
        <w:rPr>
          <w:rFonts w:ascii="Arial" w:hAnsi="Arial" w:cs="Arial"/>
        </w:rPr>
      </w:pPr>
    </w:p>
    <w:p w14:paraId="04012C3E" w14:textId="57B62F21" w:rsidR="009F6777" w:rsidRDefault="002B5BA6" w:rsidP="00626A01">
      <w:pPr>
        <w:pStyle w:val="ListParagraph"/>
        <w:numPr>
          <w:ilvl w:val="1"/>
          <w:numId w:val="19"/>
        </w:numPr>
        <w:spacing w:after="0" w:line="240" w:lineRule="auto"/>
        <w:rPr>
          <w:rFonts w:ascii="Arial" w:hAnsi="Arial" w:cs="Arial"/>
        </w:rPr>
      </w:pPr>
      <w:r w:rsidRPr="009F6777">
        <w:rPr>
          <w:rFonts w:ascii="Arial" w:hAnsi="Arial" w:cs="Arial"/>
        </w:rPr>
        <w:t>The project will require no additional resources when compared to</w:t>
      </w:r>
      <w:r w:rsidR="00895BC3" w:rsidRPr="009F6777">
        <w:rPr>
          <w:rFonts w:ascii="Arial" w:hAnsi="Arial" w:cs="Arial"/>
        </w:rPr>
        <w:t xml:space="preserve"> other</w:t>
      </w:r>
      <w:r w:rsidR="004D7FC9" w:rsidRPr="009F6777">
        <w:rPr>
          <w:rFonts w:ascii="Arial" w:hAnsi="Arial" w:cs="Arial"/>
        </w:rPr>
        <w:t xml:space="preserve"> ISS programme</w:t>
      </w:r>
      <w:r w:rsidR="00895BC3" w:rsidRPr="009F6777">
        <w:rPr>
          <w:rFonts w:ascii="Arial" w:hAnsi="Arial" w:cs="Arial"/>
        </w:rPr>
        <w:t>s</w:t>
      </w:r>
      <w:r w:rsidR="004D7FC9" w:rsidRPr="009F6777">
        <w:rPr>
          <w:rFonts w:ascii="Arial" w:hAnsi="Arial" w:cs="Arial"/>
        </w:rPr>
        <w:t xml:space="preserve">. </w:t>
      </w:r>
    </w:p>
    <w:p w14:paraId="0CE91AE2" w14:textId="77777777" w:rsidR="009F6777" w:rsidRDefault="009F6777" w:rsidP="009F6777">
      <w:pPr>
        <w:pStyle w:val="ListParagraph"/>
        <w:spacing w:after="0" w:line="240" w:lineRule="auto"/>
        <w:ind w:left="792"/>
        <w:rPr>
          <w:rFonts w:ascii="Arial" w:hAnsi="Arial" w:cs="Arial"/>
        </w:rPr>
      </w:pPr>
    </w:p>
    <w:p w14:paraId="75EC87B1" w14:textId="3C0AFF18" w:rsidR="009F6777" w:rsidRPr="009F6777" w:rsidRDefault="009F6777" w:rsidP="00626A01">
      <w:pPr>
        <w:pStyle w:val="ListParagraph"/>
        <w:numPr>
          <w:ilvl w:val="1"/>
          <w:numId w:val="19"/>
        </w:numPr>
        <w:spacing w:after="0" w:line="240" w:lineRule="auto"/>
        <w:rPr>
          <w:rFonts w:ascii="Arial" w:hAnsi="Arial" w:cs="Arial"/>
        </w:rPr>
      </w:pPr>
      <w:r w:rsidRPr="009F6777">
        <w:rPr>
          <w:rFonts w:ascii="Arial" w:hAnsi="Arial" w:cs="Arial"/>
        </w:rPr>
        <w:t xml:space="preserve">Three colours are being tested requiring 8 BKIs. Approximately 500 cartridges will be tested. </w:t>
      </w:r>
    </w:p>
    <w:p w14:paraId="0E1E975A" w14:textId="77777777" w:rsidR="009F6777" w:rsidRDefault="009F6777" w:rsidP="009F6777">
      <w:pPr>
        <w:pStyle w:val="ListParagraph"/>
        <w:spacing w:after="0" w:line="240" w:lineRule="auto"/>
        <w:ind w:left="792"/>
        <w:rPr>
          <w:rFonts w:ascii="Arial" w:hAnsi="Arial" w:cs="Arial"/>
        </w:rPr>
      </w:pPr>
    </w:p>
    <w:p w14:paraId="46A10986" w14:textId="0CC95F81" w:rsidR="009F6777" w:rsidRPr="00F57F96" w:rsidRDefault="00511BCB" w:rsidP="009F6777">
      <w:pPr>
        <w:pStyle w:val="ListParagraph"/>
        <w:numPr>
          <w:ilvl w:val="1"/>
          <w:numId w:val="19"/>
        </w:numPr>
        <w:spacing w:after="0" w:line="240" w:lineRule="auto"/>
        <w:rPr>
          <w:rFonts w:ascii="Arial" w:hAnsi="Arial" w:cs="Arial"/>
        </w:rPr>
      </w:pPr>
      <w:r w:rsidRPr="00F57F96">
        <w:rPr>
          <w:rFonts w:ascii="Arial" w:hAnsi="Arial" w:cs="Arial"/>
        </w:rPr>
        <w:t xml:space="preserve">Key to operating the cartridges will be a number of </w:t>
      </w:r>
      <w:r w:rsidRPr="00DE262B">
        <w:rPr>
          <w:rFonts w:ascii="Arial" w:hAnsi="Arial" w:cs="Arial"/>
        </w:rPr>
        <w:t>pyrotechnic pistols supplied as government furnished assets.</w:t>
      </w:r>
      <w:r>
        <w:rPr>
          <w:rFonts w:ascii="Arial" w:hAnsi="Arial" w:cs="Arial"/>
        </w:rPr>
        <w:t xml:space="preserve"> </w:t>
      </w:r>
      <w:r w:rsidR="009F6777">
        <w:rPr>
          <w:rFonts w:ascii="Arial" w:hAnsi="Arial" w:cs="Arial"/>
        </w:rPr>
        <w:t xml:space="preserve">To function these cartridges, 5 pyrotechnic pistols have been requested. </w:t>
      </w:r>
    </w:p>
    <w:p w14:paraId="4FA3BDD3" w14:textId="77777777" w:rsidR="00511BCB" w:rsidRDefault="00511BCB" w:rsidP="00511BCB">
      <w:pPr>
        <w:pStyle w:val="ListParagraph"/>
        <w:spacing w:after="0" w:line="240" w:lineRule="auto"/>
        <w:ind w:left="792"/>
        <w:rPr>
          <w:rFonts w:ascii="Arial" w:hAnsi="Arial" w:cs="Arial"/>
        </w:rPr>
      </w:pPr>
    </w:p>
    <w:p w14:paraId="6EC88EEA" w14:textId="24619BD3" w:rsidR="00391F78" w:rsidRDefault="004D7FC9" w:rsidP="00DE262B">
      <w:pPr>
        <w:pStyle w:val="ListParagraph"/>
        <w:numPr>
          <w:ilvl w:val="1"/>
          <w:numId w:val="19"/>
        </w:numPr>
        <w:spacing w:after="0" w:line="240" w:lineRule="auto"/>
        <w:rPr>
          <w:rFonts w:ascii="Arial" w:hAnsi="Arial" w:cs="Arial"/>
        </w:rPr>
      </w:pPr>
      <w:r>
        <w:rPr>
          <w:rFonts w:ascii="Arial" w:hAnsi="Arial" w:cs="Arial"/>
        </w:rPr>
        <w:t>Engagement from the stakeholder community will be required:</w:t>
      </w:r>
    </w:p>
    <w:p w14:paraId="47963404" w14:textId="77777777" w:rsidR="004D7FC9" w:rsidRDefault="004D7FC9" w:rsidP="00391F78">
      <w:pPr>
        <w:rPr>
          <w:rFonts w:ascii="Arial" w:hAnsi="Arial" w:cs="Arial"/>
        </w:rPr>
      </w:pPr>
    </w:p>
    <w:p w14:paraId="59AE8BB5" w14:textId="26D6FBA3" w:rsidR="004D7FC9" w:rsidRDefault="004D7FC9" w:rsidP="00DE262B">
      <w:pPr>
        <w:pStyle w:val="ListParagraph"/>
        <w:numPr>
          <w:ilvl w:val="0"/>
          <w:numId w:val="18"/>
        </w:numPr>
        <w:rPr>
          <w:rFonts w:ascii="Arial" w:hAnsi="Arial" w:cs="Arial"/>
        </w:rPr>
      </w:pPr>
      <w:r>
        <w:rPr>
          <w:rFonts w:ascii="Arial" w:hAnsi="Arial" w:cs="Arial"/>
        </w:rPr>
        <w:t>Chief Engineer (review and sign off STLE)</w:t>
      </w:r>
    </w:p>
    <w:p w14:paraId="3C9642B5" w14:textId="0D12D04F" w:rsidR="0077390E" w:rsidRPr="007B4DA7" w:rsidRDefault="00391D17" w:rsidP="00DE262B">
      <w:pPr>
        <w:pStyle w:val="ListParagraph"/>
        <w:numPr>
          <w:ilvl w:val="0"/>
          <w:numId w:val="18"/>
        </w:numPr>
        <w:rPr>
          <w:rFonts w:ascii="Arial" w:hAnsi="Arial" w:cs="Arial"/>
        </w:rPr>
      </w:pPr>
      <w:r>
        <w:rPr>
          <w:rFonts w:ascii="Arial" w:hAnsi="Arial" w:cs="Arial"/>
        </w:rPr>
        <w:t xml:space="preserve">QinetiQ </w:t>
      </w:r>
      <w:r w:rsidR="006F1F1D">
        <w:rPr>
          <w:rFonts w:ascii="Arial" w:hAnsi="Arial" w:cs="Arial"/>
        </w:rPr>
        <w:t>Staff</w:t>
      </w:r>
    </w:p>
    <w:p w14:paraId="33898DC1" w14:textId="14A46273" w:rsidR="006F1F1D" w:rsidRDefault="006F1F1D" w:rsidP="00DE262B">
      <w:pPr>
        <w:pStyle w:val="ListParagraph"/>
        <w:numPr>
          <w:ilvl w:val="0"/>
          <w:numId w:val="18"/>
        </w:numPr>
        <w:rPr>
          <w:rFonts w:ascii="Arial" w:hAnsi="Arial" w:cs="Arial"/>
        </w:rPr>
      </w:pPr>
      <w:r>
        <w:rPr>
          <w:rFonts w:ascii="Arial" w:hAnsi="Arial" w:cs="Arial"/>
        </w:rPr>
        <w:t>ISS Team</w:t>
      </w:r>
    </w:p>
    <w:p w14:paraId="51AFC8C1" w14:textId="12999DCB" w:rsidR="006F1F1D" w:rsidRPr="004D7FC9" w:rsidRDefault="006F1F1D" w:rsidP="00DE262B">
      <w:pPr>
        <w:pStyle w:val="ListParagraph"/>
        <w:numPr>
          <w:ilvl w:val="0"/>
          <w:numId w:val="18"/>
        </w:numPr>
        <w:rPr>
          <w:rFonts w:ascii="Arial" w:hAnsi="Arial" w:cs="Arial"/>
        </w:rPr>
      </w:pPr>
      <w:r>
        <w:rPr>
          <w:rFonts w:ascii="Arial" w:hAnsi="Arial" w:cs="Arial"/>
        </w:rPr>
        <w:t>Navy</w:t>
      </w:r>
      <w:r w:rsidR="009F6777">
        <w:rPr>
          <w:rFonts w:ascii="Arial" w:hAnsi="Arial" w:cs="Arial"/>
        </w:rPr>
        <w:t>/</w:t>
      </w:r>
      <w:r>
        <w:rPr>
          <w:rFonts w:ascii="Arial" w:hAnsi="Arial" w:cs="Arial"/>
        </w:rPr>
        <w:t xml:space="preserve">Air </w:t>
      </w:r>
      <w:r w:rsidR="007B4DA7">
        <w:rPr>
          <w:rFonts w:ascii="Arial" w:hAnsi="Arial" w:cs="Arial"/>
        </w:rPr>
        <w:t>Project Team</w:t>
      </w:r>
    </w:p>
    <w:p w14:paraId="65A44527" w14:textId="77777777" w:rsidR="00511BCB" w:rsidRDefault="00511BCB">
      <w:pPr>
        <w:rPr>
          <w:rFonts w:ascii="Arial" w:hAnsi="Arial" w:cs="Arial"/>
        </w:rPr>
      </w:pPr>
      <w:r>
        <w:rPr>
          <w:rFonts w:ascii="Arial" w:hAnsi="Arial" w:cs="Arial"/>
        </w:rPr>
        <w:br w:type="page"/>
      </w:r>
    </w:p>
    <w:bookmarkStart w:id="4" w:name="_Toc232764358" w:displacedByCustomXml="next"/>
    <w:sdt>
      <w:sdtPr>
        <w:rPr>
          <w:rFonts w:ascii="Arial" w:eastAsiaTheme="minorHAnsi" w:hAnsi="Arial" w:cs="Arial"/>
          <w:color w:val="auto"/>
          <w:sz w:val="22"/>
          <w:szCs w:val="22"/>
        </w:rPr>
        <w:id w:val="-1719197396"/>
        <w:docPartObj>
          <w:docPartGallery w:val="Bibliographies"/>
          <w:docPartUnique/>
        </w:docPartObj>
      </w:sdtPr>
      <w:sdtContent>
        <w:p w14:paraId="054DB177" w14:textId="74B883C6" w:rsidR="009A536A" w:rsidRPr="00F57F96" w:rsidRDefault="009A536A">
          <w:pPr>
            <w:pStyle w:val="Heading1"/>
            <w:rPr>
              <w:rFonts w:ascii="Arial" w:hAnsi="Arial" w:cs="Arial"/>
            </w:rPr>
          </w:pPr>
          <w:r w:rsidRPr="00F57F96">
            <w:rPr>
              <w:rFonts w:ascii="Arial" w:hAnsi="Arial" w:cs="Arial"/>
            </w:rPr>
            <w:t>References</w:t>
          </w:r>
          <w:bookmarkEnd w:id="4"/>
        </w:p>
        <w:sdt>
          <w:sdtPr>
            <w:rPr>
              <w:rFonts w:ascii="Arial" w:hAnsi="Arial" w:cs="Arial"/>
            </w:rPr>
            <w:id w:val="-573587230"/>
            <w:bibliography/>
          </w:sdtPr>
          <w:sdtContent>
            <w:p w14:paraId="648583E6" w14:textId="77777777" w:rsidR="00526D84" w:rsidRDefault="009A536A">
              <w:pPr>
                <w:rPr>
                  <w:noProof/>
                </w:rPr>
              </w:pPr>
              <w:r w:rsidRPr="00F57F96">
                <w:rPr>
                  <w:rFonts w:ascii="Arial" w:hAnsi="Arial" w:cs="Arial"/>
                </w:rPr>
                <w:fldChar w:fldCharType="begin"/>
              </w:r>
              <w:r w:rsidRPr="00F57F96">
                <w:rPr>
                  <w:rFonts w:ascii="Arial" w:hAnsi="Arial" w:cs="Arial"/>
                </w:rPr>
                <w:instrText>BIBLIOGRAPHY</w:instrText>
              </w:r>
              <w:r w:rsidRPr="00F57F96">
                <w:rPr>
                  <w:rFonts w:ascii="Arial" w:hAnsi="Arial" w:cs="Arial"/>
                </w:rP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526D84" w14:paraId="4CBF33CA" w14:textId="77777777" w:rsidTr="00526D84">
                <w:trPr>
                  <w:divId w:val="2127960886"/>
                  <w:tblCellSpacing w:w="15" w:type="dxa"/>
                </w:trPr>
                <w:tc>
                  <w:tcPr>
                    <w:tcW w:w="289" w:type="pct"/>
                    <w:hideMark/>
                  </w:tcPr>
                  <w:p w14:paraId="7E1B665D" w14:textId="4997EDAB" w:rsidR="00526D84" w:rsidRDefault="00526D84">
                    <w:pPr>
                      <w:pStyle w:val="Bibliography"/>
                      <w:rPr>
                        <w:noProof/>
                        <w:sz w:val="24"/>
                        <w:szCs w:val="24"/>
                      </w:rPr>
                    </w:pPr>
                    <w:r>
                      <w:rPr>
                        <w:noProof/>
                      </w:rPr>
                      <w:t xml:space="preserve">[1] </w:t>
                    </w:r>
                  </w:p>
                </w:tc>
                <w:tc>
                  <w:tcPr>
                    <w:tcW w:w="4661" w:type="pct"/>
                    <w:hideMark/>
                  </w:tcPr>
                  <w:p w14:paraId="7C3307CD" w14:textId="77777777" w:rsidR="00526D84" w:rsidRDefault="00526D84">
                    <w:pPr>
                      <w:pStyle w:val="Bibliography"/>
                      <w:rPr>
                        <w:noProof/>
                      </w:rPr>
                    </w:pPr>
                    <w:r>
                      <w:rPr>
                        <w:noProof/>
                      </w:rPr>
                      <w:t>WESCOM Defence, “40mm Coloured Smoke Cartridges,” [Online]. Available: https://wescomdefence.com/product/tactical-signalling-marking/40mm-coloured-smoke-cartridges/. [Accessed 18 June 2026].</w:t>
                    </w:r>
                  </w:p>
                </w:tc>
              </w:tr>
              <w:tr w:rsidR="00526D84" w14:paraId="5973B4E2" w14:textId="77777777" w:rsidTr="00526D84">
                <w:trPr>
                  <w:divId w:val="2127960886"/>
                  <w:tblCellSpacing w:w="15" w:type="dxa"/>
                </w:trPr>
                <w:tc>
                  <w:tcPr>
                    <w:tcW w:w="289" w:type="pct"/>
                    <w:hideMark/>
                  </w:tcPr>
                  <w:p w14:paraId="5E32B103" w14:textId="77777777" w:rsidR="00526D84" w:rsidRDefault="00526D84">
                    <w:pPr>
                      <w:pStyle w:val="Bibliography"/>
                      <w:rPr>
                        <w:noProof/>
                      </w:rPr>
                    </w:pPr>
                    <w:r>
                      <w:rPr>
                        <w:noProof/>
                      </w:rPr>
                      <w:t xml:space="preserve">[2] </w:t>
                    </w:r>
                  </w:p>
                </w:tc>
                <w:tc>
                  <w:tcPr>
                    <w:tcW w:w="4661" w:type="pct"/>
                    <w:hideMark/>
                  </w:tcPr>
                  <w:p w14:paraId="59BD97C1" w14:textId="77777777" w:rsidR="00526D84" w:rsidRDefault="00526D84">
                    <w:pPr>
                      <w:pStyle w:val="Bibliography"/>
                      <w:rPr>
                        <w:noProof/>
                      </w:rPr>
                    </w:pPr>
                    <w:r>
                      <w:rPr>
                        <w:noProof/>
                      </w:rPr>
                      <w:t>Ministry of Defence, “DSA03 OME: part 1 OME Acquisition,” Ministry of Defence, 20 November 2025. [Online]. Available: https://www.gov.uk/government/publications/dsa03-ome-part-1-ome-acquisition. [Accessed 18 June 2026].</w:t>
                    </w:r>
                  </w:p>
                </w:tc>
              </w:tr>
              <w:tr w:rsidR="00526D84" w14:paraId="7195564D" w14:textId="77777777" w:rsidTr="00526D84">
                <w:trPr>
                  <w:divId w:val="2127960886"/>
                  <w:tblCellSpacing w:w="15" w:type="dxa"/>
                </w:trPr>
                <w:tc>
                  <w:tcPr>
                    <w:tcW w:w="289" w:type="pct"/>
                    <w:hideMark/>
                  </w:tcPr>
                  <w:p w14:paraId="46EF1FE9" w14:textId="77777777" w:rsidR="00526D84" w:rsidRDefault="00526D84">
                    <w:pPr>
                      <w:pStyle w:val="Bibliography"/>
                      <w:rPr>
                        <w:noProof/>
                      </w:rPr>
                    </w:pPr>
                    <w:r>
                      <w:rPr>
                        <w:noProof/>
                      </w:rPr>
                      <w:t xml:space="preserve">[3] </w:t>
                    </w:r>
                  </w:p>
                </w:tc>
                <w:tc>
                  <w:tcPr>
                    <w:tcW w:w="4661" w:type="pct"/>
                    <w:hideMark/>
                  </w:tcPr>
                  <w:p w14:paraId="5EA8175E" w14:textId="77777777" w:rsidR="00526D84" w:rsidRDefault="00526D84">
                    <w:pPr>
                      <w:pStyle w:val="Bibliography"/>
                      <w:rPr>
                        <w:noProof/>
                      </w:rPr>
                    </w:pPr>
                    <w:r>
                      <w:rPr>
                        <w:noProof/>
                      </w:rPr>
                      <w:t>Defence Safety Authority, “DSA 03.OME Part 1: Defence Code of Practice (DCOP) 113 OME Through-Life Capability Management (TLCM),” 20 November 2025. [Online]. Available: https://assets.publishing.service.gov.uk/media/69b1604558d4ef5adaf0e444/DSA_03.OME_Part_1-DCOP113_OME_Through-Life_Capability_Management__v2.0_Feb_26_.pdf. [Accessed 18 June 2026].</w:t>
                    </w:r>
                  </w:p>
                </w:tc>
              </w:tr>
              <w:tr w:rsidR="00526D84" w14:paraId="4D3A8908" w14:textId="77777777" w:rsidTr="00526D84">
                <w:trPr>
                  <w:divId w:val="2127960886"/>
                  <w:tblCellSpacing w:w="15" w:type="dxa"/>
                </w:trPr>
                <w:tc>
                  <w:tcPr>
                    <w:tcW w:w="289" w:type="pct"/>
                    <w:hideMark/>
                  </w:tcPr>
                  <w:p w14:paraId="091CAA0F" w14:textId="77777777" w:rsidR="00526D84" w:rsidRDefault="00526D84">
                    <w:pPr>
                      <w:pStyle w:val="Bibliography"/>
                      <w:rPr>
                        <w:noProof/>
                      </w:rPr>
                    </w:pPr>
                    <w:r>
                      <w:rPr>
                        <w:noProof/>
                      </w:rPr>
                      <w:t xml:space="preserve">[4] </w:t>
                    </w:r>
                  </w:p>
                </w:tc>
                <w:tc>
                  <w:tcPr>
                    <w:tcW w:w="4661" w:type="pct"/>
                    <w:hideMark/>
                  </w:tcPr>
                  <w:p w14:paraId="2BB4AC16" w14:textId="77777777" w:rsidR="00526D84" w:rsidRDefault="00526D84">
                    <w:pPr>
                      <w:pStyle w:val="Bibliography"/>
                      <w:rPr>
                        <w:noProof/>
                      </w:rPr>
                    </w:pPr>
                    <w:r>
                      <w:rPr>
                        <w:noProof/>
                      </w:rPr>
                      <w:t>North Atlantic Treaty Organization (NATO), “NATO - STANAG 4675,” 27 February 2017. [Online]. Available: https://standards.globalspec.com/std/10199856/stanag-4675. [Accessed 18 June 2026].</w:t>
                    </w:r>
                  </w:p>
                </w:tc>
              </w:tr>
              <w:tr w:rsidR="00526D84" w14:paraId="41A419A5" w14:textId="77777777" w:rsidTr="00526D84">
                <w:trPr>
                  <w:divId w:val="2127960886"/>
                  <w:tblCellSpacing w:w="15" w:type="dxa"/>
                </w:trPr>
                <w:tc>
                  <w:tcPr>
                    <w:tcW w:w="289" w:type="pct"/>
                    <w:hideMark/>
                  </w:tcPr>
                  <w:p w14:paraId="59A7C4DB" w14:textId="77777777" w:rsidR="00526D84" w:rsidRDefault="00526D84">
                    <w:pPr>
                      <w:pStyle w:val="Bibliography"/>
                      <w:rPr>
                        <w:noProof/>
                      </w:rPr>
                    </w:pPr>
                    <w:r>
                      <w:rPr>
                        <w:noProof/>
                      </w:rPr>
                      <w:t xml:space="preserve">[5] </w:t>
                    </w:r>
                  </w:p>
                </w:tc>
                <w:tc>
                  <w:tcPr>
                    <w:tcW w:w="4661" w:type="pct"/>
                    <w:hideMark/>
                  </w:tcPr>
                  <w:p w14:paraId="1437F44E" w14:textId="77777777" w:rsidR="00526D84" w:rsidRDefault="00526D84">
                    <w:pPr>
                      <w:pStyle w:val="Bibliography"/>
                      <w:rPr>
                        <w:noProof/>
                      </w:rPr>
                    </w:pPr>
                    <w:r>
                      <w:rPr>
                        <w:noProof/>
                      </w:rPr>
                      <w:t>North Atlantic Treaty Organization (NATO), “NATO - AOP-62,” 27 February 2017. [Online]. Available: https://standards.globalspec.com/std/10266598/aop-62. [Accessed 18 June 2026].</w:t>
                    </w:r>
                  </w:p>
                </w:tc>
              </w:tr>
              <w:tr w:rsidR="00526D84" w14:paraId="05DE72ED" w14:textId="77777777" w:rsidTr="00526D84">
                <w:trPr>
                  <w:divId w:val="2127960886"/>
                  <w:tblCellSpacing w:w="15" w:type="dxa"/>
                </w:trPr>
                <w:tc>
                  <w:tcPr>
                    <w:tcW w:w="289" w:type="pct"/>
                    <w:hideMark/>
                  </w:tcPr>
                  <w:p w14:paraId="4F78A974" w14:textId="77777777" w:rsidR="00526D84" w:rsidRDefault="00526D84">
                    <w:pPr>
                      <w:pStyle w:val="Bibliography"/>
                      <w:rPr>
                        <w:noProof/>
                      </w:rPr>
                    </w:pPr>
                    <w:r>
                      <w:rPr>
                        <w:noProof/>
                      </w:rPr>
                      <w:t xml:space="preserve">[6] </w:t>
                    </w:r>
                  </w:p>
                </w:tc>
                <w:tc>
                  <w:tcPr>
                    <w:tcW w:w="4661" w:type="pct"/>
                    <w:hideMark/>
                  </w:tcPr>
                  <w:p w14:paraId="6309B12A" w14:textId="77777777" w:rsidR="00526D84" w:rsidRDefault="00526D84">
                    <w:pPr>
                      <w:pStyle w:val="Bibliography"/>
                      <w:rPr>
                        <w:noProof/>
                      </w:rPr>
                    </w:pPr>
                    <w:r>
                      <w:rPr>
                        <w:noProof/>
                      </w:rPr>
                      <w:t>UK Ministry of Defence, “DEF STAN 05-101 - Proof of Ordnance, Munitions, Armour and Explosives Part 1 Requirements,” 20 May 2005. [Online]. Available: https://standards.globalspec.com/std/805186/def-stan-05-101-part-1. [Accessed 18 June 2026].</w:t>
                    </w:r>
                  </w:p>
                </w:tc>
              </w:tr>
              <w:tr w:rsidR="00526D84" w14:paraId="178B7052" w14:textId="77777777" w:rsidTr="00526D84">
                <w:trPr>
                  <w:divId w:val="2127960886"/>
                  <w:tblCellSpacing w:w="15" w:type="dxa"/>
                </w:trPr>
                <w:tc>
                  <w:tcPr>
                    <w:tcW w:w="289" w:type="pct"/>
                    <w:hideMark/>
                  </w:tcPr>
                  <w:p w14:paraId="41EB9955" w14:textId="77777777" w:rsidR="00526D84" w:rsidRDefault="00526D84">
                    <w:pPr>
                      <w:pStyle w:val="Bibliography"/>
                      <w:rPr>
                        <w:noProof/>
                      </w:rPr>
                    </w:pPr>
                    <w:r>
                      <w:rPr>
                        <w:noProof/>
                      </w:rPr>
                      <w:t xml:space="preserve">[7] </w:t>
                    </w:r>
                  </w:p>
                </w:tc>
                <w:tc>
                  <w:tcPr>
                    <w:tcW w:w="4661" w:type="pct"/>
                    <w:hideMark/>
                  </w:tcPr>
                  <w:p w14:paraId="0666244E" w14:textId="77777777" w:rsidR="00526D84" w:rsidRDefault="00526D84">
                    <w:pPr>
                      <w:pStyle w:val="Bibliography"/>
                      <w:rPr>
                        <w:noProof/>
                      </w:rPr>
                    </w:pPr>
                    <w:r>
                      <w:rPr>
                        <w:noProof/>
                      </w:rPr>
                      <w:t>J. Carapic, E. J. Deschambault, P. Holtom and B. King, “A Practical Guide to Life-cycle Management of Ammunition,” April 2018. [Online]. Available: https://www.smallarmssurvey.org/sites/default/files/resources/LCMA%20Handbook%20Text%20REV5%20WEB.pdf?utm_source=copilot.com. [Accessed 19 June 2026].</w:t>
                    </w:r>
                  </w:p>
                </w:tc>
              </w:tr>
              <w:tr w:rsidR="00526D84" w14:paraId="7821BE62" w14:textId="77777777" w:rsidTr="00526D84">
                <w:trPr>
                  <w:divId w:val="2127960886"/>
                  <w:tblCellSpacing w:w="15" w:type="dxa"/>
                </w:trPr>
                <w:tc>
                  <w:tcPr>
                    <w:tcW w:w="289" w:type="pct"/>
                    <w:hideMark/>
                  </w:tcPr>
                  <w:p w14:paraId="5B60C52A" w14:textId="77777777" w:rsidR="00526D84" w:rsidRDefault="00526D84">
                    <w:pPr>
                      <w:pStyle w:val="Bibliography"/>
                      <w:rPr>
                        <w:noProof/>
                      </w:rPr>
                    </w:pPr>
                    <w:r>
                      <w:rPr>
                        <w:noProof/>
                      </w:rPr>
                      <w:t xml:space="preserve">[8] </w:t>
                    </w:r>
                  </w:p>
                </w:tc>
                <w:tc>
                  <w:tcPr>
                    <w:tcW w:w="4661" w:type="pct"/>
                    <w:hideMark/>
                  </w:tcPr>
                  <w:p w14:paraId="2A78D21F" w14:textId="77777777" w:rsidR="00526D84" w:rsidRDefault="00526D84">
                    <w:pPr>
                      <w:pStyle w:val="Bibliography"/>
                      <w:rPr>
                        <w:noProof/>
                      </w:rPr>
                    </w:pPr>
                    <w:r>
                      <w:rPr>
                        <w:noProof/>
                      </w:rPr>
                      <w:t xml:space="preserve">S. Caylar and K. Vardar, “Shelf Life Extension of One Shot Device Based on Reliability Analysis,” in </w:t>
                    </w:r>
                    <w:r>
                      <w:rPr>
                        <w:i/>
                        <w:iCs/>
                        <w:noProof/>
                      </w:rPr>
                      <w:t>Applied Vehicle Technology Panel</w:t>
                    </w:r>
                    <w:r>
                      <w:rPr>
                        <w:noProof/>
                      </w:rPr>
                      <w:t xml:space="preserve">, Brussels, 2010. </w:t>
                    </w:r>
                  </w:p>
                </w:tc>
              </w:tr>
              <w:tr w:rsidR="00526D84" w14:paraId="34C28BFC" w14:textId="77777777" w:rsidTr="00526D84">
                <w:trPr>
                  <w:divId w:val="2127960886"/>
                  <w:tblCellSpacing w:w="15" w:type="dxa"/>
                </w:trPr>
                <w:tc>
                  <w:tcPr>
                    <w:tcW w:w="289" w:type="pct"/>
                    <w:hideMark/>
                  </w:tcPr>
                  <w:p w14:paraId="4191AE9C" w14:textId="77777777" w:rsidR="00526D84" w:rsidRDefault="00526D84">
                    <w:pPr>
                      <w:pStyle w:val="Bibliography"/>
                      <w:rPr>
                        <w:noProof/>
                      </w:rPr>
                    </w:pPr>
                    <w:r>
                      <w:rPr>
                        <w:noProof/>
                      </w:rPr>
                      <w:t xml:space="preserve">[9] </w:t>
                    </w:r>
                  </w:p>
                </w:tc>
                <w:tc>
                  <w:tcPr>
                    <w:tcW w:w="4661" w:type="pct"/>
                    <w:hideMark/>
                  </w:tcPr>
                  <w:p w14:paraId="0CE47E00" w14:textId="77777777" w:rsidR="00526D84" w:rsidRDefault="00526D84">
                    <w:pPr>
                      <w:pStyle w:val="Bibliography"/>
                      <w:rPr>
                        <w:noProof/>
                      </w:rPr>
                    </w:pPr>
                    <w:r>
                      <w:rPr>
                        <w:noProof/>
                      </w:rPr>
                      <w:t xml:space="preserve">B. GENOV, “Criteria for Selection of NDT in the Ammunition Life Cycle,” </w:t>
                    </w:r>
                    <w:r>
                      <w:rPr>
                        <w:i/>
                        <w:iCs/>
                        <w:noProof/>
                      </w:rPr>
                      <w:t xml:space="preserve">Bulgarian Society for NDT , </w:t>
                    </w:r>
                    <w:r>
                      <w:rPr>
                        <w:noProof/>
                      </w:rPr>
                      <w:t xml:space="preserve">vol. 1, no. 4, 2018. </w:t>
                    </w:r>
                  </w:p>
                </w:tc>
              </w:tr>
              <w:tr w:rsidR="00526D84" w14:paraId="53104D11" w14:textId="77777777" w:rsidTr="00526D84">
                <w:trPr>
                  <w:divId w:val="2127960886"/>
                  <w:tblCellSpacing w:w="15" w:type="dxa"/>
                </w:trPr>
                <w:tc>
                  <w:tcPr>
                    <w:tcW w:w="289" w:type="pct"/>
                    <w:hideMark/>
                  </w:tcPr>
                  <w:p w14:paraId="26810F0D" w14:textId="77777777" w:rsidR="00526D84" w:rsidRDefault="00526D84">
                    <w:pPr>
                      <w:pStyle w:val="Bibliography"/>
                      <w:rPr>
                        <w:noProof/>
                      </w:rPr>
                    </w:pPr>
                    <w:r>
                      <w:rPr>
                        <w:noProof/>
                      </w:rPr>
                      <w:t xml:space="preserve">[10] </w:t>
                    </w:r>
                  </w:p>
                </w:tc>
                <w:tc>
                  <w:tcPr>
                    <w:tcW w:w="4661" w:type="pct"/>
                    <w:hideMark/>
                  </w:tcPr>
                  <w:p w14:paraId="402B2AA8" w14:textId="77777777" w:rsidR="00526D84" w:rsidRDefault="00526D84">
                    <w:pPr>
                      <w:pStyle w:val="Bibliography"/>
                      <w:rPr>
                        <w:noProof/>
                      </w:rPr>
                    </w:pPr>
                    <w:r>
                      <w:rPr>
                        <w:noProof/>
                      </w:rPr>
                      <w:t xml:space="preserve">M. M. R. Group, “NON-DESTRUCTIVE TESTING OF SOLID PROPELLANTS: A REVIEW OF METHODS AND APPLICATIONS,” </w:t>
                    </w:r>
                    <w:r>
                      <w:rPr>
                        <w:i/>
                        <w:iCs/>
                        <w:noProof/>
                      </w:rPr>
                      <w:t xml:space="preserve">Defence S&amp;T Tech, </w:t>
                    </w:r>
                    <w:r>
                      <w:rPr>
                        <w:noProof/>
                      </w:rPr>
                      <w:t xml:space="preserve">vol. 17, no. 2, pp. 105-125, 2024. </w:t>
                    </w:r>
                  </w:p>
                </w:tc>
              </w:tr>
              <w:tr w:rsidR="00526D84" w14:paraId="6AEB6B4F" w14:textId="77777777" w:rsidTr="00526D84">
                <w:trPr>
                  <w:divId w:val="2127960886"/>
                  <w:tblCellSpacing w:w="15" w:type="dxa"/>
                </w:trPr>
                <w:tc>
                  <w:tcPr>
                    <w:tcW w:w="289" w:type="pct"/>
                    <w:hideMark/>
                  </w:tcPr>
                  <w:p w14:paraId="33695D71" w14:textId="77777777" w:rsidR="00526D84" w:rsidRDefault="00526D84">
                    <w:pPr>
                      <w:pStyle w:val="Bibliography"/>
                      <w:rPr>
                        <w:noProof/>
                      </w:rPr>
                    </w:pPr>
                    <w:r>
                      <w:rPr>
                        <w:noProof/>
                      </w:rPr>
                      <w:t xml:space="preserve">[11] </w:t>
                    </w:r>
                  </w:p>
                </w:tc>
                <w:tc>
                  <w:tcPr>
                    <w:tcW w:w="4661" w:type="pct"/>
                    <w:hideMark/>
                  </w:tcPr>
                  <w:p w14:paraId="6C3290D7" w14:textId="77777777" w:rsidR="00526D84" w:rsidRDefault="00526D84">
                    <w:pPr>
                      <w:pStyle w:val="Bibliography"/>
                      <w:rPr>
                        <w:noProof/>
                      </w:rPr>
                    </w:pPr>
                    <w:r>
                      <w:rPr>
                        <w:noProof/>
                      </w:rPr>
                      <w:t xml:space="preserve">P. BONCHEV and D. NEDELCHECV, “Comprehensive Approach of Testing and Evaluation and Involvement of NDT in the Ammunition Life Cycle,” </w:t>
                    </w:r>
                    <w:r>
                      <w:rPr>
                        <w:i/>
                        <w:iCs/>
                        <w:noProof/>
                      </w:rPr>
                      <w:t xml:space="preserve">Bulgarian Society for NDT, </w:t>
                    </w:r>
                    <w:r>
                      <w:rPr>
                        <w:noProof/>
                      </w:rPr>
                      <w:t xml:space="preserve">vol. 6, no. 2, 2023. </w:t>
                    </w:r>
                  </w:p>
                </w:tc>
              </w:tr>
              <w:tr w:rsidR="00526D84" w14:paraId="00073E8C" w14:textId="77777777" w:rsidTr="00526D84">
                <w:trPr>
                  <w:divId w:val="2127960886"/>
                  <w:tblCellSpacing w:w="15" w:type="dxa"/>
                </w:trPr>
                <w:tc>
                  <w:tcPr>
                    <w:tcW w:w="289" w:type="pct"/>
                    <w:hideMark/>
                  </w:tcPr>
                  <w:p w14:paraId="6480A26B" w14:textId="77777777" w:rsidR="00526D84" w:rsidRDefault="00526D84">
                    <w:pPr>
                      <w:pStyle w:val="Bibliography"/>
                      <w:rPr>
                        <w:noProof/>
                      </w:rPr>
                    </w:pPr>
                    <w:r>
                      <w:rPr>
                        <w:noProof/>
                      </w:rPr>
                      <w:t xml:space="preserve">[12] </w:t>
                    </w:r>
                  </w:p>
                </w:tc>
                <w:tc>
                  <w:tcPr>
                    <w:tcW w:w="4661" w:type="pct"/>
                    <w:hideMark/>
                  </w:tcPr>
                  <w:p w14:paraId="35E3D24A" w14:textId="77777777" w:rsidR="00526D84" w:rsidRDefault="00526D84">
                    <w:pPr>
                      <w:pStyle w:val="Bibliography"/>
                      <w:rPr>
                        <w:noProof/>
                      </w:rPr>
                    </w:pPr>
                    <w:r>
                      <w:rPr>
                        <w:noProof/>
                      </w:rPr>
                      <w:t>C. Collet, “L-266 International Review of ISS Practices,” May 2021. [Online]. Available: https://www.msiac.nato.int/publication/l-266-international-review-of-iss-practices/?utm_source=copilot.com. [Accessed 19 June 2026].</w:t>
                    </w:r>
                  </w:p>
                </w:tc>
              </w:tr>
              <w:tr w:rsidR="00526D84" w14:paraId="36E0F131" w14:textId="77777777" w:rsidTr="00526D84">
                <w:trPr>
                  <w:divId w:val="2127960886"/>
                  <w:tblCellSpacing w:w="15" w:type="dxa"/>
                </w:trPr>
                <w:tc>
                  <w:tcPr>
                    <w:tcW w:w="289" w:type="pct"/>
                    <w:hideMark/>
                  </w:tcPr>
                  <w:p w14:paraId="30F73649" w14:textId="77777777" w:rsidR="00526D84" w:rsidRDefault="00526D84">
                    <w:pPr>
                      <w:pStyle w:val="Bibliography"/>
                      <w:rPr>
                        <w:noProof/>
                      </w:rPr>
                    </w:pPr>
                    <w:r>
                      <w:rPr>
                        <w:noProof/>
                      </w:rPr>
                      <w:lastRenderedPageBreak/>
                      <w:t xml:space="preserve">[13] </w:t>
                    </w:r>
                  </w:p>
                </w:tc>
                <w:tc>
                  <w:tcPr>
                    <w:tcW w:w="4661" w:type="pct"/>
                    <w:hideMark/>
                  </w:tcPr>
                  <w:p w14:paraId="16EA558E" w14:textId="77777777" w:rsidR="00526D84" w:rsidRDefault="00526D84">
                    <w:pPr>
                      <w:pStyle w:val="Bibliography"/>
                      <w:rPr>
                        <w:noProof/>
                      </w:rPr>
                    </w:pPr>
                    <w:r>
                      <w:rPr>
                        <w:noProof/>
                      </w:rPr>
                      <w:t xml:space="preserve">T. Yamane, “Poisson Distribution,” in </w:t>
                    </w:r>
                    <w:r>
                      <w:rPr>
                        <w:i/>
                        <w:iCs/>
                        <w:noProof/>
                      </w:rPr>
                      <w:t>Statistics; An Introductory Analysis</w:t>
                    </w:r>
                    <w:r>
                      <w:rPr>
                        <w:noProof/>
                      </w:rPr>
                      <w:t>, New York, HARPER &amp; ROW, pp. 588-612.</w:t>
                    </w:r>
                  </w:p>
                </w:tc>
              </w:tr>
              <w:tr w:rsidR="00526D84" w14:paraId="57BE612B" w14:textId="77777777" w:rsidTr="00526D84">
                <w:trPr>
                  <w:divId w:val="2127960886"/>
                  <w:tblCellSpacing w:w="15" w:type="dxa"/>
                </w:trPr>
                <w:tc>
                  <w:tcPr>
                    <w:tcW w:w="289" w:type="pct"/>
                    <w:hideMark/>
                  </w:tcPr>
                  <w:p w14:paraId="6E91BF03" w14:textId="77777777" w:rsidR="00526D84" w:rsidRDefault="00526D84">
                    <w:pPr>
                      <w:pStyle w:val="Bibliography"/>
                      <w:rPr>
                        <w:noProof/>
                      </w:rPr>
                    </w:pPr>
                    <w:r>
                      <w:rPr>
                        <w:noProof/>
                      </w:rPr>
                      <w:t xml:space="preserve">[14] </w:t>
                    </w:r>
                  </w:p>
                </w:tc>
                <w:tc>
                  <w:tcPr>
                    <w:tcW w:w="4661" w:type="pct"/>
                    <w:hideMark/>
                  </w:tcPr>
                  <w:p w14:paraId="6859CA9A" w14:textId="77777777" w:rsidR="00526D84" w:rsidRDefault="00526D84">
                    <w:pPr>
                      <w:pStyle w:val="Bibliography"/>
                      <w:rPr>
                        <w:noProof/>
                      </w:rPr>
                    </w:pPr>
                    <w:r>
                      <w:rPr>
                        <w:noProof/>
                      </w:rPr>
                      <w:t>International Ammunition Technical Guidelines, “In-Service Surveillance,” [Online]. Available: https://data.unsaferguard.org/iatg/en/IATG-07.10-Surveillance-proof-IATG-V.3.pdf . [Accessed 18 June 2026].</w:t>
                    </w:r>
                  </w:p>
                </w:tc>
              </w:tr>
              <w:tr w:rsidR="00526D84" w14:paraId="670D8191" w14:textId="77777777" w:rsidTr="00526D84">
                <w:trPr>
                  <w:divId w:val="2127960886"/>
                  <w:tblCellSpacing w:w="15" w:type="dxa"/>
                </w:trPr>
                <w:tc>
                  <w:tcPr>
                    <w:tcW w:w="289" w:type="pct"/>
                    <w:hideMark/>
                  </w:tcPr>
                  <w:p w14:paraId="3DA285B0" w14:textId="77777777" w:rsidR="00526D84" w:rsidRDefault="00526D84">
                    <w:pPr>
                      <w:pStyle w:val="Bibliography"/>
                      <w:rPr>
                        <w:noProof/>
                      </w:rPr>
                    </w:pPr>
                    <w:r>
                      <w:rPr>
                        <w:noProof/>
                      </w:rPr>
                      <w:t xml:space="preserve">[15] </w:t>
                    </w:r>
                  </w:p>
                </w:tc>
                <w:tc>
                  <w:tcPr>
                    <w:tcW w:w="4661" w:type="pct"/>
                    <w:hideMark/>
                  </w:tcPr>
                  <w:p w14:paraId="1EEF8D54" w14:textId="77777777" w:rsidR="00526D84" w:rsidRDefault="00526D84">
                    <w:pPr>
                      <w:pStyle w:val="Bibliography"/>
                      <w:rPr>
                        <w:noProof/>
                      </w:rPr>
                    </w:pPr>
                    <w:r>
                      <w:rPr>
                        <w:noProof/>
                      </w:rPr>
                      <w:t>Defence Safety Authority, “DCOP 105 - Safety Risk Management,” 20 November 2025. [Online]. Available: https://assets.publishing.service.gov.uk/media/69b15f8824c6431b84f0e440/DSA_03.OME_Part_1-DCOP105_Safety_Risk_Management__v2.0_Feb_26_.pdf. [Accessed 18 June 2026].</w:t>
                    </w:r>
                  </w:p>
                </w:tc>
              </w:tr>
              <w:tr w:rsidR="00526D84" w14:paraId="087746B6" w14:textId="77777777" w:rsidTr="00526D84">
                <w:trPr>
                  <w:divId w:val="2127960886"/>
                  <w:tblCellSpacing w:w="15" w:type="dxa"/>
                </w:trPr>
                <w:tc>
                  <w:tcPr>
                    <w:tcW w:w="289" w:type="pct"/>
                    <w:hideMark/>
                  </w:tcPr>
                  <w:p w14:paraId="0C307E68" w14:textId="77777777" w:rsidR="00526D84" w:rsidRDefault="00526D84">
                    <w:pPr>
                      <w:pStyle w:val="Bibliography"/>
                      <w:rPr>
                        <w:noProof/>
                      </w:rPr>
                    </w:pPr>
                    <w:r>
                      <w:rPr>
                        <w:noProof/>
                      </w:rPr>
                      <w:t xml:space="preserve">[16] </w:t>
                    </w:r>
                  </w:p>
                </w:tc>
                <w:tc>
                  <w:tcPr>
                    <w:tcW w:w="4661" w:type="pct"/>
                    <w:hideMark/>
                  </w:tcPr>
                  <w:p w14:paraId="3B6E1062" w14:textId="77777777" w:rsidR="00526D84" w:rsidRDefault="00526D84">
                    <w:pPr>
                      <w:pStyle w:val="Bibliography"/>
                      <w:rPr>
                        <w:noProof/>
                      </w:rPr>
                    </w:pPr>
                    <w:r>
                      <w:rPr>
                        <w:noProof/>
                      </w:rPr>
                      <w:t xml:space="preserve">S. K., “Health Management of Munitions,” in </w:t>
                    </w:r>
                    <w:r>
                      <w:rPr>
                        <w:i/>
                        <w:iCs/>
                        <w:noProof/>
                      </w:rPr>
                      <w:t>Applied Vehicle Technology Panel</w:t>
                    </w:r>
                    <w:r>
                      <w:rPr>
                        <w:noProof/>
                      </w:rPr>
                      <w:t xml:space="preserve">, Brussels, 2011. </w:t>
                    </w:r>
                  </w:p>
                </w:tc>
              </w:tr>
              <w:tr w:rsidR="00526D84" w14:paraId="09FEF01F" w14:textId="77777777" w:rsidTr="00526D84">
                <w:trPr>
                  <w:divId w:val="2127960886"/>
                  <w:tblCellSpacing w:w="15" w:type="dxa"/>
                </w:trPr>
                <w:tc>
                  <w:tcPr>
                    <w:tcW w:w="289" w:type="pct"/>
                    <w:hideMark/>
                  </w:tcPr>
                  <w:p w14:paraId="62E0760D" w14:textId="77777777" w:rsidR="00526D84" w:rsidRDefault="00526D84">
                    <w:pPr>
                      <w:pStyle w:val="Bibliography"/>
                      <w:rPr>
                        <w:noProof/>
                      </w:rPr>
                    </w:pPr>
                    <w:r>
                      <w:rPr>
                        <w:noProof/>
                      </w:rPr>
                      <w:t xml:space="preserve">[17] </w:t>
                    </w:r>
                  </w:p>
                </w:tc>
                <w:tc>
                  <w:tcPr>
                    <w:tcW w:w="4661" w:type="pct"/>
                    <w:hideMark/>
                  </w:tcPr>
                  <w:p w14:paraId="581DCAEE" w14:textId="77777777" w:rsidR="00526D84" w:rsidRDefault="00526D84">
                    <w:pPr>
                      <w:pStyle w:val="Bibliography"/>
                      <w:rPr>
                        <w:noProof/>
                      </w:rPr>
                    </w:pPr>
                    <w:r>
                      <w:rPr>
                        <w:noProof/>
                      </w:rPr>
                      <w:t>QinetiQ, “QinetiQ's work at MOD Pendine,” QinetiQ, [Online]. Available: https://www.qinetiq.com/en/pendine/about/qinetiqs-work-at-mod-pendine. [Accessed 18 June 2026].</w:t>
                    </w:r>
                  </w:p>
                </w:tc>
              </w:tr>
            </w:tbl>
            <w:p w14:paraId="144E78B5" w14:textId="77777777" w:rsidR="00526D84" w:rsidRDefault="00526D84">
              <w:pPr>
                <w:divId w:val="2127960886"/>
                <w:rPr>
                  <w:rFonts w:eastAsia="Times New Roman"/>
                  <w:noProof/>
                </w:rPr>
              </w:pPr>
            </w:p>
            <w:p w14:paraId="109DCF31" w14:textId="41531B1E" w:rsidR="009A536A" w:rsidRPr="00F57F96" w:rsidRDefault="009A536A">
              <w:pPr>
                <w:rPr>
                  <w:rFonts w:ascii="Arial" w:hAnsi="Arial" w:cs="Arial"/>
                </w:rPr>
              </w:pPr>
              <w:r w:rsidRPr="00F57F96">
                <w:rPr>
                  <w:rFonts w:ascii="Arial" w:hAnsi="Arial" w:cs="Arial"/>
                  <w:b/>
                  <w:bCs/>
                </w:rPr>
                <w:fldChar w:fldCharType="end"/>
              </w:r>
            </w:p>
          </w:sdtContent>
        </w:sdt>
      </w:sdtContent>
    </w:sdt>
    <w:p w14:paraId="7CA30C4A" w14:textId="78BE1145" w:rsidR="00CB4955" w:rsidRDefault="00CB4955" w:rsidP="003967D7">
      <w:pPr>
        <w:rPr>
          <w:rFonts w:ascii="Arial" w:hAnsi="Arial" w:cs="Arial"/>
        </w:rPr>
      </w:pPr>
    </w:p>
    <w:p w14:paraId="2EA97403" w14:textId="77777777" w:rsidR="00CB4955" w:rsidRDefault="00CB4955">
      <w:pPr>
        <w:rPr>
          <w:rFonts w:ascii="Arial" w:hAnsi="Arial" w:cs="Arial"/>
        </w:rPr>
      </w:pPr>
      <w:r>
        <w:rPr>
          <w:rFonts w:ascii="Arial" w:hAnsi="Arial" w:cs="Arial"/>
        </w:rPr>
        <w:br w:type="page"/>
      </w:r>
    </w:p>
    <w:p w14:paraId="7314B7E2" w14:textId="68EA8225" w:rsidR="00CB4955" w:rsidRDefault="00CB4955" w:rsidP="00DE262B">
      <w:pPr>
        <w:pStyle w:val="Heading1"/>
        <w:rPr>
          <w:rFonts w:eastAsia="Arial"/>
        </w:rPr>
      </w:pPr>
      <w:bookmarkStart w:id="5" w:name="_Toc232764359"/>
      <w:r>
        <w:rPr>
          <w:rFonts w:eastAsia="Arial"/>
        </w:rPr>
        <w:lastRenderedPageBreak/>
        <w:t xml:space="preserve">Annex </w:t>
      </w:r>
      <w:r w:rsidR="008F3849">
        <w:rPr>
          <w:rFonts w:eastAsia="Arial"/>
        </w:rPr>
        <w:t>A</w:t>
      </w:r>
      <w:r w:rsidR="00DE262B">
        <w:rPr>
          <w:rFonts w:eastAsia="Arial"/>
        </w:rPr>
        <w:t xml:space="preserve"> – Data Collected</w:t>
      </w:r>
      <w:bookmarkEnd w:id="5"/>
    </w:p>
    <w:p w14:paraId="3A5E937B" w14:textId="77777777" w:rsidR="008F3849" w:rsidRDefault="008F3849" w:rsidP="00CB4955">
      <w:pPr>
        <w:pStyle w:val="NoSpacing"/>
        <w:rPr>
          <w:rFonts w:eastAsia="Arial"/>
          <w:color w:val="000000"/>
        </w:rPr>
      </w:pPr>
    </w:p>
    <w:p w14:paraId="0414041B" w14:textId="77777777" w:rsidR="008F3849" w:rsidRPr="00F57F96" w:rsidRDefault="00CB4955" w:rsidP="008F3849">
      <w:pPr>
        <w:rPr>
          <w:rFonts w:ascii="Arial" w:hAnsi="Arial" w:cs="Arial"/>
        </w:rPr>
      </w:pPr>
      <w:r w:rsidRPr="0002738E">
        <w:rPr>
          <w:rFonts w:ascii="Arial" w:hAnsi="Arial" w:cs="Arial"/>
        </w:rPr>
        <w:t>The following data is required to be captured.</w:t>
      </w:r>
      <w:r w:rsidR="008F3849" w:rsidRPr="0002738E">
        <w:rPr>
          <w:rFonts w:ascii="Arial" w:hAnsi="Arial" w:cs="Arial"/>
        </w:rPr>
        <w:t xml:space="preserve"> </w:t>
      </w:r>
      <w:r w:rsidR="008F3849">
        <w:rPr>
          <w:rFonts w:ascii="Arial" w:hAnsi="Arial" w:cs="Arial"/>
        </w:rPr>
        <w:t xml:space="preserve">Subject to change. </w:t>
      </w:r>
    </w:p>
    <w:p w14:paraId="35D458F4" w14:textId="0EEE2B32" w:rsidR="00CB4955" w:rsidRPr="005C7DEA" w:rsidRDefault="00CB4955" w:rsidP="00CB4955">
      <w:pPr>
        <w:pStyle w:val="NoSpacing"/>
      </w:pPr>
    </w:p>
    <w:p w14:paraId="2E655585" w14:textId="77777777" w:rsidR="00CB4955" w:rsidRPr="008F201A" w:rsidRDefault="00CB4955" w:rsidP="00CB4955">
      <w:pPr>
        <w:pStyle w:val="NoSpacing"/>
        <w:rPr>
          <w:szCs w:val="24"/>
        </w:rPr>
      </w:pPr>
    </w:p>
    <w:p w14:paraId="008E90BC" w14:textId="77777777" w:rsidR="00CB4955" w:rsidRPr="008F201A" w:rsidRDefault="00CB4955" w:rsidP="00CB4955">
      <w:pPr>
        <w:pStyle w:val="NoSpacing"/>
        <w:numPr>
          <w:ilvl w:val="3"/>
          <w:numId w:val="15"/>
        </w:numPr>
        <w:rPr>
          <w:szCs w:val="24"/>
        </w:rPr>
      </w:pPr>
      <w:r w:rsidRPr="008F201A">
        <w:rPr>
          <w:rFonts w:cs="Arial"/>
          <w:szCs w:val="24"/>
        </w:rPr>
        <w:t>Batch Key Identity (BKI) of round.</w:t>
      </w:r>
    </w:p>
    <w:p w14:paraId="78531F5C" w14:textId="77777777" w:rsidR="00CB4955" w:rsidRPr="008F201A" w:rsidRDefault="00CB4955" w:rsidP="00CB4955">
      <w:pPr>
        <w:pStyle w:val="NoSpacing"/>
        <w:rPr>
          <w:szCs w:val="24"/>
        </w:rPr>
      </w:pPr>
    </w:p>
    <w:p w14:paraId="27E70CED" w14:textId="77777777" w:rsidR="00CB4955" w:rsidRPr="008F201A" w:rsidRDefault="00CB4955" w:rsidP="00CB4955">
      <w:pPr>
        <w:pStyle w:val="NoSpacing"/>
        <w:numPr>
          <w:ilvl w:val="3"/>
          <w:numId w:val="15"/>
        </w:numPr>
        <w:rPr>
          <w:szCs w:val="24"/>
        </w:rPr>
      </w:pPr>
      <w:r w:rsidRPr="008F201A">
        <w:rPr>
          <w:rFonts w:cs="Arial"/>
          <w:szCs w:val="24"/>
        </w:rPr>
        <w:t>General condition of round.</w:t>
      </w:r>
    </w:p>
    <w:p w14:paraId="65E7B2E4" w14:textId="77777777" w:rsidR="00CB4955" w:rsidRPr="008F201A" w:rsidRDefault="00CB4955" w:rsidP="00CB4955">
      <w:pPr>
        <w:pStyle w:val="NoSpacing"/>
        <w:rPr>
          <w:szCs w:val="24"/>
        </w:rPr>
      </w:pPr>
    </w:p>
    <w:p w14:paraId="04C6CA05" w14:textId="77777777" w:rsidR="00CB4955" w:rsidRPr="008F201A" w:rsidRDefault="00CB4955" w:rsidP="00CB4955">
      <w:pPr>
        <w:pStyle w:val="NoSpacing"/>
        <w:numPr>
          <w:ilvl w:val="3"/>
          <w:numId w:val="15"/>
        </w:numPr>
        <w:rPr>
          <w:szCs w:val="24"/>
        </w:rPr>
      </w:pPr>
      <w:r w:rsidRPr="008F201A">
        <w:rPr>
          <w:rFonts w:cs="Arial"/>
          <w:szCs w:val="24"/>
        </w:rPr>
        <w:t>Conditioned temperature of round.</w:t>
      </w:r>
    </w:p>
    <w:p w14:paraId="5940D896" w14:textId="77777777" w:rsidR="00CB4955" w:rsidRPr="008F201A" w:rsidRDefault="00CB4955" w:rsidP="00CB4955">
      <w:pPr>
        <w:pStyle w:val="NoSpacing"/>
        <w:rPr>
          <w:szCs w:val="24"/>
        </w:rPr>
      </w:pPr>
    </w:p>
    <w:p w14:paraId="27C1EA3B" w14:textId="77777777" w:rsidR="00CB4955" w:rsidRPr="008F201A" w:rsidRDefault="00CB4955" w:rsidP="00CB4955">
      <w:pPr>
        <w:pStyle w:val="NoSpacing"/>
        <w:numPr>
          <w:ilvl w:val="3"/>
          <w:numId w:val="15"/>
        </w:numPr>
        <w:rPr>
          <w:szCs w:val="24"/>
        </w:rPr>
      </w:pPr>
      <w:r w:rsidRPr="008F201A">
        <w:rPr>
          <w:rFonts w:cs="Arial"/>
          <w:szCs w:val="24"/>
        </w:rPr>
        <w:t>Date and time of firing.</w:t>
      </w:r>
    </w:p>
    <w:p w14:paraId="554396F3" w14:textId="77777777" w:rsidR="00CB4955" w:rsidRPr="008F201A" w:rsidRDefault="00CB4955" w:rsidP="00CB4955">
      <w:pPr>
        <w:pStyle w:val="NoSpacing"/>
        <w:rPr>
          <w:szCs w:val="24"/>
        </w:rPr>
      </w:pPr>
    </w:p>
    <w:p w14:paraId="1D02C6FD" w14:textId="77777777" w:rsidR="00CB4955" w:rsidRPr="008F201A" w:rsidRDefault="00CB4955" w:rsidP="00CB4955">
      <w:pPr>
        <w:pStyle w:val="NoSpacing"/>
        <w:numPr>
          <w:ilvl w:val="3"/>
          <w:numId w:val="15"/>
        </w:numPr>
        <w:rPr>
          <w:szCs w:val="24"/>
        </w:rPr>
      </w:pPr>
      <w:r w:rsidRPr="008F201A">
        <w:rPr>
          <w:rFonts w:cs="Arial"/>
          <w:szCs w:val="24"/>
        </w:rPr>
        <w:t>Height attained by the Star.</w:t>
      </w:r>
    </w:p>
    <w:p w14:paraId="0E98A22B" w14:textId="77777777" w:rsidR="00CB4955" w:rsidRPr="008F201A" w:rsidRDefault="00CB4955" w:rsidP="00CB4955">
      <w:pPr>
        <w:pStyle w:val="NoSpacing"/>
        <w:rPr>
          <w:szCs w:val="24"/>
        </w:rPr>
      </w:pPr>
    </w:p>
    <w:p w14:paraId="1091FF53" w14:textId="77777777" w:rsidR="00CB4955" w:rsidRPr="008F201A" w:rsidRDefault="00CB4955" w:rsidP="00CB4955">
      <w:pPr>
        <w:pStyle w:val="NoSpacing"/>
        <w:numPr>
          <w:ilvl w:val="3"/>
          <w:numId w:val="15"/>
        </w:numPr>
        <w:rPr>
          <w:szCs w:val="24"/>
        </w:rPr>
      </w:pPr>
      <w:r w:rsidRPr="008F201A">
        <w:rPr>
          <w:rFonts w:cs="Arial"/>
          <w:szCs w:val="24"/>
        </w:rPr>
        <w:t>Height of burn cessation</w:t>
      </w:r>
    </w:p>
    <w:p w14:paraId="4BFCD35E" w14:textId="77777777" w:rsidR="00CB4955" w:rsidRPr="008F201A" w:rsidRDefault="00CB4955" w:rsidP="00CB4955">
      <w:pPr>
        <w:pStyle w:val="ListParagraph"/>
        <w:rPr>
          <w:szCs w:val="24"/>
        </w:rPr>
      </w:pPr>
    </w:p>
    <w:p w14:paraId="3D458A2D" w14:textId="77777777" w:rsidR="00CB4955" w:rsidRPr="008F201A" w:rsidRDefault="00CB4955" w:rsidP="00CB4955">
      <w:pPr>
        <w:pStyle w:val="NoSpacing"/>
        <w:numPr>
          <w:ilvl w:val="3"/>
          <w:numId w:val="15"/>
        </w:numPr>
        <w:rPr>
          <w:szCs w:val="24"/>
        </w:rPr>
      </w:pPr>
      <w:r w:rsidRPr="008F201A">
        <w:rPr>
          <w:rFonts w:cs="Arial"/>
          <w:szCs w:val="24"/>
        </w:rPr>
        <w:t>Burn time</w:t>
      </w:r>
    </w:p>
    <w:p w14:paraId="2FD2AFB3" w14:textId="77777777" w:rsidR="00CB4955" w:rsidRPr="008F201A" w:rsidRDefault="00CB4955" w:rsidP="00CB4955">
      <w:pPr>
        <w:pStyle w:val="ListParagraph"/>
        <w:rPr>
          <w:rFonts w:cs="Arial"/>
          <w:szCs w:val="24"/>
        </w:rPr>
      </w:pPr>
    </w:p>
    <w:p w14:paraId="40AB2737" w14:textId="77777777" w:rsidR="00CB4955" w:rsidRPr="008F201A" w:rsidRDefault="00CB4955" w:rsidP="00CB4955">
      <w:pPr>
        <w:pStyle w:val="NoSpacing"/>
        <w:numPr>
          <w:ilvl w:val="3"/>
          <w:numId w:val="15"/>
        </w:numPr>
        <w:rPr>
          <w:szCs w:val="24"/>
        </w:rPr>
      </w:pPr>
      <w:r w:rsidRPr="008F201A">
        <w:rPr>
          <w:rFonts w:cs="Arial"/>
          <w:szCs w:val="24"/>
        </w:rPr>
        <w:t xml:space="preserve">Relevant meteorological data </w:t>
      </w:r>
    </w:p>
    <w:p w14:paraId="010C43DF" w14:textId="77777777" w:rsidR="00CB4955" w:rsidRPr="008F201A" w:rsidRDefault="00CB4955" w:rsidP="00CB4955">
      <w:pPr>
        <w:pStyle w:val="ListParagraph"/>
        <w:rPr>
          <w:rFonts w:cs="Arial"/>
          <w:szCs w:val="24"/>
        </w:rPr>
      </w:pPr>
    </w:p>
    <w:p w14:paraId="4E948226" w14:textId="77777777" w:rsidR="00CB4955" w:rsidRPr="008F201A" w:rsidRDefault="00CB4955" w:rsidP="00CB4955">
      <w:pPr>
        <w:pStyle w:val="NoSpacing"/>
        <w:numPr>
          <w:ilvl w:val="4"/>
          <w:numId w:val="15"/>
        </w:numPr>
        <w:rPr>
          <w:szCs w:val="24"/>
        </w:rPr>
      </w:pPr>
      <w:r w:rsidRPr="008F201A">
        <w:rPr>
          <w:rFonts w:cs="Arial"/>
          <w:szCs w:val="24"/>
        </w:rPr>
        <w:t>Temperature</w:t>
      </w:r>
    </w:p>
    <w:p w14:paraId="3251D83A" w14:textId="77777777" w:rsidR="00CB4955" w:rsidRPr="008F201A" w:rsidRDefault="00CB4955" w:rsidP="00CB4955">
      <w:pPr>
        <w:pStyle w:val="ListParagraph"/>
        <w:rPr>
          <w:rFonts w:cs="Arial"/>
          <w:szCs w:val="24"/>
        </w:rPr>
      </w:pPr>
    </w:p>
    <w:p w14:paraId="08E10802" w14:textId="77777777" w:rsidR="00CB4955" w:rsidRPr="008F201A" w:rsidRDefault="00CB4955" w:rsidP="00CB4955">
      <w:pPr>
        <w:pStyle w:val="NoSpacing"/>
        <w:numPr>
          <w:ilvl w:val="4"/>
          <w:numId w:val="15"/>
        </w:numPr>
        <w:rPr>
          <w:szCs w:val="24"/>
        </w:rPr>
      </w:pPr>
      <w:r w:rsidRPr="008F201A">
        <w:rPr>
          <w:rFonts w:cs="Arial"/>
          <w:szCs w:val="24"/>
        </w:rPr>
        <w:t>wind speed</w:t>
      </w:r>
    </w:p>
    <w:p w14:paraId="3BFCED86" w14:textId="77777777" w:rsidR="00CB4955" w:rsidRPr="008F201A" w:rsidRDefault="00CB4955" w:rsidP="00CB4955">
      <w:pPr>
        <w:pStyle w:val="ListParagraph"/>
        <w:rPr>
          <w:rFonts w:cs="Arial"/>
          <w:szCs w:val="24"/>
        </w:rPr>
      </w:pPr>
    </w:p>
    <w:p w14:paraId="7130FB61" w14:textId="77777777" w:rsidR="00CB4955" w:rsidRPr="008F201A" w:rsidRDefault="00CB4955" w:rsidP="00CB4955">
      <w:pPr>
        <w:pStyle w:val="NoSpacing"/>
        <w:numPr>
          <w:ilvl w:val="4"/>
          <w:numId w:val="15"/>
        </w:numPr>
        <w:rPr>
          <w:szCs w:val="24"/>
        </w:rPr>
      </w:pPr>
      <w:r w:rsidRPr="008F201A">
        <w:rPr>
          <w:rFonts w:cs="Arial"/>
          <w:szCs w:val="24"/>
        </w:rPr>
        <w:t>wind direction</w:t>
      </w:r>
    </w:p>
    <w:p w14:paraId="7F289FEF" w14:textId="77777777" w:rsidR="00CB4955" w:rsidRDefault="00CB4955" w:rsidP="00CB4955">
      <w:pPr>
        <w:pStyle w:val="ListParagraph"/>
        <w:rPr>
          <w:szCs w:val="24"/>
        </w:rPr>
      </w:pPr>
    </w:p>
    <w:p w14:paraId="548CA303" w14:textId="77777777" w:rsidR="00CB4955" w:rsidRPr="008F201A" w:rsidRDefault="00CB4955" w:rsidP="00CB4955">
      <w:pPr>
        <w:pStyle w:val="NoSpacing"/>
        <w:numPr>
          <w:ilvl w:val="4"/>
          <w:numId w:val="15"/>
        </w:numPr>
        <w:rPr>
          <w:szCs w:val="24"/>
        </w:rPr>
      </w:pPr>
      <w:r>
        <w:rPr>
          <w:szCs w:val="24"/>
        </w:rPr>
        <w:t>Humidity</w:t>
      </w:r>
    </w:p>
    <w:p w14:paraId="3256886D" w14:textId="77777777" w:rsidR="00CB4955" w:rsidRPr="008F201A" w:rsidRDefault="00CB4955" w:rsidP="00CB4955">
      <w:pPr>
        <w:pStyle w:val="ListParagraph"/>
        <w:rPr>
          <w:szCs w:val="24"/>
        </w:rPr>
      </w:pPr>
    </w:p>
    <w:p w14:paraId="3CBC8B60" w14:textId="77777777" w:rsidR="00CB4955" w:rsidRPr="008F201A" w:rsidRDefault="00CB4955" w:rsidP="00CB4955">
      <w:pPr>
        <w:pStyle w:val="NoSpacing"/>
        <w:numPr>
          <w:ilvl w:val="3"/>
          <w:numId w:val="15"/>
        </w:numPr>
        <w:rPr>
          <w:szCs w:val="24"/>
        </w:rPr>
      </w:pPr>
      <w:r w:rsidRPr="008F201A">
        <w:rPr>
          <w:rFonts w:cs="Arial"/>
          <w:szCs w:val="24"/>
        </w:rPr>
        <w:t>Remarks (to include observations on consistency of burn, break-up of Flare, failure to burn out before reaching ground).</w:t>
      </w:r>
    </w:p>
    <w:p w14:paraId="0B74B40C" w14:textId="77777777" w:rsidR="008F3849" w:rsidRDefault="008F3849" w:rsidP="003967D7">
      <w:pPr>
        <w:rPr>
          <w:rFonts w:ascii="Arial" w:hAnsi="Arial" w:cs="Arial"/>
        </w:rPr>
      </w:pPr>
    </w:p>
    <w:p w14:paraId="7100C6EB" w14:textId="655D1123" w:rsidR="00DE262B" w:rsidRDefault="00DE262B" w:rsidP="00DE262B">
      <w:pPr>
        <w:pStyle w:val="Heading1"/>
        <w:rPr>
          <w:rFonts w:eastAsia="Arial"/>
        </w:rPr>
      </w:pPr>
      <w:bookmarkStart w:id="6" w:name="_Toc232764360"/>
      <w:r>
        <w:rPr>
          <w:rFonts w:eastAsia="Arial"/>
        </w:rPr>
        <w:t xml:space="preserve">Annex </w:t>
      </w:r>
      <w:r>
        <w:rPr>
          <w:rFonts w:eastAsia="Arial"/>
        </w:rPr>
        <w:t>B – SoAC Ethics Form</w:t>
      </w:r>
      <w:bookmarkEnd w:id="6"/>
    </w:p>
    <w:p w14:paraId="254ABCC1" w14:textId="77777777" w:rsidR="00A97392" w:rsidRDefault="00A97392" w:rsidP="003967D7">
      <w:pPr>
        <w:rPr>
          <w:rFonts w:ascii="Arial" w:hAnsi="Arial" w:cs="Arial"/>
        </w:rPr>
      </w:pPr>
    </w:p>
    <w:p w14:paraId="07A36C29" w14:textId="77777777" w:rsidR="00A97392" w:rsidRDefault="00A97392" w:rsidP="003967D7">
      <w:pPr>
        <w:rPr>
          <w:rFonts w:ascii="Arial" w:hAnsi="Arial" w:cs="Arial"/>
        </w:rPr>
      </w:pPr>
    </w:p>
    <w:bookmarkStart w:id="7" w:name="_MON_1843369577"/>
    <w:bookmarkEnd w:id="7"/>
    <w:p w14:paraId="76E15440" w14:textId="7EEE4EF8" w:rsidR="00A97392" w:rsidRDefault="006B30A2" w:rsidP="003967D7">
      <w:pPr>
        <w:rPr>
          <w:rFonts w:ascii="Arial" w:hAnsi="Arial" w:cs="Arial"/>
        </w:rPr>
      </w:pPr>
      <w:r>
        <w:rPr>
          <w:rFonts w:ascii="Arial" w:hAnsi="Arial" w:cs="Arial"/>
        </w:rPr>
        <w:object w:dxaOrig="1534" w:dyaOrig="994" w14:anchorId="1758736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8" o:title=""/>
          </v:shape>
          <o:OLEObject Type="Embed" ProgID="Word.Document.12" ShapeID="_x0000_i1025" DrawAspect="Icon" ObjectID="_1843377192" r:id="rId9">
            <o:FieldCodes>\s</o:FieldCodes>
          </o:OLEObject>
        </w:object>
      </w:r>
    </w:p>
    <w:p w14:paraId="28FCD64A" w14:textId="77777777" w:rsidR="00A97392" w:rsidRDefault="00A97392" w:rsidP="003967D7">
      <w:pPr>
        <w:rPr>
          <w:rFonts w:ascii="Arial" w:hAnsi="Arial" w:cs="Arial"/>
        </w:rPr>
      </w:pPr>
    </w:p>
    <w:p w14:paraId="7EDDD057" w14:textId="77777777" w:rsidR="00A97392" w:rsidRDefault="00A97392" w:rsidP="003967D7">
      <w:pPr>
        <w:rPr>
          <w:rFonts w:ascii="Arial" w:hAnsi="Arial" w:cs="Arial"/>
        </w:rPr>
      </w:pPr>
    </w:p>
    <w:p w14:paraId="38E22611" w14:textId="77777777" w:rsidR="00A97392" w:rsidRDefault="00A97392" w:rsidP="003967D7">
      <w:pPr>
        <w:rPr>
          <w:rFonts w:ascii="Arial" w:hAnsi="Arial" w:cs="Arial"/>
        </w:rPr>
        <w:sectPr w:rsidR="00A97392">
          <w:headerReference w:type="default" r:id="rId10"/>
          <w:pgSz w:w="11906" w:h="16838"/>
          <w:pgMar w:top="1440" w:right="1440" w:bottom="1440" w:left="1440" w:header="708" w:footer="708" w:gutter="0"/>
          <w:cols w:space="708"/>
          <w:docGrid w:linePitch="360"/>
        </w:sectPr>
      </w:pPr>
    </w:p>
    <w:p w14:paraId="4C8F7B64" w14:textId="77777777" w:rsidR="00A97392" w:rsidRDefault="00A97392" w:rsidP="003967D7">
      <w:pPr>
        <w:rPr>
          <w:rFonts w:ascii="Arial" w:hAnsi="Arial" w:cs="Arial"/>
        </w:rPr>
      </w:pPr>
    </w:p>
    <w:p w14:paraId="3F285CAD" w14:textId="6B3D1B65" w:rsidR="00A97392" w:rsidRPr="00A97392" w:rsidRDefault="00A97392" w:rsidP="00A97392">
      <w:pPr>
        <w:pStyle w:val="Heading1"/>
        <w:rPr>
          <w:rFonts w:eastAsia="Arial"/>
        </w:rPr>
      </w:pPr>
      <w:bookmarkStart w:id="8" w:name="_Toc232764361"/>
      <w:r w:rsidRPr="00A97392">
        <w:rPr>
          <w:rFonts w:eastAsia="Arial"/>
        </w:rPr>
        <w:t>Annex C - Timeline</w:t>
      </w:r>
      <w:bookmarkEnd w:id="8"/>
    </w:p>
    <w:p w14:paraId="6446989F" w14:textId="6D75115F" w:rsidR="00A97392" w:rsidRPr="00F57F96" w:rsidRDefault="00A97392" w:rsidP="003967D7">
      <w:pPr>
        <w:rPr>
          <w:rFonts w:ascii="Arial" w:hAnsi="Arial" w:cs="Arial"/>
        </w:rPr>
      </w:pPr>
      <w:r>
        <w:rPr>
          <w:noProof/>
        </w:rPr>
        <w:drawing>
          <wp:inline distT="0" distB="0" distL="0" distR="0" wp14:anchorId="44C8F55C" wp14:editId="2CE9282C">
            <wp:extent cx="8524875" cy="5086350"/>
            <wp:effectExtent l="19050" t="19050" r="9525" b="19050"/>
            <wp:docPr id="474432783" name="Chart 1">
              <a:extLst xmlns:a="http://schemas.openxmlformats.org/drawingml/2006/main">
                <a:ext uri="{FF2B5EF4-FFF2-40B4-BE49-F238E27FC236}">
                  <a16:creationId xmlns:a16="http://schemas.microsoft.com/office/drawing/2014/main" id="{804101E9-334F-4A84-8D62-96D9C4F484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sectPr w:rsidR="00A97392" w:rsidRPr="00F57F96" w:rsidSect="00A97392">
      <w:pgSz w:w="16838" w:h="11906" w:orient="landscape"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80B16" w14:textId="77777777" w:rsidR="00F25D9E" w:rsidRDefault="00F25D9E" w:rsidP="001A69C3">
      <w:pPr>
        <w:spacing w:after="0" w:line="240" w:lineRule="auto"/>
      </w:pPr>
      <w:r>
        <w:separator/>
      </w:r>
    </w:p>
  </w:endnote>
  <w:endnote w:type="continuationSeparator" w:id="0">
    <w:p w14:paraId="2A11188E" w14:textId="77777777" w:rsidR="00F25D9E" w:rsidRDefault="00F25D9E" w:rsidP="001A69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BB496" w14:textId="77777777" w:rsidR="00F25D9E" w:rsidRDefault="00F25D9E" w:rsidP="001A69C3">
      <w:pPr>
        <w:spacing w:after="0" w:line="240" w:lineRule="auto"/>
      </w:pPr>
      <w:r>
        <w:separator/>
      </w:r>
    </w:p>
  </w:footnote>
  <w:footnote w:type="continuationSeparator" w:id="0">
    <w:p w14:paraId="31A50953" w14:textId="77777777" w:rsidR="00F25D9E" w:rsidRDefault="00F25D9E" w:rsidP="001A69C3">
      <w:pPr>
        <w:spacing w:after="0" w:line="240" w:lineRule="auto"/>
      </w:pPr>
      <w:r>
        <w:continuationSeparator/>
      </w:r>
    </w:p>
  </w:footnote>
  <w:footnote w:id="1">
    <w:p w14:paraId="4CF23E12" w14:textId="019FB459" w:rsidR="00BD3312" w:rsidRDefault="00BD3312">
      <w:pPr>
        <w:pStyle w:val="FootnoteText"/>
      </w:pPr>
      <w:r>
        <w:rPr>
          <w:rStyle w:val="FootnoteReference"/>
        </w:rPr>
        <w:footnoteRef/>
      </w:r>
      <w:r>
        <w:t xml:space="preserve"> </w:t>
      </w:r>
      <w:r w:rsidRPr="00BD3312">
        <w:t>Background research is limited due to reliance on Defence Standards, STANAGs, and restricted internal documents.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001A69C3" w14:paraId="73E92302" w14:textId="77777777" w:rsidTr="009E6D63">
      <w:trPr>
        <w:trHeight w:val="300"/>
      </w:trPr>
      <w:tc>
        <w:tcPr>
          <w:tcW w:w="3005" w:type="dxa"/>
        </w:tcPr>
        <w:p w14:paraId="7E883C83" w14:textId="77777777" w:rsidR="001A69C3" w:rsidRDefault="001A69C3" w:rsidP="001A69C3">
          <w:pPr>
            <w:pStyle w:val="Header"/>
            <w:ind w:left="-115"/>
          </w:pPr>
          <w:r>
            <w:t>Samuel Hawkins (2216506)</w:t>
          </w:r>
        </w:p>
      </w:tc>
      <w:tc>
        <w:tcPr>
          <w:tcW w:w="3005" w:type="dxa"/>
        </w:tcPr>
        <w:p w14:paraId="4B8676C8" w14:textId="5B485EBF" w:rsidR="001A69C3" w:rsidRDefault="001A69C3" w:rsidP="001A69C3">
          <w:pPr>
            <w:pStyle w:val="Header"/>
            <w:jc w:val="center"/>
          </w:pPr>
          <w:r>
            <w:t>Major Project Proposal</w:t>
          </w:r>
        </w:p>
      </w:tc>
      <w:tc>
        <w:tcPr>
          <w:tcW w:w="3005" w:type="dxa"/>
        </w:tcPr>
        <w:p w14:paraId="0087C6FA" w14:textId="77777777" w:rsidR="001A69C3" w:rsidRDefault="001A69C3" w:rsidP="001A69C3">
          <w:pPr>
            <w:pStyle w:val="Header"/>
            <w:ind w:right="-115"/>
            <w:jc w:val="right"/>
          </w:pPr>
          <w:r>
            <w:fldChar w:fldCharType="begin"/>
          </w:r>
          <w:r>
            <w:instrText>PAGE</w:instrText>
          </w:r>
          <w:r>
            <w:fldChar w:fldCharType="separate"/>
          </w:r>
          <w:r>
            <w:rPr>
              <w:noProof/>
            </w:rPr>
            <w:t>1</w:t>
          </w:r>
          <w:r>
            <w:fldChar w:fldCharType="end"/>
          </w:r>
          <w:r>
            <w:t xml:space="preserve"> of </w:t>
          </w:r>
          <w:r>
            <w:fldChar w:fldCharType="begin"/>
          </w:r>
          <w:r>
            <w:instrText>NUMPAGES</w:instrText>
          </w:r>
          <w:r>
            <w:fldChar w:fldCharType="separate"/>
          </w:r>
          <w:r>
            <w:rPr>
              <w:noProof/>
            </w:rPr>
            <w:t>2</w:t>
          </w:r>
          <w:r>
            <w:fldChar w:fldCharType="end"/>
          </w:r>
        </w:p>
      </w:tc>
    </w:tr>
  </w:tbl>
  <w:p w14:paraId="3CE841E7" w14:textId="61D52D49" w:rsidR="001A69C3" w:rsidRDefault="001A69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4679C"/>
    <w:multiLevelType w:val="multilevel"/>
    <w:tmpl w:val="1408B4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74213"/>
    <w:multiLevelType w:val="multilevel"/>
    <w:tmpl w:val="238AD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155C5A"/>
    <w:multiLevelType w:val="multilevel"/>
    <w:tmpl w:val="72746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C9571C"/>
    <w:multiLevelType w:val="hybridMultilevel"/>
    <w:tmpl w:val="1A94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B67257"/>
    <w:multiLevelType w:val="multilevel"/>
    <w:tmpl w:val="1396E51E"/>
    <w:lvl w:ilvl="0">
      <w:start w:val="1"/>
      <w:numFmt w:val="bullet"/>
      <w:lvlText w:val=""/>
      <w:lvlJc w:val="left"/>
      <w:pPr>
        <w:ind w:left="1512" w:hanging="360"/>
      </w:pPr>
      <w:rPr>
        <w:rFonts w:ascii="Symbol" w:hAnsi="Symbol" w:hint="default"/>
      </w:rPr>
    </w:lvl>
    <w:lvl w:ilvl="1">
      <w:start w:val="1"/>
      <w:numFmt w:val="decimal"/>
      <w:lvlText w:val="%1.%2."/>
      <w:lvlJc w:val="left"/>
      <w:pPr>
        <w:ind w:left="1944" w:hanging="432"/>
      </w:pPr>
      <w:rPr>
        <w:b w:val="0"/>
        <w:bCs w:val="0"/>
        <w:color w:val="auto"/>
      </w:rPr>
    </w:lvl>
    <w:lvl w:ilvl="2">
      <w:start w:val="1"/>
      <w:numFmt w:val="bullet"/>
      <w:lvlText w:val=""/>
      <w:lvlJc w:val="left"/>
      <w:pPr>
        <w:ind w:left="2232" w:hanging="360"/>
      </w:pPr>
      <w:rPr>
        <w:rFonts w:ascii="Symbol" w:hAnsi="Symbol" w:hint="default"/>
      </w:rPr>
    </w:lvl>
    <w:lvl w:ilvl="3">
      <w:start w:val="1"/>
      <w:numFmt w:val="decimal"/>
      <w:lvlText w:val="%1.%2.%3.%4."/>
      <w:lvlJc w:val="left"/>
      <w:pPr>
        <w:ind w:left="2880" w:hanging="648"/>
      </w:pPr>
    </w:lvl>
    <w:lvl w:ilvl="4">
      <w:start w:val="1"/>
      <w:numFmt w:val="decimal"/>
      <w:lvlText w:val="%1.%2.%3.%4.%5."/>
      <w:lvlJc w:val="left"/>
      <w:pPr>
        <w:ind w:left="3384" w:hanging="792"/>
      </w:pPr>
    </w:lvl>
    <w:lvl w:ilvl="5">
      <w:start w:val="1"/>
      <w:numFmt w:val="decimal"/>
      <w:lvlText w:val="%1.%2.%3.%4.%5.%6."/>
      <w:lvlJc w:val="left"/>
      <w:pPr>
        <w:ind w:left="3888" w:hanging="936"/>
      </w:pPr>
    </w:lvl>
    <w:lvl w:ilvl="6">
      <w:start w:val="1"/>
      <w:numFmt w:val="decimal"/>
      <w:lvlText w:val="%1.%2.%3.%4.%5.%6.%7."/>
      <w:lvlJc w:val="left"/>
      <w:pPr>
        <w:ind w:left="4392" w:hanging="1080"/>
      </w:pPr>
    </w:lvl>
    <w:lvl w:ilvl="7">
      <w:start w:val="1"/>
      <w:numFmt w:val="decimal"/>
      <w:lvlText w:val="%1.%2.%3.%4.%5.%6.%7.%8."/>
      <w:lvlJc w:val="left"/>
      <w:pPr>
        <w:ind w:left="4896" w:hanging="1224"/>
      </w:pPr>
    </w:lvl>
    <w:lvl w:ilvl="8">
      <w:start w:val="1"/>
      <w:numFmt w:val="decimal"/>
      <w:lvlText w:val="%1.%2.%3.%4.%5.%6.%7.%8.%9."/>
      <w:lvlJc w:val="left"/>
      <w:pPr>
        <w:ind w:left="5472" w:hanging="1440"/>
      </w:pPr>
    </w:lvl>
  </w:abstractNum>
  <w:abstractNum w:abstractNumId="5" w15:restartNumberingAfterBreak="0">
    <w:nsid w:val="2D486FC7"/>
    <w:multiLevelType w:val="multilevel"/>
    <w:tmpl w:val="F1E4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F993FEC"/>
    <w:multiLevelType w:val="multilevel"/>
    <w:tmpl w:val="18B40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A83307"/>
    <w:multiLevelType w:val="multilevel"/>
    <w:tmpl w:val="B55E5DF2"/>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 w15:restartNumberingAfterBreak="0">
    <w:nsid w:val="38AA1D0E"/>
    <w:multiLevelType w:val="multilevel"/>
    <w:tmpl w:val="5538DA2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C083A67"/>
    <w:multiLevelType w:val="multilevel"/>
    <w:tmpl w:val="1396E51E"/>
    <w:lvl w:ilvl="0">
      <w:start w:val="1"/>
      <w:numFmt w:val="bullet"/>
      <w:lvlText w:val=""/>
      <w:lvlJc w:val="left"/>
      <w:pPr>
        <w:ind w:left="1800" w:hanging="360"/>
      </w:pPr>
      <w:rPr>
        <w:rFonts w:ascii="Symbol" w:hAnsi="Symbol" w:hint="default"/>
      </w:rPr>
    </w:lvl>
    <w:lvl w:ilvl="1">
      <w:start w:val="1"/>
      <w:numFmt w:val="decimal"/>
      <w:lvlText w:val="%1.%2."/>
      <w:lvlJc w:val="left"/>
      <w:pPr>
        <w:ind w:left="2232" w:hanging="432"/>
      </w:pPr>
      <w:rPr>
        <w:b w:val="0"/>
        <w:bCs w:val="0"/>
        <w:color w:val="auto"/>
      </w:rPr>
    </w:lvl>
    <w:lvl w:ilvl="2">
      <w:start w:val="1"/>
      <w:numFmt w:val="bullet"/>
      <w:lvlText w:val=""/>
      <w:lvlJc w:val="left"/>
      <w:pPr>
        <w:ind w:left="2520" w:hanging="360"/>
      </w:pPr>
      <w:rPr>
        <w:rFonts w:ascii="Symbol" w:hAnsi="Symbol" w:hint="default"/>
      </w:rPr>
    </w:lvl>
    <w:lvl w:ilvl="3">
      <w:start w:val="1"/>
      <w:numFmt w:val="decimal"/>
      <w:lvlText w:val="%1.%2.%3.%4."/>
      <w:lvlJc w:val="left"/>
      <w:pPr>
        <w:ind w:left="3168" w:hanging="648"/>
      </w:pPr>
    </w:lvl>
    <w:lvl w:ilvl="4">
      <w:start w:val="1"/>
      <w:numFmt w:val="decimal"/>
      <w:lvlText w:val="%1.%2.%3.%4.%5."/>
      <w:lvlJc w:val="left"/>
      <w:pPr>
        <w:ind w:left="3672" w:hanging="792"/>
      </w:pPr>
    </w:lvl>
    <w:lvl w:ilvl="5">
      <w:start w:val="1"/>
      <w:numFmt w:val="decimal"/>
      <w:lvlText w:val="%1.%2.%3.%4.%5.%6."/>
      <w:lvlJc w:val="left"/>
      <w:pPr>
        <w:ind w:left="4176" w:hanging="936"/>
      </w:pPr>
    </w:lvl>
    <w:lvl w:ilvl="6">
      <w:start w:val="1"/>
      <w:numFmt w:val="decimal"/>
      <w:lvlText w:val="%1.%2.%3.%4.%5.%6.%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0" w15:restartNumberingAfterBreak="0">
    <w:nsid w:val="45F32F5E"/>
    <w:multiLevelType w:val="multilevel"/>
    <w:tmpl w:val="A4EC6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68B1583"/>
    <w:multiLevelType w:val="multilevel"/>
    <w:tmpl w:val="D4926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906F2"/>
    <w:multiLevelType w:val="multilevel"/>
    <w:tmpl w:val="7A8CAFC2"/>
    <w:lvl w:ilvl="0">
      <w:start w:val="2"/>
      <w:numFmt w:val="decimal"/>
      <w:lvlText w:val="%1"/>
      <w:lvlJc w:val="left"/>
      <w:pPr>
        <w:ind w:left="360" w:hanging="360"/>
      </w:pPr>
      <w:rPr>
        <w:rFonts w:hint="default"/>
      </w:rPr>
    </w:lvl>
    <w:lvl w:ilvl="1">
      <w:start w:val="1"/>
      <w:numFmt w:val="decimal"/>
      <w:lvlText w:val="%1.%2"/>
      <w:lvlJc w:val="left"/>
      <w:pPr>
        <w:tabs>
          <w:tab w:val="num" w:pos="567"/>
        </w:tabs>
        <w:ind w:left="0" w:firstLine="0"/>
      </w:pPr>
      <w:rPr>
        <w:rFonts w:hint="default"/>
      </w:rPr>
    </w:lvl>
    <w:lvl w:ilvl="2">
      <w:start w:val="1"/>
      <w:numFmt w:val="decimal"/>
      <w:lvlText w:val="%1.%2.%3"/>
      <w:lvlJc w:val="left"/>
      <w:pPr>
        <w:tabs>
          <w:tab w:val="num" w:pos="1361"/>
        </w:tabs>
        <w:ind w:left="567" w:firstLine="0"/>
      </w:pPr>
      <w:rPr>
        <w:rFonts w:ascii="Arial" w:hAnsi="Arial" w:cs="Arial" w:hint="default"/>
        <w:b w:val="0"/>
        <w:bCs w:val="0"/>
        <w:sz w:val="24"/>
        <w:szCs w:val="24"/>
      </w:rPr>
    </w:lvl>
    <w:lvl w:ilvl="3">
      <w:start w:val="1"/>
      <w:numFmt w:val="lowerLetter"/>
      <w:lvlText w:val="%4"/>
      <w:lvlJc w:val="left"/>
      <w:pPr>
        <w:tabs>
          <w:tab w:val="num" w:pos="1814"/>
        </w:tabs>
        <w:ind w:left="1361" w:firstLine="0"/>
      </w:pPr>
      <w:rPr>
        <w:rFonts w:hint="default"/>
        <w:sz w:val="24"/>
        <w:szCs w:val="24"/>
      </w:rPr>
    </w:lvl>
    <w:lvl w:ilvl="4">
      <w:start w:val="1"/>
      <w:numFmt w:val="lowerRoman"/>
      <w:lvlText w:val="%5"/>
      <w:lvlJc w:val="left"/>
      <w:pPr>
        <w:ind w:left="1814" w:firstLine="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1573C68"/>
    <w:multiLevelType w:val="multilevel"/>
    <w:tmpl w:val="5DF61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19C5AD8"/>
    <w:multiLevelType w:val="multilevel"/>
    <w:tmpl w:val="A17EC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692319"/>
    <w:multiLevelType w:val="multilevel"/>
    <w:tmpl w:val="4AF0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7260B4"/>
    <w:multiLevelType w:val="multilevel"/>
    <w:tmpl w:val="853A63A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AD9602B"/>
    <w:multiLevelType w:val="multilevel"/>
    <w:tmpl w:val="853A63AC"/>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color w:val="auto"/>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53B2563"/>
    <w:multiLevelType w:val="multilevel"/>
    <w:tmpl w:val="15884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7780267"/>
    <w:multiLevelType w:val="multilevel"/>
    <w:tmpl w:val="AB2E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50636E"/>
    <w:multiLevelType w:val="hybridMultilevel"/>
    <w:tmpl w:val="97D8A3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490FB2"/>
    <w:multiLevelType w:val="multilevel"/>
    <w:tmpl w:val="AFA6E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73245756">
    <w:abstractNumId w:val="21"/>
  </w:num>
  <w:num w:numId="2" w16cid:durableId="1597059963">
    <w:abstractNumId w:val="15"/>
  </w:num>
  <w:num w:numId="3" w16cid:durableId="1082874060">
    <w:abstractNumId w:val="6"/>
  </w:num>
  <w:num w:numId="4" w16cid:durableId="1073576911">
    <w:abstractNumId w:val="13"/>
  </w:num>
  <w:num w:numId="5" w16cid:durableId="1887177384">
    <w:abstractNumId w:val="19"/>
  </w:num>
  <w:num w:numId="6" w16cid:durableId="598607710">
    <w:abstractNumId w:val="0"/>
  </w:num>
  <w:num w:numId="7" w16cid:durableId="2098819177">
    <w:abstractNumId w:val="14"/>
  </w:num>
  <w:num w:numId="8" w16cid:durableId="605698511">
    <w:abstractNumId w:val="10"/>
  </w:num>
  <w:num w:numId="9" w16cid:durableId="349990250">
    <w:abstractNumId w:val="18"/>
  </w:num>
  <w:num w:numId="10" w16cid:durableId="1974747837">
    <w:abstractNumId w:val="11"/>
  </w:num>
  <w:num w:numId="11" w16cid:durableId="593978121">
    <w:abstractNumId w:val="2"/>
  </w:num>
  <w:num w:numId="12" w16cid:durableId="1760827478">
    <w:abstractNumId w:val="5"/>
  </w:num>
  <w:num w:numId="13" w16cid:durableId="619804066">
    <w:abstractNumId w:val="1"/>
  </w:num>
  <w:num w:numId="14" w16cid:durableId="1055353715">
    <w:abstractNumId w:val="20"/>
  </w:num>
  <w:num w:numId="15" w16cid:durableId="2039114153">
    <w:abstractNumId w:val="12"/>
  </w:num>
  <w:num w:numId="16" w16cid:durableId="956911520">
    <w:abstractNumId w:val="7"/>
  </w:num>
  <w:num w:numId="17" w16cid:durableId="1422407403">
    <w:abstractNumId w:val="3"/>
  </w:num>
  <w:num w:numId="18" w16cid:durableId="2101172471">
    <w:abstractNumId w:val="9"/>
  </w:num>
  <w:num w:numId="19" w16cid:durableId="417294581">
    <w:abstractNumId w:val="8"/>
  </w:num>
  <w:num w:numId="20" w16cid:durableId="280263756">
    <w:abstractNumId w:val="17"/>
  </w:num>
  <w:num w:numId="21" w16cid:durableId="2089033972">
    <w:abstractNumId w:val="16"/>
  </w:num>
  <w:num w:numId="22" w16cid:durableId="9963748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1FCB"/>
    <w:rsid w:val="00003BEF"/>
    <w:rsid w:val="00014427"/>
    <w:rsid w:val="00014AD9"/>
    <w:rsid w:val="0001745B"/>
    <w:rsid w:val="0002738E"/>
    <w:rsid w:val="00035884"/>
    <w:rsid w:val="00065AC4"/>
    <w:rsid w:val="00066E66"/>
    <w:rsid w:val="00077AC9"/>
    <w:rsid w:val="00081A01"/>
    <w:rsid w:val="000962BA"/>
    <w:rsid w:val="000B359F"/>
    <w:rsid w:val="000D0E9F"/>
    <w:rsid w:val="000D53C4"/>
    <w:rsid w:val="000F0627"/>
    <w:rsid w:val="000F3A1C"/>
    <w:rsid w:val="001011CC"/>
    <w:rsid w:val="00127E54"/>
    <w:rsid w:val="00133E9C"/>
    <w:rsid w:val="001521C2"/>
    <w:rsid w:val="00160085"/>
    <w:rsid w:val="0016326D"/>
    <w:rsid w:val="00173222"/>
    <w:rsid w:val="00174521"/>
    <w:rsid w:val="0018091D"/>
    <w:rsid w:val="00181BD3"/>
    <w:rsid w:val="00193B1D"/>
    <w:rsid w:val="00196E57"/>
    <w:rsid w:val="001A0D42"/>
    <w:rsid w:val="001A69C3"/>
    <w:rsid w:val="001B2E01"/>
    <w:rsid w:val="001E0B26"/>
    <w:rsid w:val="001E37F1"/>
    <w:rsid w:val="001E515C"/>
    <w:rsid w:val="00203E52"/>
    <w:rsid w:val="002045AB"/>
    <w:rsid w:val="00205BB4"/>
    <w:rsid w:val="00214B2C"/>
    <w:rsid w:val="0022054C"/>
    <w:rsid w:val="00231CE6"/>
    <w:rsid w:val="00233F1D"/>
    <w:rsid w:val="002353DB"/>
    <w:rsid w:val="00235542"/>
    <w:rsid w:val="00241E37"/>
    <w:rsid w:val="00242491"/>
    <w:rsid w:val="00254919"/>
    <w:rsid w:val="002649F7"/>
    <w:rsid w:val="00264E9F"/>
    <w:rsid w:val="002655BC"/>
    <w:rsid w:val="002A1A91"/>
    <w:rsid w:val="002A79C4"/>
    <w:rsid w:val="002A7D27"/>
    <w:rsid w:val="002A7FA1"/>
    <w:rsid w:val="002B36D7"/>
    <w:rsid w:val="002B44D6"/>
    <w:rsid w:val="002B5BA6"/>
    <w:rsid w:val="002C5377"/>
    <w:rsid w:val="002D00A1"/>
    <w:rsid w:val="002D29E9"/>
    <w:rsid w:val="002E4C95"/>
    <w:rsid w:val="002F157B"/>
    <w:rsid w:val="003137DC"/>
    <w:rsid w:val="003274D6"/>
    <w:rsid w:val="003309ED"/>
    <w:rsid w:val="00343D2E"/>
    <w:rsid w:val="00353C2C"/>
    <w:rsid w:val="00354304"/>
    <w:rsid w:val="00355A67"/>
    <w:rsid w:val="00364D6C"/>
    <w:rsid w:val="0038055C"/>
    <w:rsid w:val="00380B01"/>
    <w:rsid w:val="00382441"/>
    <w:rsid w:val="00391D17"/>
    <w:rsid w:val="00391F78"/>
    <w:rsid w:val="00393AB0"/>
    <w:rsid w:val="003967D7"/>
    <w:rsid w:val="003B149C"/>
    <w:rsid w:val="003B75E0"/>
    <w:rsid w:val="003C37C2"/>
    <w:rsid w:val="003D1B5C"/>
    <w:rsid w:val="003D32FF"/>
    <w:rsid w:val="003E3DB4"/>
    <w:rsid w:val="003F0187"/>
    <w:rsid w:val="00401CBF"/>
    <w:rsid w:val="004020AF"/>
    <w:rsid w:val="00404CF0"/>
    <w:rsid w:val="00412624"/>
    <w:rsid w:val="004127CD"/>
    <w:rsid w:val="00427FCF"/>
    <w:rsid w:val="00430AF7"/>
    <w:rsid w:val="00433DBE"/>
    <w:rsid w:val="00451A24"/>
    <w:rsid w:val="00453FB7"/>
    <w:rsid w:val="004669C8"/>
    <w:rsid w:val="00467782"/>
    <w:rsid w:val="00475B2F"/>
    <w:rsid w:val="00480B90"/>
    <w:rsid w:val="004810D1"/>
    <w:rsid w:val="00487C28"/>
    <w:rsid w:val="004A0BA6"/>
    <w:rsid w:val="004A0F40"/>
    <w:rsid w:val="004A2A7A"/>
    <w:rsid w:val="004A4830"/>
    <w:rsid w:val="004A4C04"/>
    <w:rsid w:val="004A67FE"/>
    <w:rsid w:val="004A6E00"/>
    <w:rsid w:val="004A76E8"/>
    <w:rsid w:val="004A7CA5"/>
    <w:rsid w:val="004A7FBA"/>
    <w:rsid w:val="004C5F5D"/>
    <w:rsid w:val="004D7FC9"/>
    <w:rsid w:val="004F740C"/>
    <w:rsid w:val="00503C6C"/>
    <w:rsid w:val="005048D4"/>
    <w:rsid w:val="00510C27"/>
    <w:rsid w:val="00511BCB"/>
    <w:rsid w:val="00523A46"/>
    <w:rsid w:val="00526D84"/>
    <w:rsid w:val="005821BF"/>
    <w:rsid w:val="00590465"/>
    <w:rsid w:val="005B1C17"/>
    <w:rsid w:val="005D134C"/>
    <w:rsid w:val="005D14BA"/>
    <w:rsid w:val="005E2F5D"/>
    <w:rsid w:val="0061408A"/>
    <w:rsid w:val="00646841"/>
    <w:rsid w:val="00655AAC"/>
    <w:rsid w:val="0066145A"/>
    <w:rsid w:val="00662E87"/>
    <w:rsid w:val="006648DB"/>
    <w:rsid w:val="00667F31"/>
    <w:rsid w:val="006836C5"/>
    <w:rsid w:val="00687980"/>
    <w:rsid w:val="006929D9"/>
    <w:rsid w:val="00697642"/>
    <w:rsid w:val="006A1786"/>
    <w:rsid w:val="006A2BAA"/>
    <w:rsid w:val="006A3E1F"/>
    <w:rsid w:val="006B30A2"/>
    <w:rsid w:val="006B4D20"/>
    <w:rsid w:val="006B62A8"/>
    <w:rsid w:val="006D0ADA"/>
    <w:rsid w:val="006D24AA"/>
    <w:rsid w:val="006D4515"/>
    <w:rsid w:val="006D4D3D"/>
    <w:rsid w:val="006D5439"/>
    <w:rsid w:val="006E7289"/>
    <w:rsid w:val="006F1F1D"/>
    <w:rsid w:val="006F4F38"/>
    <w:rsid w:val="0070387E"/>
    <w:rsid w:val="00704091"/>
    <w:rsid w:val="0071397F"/>
    <w:rsid w:val="00727C1A"/>
    <w:rsid w:val="00731BFF"/>
    <w:rsid w:val="007508C7"/>
    <w:rsid w:val="00754136"/>
    <w:rsid w:val="00760293"/>
    <w:rsid w:val="00760FA5"/>
    <w:rsid w:val="00764E65"/>
    <w:rsid w:val="00767154"/>
    <w:rsid w:val="0077390E"/>
    <w:rsid w:val="00774DE5"/>
    <w:rsid w:val="00787C77"/>
    <w:rsid w:val="007A0815"/>
    <w:rsid w:val="007A2D79"/>
    <w:rsid w:val="007B08A6"/>
    <w:rsid w:val="007B2F79"/>
    <w:rsid w:val="007B4B6A"/>
    <w:rsid w:val="007B4DA7"/>
    <w:rsid w:val="007C21C9"/>
    <w:rsid w:val="007C449E"/>
    <w:rsid w:val="007E4309"/>
    <w:rsid w:val="007F12EA"/>
    <w:rsid w:val="008173CB"/>
    <w:rsid w:val="00830E66"/>
    <w:rsid w:val="00831000"/>
    <w:rsid w:val="00835C89"/>
    <w:rsid w:val="00847A22"/>
    <w:rsid w:val="008556F0"/>
    <w:rsid w:val="00867972"/>
    <w:rsid w:val="00883820"/>
    <w:rsid w:val="00884664"/>
    <w:rsid w:val="00885947"/>
    <w:rsid w:val="008865F5"/>
    <w:rsid w:val="00895BC3"/>
    <w:rsid w:val="00897264"/>
    <w:rsid w:val="008A0F1D"/>
    <w:rsid w:val="008A56F3"/>
    <w:rsid w:val="008A7D5A"/>
    <w:rsid w:val="008C104F"/>
    <w:rsid w:val="008C1CBD"/>
    <w:rsid w:val="008C1FA8"/>
    <w:rsid w:val="008C7F9C"/>
    <w:rsid w:val="008D3611"/>
    <w:rsid w:val="008D5539"/>
    <w:rsid w:val="008E33D8"/>
    <w:rsid w:val="008E4B00"/>
    <w:rsid w:val="008F3849"/>
    <w:rsid w:val="00900BF7"/>
    <w:rsid w:val="009114CB"/>
    <w:rsid w:val="009265E5"/>
    <w:rsid w:val="00934331"/>
    <w:rsid w:val="00936EAB"/>
    <w:rsid w:val="00937403"/>
    <w:rsid w:val="00951BB7"/>
    <w:rsid w:val="00953570"/>
    <w:rsid w:val="00960829"/>
    <w:rsid w:val="00965670"/>
    <w:rsid w:val="009666FB"/>
    <w:rsid w:val="00967614"/>
    <w:rsid w:val="00970BEC"/>
    <w:rsid w:val="0098116A"/>
    <w:rsid w:val="0098443F"/>
    <w:rsid w:val="00987218"/>
    <w:rsid w:val="00997DF9"/>
    <w:rsid w:val="009A415A"/>
    <w:rsid w:val="009A536A"/>
    <w:rsid w:val="009B2740"/>
    <w:rsid w:val="009B544A"/>
    <w:rsid w:val="009C4E68"/>
    <w:rsid w:val="009C79F3"/>
    <w:rsid w:val="009D53E8"/>
    <w:rsid w:val="009E7A1B"/>
    <w:rsid w:val="009F46F0"/>
    <w:rsid w:val="009F6777"/>
    <w:rsid w:val="00A04594"/>
    <w:rsid w:val="00A1370A"/>
    <w:rsid w:val="00A13B05"/>
    <w:rsid w:val="00A13E41"/>
    <w:rsid w:val="00A23383"/>
    <w:rsid w:val="00A248E9"/>
    <w:rsid w:val="00A5243E"/>
    <w:rsid w:val="00A542E3"/>
    <w:rsid w:val="00A61F58"/>
    <w:rsid w:val="00A635CF"/>
    <w:rsid w:val="00A659A6"/>
    <w:rsid w:val="00A757F0"/>
    <w:rsid w:val="00A820CD"/>
    <w:rsid w:val="00A82ED8"/>
    <w:rsid w:val="00A93524"/>
    <w:rsid w:val="00A95D4B"/>
    <w:rsid w:val="00A97392"/>
    <w:rsid w:val="00AA605E"/>
    <w:rsid w:val="00AB02BA"/>
    <w:rsid w:val="00AB4A3A"/>
    <w:rsid w:val="00AD1E53"/>
    <w:rsid w:val="00AD4CE1"/>
    <w:rsid w:val="00AE2E70"/>
    <w:rsid w:val="00B038C7"/>
    <w:rsid w:val="00B03BCE"/>
    <w:rsid w:val="00B07B77"/>
    <w:rsid w:val="00B31437"/>
    <w:rsid w:val="00B32C84"/>
    <w:rsid w:val="00B37615"/>
    <w:rsid w:val="00B43787"/>
    <w:rsid w:val="00B47D72"/>
    <w:rsid w:val="00B51D3E"/>
    <w:rsid w:val="00B56AC8"/>
    <w:rsid w:val="00B60AF0"/>
    <w:rsid w:val="00B72D5A"/>
    <w:rsid w:val="00B740E0"/>
    <w:rsid w:val="00B80018"/>
    <w:rsid w:val="00B8034D"/>
    <w:rsid w:val="00B8377C"/>
    <w:rsid w:val="00B864B8"/>
    <w:rsid w:val="00BB36C7"/>
    <w:rsid w:val="00BC7544"/>
    <w:rsid w:val="00BD0CA4"/>
    <w:rsid w:val="00BD3312"/>
    <w:rsid w:val="00BF798C"/>
    <w:rsid w:val="00C013F1"/>
    <w:rsid w:val="00C0540C"/>
    <w:rsid w:val="00C066EB"/>
    <w:rsid w:val="00C10409"/>
    <w:rsid w:val="00C22577"/>
    <w:rsid w:val="00C24DC1"/>
    <w:rsid w:val="00C27229"/>
    <w:rsid w:val="00C43A96"/>
    <w:rsid w:val="00C47437"/>
    <w:rsid w:val="00C50E4F"/>
    <w:rsid w:val="00C74640"/>
    <w:rsid w:val="00C746B6"/>
    <w:rsid w:val="00C92BD0"/>
    <w:rsid w:val="00CB12B2"/>
    <w:rsid w:val="00CB1BF7"/>
    <w:rsid w:val="00CB40B5"/>
    <w:rsid w:val="00CB4955"/>
    <w:rsid w:val="00CD060D"/>
    <w:rsid w:val="00CE17CE"/>
    <w:rsid w:val="00CE715E"/>
    <w:rsid w:val="00CF66F3"/>
    <w:rsid w:val="00D02D32"/>
    <w:rsid w:val="00D05E40"/>
    <w:rsid w:val="00D06763"/>
    <w:rsid w:val="00D10201"/>
    <w:rsid w:val="00D155AB"/>
    <w:rsid w:val="00D258E7"/>
    <w:rsid w:val="00D35CFC"/>
    <w:rsid w:val="00D419CC"/>
    <w:rsid w:val="00D47AC7"/>
    <w:rsid w:val="00D6508F"/>
    <w:rsid w:val="00D77C9B"/>
    <w:rsid w:val="00D87CAE"/>
    <w:rsid w:val="00D97E09"/>
    <w:rsid w:val="00DA1E14"/>
    <w:rsid w:val="00DA24F8"/>
    <w:rsid w:val="00DA3E81"/>
    <w:rsid w:val="00DC127C"/>
    <w:rsid w:val="00DC66C0"/>
    <w:rsid w:val="00DD5C5A"/>
    <w:rsid w:val="00DD6A62"/>
    <w:rsid w:val="00DE0BDA"/>
    <w:rsid w:val="00DE262B"/>
    <w:rsid w:val="00DE37D1"/>
    <w:rsid w:val="00E010B8"/>
    <w:rsid w:val="00E02908"/>
    <w:rsid w:val="00E061E3"/>
    <w:rsid w:val="00E13776"/>
    <w:rsid w:val="00E2569F"/>
    <w:rsid w:val="00E27EA4"/>
    <w:rsid w:val="00E43C11"/>
    <w:rsid w:val="00E52A78"/>
    <w:rsid w:val="00E60CF6"/>
    <w:rsid w:val="00E60EEA"/>
    <w:rsid w:val="00E62069"/>
    <w:rsid w:val="00E628E0"/>
    <w:rsid w:val="00E753B4"/>
    <w:rsid w:val="00E817BE"/>
    <w:rsid w:val="00E83F82"/>
    <w:rsid w:val="00E87ECD"/>
    <w:rsid w:val="00E96572"/>
    <w:rsid w:val="00E972EE"/>
    <w:rsid w:val="00E97BCA"/>
    <w:rsid w:val="00EB1D5C"/>
    <w:rsid w:val="00EC0AE2"/>
    <w:rsid w:val="00ED3D88"/>
    <w:rsid w:val="00EE3266"/>
    <w:rsid w:val="00EE7DCE"/>
    <w:rsid w:val="00F01526"/>
    <w:rsid w:val="00F1159B"/>
    <w:rsid w:val="00F16CC7"/>
    <w:rsid w:val="00F20C2C"/>
    <w:rsid w:val="00F25D9E"/>
    <w:rsid w:val="00F33262"/>
    <w:rsid w:val="00F555FA"/>
    <w:rsid w:val="00F57F96"/>
    <w:rsid w:val="00F653B1"/>
    <w:rsid w:val="00F702EF"/>
    <w:rsid w:val="00F7355F"/>
    <w:rsid w:val="00F831CF"/>
    <w:rsid w:val="00F8576A"/>
    <w:rsid w:val="00F85DA1"/>
    <w:rsid w:val="00F9041A"/>
    <w:rsid w:val="00FA59D4"/>
    <w:rsid w:val="00FB6AA5"/>
    <w:rsid w:val="00FC07A2"/>
    <w:rsid w:val="00FC38F7"/>
    <w:rsid w:val="00FC3A59"/>
    <w:rsid w:val="00FC4C2F"/>
    <w:rsid w:val="00FC736A"/>
    <w:rsid w:val="00FD0C82"/>
    <w:rsid w:val="00FD4F5B"/>
    <w:rsid w:val="00FD506F"/>
    <w:rsid w:val="00FE68D6"/>
    <w:rsid w:val="00FF21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FBB477"/>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B740E0"/>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character" w:styleId="Hyperlink">
    <w:name w:val="Hyperlink"/>
    <w:basedOn w:val="DefaultParagraphFont"/>
    <w:uiPriority w:val="99"/>
    <w:unhideWhenUsed/>
    <w:rsid w:val="001B2E01"/>
    <w:rPr>
      <w:color w:val="0563C1" w:themeColor="hyperlink"/>
      <w:u w:val="single"/>
    </w:rPr>
  </w:style>
  <w:style w:type="character" w:styleId="UnresolvedMention">
    <w:name w:val="Unresolved Mention"/>
    <w:basedOn w:val="DefaultParagraphFont"/>
    <w:uiPriority w:val="99"/>
    <w:semiHidden/>
    <w:unhideWhenUsed/>
    <w:rsid w:val="001B2E01"/>
    <w:rPr>
      <w:color w:val="605E5C"/>
      <w:shd w:val="clear" w:color="auto" w:fill="E1DFDD"/>
    </w:rPr>
  </w:style>
  <w:style w:type="character" w:customStyle="1" w:styleId="Heading4Char">
    <w:name w:val="Heading 4 Char"/>
    <w:basedOn w:val="DefaultParagraphFont"/>
    <w:link w:val="Heading4"/>
    <w:uiPriority w:val="9"/>
    <w:semiHidden/>
    <w:rsid w:val="00B740E0"/>
    <w:rPr>
      <w:rFonts w:asciiTheme="majorHAnsi" w:eastAsiaTheme="majorEastAsia" w:hAnsiTheme="majorHAnsi" w:cstheme="majorBidi"/>
      <w:i/>
      <w:iCs/>
      <w:color w:val="2E74B5" w:themeColor="accent1" w:themeShade="BF"/>
    </w:rPr>
  </w:style>
  <w:style w:type="paragraph" w:styleId="TOC1">
    <w:name w:val="toc 1"/>
    <w:basedOn w:val="Normal"/>
    <w:next w:val="Normal"/>
    <w:autoRedefine/>
    <w:uiPriority w:val="39"/>
    <w:unhideWhenUsed/>
    <w:rsid w:val="00E628E0"/>
    <w:pPr>
      <w:tabs>
        <w:tab w:val="left" w:pos="720"/>
        <w:tab w:val="right" w:leader="dot" w:pos="9016"/>
      </w:tabs>
      <w:spacing w:after="100" w:line="240" w:lineRule="auto"/>
    </w:pPr>
    <w:rPr>
      <w:rFonts w:ascii="Times New Roman" w:eastAsia="Times New Roman" w:hAnsi="Times New Roman" w:cstheme="majorHAnsi"/>
      <w:noProof/>
      <w:sz w:val="20"/>
      <w:szCs w:val="20"/>
      <w:lang w:eastAsia="en-GB"/>
    </w:rPr>
  </w:style>
  <w:style w:type="paragraph" w:styleId="TOCHeading">
    <w:name w:val="TOC Heading"/>
    <w:basedOn w:val="Heading1"/>
    <w:next w:val="Normal"/>
    <w:uiPriority w:val="39"/>
    <w:semiHidden/>
    <w:unhideWhenUsed/>
    <w:qFormat/>
    <w:rsid w:val="00E628E0"/>
    <w:pPr>
      <w:spacing w:line="256" w:lineRule="auto"/>
      <w:outlineLvl w:val="9"/>
    </w:pPr>
    <w:rPr>
      <w:lang w:val="en-US"/>
    </w:rPr>
  </w:style>
  <w:style w:type="paragraph" w:styleId="TOC2">
    <w:name w:val="toc 2"/>
    <w:basedOn w:val="Normal"/>
    <w:next w:val="Normal"/>
    <w:autoRedefine/>
    <w:uiPriority w:val="39"/>
    <w:unhideWhenUsed/>
    <w:rsid w:val="00E628E0"/>
    <w:pPr>
      <w:spacing w:after="100"/>
      <w:ind w:left="220"/>
    </w:pPr>
  </w:style>
  <w:style w:type="paragraph" w:styleId="TOC3">
    <w:name w:val="toc 3"/>
    <w:basedOn w:val="Normal"/>
    <w:next w:val="Normal"/>
    <w:autoRedefine/>
    <w:uiPriority w:val="39"/>
    <w:unhideWhenUsed/>
    <w:rsid w:val="00E628E0"/>
    <w:pPr>
      <w:spacing w:after="100"/>
      <w:ind w:left="440"/>
    </w:pPr>
  </w:style>
  <w:style w:type="character" w:styleId="FollowedHyperlink">
    <w:name w:val="FollowedHyperlink"/>
    <w:basedOn w:val="DefaultParagraphFont"/>
    <w:uiPriority w:val="99"/>
    <w:semiHidden/>
    <w:unhideWhenUsed/>
    <w:rsid w:val="00343D2E"/>
    <w:rPr>
      <w:color w:val="954F72" w:themeColor="followedHyperlink"/>
      <w:u w:val="single"/>
    </w:rPr>
  </w:style>
  <w:style w:type="paragraph" w:styleId="Bibliography">
    <w:name w:val="Bibliography"/>
    <w:basedOn w:val="Normal"/>
    <w:next w:val="Normal"/>
    <w:uiPriority w:val="37"/>
    <w:unhideWhenUsed/>
    <w:rsid w:val="009A536A"/>
  </w:style>
  <w:style w:type="paragraph" w:styleId="ListParagraph">
    <w:name w:val="List Paragraph"/>
    <w:basedOn w:val="Normal"/>
    <w:uiPriority w:val="34"/>
    <w:qFormat/>
    <w:rsid w:val="0098116A"/>
    <w:pPr>
      <w:ind w:left="720"/>
      <w:contextualSpacing/>
    </w:pPr>
  </w:style>
  <w:style w:type="paragraph" w:styleId="NoSpacing">
    <w:name w:val="No Spacing"/>
    <w:link w:val="NoSpacingChar"/>
    <w:uiPriority w:val="1"/>
    <w:qFormat/>
    <w:rsid w:val="00F57F96"/>
    <w:pPr>
      <w:spacing w:after="0" w:line="240" w:lineRule="auto"/>
    </w:pPr>
    <w:rPr>
      <w:rFonts w:ascii="Arial" w:hAnsi="Arial"/>
      <w:kern w:val="2"/>
      <w:sz w:val="24"/>
      <w14:ligatures w14:val="standardContextual"/>
    </w:rPr>
  </w:style>
  <w:style w:type="character" w:customStyle="1" w:styleId="NoSpacingChar">
    <w:name w:val="No Spacing Char"/>
    <w:basedOn w:val="DefaultParagraphFont"/>
    <w:link w:val="NoSpacing"/>
    <w:uiPriority w:val="1"/>
    <w:rsid w:val="00F57F96"/>
    <w:rPr>
      <w:rFonts w:ascii="Arial" w:hAnsi="Arial"/>
      <w:kern w:val="2"/>
      <w:sz w:val="24"/>
      <w14:ligatures w14:val="standardContextual"/>
    </w:rPr>
  </w:style>
  <w:style w:type="paragraph" w:styleId="Header">
    <w:name w:val="header"/>
    <w:basedOn w:val="Normal"/>
    <w:link w:val="HeaderChar"/>
    <w:uiPriority w:val="99"/>
    <w:unhideWhenUsed/>
    <w:rsid w:val="001A69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69C3"/>
  </w:style>
  <w:style w:type="paragraph" w:styleId="Footer">
    <w:name w:val="footer"/>
    <w:basedOn w:val="Normal"/>
    <w:link w:val="FooterChar"/>
    <w:uiPriority w:val="99"/>
    <w:unhideWhenUsed/>
    <w:rsid w:val="001A69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69C3"/>
  </w:style>
  <w:style w:type="paragraph" w:styleId="FootnoteText">
    <w:name w:val="footnote text"/>
    <w:basedOn w:val="Normal"/>
    <w:link w:val="FootnoteTextChar"/>
    <w:uiPriority w:val="99"/>
    <w:semiHidden/>
    <w:unhideWhenUsed/>
    <w:rsid w:val="00BD331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3312"/>
    <w:rPr>
      <w:sz w:val="20"/>
      <w:szCs w:val="20"/>
    </w:rPr>
  </w:style>
  <w:style w:type="character" w:styleId="FootnoteReference">
    <w:name w:val="footnote reference"/>
    <w:basedOn w:val="DefaultParagraphFont"/>
    <w:uiPriority w:val="99"/>
    <w:semiHidden/>
    <w:unhideWhenUsed/>
    <w:rsid w:val="00BD331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049605">
      <w:bodyDiv w:val="1"/>
      <w:marLeft w:val="0"/>
      <w:marRight w:val="0"/>
      <w:marTop w:val="0"/>
      <w:marBottom w:val="0"/>
      <w:divBdr>
        <w:top w:val="none" w:sz="0" w:space="0" w:color="auto"/>
        <w:left w:val="none" w:sz="0" w:space="0" w:color="auto"/>
        <w:bottom w:val="none" w:sz="0" w:space="0" w:color="auto"/>
        <w:right w:val="none" w:sz="0" w:space="0" w:color="auto"/>
      </w:divBdr>
    </w:div>
    <w:div w:id="35128183">
      <w:bodyDiv w:val="1"/>
      <w:marLeft w:val="0"/>
      <w:marRight w:val="0"/>
      <w:marTop w:val="0"/>
      <w:marBottom w:val="0"/>
      <w:divBdr>
        <w:top w:val="none" w:sz="0" w:space="0" w:color="auto"/>
        <w:left w:val="none" w:sz="0" w:space="0" w:color="auto"/>
        <w:bottom w:val="none" w:sz="0" w:space="0" w:color="auto"/>
        <w:right w:val="none" w:sz="0" w:space="0" w:color="auto"/>
      </w:divBdr>
    </w:div>
    <w:div w:id="88358159">
      <w:bodyDiv w:val="1"/>
      <w:marLeft w:val="0"/>
      <w:marRight w:val="0"/>
      <w:marTop w:val="0"/>
      <w:marBottom w:val="0"/>
      <w:divBdr>
        <w:top w:val="none" w:sz="0" w:space="0" w:color="auto"/>
        <w:left w:val="none" w:sz="0" w:space="0" w:color="auto"/>
        <w:bottom w:val="none" w:sz="0" w:space="0" w:color="auto"/>
        <w:right w:val="none" w:sz="0" w:space="0" w:color="auto"/>
      </w:divBdr>
    </w:div>
    <w:div w:id="105849981">
      <w:bodyDiv w:val="1"/>
      <w:marLeft w:val="0"/>
      <w:marRight w:val="0"/>
      <w:marTop w:val="0"/>
      <w:marBottom w:val="0"/>
      <w:divBdr>
        <w:top w:val="none" w:sz="0" w:space="0" w:color="auto"/>
        <w:left w:val="none" w:sz="0" w:space="0" w:color="auto"/>
        <w:bottom w:val="none" w:sz="0" w:space="0" w:color="auto"/>
        <w:right w:val="none" w:sz="0" w:space="0" w:color="auto"/>
      </w:divBdr>
    </w:div>
    <w:div w:id="138084697">
      <w:bodyDiv w:val="1"/>
      <w:marLeft w:val="0"/>
      <w:marRight w:val="0"/>
      <w:marTop w:val="0"/>
      <w:marBottom w:val="0"/>
      <w:divBdr>
        <w:top w:val="none" w:sz="0" w:space="0" w:color="auto"/>
        <w:left w:val="none" w:sz="0" w:space="0" w:color="auto"/>
        <w:bottom w:val="none" w:sz="0" w:space="0" w:color="auto"/>
        <w:right w:val="none" w:sz="0" w:space="0" w:color="auto"/>
      </w:divBdr>
    </w:div>
    <w:div w:id="139347941">
      <w:bodyDiv w:val="1"/>
      <w:marLeft w:val="0"/>
      <w:marRight w:val="0"/>
      <w:marTop w:val="0"/>
      <w:marBottom w:val="0"/>
      <w:divBdr>
        <w:top w:val="none" w:sz="0" w:space="0" w:color="auto"/>
        <w:left w:val="none" w:sz="0" w:space="0" w:color="auto"/>
        <w:bottom w:val="none" w:sz="0" w:space="0" w:color="auto"/>
        <w:right w:val="none" w:sz="0" w:space="0" w:color="auto"/>
      </w:divBdr>
    </w:div>
    <w:div w:id="141586424">
      <w:bodyDiv w:val="1"/>
      <w:marLeft w:val="0"/>
      <w:marRight w:val="0"/>
      <w:marTop w:val="0"/>
      <w:marBottom w:val="0"/>
      <w:divBdr>
        <w:top w:val="none" w:sz="0" w:space="0" w:color="auto"/>
        <w:left w:val="none" w:sz="0" w:space="0" w:color="auto"/>
        <w:bottom w:val="none" w:sz="0" w:space="0" w:color="auto"/>
        <w:right w:val="none" w:sz="0" w:space="0" w:color="auto"/>
      </w:divBdr>
    </w:div>
    <w:div w:id="153227590">
      <w:bodyDiv w:val="1"/>
      <w:marLeft w:val="0"/>
      <w:marRight w:val="0"/>
      <w:marTop w:val="0"/>
      <w:marBottom w:val="0"/>
      <w:divBdr>
        <w:top w:val="none" w:sz="0" w:space="0" w:color="auto"/>
        <w:left w:val="none" w:sz="0" w:space="0" w:color="auto"/>
        <w:bottom w:val="none" w:sz="0" w:space="0" w:color="auto"/>
        <w:right w:val="none" w:sz="0" w:space="0" w:color="auto"/>
      </w:divBdr>
    </w:div>
    <w:div w:id="165217420">
      <w:bodyDiv w:val="1"/>
      <w:marLeft w:val="0"/>
      <w:marRight w:val="0"/>
      <w:marTop w:val="0"/>
      <w:marBottom w:val="0"/>
      <w:divBdr>
        <w:top w:val="none" w:sz="0" w:space="0" w:color="auto"/>
        <w:left w:val="none" w:sz="0" w:space="0" w:color="auto"/>
        <w:bottom w:val="none" w:sz="0" w:space="0" w:color="auto"/>
        <w:right w:val="none" w:sz="0" w:space="0" w:color="auto"/>
      </w:divBdr>
    </w:div>
    <w:div w:id="167913445">
      <w:bodyDiv w:val="1"/>
      <w:marLeft w:val="0"/>
      <w:marRight w:val="0"/>
      <w:marTop w:val="0"/>
      <w:marBottom w:val="0"/>
      <w:divBdr>
        <w:top w:val="none" w:sz="0" w:space="0" w:color="auto"/>
        <w:left w:val="none" w:sz="0" w:space="0" w:color="auto"/>
        <w:bottom w:val="none" w:sz="0" w:space="0" w:color="auto"/>
        <w:right w:val="none" w:sz="0" w:space="0" w:color="auto"/>
      </w:divBdr>
    </w:div>
    <w:div w:id="168375157">
      <w:bodyDiv w:val="1"/>
      <w:marLeft w:val="0"/>
      <w:marRight w:val="0"/>
      <w:marTop w:val="0"/>
      <w:marBottom w:val="0"/>
      <w:divBdr>
        <w:top w:val="none" w:sz="0" w:space="0" w:color="auto"/>
        <w:left w:val="none" w:sz="0" w:space="0" w:color="auto"/>
        <w:bottom w:val="none" w:sz="0" w:space="0" w:color="auto"/>
        <w:right w:val="none" w:sz="0" w:space="0" w:color="auto"/>
      </w:divBdr>
    </w:div>
    <w:div w:id="169217256">
      <w:bodyDiv w:val="1"/>
      <w:marLeft w:val="0"/>
      <w:marRight w:val="0"/>
      <w:marTop w:val="0"/>
      <w:marBottom w:val="0"/>
      <w:divBdr>
        <w:top w:val="none" w:sz="0" w:space="0" w:color="auto"/>
        <w:left w:val="none" w:sz="0" w:space="0" w:color="auto"/>
        <w:bottom w:val="none" w:sz="0" w:space="0" w:color="auto"/>
        <w:right w:val="none" w:sz="0" w:space="0" w:color="auto"/>
      </w:divBdr>
    </w:div>
    <w:div w:id="172308739">
      <w:bodyDiv w:val="1"/>
      <w:marLeft w:val="0"/>
      <w:marRight w:val="0"/>
      <w:marTop w:val="0"/>
      <w:marBottom w:val="0"/>
      <w:divBdr>
        <w:top w:val="none" w:sz="0" w:space="0" w:color="auto"/>
        <w:left w:val="none" w:sz="0" w:space="0" w:color="auto"/>
        <w:bottom w:val="none" w:sz="0" w:space="0" w:color="auto"/>
        <w:right w:val="none" w:sz="0" w:space="0" w:color="auto"/>
      </w:divBdr>
    </w:div>
    <w:div w:id="191113965">
      <w:bodyDiv w:val="1"/>
      <w:marLeft w:val="0"/>
      <w:marRight w:val="0"/>
      <w:marTop w:val="0"/>
      <w:marBottom w:val="0"/>
      <w:divBdr>
        <w:top w:val="none" w:sz="0" w:space="0" w:color="auto"/>
        <w:left w:val="none" w:sz="0" w:space="0" w:color="auto"/>
        <w:bottom w:val="none" w:sz="0" w:space="0" w:color="auto"/>
        <w:right w:val="none" w:sz="0" w:space="0" w:color="auto"/>
      </w:divBdr>
    </w:div>
    <w:div w:id="200677353">
      <w:bodyDiv w:val="1"/>
      <w:marLeft w:val="0"/>
      <w:marRight w:val="0"/>
      <w:marTop w:val="0"/>
      <w:marBottom w:val="0"/>
      <w:divBdr>
        <w:top w:val="none" w:sz="0" w:space="0" w:color="auto"/>
        <w:left w:val="none" w:sz="0" w:space="0" w:color="auto"/>
        <w:bottom w:val="none" w:sz="0" w:space="0" w:color="auto"/>
        <w:right w:val="none" w:sz="0" w:space="0" w:color="auto"/>
      </w:divBdr>
    </w:div>
    <w:div w:id="201332507">
      <w:bodyDiv w:val="1"/>
      <w:marLeft w:val="0"/>
      <w:marRight w:val="0"/>
      <w:marTop w:val="0"/>
      <w:marBottom w:val="0"/>
      <w:divBdr>
        <w:top w:val="none" w:sz="0" w:space="0" w:color="auto"/>
        <w:left w:val="none" w:sz="0" w:space="0" w:color="auto"/>
        <w:bottom w:val="none" w:sz="0" w:space="0" w:color="auto"/>
        <w:right w:val="none" w:sz="0" w:space="0" w:color="auto"/>
      </w:divBdr>
    </w:div>
    <w:div w:id="217404837">
      <w:bodyDiv w:val="1"/>
      <w:marLeft w:val="0"/>
      <w:marRight w:val="0"/>
      <w:marTop w:val="0"/>
      <w:marBottom w:val="0"/>
      <w:divBdr>
        <w:top w:val="none" w:sz="0" w:space="0" w:color="auto"/>
        <w:left w:val="none" w:sz="0" w:space="0" w:color="auto"/>
        <w:bottom w:val="none" w:sz="0" w:space="0" w:color="auto"/>
        <w:right w:val="none" w:sz="0" w:space="0" w:color="auto"/>
      </w:divBdr>
    </w:div>
    <w:div w:id="227688734">
      <w:bodyDiv w:val="1"/>
      <w:marLeft w:val="0"/>
      <w:marRight w:val="0"/>
      <w:marTop w:val="0"/>
      <w:marBottom w:val="0"/>
      <w:divBdr>
        <w:top w:val="none" w:sz="0" w:space="0" w:color="auto"/>
        <w:left w:val="none" w:sz="0" w:space="0" w:color="auto"/>
        <w:bottom w:val="none" w:sz="0" w:space="0" w:color="auto"/>
        <w:right w:val="none" w:sz="0" w:space="0" w:color="auto"/>
      </w:divBdr>
    </w:div>
    <w:div w:id="235163443">
      <w:bodyDiv w:val="1"/>
      <w:marLeft w:val="0"/>
      <w:marRight w:val="0"/>
      <w:marTop w:val="0"/>
      <w:marBottom w:val="0"/>
      <w:divBdr>
        <w:top w:val="none" w:sz="0" w:space="0" w:color="auto"/>
        <w:left w:val="none" w:sz="0" w:space="0" w:color="auto"/>
        <w:bottom w:val="none" w:sz="0" w:space="0" w:color="auto"/>
        <w:right w:val="none" w:sz="0" w:space="0" w:color="auto"/>
      </w:divBdr>
    </w:div>
    <w:div w:id="259411233">
      <w:bodyDiv w:val="1"/>
      <w:marLeft w:val="0"/>
      <w:marRight w:val="0"/>
      <w:marTop w:val="0"/>
      <w:marBottom w:val="0"/>
      <w:divBdr>
        <w:top w:val="none" w:sz="0" w:space="0" w:color="auto"/>
        <w:left w:val="none" w:sz="0" w:space="0" w:color="auto"/>
        <w:bottom w:val="none" w:sz="0" w:space="0" w:color="auto"/>
        <w:right w:val="none" w:sz="0" w:space="0" w:color="auto"/>
      </w:divBdr>
    </w:div>
    <w:div w:id="267733791">
      <w:bodyDiv w:val="1"/>
      <w:marLeft w:val="0"/>
      <w:marRight w:val="0"/>
      <w:marTop w:val="0"/>
      <w:marBottom w:val="0"/>
      <w:divBdr>
        <w:top w:val="none" w:sz="0" w:space="0" w:color="auto"/>
        <w:left w:val="none" w:sz="0" w:space="0" w:color="auto"/>
        <w:bottom w:val="none" w:sz="0" w:space="0" w:color="auto"/>
        <w:right w:val="none" w:sz="0" w:space="0" w:color="auto"/>
      </w:divBdr>
    </w:div>
    <w:div w:id="272325826">
      <w:bodyDiv w:val="1"/>
      <w:marLeft w:val="0"/>
      <w:marRight w:val="0"/>
      <w:marTop w:val="0"/>
      <w:marBottom w:val="0"/>
      <w:divBdr>
        <w:top w:val="none" w:sz="0" w:space="0" w:color="auto"/>
        <w:left w:val="none" w:sz="0" w:space="0" w:color="auto"/>
        <w:bottom w:val="none" w:sz="0" w:space="0" w:color="auto"/>
        <w:right w:val="none" w:sz="0" w:space="0" w:color="auto"/>
      </w:divBdr>
    </w:div>
    <w:div w:id="294139810">
      <w:bodyDiv w:val="1"/>
      <w:marLeft w:val="0"/>
      <w:marRight w:val="0"/>
      <w:marTop w:val="0"/>
      <w:marBottom w:val="0"/>
      <w:divBdr>
        <w:top w:val="none" w:sz="0" w:space="0" w:color="auto"/>
        <w:left w:val="none" w:sz="0" w:space="0" w:color="auto"/>
        <w:bottom w:val="none" w:sz="0" w:space="0" w:color="auto"/>
        <w:right w:val="none" w:sz="0" w:space="0" w:color="auto"/>
      </w:divBdr>
    </w:div>
    <w:div w:id="295450844">
      <w:bodyDiv w:val="1"/>
      <w:marLeft w:val="0"/>
      <w:marRight w:val="0"/>
      <w:marTop w:val="0"/>
      <w:marBottom w:val="0"/>
      <w:divBdr>
        <w:top w:val="none" w:sz="0" w:space="0" w:color="auto"/>
        <w:left w:val="none" w:sz="0" w:space="0" w:color="auto"/>
        <w:bottom w:val="none" w:sz="0" w:space="0" w:color="auto"/>
        <w:right w:val="none" w:sz="0" w:space="0" w:color="auto"/>
      </w:divBdr>
    </w:div>
    <w:div w:id="302269931">
      <w:bodyDiv w:val="1"/>
      <w:marLeft w:val="0"/>
      <w:marRight w:val="0"/>
      <w:marTop w:val="0"/>
      <w:marBottom w:val="0"/>
      <w:divBdr>
        <w:top w:val="none" w:sz="0" w:space="0" w:color="auto"/>
        <w:left w:val="none" w:sz="0" w:space="0" w:color="auto"/>
        <w:bottom w:val="none" w:sz="0" w:space="0" w:color="auto"/>
        <w:right w:val="none" w:sz="0" w:space="0" w:color="auto"/>
      </w:divBdr>
    </w:div>
    <w:div w:id="306738630">
      <w:bodyDiv w:val="1"/>
      <w:marLeft w:val="0"/>
      <w:marRight w:val="0"/>
      <w:marTop w:val="0"/>
      <w:marBottom w:val="0"/>
      <w:divBdr>
        <w:top w:val="none" w:sz="0" w:space="0" w:color="auto"/>
        <w:left w:val="none" w:sz="0" w:space="0" w:color="auto"/>
        <w:bottom w:val="none" w:sz="0" w:space="0" w:color="auto"/>
        <w:right w:val="none" w:sz="0" w:space="0" w:color="auto"/>
      </w:divBdr>
    </w:div>
    <w:div w:id="318510201">
      <w:bodyDiv w:val="1"/>
      <w:marLeft w:val="0"/>
      <w:marRight w:val="0"/>
      <w:marTop w:val="0"/>
      <w:marBottom w:val="0"/>
      <w:divBdr>
        <w:top w:val="none" w:sz="0" w:space="0" w:color="auto"/>
        <w:left w:val="none" w:sz="0" w:space="0" w:color="auto"/>
        <w:bottom w:val="none" w:sz="0" w:space="0" w:color="auto"/>
        <w:right w:val="none" w:sz="0" w:space="0" w:color="auto"/>
      </w:divBdr>
    </w:div>
    <w:div w:id="350693054">
      <w:bodyDiv w:val="1"/>
      <w:marLeft w:val="0"/>
      <w:marRight w:val="0"/>
      <w:marTop w:val="0"/>
      <w:marBottom w:val="0"/>
      <w:divBdr>
        <w:top w:val="none" w:sz="0" w:space="0" w:color="auto"/>
        <w:left w:val="none" w:sz="0" w:space="0" w:color="auto"/>
        <w:bottom w:val="none" w:sz="0" w:space="0" w:color="auto"/>
        <w:right w:val="none" w:sz="0" w:space="0" w:color="auto"/>
      </w:divBdr>
    </w:div>
    <w:div w:id="364794586">
      <w:bodyDiv w:val="1"/>
      <w:marLeft w:val="0"/>
      <w:marRight w:val="0"/>
      <w:marTop w:val="0"/>
      <w:marBottom w:val="0"/>
      <w:divBdr>
        <w:top w:val="none" w:sz="0" w:space="0" w:color="auto"/>
        <w:left w:val="none" w:sz="0" w:space="0" w:color="auto"/>
        <w:bottom w:val="none" w:sz="0" w:space="0" w:color="auto"/>
        <w:right w:val="none" w:sz="0" w:space="0" w:color="auto"/>
      </w:divBdr>
    </w:div>
    <w:div w:id="368341834">
      <w:bodyDiv w:val="1"/>
      <w:marLeft w:val="0"/>
      <w:marRight w:val="0"/>
      <w:marTop w:val="0"/>
      <w:marBottom w:val="0"/>
      <w:divBdr>
        <w:top w:val="none" w:sz="0" w:space="0" w:color="auto"/>
        <w:left w:val="none" w:sz="0" w:space="0" w:color="auto"/>
        <w:bottom w:val="none" w:sz="0" w:space="0" w:color="auto"/>
        <w:right w:val="none" w:sz="0" w:space="0" w:color="auto"/>
      </w:divBdr>
    </w:div>
    <w:div w:id="418329988">
      <w:bodyDiv w:val="1"/>
      <w:marLeft w:val="0"/>
      <w:marRight w:val="0"/>
      <w:marTop w:val="0"/>
      <w:marBottom w:val="0"/>
      <w:divBdr>
        <w:top w:val="none" w:sz="0" w:space="0" w:color="auto"/>
        <w:left w:val="none" w:sz="0" w:space="0" w:color="auto"/>
        <w:bottom w:val="none" w:sz="0" w:space="0" w:color="auto"/>
        <w:right w:val="none" w:sz="0" w:space="0" w:color="auto"/>
      </w:divBdr>
    </w:div>
    <w:div w:id="434835400">
      <w:bodyDiv w:val="1"/>
      <w:marLeft w:val="0"/>
      <w:marRight w:val="0"/>
      <w:marTop w:val="0"/>
      <w:marBottom w:val="0"/>
      <w:divBdr>
        <w:top w:val="none" w:sz="0" w:space="0" w:color="auto"/>
        <w:left w:val="none" w:sz="0" w:space="0" w:color="auto"/>
        <w:bottom w:val="none" w:sz="0" w:space="0" w:color="auto"/>
        <w:right w:val="none" w:sz="0" w:space="0" w:color="auto"/>
      </w:divBdr>
    </w:div>
    <w:div w:id="435712520">
      <w:bodyDiv w:val="1"/>
      <w:marLeft w:val="0"/>
      <w:marRight w:val="0"/>
      <w:marTop w:val="0"/>
      <w:marBottom w:val="0"/>
      <w:divBdr>
        <w:top w:val="none" w:sz="0" w:space="0" w:color="auto"/>
        <w:left w:val="none" w:sz="0" w:space="0" w:color="auto"/>
        <w:bottom w:val="none" w:sz="0" w:space="0" w:color="auto"/>
        <w:right w:val="none" w:sz="0" w:space="0" w:color="auto"/>
      </w:divBdr>
    </w:div>
    <w:div w:id="444542119">
      <w:bodyDiv w:val="1"/>
      <w:marLeft w:val="0"/>
      <w:marRight w:val="0"/>
      <w:marTop w:val="0"/>
      <w:marBottom w:val="0"/>
      <w:divBdr>
        <w:top w:val="none" w:sz="0" w:space="0" w:color="auto"/>
        <w:left w:val="none" w:sz="0" w:space="0" w:color="auto"/>
        <w:bottom w:val="none" w:sz="0" w:space="0" w:color="auto"/>
        <w:right w:val="none" w:sz="0" w:space="0" w:color="auto"/>
      </w:divBdr>
    </w:div>
    <w:div w:id="450395552">
      <w:bodyDiv w:val="1"/>
      <w:marLeft w:val="0"/>
      <w:marRight w:val="0"/>
      <w:marTop w:val="0"/>
      <w:marBottom w:val="0"/>
      <w:divBdr>
        <w:top w:val="none" w:sz="0" w:space="0" w:color="auto"/>
        <w:left w:val="none" w:sz="0" w:space="0" w:color="auto"/>
        <w:bottom w:val="none" w:sz="0" w:space="0" w:color="auto"/>
        <w:right w:val="none" w:sz="0" w:space="0" w:color="auto"/>
      </w:divBdr>
    </w:div>
    <w:div w:id="451946955">
      <w:bodyDiv w:val="1"/>
      <w:marLeft w:val="0"/>
      <w:marRight w:val="0"/>
      <w:marTop w:val="0"/>
      <w:marBottom w:val="0"/>
      <w:divBdr>
        <w:top w:val="none" w:sz="0" w:space="0" w:color="auto"/>
        <w:left w:val="none" w:sz="0" w:space="0" w:color="auto"/>
        <w:bottom w:val="none" w:sz="0" w:space="0" w:color="auto"/>
        <w:right w:val="none" w:sz="0" w:space="0" w:color="auto"/>
      </w:divBdr>
    </w:div>
    <w:div w:id="465126420">
      <w:bodyDiv w:val="1"/>
      <w:marLeft w:val="0"/>
      <w:marRight w:val="0"/>
      <w:marTop w:val="0"/>
      <w:marBottom w:val="0"/>
      <w:divBdr>
        <w:top w:val="none" w:sz="0" w:space="0" w:color="auto"/>
        <w:left w:val="none" w:sz="0" w:space="0" w:color="auto"/>
        <w:bottom w:val="none" w:sz="0" w:space="0" w:color="auto"/>
        <w:right w:val="none" w:sz="0" w:space="0" w:color="auto"/>
      </w:divBdr>
    </w:div>
    <w:div w:id="475076681">
      <w:bodyDiv w:val="1"/>
      <w:marLeft w:val="0"/>
      <w:marRight w:val="0"/>
      <w:marTop w:val="0"/>
      <w:marBottom w:val="0"/>
      <w:divBdr>
        <w:top w:val="none" w:sz="0" w:space="0" w:color="auto"/>
        <w:left w:val="none" w:sz="0" w:space="0" w:color="auto"/>
        <w:bottom w:val="none" w:sz="0" w:space="0" w:color="auto"/>
        <w:right w:val="none" w:sz="0" w:space="0" w:color="auto"/>
      </w:divBdr>
    </w:div>
    <w:div w:id="481584785">
      <w:bodyDiv w:val="1"/>
      <w:marLeft w:val="0"/>
      <w:marRight w:val="0"/>
      <w:marTop w:val="0"/>
      <w:marBottom w:val="0"/>
      <w:divBdr>
        <w:top w:val="none" w:sz="0" w:space="0" w:color="auto"/>
        <w:left w:val="none" w:sz="0" w:space="0" w:color="auto"/>
        <w:bottom w:val="none" w:sz="0" w:space="0" w:color="auto"/>
        <w:right w:val="none" w:sz="0" w:space="0" w:color="auto"/>
      </w:divBdr>
    </w:div>
    <w:div w:id="482085822">
      <w:bodyDiv w:val="1"/>
      <w:marLeft w:val="0"/>
      <w:marRight w:val="0"/>
      <w:marTop w:val="0"/>
      <w:marBottom w:val="0"/>
      <w:divBdr>
        <w:top w:val="none" w:sz="0" w:space="0" w:color="auto"/>
        <w:left w:val="none" w:sz="0" w:space="0" w:color="auto"/>
        <w:bottom w:val="none" w:sz="0" w:space="0" w:color="auto"/>
        <w:right w:val="none" w:sz="0" w:space="0" w:color="auto"/>
      </w:divBdr>
    </w:div>
    <w:div w:id="507600043">
      <w:bodyDiv w:val="1"/>
      <w:marLeft w:val="0"/>
      <w:marRight w:val="0"/>
      <w:marTop w:val="0"/>
      <w:marBottom w:val="0"/>
      <w:divBdr>
        <w:top w:val="none" w:sz="0" w:space="0" w:color="auto"/>
        <w:left w:val="none" w:sz="0" w:space="0" w:color="auto"/>
        <w:bottom w:val="none" w:sz="0" w:space="0" w:color="auto"/>
        <w:right w:val="none" w:sz="0" w:space="0" w:color="auto"/>
      </w:divBdr>
    </w:div>
    <w:div w:id="510608897">
      <w:bodyDiv w:val="1"/>
      <w:marLeft w:val="0"/>
      <w:marRight w:val="0"/>
      <w:marTop w:val="0"/>
      <w:marBottom w:val="0"/>
      <w:divBdr>
        <w:top w:val="none" w:sz="0" w:space="0" w:color="auto"/>
        <w:left w:val="none" w:sz="0" w:space="0" w:color="auto"/>
        <w:bottom w:val="none" w:sz="0" w:space="0" w:color="auto"/>
        <w:right w:val="none" w:sz="0" w:space="0" w:color="auto"/>
      </w:divBdr>
    </w:div>
    <w:div w:id="515463223">
      <w:bodyDiv w:val="1"/>
      <w:marLeft w:val="0"/>
      <w:marRight w:val="0"/>
      <w:marTop w:val="0"/>
      <w:marBottom w:val="0"/>
      <w:divBdr>
        <w:top w:val="none" w:sz="0" w:space="0" w:color="auto"/>
        <w:left w:val="none" w:sz="0" w:space="0" w:color="auto"/>
        <w:bottom w:val="none" w:sz="0" w:space="0" w:color="auto"/>
        <w:right w:val="none" w:sz="0" w:space="0" w:color="auto"/>
      </w:divBdr>
    </w:div>
    <w:div w:id="530073213">
      <w:bodyDiv w:val="1"/>
      <w:marLeft w:val="0"/>
      <w:marRight w:val="0"/>
      <w:marTop w:val="0"/>
      <w:marBottom w:val="0"/>
      <w:divBdr>
        <w:top w:val="none" w:sz="0" w:space="0" w:color="auto"/>
        <w:left w:val="none" w:sz="0" w:space="0" w:color="auto"/>
        <w:bottom w:val="none" w:sz="0" w:space="0" w:color="auto"/>
        <w:right w:val="none" w:sz="0" w:space="0" w:color="auto"/>
      </w:divBdr>
    </w:div>
    <w:div w:id="545289995">
      <w:bodyDiv w:val="1"/>
      <w:marLeft w:val="0"/>
      <w:marRight w:val="0"/>
      <w:marTop w:val="0"/>
      <w:marBottom w:val="0"/>
      <w:divBdr>
        <w:top w:val="none" w:sz="0" w:space="0" w:color="auto"/>
        <w:left w:val="none" w:sz="0" w:space="0" w:color="auto"/>
        <w:bottom w:val="none" w:sz="0" w:space="0" w:color="auto"/>
        <w:right w:val="none" w:sz="0" w:space="0" w:color="auto"/>
      </w:divBdr>
    </w:div>
    <w:div w:id="563640411">
      <w:bodyDiv w:val="1"/>
      <w:marLeft w:val="0"/>
      <w:marRight w:val="0"/>
      <w:marTop w:val="0"/>
      <w:marBottom w:val="0"/>
      <w:divBdr>
        <w:top w:val="none" w:sz="0" w:space="0" w:color="auto"/>
        <w:left w:val="none" w:sz="0" w:space="0" w:color="auto"/>
        <w:bottom w:val="none" w:sz="0" w:space="0" w:color="auto"/>
        <w:right w:val="none" w:sz="0" w:space="0" w:color="auto"/>
      </w:divBdr>
    </w:div>
    <w:div w:id="566232761">
      <w:bodyDiv w:val="1"/>
      <w:marLeft w:val="0"/>
      <w:marRight w:val="0"/>
      <w:marTop w:val="0"/>
      <w:marBottom w:val="0"/>
      <w:divBdr>
        <w:top w:val="none" w:sz="0" w:space="0" w:color="auto"/>
        <w:left w:val="none" w:sz="0" w:space="0" w:color="auto"/>
        <w:bottom w:val="none" w:sz="0" w:space="0" w:color="auto"/>
        <w:right w:val="none" w:sz="0" w:space="0" w:color="auto"/>
      </w:divBdr>
    </w:div>
    <w:div w:id="591471397">
      <w:bodyDiv w:val="1"/>
      <w:marLeft w:val="0"/>
      <w:marRight w:val="0"/>
      <w:marTop w:val="0"/>
      <w:marBottom w:val="0"/>
      <w:divBdr>
        <w:top w:val="none" w:sz="0" w:space="0" w:color="auto"/>
        <w:left w:val="none" w:sz="0" w:space="0" w:color="auto"/>
        <w:bottom w:val="none" w:sz="0" w:space="0" w:color="auto"/>
        <w:right w:val="none" w:sz="0" w:space="0" w:color="auto"/>
      </w:divBdr>
    </w:div>
    <w:div w:id="600602804">
      <w:bodyDiv w:val="1"/>
      <w:marLeft w:val="0"/>
      <w:marRight w:val="0"/>
      <w:marTop w:val="0"/>
      <w:marBottom w:val="0"/>
      <w:divBdr>
        <w:top w:val="none" w:sz="0" w:space="0" w:color="auto"/>
        <w:left w:val="none" w:sz="0" w:space="0" w:color="auto"/>
        <w:bottom w:val="none" w:sz="0" w:space="0" w:color="auto"/>
        <w:right w:val="none" w:sz="0" w:space="0" w:color="auto"/>
      </w:divBdr>
    </w:div>
    <w:div w:id="602037579">
      <w:bodyDiv w:val="1"/>
      <w:marLeft w:val="0"/>
      <w:marRight w:val="0"/>
      <w:marTop w:val="0"/>
      <w:marBottom w:val="0"/>
      <w:divBdr>
        <w:top w:val="none" w:sz="0" w:space="0" w:color="auto"/>
        <w:left w:val="none" w:sz="0" w:space="0" w:color="auto"/>
        <w:bottom w:val="none" w:sz="0" w:space="0" w:color="auto"/>
        <w:right w:val="none" w:sz="0" w:space="0" w:color="auto"/>
      </w:divBdr>
    </w:div>
    <w:div w:id="612204106">
      <w:bodyDiv w:val="1"/>
      <w:marLeft w:val="0"/>
      <w:marRight w:val="0"/>
      <w:marTop w:val="0"/>
      <w:marBottom w:val="0"/>
      <w:divBdr>
        <w:top w:val="none" w:sz="0" w:space="0" w:color="auto"/>
        <w:left w:val="none" w:sz="0" w:space="0" w:color="auto"/>
        <w:bottom w:val="none" w:sz="0" w:space="0" w:color="auto"/>
        <w:right w:val="none" w:sz="0" w:space="0" w:color="auto"/>
      </w:divBdr>
    </w:div>
    <w:div w:id="620768762">
      <w:bodyDiv w:val="1"/>
      <w:marLeft w:val="0"/>
      <w:marRight w:val="0"/>
      <w:marTop w:val="0"/>
      <w:marBottom w:val="0"/>
      <w:divBdr>
        <w:top w:val="none" w:sz="0" w:space="0" w:color="auto"/>
        <w:left w:val="none" w:sz="0" w:space="0" w:color="auto"/>
        <w:bottom w:val="none" w:sz="0" w:space="0" w:color="auto"/>
        <w:right w:val="none" w:sz="0" w:space="0" w:color="auto"/>
      </w:divBdr>
    </w:div>
    <w:div w:id="622729506">
      <w:bodyDiv w:val="1"/>
      <w:marLeft w:val="0"/>
      <w:marRight w:val="0"/>
      <w:marTop w:val="0"/>
      <w:marBottom w:val="0"/>
      <w:divBdr>
        <w:top w:val="none" w:sz="0" w:space="0" w:color="auto"/>
        <w:left w:val="none" w:sz="0" w:space="0" w:color="auto"/>
        <w:bottom w:val="none" w:sz="0" w:space="0" w:color="auto"/>
        <w:right w:val="none" w:sz="0" w:space="0" w:color="auto"/>
      </w:divBdr>
    </w:div>
    <w:div w:id="647899765">
      <w:bodyDiv w:val="1"/>
      <w:marLeft w:val="0"/>
      <w:marRight w:val="0"/>
      <w:marTop w:val="0"/>
      <w:marBottom w:val="0"/>
      <w:divBdr>
        <w:top w:val="none" w:sz="0" w:space="0" w:color="auto"/>
        <w:left w:val="none" w:sz="0" w:space="0" w:color="auto"/>
        <w:bottom w:val="none" w:sz="0" w:space="0" w:color="auto"/>
        <w:right w:val="none" w:sz="0" w:space="0" w:color="auto"/>
      </w:divBdr>
    </w:div>
    <w:div w:id="658458673">
      <w:bodyDiv w:val="1"/>
      <w:marLeft w:val="0"/>
      <w:marRight w:val="0"/>
      <w:marTop w:val="0"/>
      <w:marBottom w:val="0"/>
      <w:divBdr>
        <w:top w:val="none" w:sz="0" w:space="0" w:color="auto"/>
        <w:left w:val="none" w:sz="0" w:space="0" w:color="auto"/>
        <w:bottom w:val="none" w:sz="0" w:space="0" w:color="auto"/>
        <w:right w:val="none" w:sz="0" w:space="0" w:color="auto"/>
      </w:divBdr>
    </w:div>
    <w:div w:id="664363291">
      <w:bodyDiv w:val="1"/>
      <w:marLeft w:val="0"/>
      <w:marRight w:val="0"/>
      <w:marTop w:val="0"/>
      <w:marBottom w:val="0"/>
      <w:divBdr>
        <w:top w:val="none" w:sz="0" w:space="0" w:color="auto"/>
        <w:left w:val="none" w:sz="0" w:space="0" w:color="auto"/>
        <w:bottom w:val="none" w:sz="0" w:space="0" w:color="auto"/>
        <w:right w:val="none" w:sz="0" w:space="0" w:color="auto"/>
      </w:divBdr>
    </w:div>
    <w:div w:id="688599728">
      <w:bodyDiv w:val="1"/>
      <w:marLeft w:val="0"/>
      <w:marRight w:val="0"/>
      <w:marTop w:val="0"/>
      <w:marBottom w:val="0"/>
      <w:divBdr>
        <w:top w:val="none" w:sz="0" w:space="0" w:color="auto"/>
        <w:left w:val="none" w:sz="0" w:space="0" w:color="auto"/>
        <w:bottom w:val="none" w:sz="0" w:space="0" w:color="auto"/>
        <w:right w:val="none" w:sz="0" w:space="0" w:color="auto"/>
      </w:divBdr>
    </w:div>
    <w:div w:id="688720157">
      <w:bodyDiv w:val="1"/>
      <w:marLeft w:val="0"/>
      <w:marRight w:val="0"/>
      <w:marTop w:val="0"/>
      <w:marBottom w:val="0"/>
      <w:divBdr>
        <w:top w:val="none" w:sz="0" w:space="0" w:color="auto"/>
        <w:left w:val="none" w:sz="0" w:space="0" w:color="auto"/>
        <w:bottom w:val="none" w:sz="0" w:space="0" w:color="auto"/>
        <w:right w:val="none" w:sz="0" w:space="0" w:color="auto"/>
      </w:divBdr>
    </w:div>
    <w:div w:id="701591056">
      <w:bodyDiv w:val="1"/>
      <w:marLeft w:val="0"/>
      <w:marRight w:val="0"/>
      <w:marTop w:val="0"/>
      <w:marBottom w:val="0"/>
      <w:divBdr>
        <w:top w:val="none" w:sz="0" w:space="0" w:color="auto"/>
        <w:left w:val="none" w:sz="0" w:space="0" w:color="auto"/>
        <w:bottom w:val="none" w:sz="0" w:space="0" w:color="auto"/>
        <w:right w:val="none" w:sz="0" w:space="0" w:color="auto"/>
      </w:divBdr>
    </w:div>
    <w:div w:id="731080600">
      <w:bodyDiv w:val="1"/>
      <w:marLeft w:val="0"/>
      <w:marRight w:val="0"/>
      <w:marTop w:val="0"/>
      <w:marBottom w:val="0"/>
      <w:divBdr>
        <w:top w:val="none" w:sz="0" w:space="0" w:color="auto"/>
        <w:left w:val="none" w:sz="0" w:space="0" w:color="auto"/>
        <w:bottom w:val="none" w:sz="0" w:space="0" w:color="auto"/>
        <w:right w:val="none" w:sz="0" w:space="0" w:color="auto"/>
      </w:divBdr>
    </w:div>
    <w:div w:id="750733984">
      <w:bodyDiv w:val="1"/>
      <w:marLeft w:val="0"/>
      <w:marRight w:val="0"/>
      <w:marTop w:val="0"/>
      <w:marBottom w:val="0"/>
      <w:divBdr>
        <w:top w:val="none" w:sz="0" w:space="0" w:color="auto"/>
        <w:left w:val="none" w:sz="0" w:space="0" w:color="auto"/>
        <w:bottom w:val="none" w:sz="0" w:space="0" w:color="auto"/>
        <w:right w:val="none" w:sz="0" w:space="0" w:color="auto"/>
      </w:divBdr>
    </w:div>
    <w:div w:id="756681739">
      <w:bodyDiv w:val="1"/>
      <w:marLeft w:val="0"/>
      <w:marRight w:val="0"/>
      <w:marTop w:val="0"/>
      <w:marBottom w:val="0"/>
      <w:divBdr>
        <w:top w:val="none" w:sz="0" w:space="0" w:color="auto"/>
        <w:left w:val="none" w:sz="0" w:space="0" w:color="auto"/>
        <w:bottom w:val="none" w:sz="0" w:space="0" w:color="auto"/>
        <w:right w:val="none" w:sz="0" w:space="0" w:color="auto"/>
      </w:divBdr>
    </w:div>
    <w:div w:id="757478284">
      <w:bodyDiv w:val="1"/>
      <w:marLeft w:val="0"/>
      <w:marRight w:val="0"/>
      <w:marTop w:val="0"/>
      <w:marBottom w:val="0"/>
      <w:divBdr>
        <w:top w:val="none" w:sz="0" w:space="0" w:color="auto"/>
        <w:left w:val="none" w:sz="0" w:space="0" w:color="auto"/>
        <w:bottom w:val="none" w:sz="0" w:space="0" w:color="auto"/>
        <w:right w:val="none" w:sz="0" w:space="0" w:color="auto"/>
      </w:divBdr>
    </w:div>
    <w:div w:id="764498111">
      <w:bodyDiv w:val="1"/>
      <w:marLeft w:val="0"/>
      <w:marRight w:val="0"/>
      <w:marTop w:val="0"/>
      <w:marBottom w:val="0"/>
      <w:divBdr>
        <w:top w:val="none" w:sz="0" w:space="0" w:color="auto"/>
        <w:left w:val="none" w:sz="0" w:space="0" w:color="auto"/>
        <w:bottom w:val="none" w:sz="0" w:space="0" w:color="auto"/>
        <w:right w:val="none" w:sz="0" w:space="0" w:color="auto"/>
      </w:divBdr>
    </w:div>
    <w:div w:id="770861425">
      <w:bodyDiv w:val="1"/>
      <w:marLeft w:val="0"/>
      <w:marRight w:val="0"/>
      <w:marTop w:val="0"/>
      <w:marBottom w:val="0"/>
      <w:divBdr>
        <w:top w:val="none" w:sz="0" w:space="0" w:color="auto"/>
        <w:left w:val="none" w:sz="0" w:space="0" w:color="auto"/>
        <w:bottom w:val="none" w:sz="0" w:space="0" w:color="auto"/>
        <w:right w:val="none" w:sz="0" w:space="0" w:color="auto"/>
      </w:divBdr>
    </w:div>
    <w:div w:id="774718021">
      <w:bodyDiv w:val="1"/>
      <w:marLeft w:val="0"/>
      <w:marRight w:val="0"/>
      <w:marTop w:val="0"/>
      <w:marBottom w:val="0"/>
      <w:divBdr>
        <w:top w:val="none" w:sz="0" w:space="0" w:color="auto"/>
        <w:left w:val="none" w:sz="0" w:space="0" w:color="auto"/>
        <w:bottom w:val="none" w:sz="0" w:space="0" w:color="auto"/>
        <w:right w:val="none" w:sz="0" w:space="0" w:color="auto"/>
      </w:divBdr>
    </w:div>
    <w:div w:id="782459220">
      <w:bodyDiv w:val="1"/>
      <w:marLeft w:val="0"/>
      <w:marRight w:val="0"/>
      <w:marTop w:val="0"/>
      <w:marBottom w:val="0"/>
      <w:divBdr>
        <w:top w:val="none" w:sz="0" w:space="0" w:color="auto"/>
        <w:left w:val="none" w:sz="0" w:space="0" w:color="auto"/>
        <w:bottom w:val="none" w:sz="0" w:space="0" w:color="auto"/>
        <w:right w:val="none" w:sz="0" w:space="0" w:color="auto"/>
      </w:divBdr>
    </w:div>
    <w:div w:id="793862988">
      <w:bodyDiv w:val="1"/>
      <w:marLeft w:val="0"/>
      <w:marRight w:val="0"/>
      <w:marTop w:val="0"/>
      <w:marBottom w:val="0"/>
      <w:divBdr>
        <w:top w:val="none" w:sz="0" w:space="0" w:color="auto"/>
        <w:left w:val="none" w:sz="0" w:space="0" w:color="auto"/>
        <w:bottom w:val="none" w:sz="0" w:space="0" w:color="auto"/>
        <w:right w:val="none" w:sz="0" w:space="0" w:color="auto"/>
      </w:divBdr>
    </w:div>
    <w:div w:id="807669307">
      <w:bodyDiv w:val="1"/>
      <w:marLeft w:val="0"/>
      <w:marRight w:val="0"/>
      <w:marTop w:val="0"/>
      <w:marBottom w:val="0"/>
      <w:divBdr>
        <w:top w:val="none" w:sz="0" w:space="0" w:color="auto"/>
        <w:left w:val="none" w:sz="0" w:space="0" w:color="auto"/>
        <w:bottom w:val="none" w:sz="0" w:space="0" w:color="auto"/>
        <w:right w:val="none" w:sz="0" w:space="0" w:color="auto"/>
      </w:divBdr>
    </w:div>
    <w:div w:id="809395877">
      <w:bodyDiv w:val="1"/>
      <w:marLeft w:val="0"/>
      <w:marRight w:val="0"/>
      <w:marTop w:val="0"/>
      <w:marBottom w:val="0"/>
      <w:divBdr>
        <w:top w:val="none" w:sz="0" w:space="0" w:color="auto"/>
        <w:left w:val="none" w:sz="0" w:space="0" w:color="auto"/>
        <w:bottom w:val="none" w:sz="0" w:space="0" w:color="auto"/>
        <w:right w:val="none" w:sz="0" w:space="0" w:color="auto"/>
      </w:divBdr>
    </w:div>
    <w:div w:id="814834427">
      <w:bodyDiv w:val="1"/>
      <w:marLeft w:val="0"/>
      <w:marRight w:val="0"/>
      <w:marTop w:val="0"/>
      <w:marBottom w:val="0"/>
      <w:divBdr>
        <w:top w:val="none" w:sz="0" w:space="0" w:color="auto"/>
        <w:left w:val="none" w:sz="0" w:space="0" w:color="auto"/>
        <w:bottom w:val="none" w:sz="0" w:space="0" w:color="auto"/>
        <w:right w:val="none" w:sz="0" w:space="0" w:color="auto"/>
      </w:divBdr>
    </w:div>
    <w:div w:id="816654263">
      <w:bodyDiv w:val="1"/>
      <w:marLeft w:val="0"/>
      <w:marRight w:val="0"/>
      <w:marTop w:val="0"/>
      <w:marBottom w:val="0"/>
      <w:divBdr>
        <w:top w:val="none" w:sz="0" w:space="0" w:color="auto"/>
        <w:left w:val="none" w:sz="0" w:space="0" w:color="auto"/>
        <w:bottom w:val="none" w:sz="0" w:space="0" w:color="auto"/>
        <w:right w:val="none" w:sz="0" w:space="0" w:color="auto"/>
      </w:divBdr>
    </w:div>
    <w:div w:id="822618607">
      <w:bodyDiv w:val="1"/>
      <w:marLeft w:val="0"/>
      <w:marRight w:val="0"/>
      <w:marTop w:val="0"/>
      <w:marBottom w:val="0"/>
      <w:divBdr>
        <w:top w:val="none" w:sz="0" w:space="0" w:color="auto"/>
        <w:left w:val="none" w:sz="0" w:space="0" w:color="auto"/>
        <w:bottom w:val="none" w:sz="0" w:space="0" w:color="auto"/>
        <w:right w:val="none" w:sz="0" w:space="0" w:color="auto"/>
      </w:divBdr>
    </w:div>
    <w:div w:id="822741658">
      <w:bodyDiv w:val="1"/>
      <w:marLeft w:val="0"/>
      <w:marRight w:val="0"/>
      <w:marTop w:val="0"/>
      <w:marBottom w:val="0"/>
      <w:divBdr>
        <w:top w:val="none" w:sz="0" w:space="0" w:color="auto"/>
        <w:left w:val="none" w:sz="0" w:space="0" w:color="auto"/>
        <w:bottom w:val="none" w:sz="0" w:space="0" w:color="auto"/>
        <w:right w:val="none" w:sz="0" w:space="0" w:color="auto"/>
      </w:divBdr>
    </w:div>
    <w:div w:id="836574424">
      <w:bodyDiv w:val="1"/>
      <w:marLeft w:val="0"/>
      <w:marRight w:val="0"/>
      <w:marTop w:val="0"/>
      <w:marBottom w:val="0"/>
      <w:divBdr>
        <w:top w:val="none" w:sz="0" w:space="0" w:color="auto"/>
        <w:left w:val="none" w:sz="0" w:space="0" w:color="auto"/>
        <w:bottom w:val="none" w:sz="0" w:space="0" w:color="auto"/>
        <w:right w:val="none" w:sz="0" w:space="0" w:color="auto"/>
      </w:divBdr>
    </w:div>
    <w:div w:id="877737301">
      <w:bodyDiv w:val="1"/>
      <w:marLeft w:val="0"/>
      <w:marRight w:val="0"/>
      <w:marTop w:val="0"/>
      <w:marBottom w:val="0"/>
      <w:divBdr>
        <w:top w:val="none" w:sz="0" w:space="0" w:color="auto"/>
        <w:left w:val="none" w:sz="0" w:space="0" w:color="auto"/>
        <w:bottom w:val="none" w:sz="0" w:space="0" w:color="auto"/>
        <w:right w:val="none" w:sz="0" w:space="0" w:color="auto"/>
      </w:divBdr>
    </w:div>
    <w:div w:id="884952590">
      <w:bodyDiv w:val="1"/>
      <w:marLeft w:val="0"/>
      <w:marRight w:val="0"/>
      <w:marTop w:val="0"/>
      <w:marBottom w:val="0"/>
      <w:divBdr>
        <w:top w:val="none" w:sz="0" w:space="0" w:color="auto"/>
        <w:left w:val="none" w:sz="0" w:space="0" w:color="auto"/>
        <w:bottom w:val="none" w:sz="0" w:space="0" w:color="auto"/>
        <w:right w:val="none" w:sz="0" w:space="0" w:color="auto"/>
      </w:divBdr>
    </w:div>
    <w:div w:id="891237108">
      <w:bodyDiv w:val="1"/>
      <w:marLeft w:val="0"/>
      <w:marRight w:val="0"/>
      <w:marTop w:val="0"/>
      <w:marBottom w:val="0"/>
      <w:divBdr>
        <w:top w:val="none" w:sz="0" w:space="0" w:color="auto"/>
        <w:left w:val="none" w:sz="0" w:space="0" w:color="auto"/>
        <w:bottom w:val="none" w:sz="0" w:space="0" w:color="auto"/>
        <w:right w:val="none" w:sz="0" w:space="0" w:color="auto"/>
      </w:divBdr>
    </w:div>
    <w:div w:id="893463445">
      <w:bodyDiv w:val="1"/>
      <w:marLeft w:val="0"/>
      <w:marRight w:val="0"/>
      <w:marTop w:val="0"/>
      <w:marBottom w:val="0"/>
      <w:divBdr>
        <w:top w:val="none" w:sz="0" w:space="0" w:color="auto"/>
        <w:left w:val="none" w:sz="0" w:space="0" w:color="auto"/>
        <w:bottom w:val="none" w:sz="0" w:space="0" w:color="auto"/>
        <w:right w:val="none" w:sz="0" w:space="0" w:color="auto"/>
      </w:divBdr>
    </w:div>
    <w:div w:id="909383295">
      <w:bodyDiv w:val="1"/>
      <w:marLeft w:val="0"/>
      <w:marRight w:val="0"/>
      <w:marTop w:val="0"/>
      <w:marBottom w:val="0"/>
      <w:divBdr>
        <w:top w:val="none" w:sz="0" w:space="0" w:color="auto"/>
        <w:left w:val="none" w:sz="0" w:space="0" w:color="auto"/>
        <w:bottom w:val="none" w:sz="0" w:space="0" w:color="auto"/>
        <w:right w:val="none" w:sz="0" w:space="0" w:color="auto"/>
      </w:divBdr>
    </w:div>
    <w:div w:id="929392707">
      <w:bodyDiv w:val="1"/>
      <w:marLeft w:val="0"/>
      <w:marRight w:val="0"/>
      <w:marTop w:val="0"/>
      <w:marBottom w:val="0"/>
      <w:divBdr>
        <w:top w:val="none" w:sz="0" w:space="0" w:color="auto"/>
        <w:left w:val="none" w:sz="0" w:space="0" w:color="auto"/>
        <w:bottom w:val="none" w:sz="0" w:space="0" w:color="auto"/>
        <w:right w:val="none" w:sz="0" w:space="0" w:color="auto"/>
      </w:divBdr>
    </w:div>
    <w:div w:id="931158349">
      <w:bodyDiv w:val="1"/>
      <w:marLeft w:val="0"/>
      <w:marRight w:val="0"/>
      <w:marTop w:val="0"/>
      <w:marBottom w:val="0"/>
      <w:divBdr>
        <w:top w:val="none" w:sz="0" w:space="0" w:color="auto"/>
        <w:left w:val="none" w:sz="0" w:space="0" w:color="auto"/>
        <w:bottom w:val="none" w:sz="0" w:space="0" w:color="auto"/>
        <w:right w:val="none" w:sz="0" w:space="0" w:color="auto"/>
      </w:divBdr>
    </w:div>
    <w:div w:id="945114028">
      <w:bodyDiv w:val="1"/>
      <w:marLeft w:val="0"/>
      <w:marRight w:val="0"/>
      <w:marTop w:val="0"/>
      <w:marBottom w:val="0"/>
      <w:divBdr>
        <w:top w:val="none" w:sz="0" w:space="0" w:color="auto"/>
        <w:left w:val="none" w:sz="0" w:space="0" w:color="auto"/>
        <w:bottom w:val="none" w:sz="0" w:space="0" w:color="auto"/>
        <w:right w:val="none" w:sz="0" w:space="0" w:color="auto"/>
      </w:divBdr>
    </w:div>
    <w:div w:id="962734740">
      <w:bodyDiv w:val="1"/>
      <w:marLeft w:val="0"/>
      <w:marRight w:val="0"/>
      <w:marTop w:val="0"/>
      <w:marBottom w:val="0"/>
      <w:divBdr>
        <w:top w:val="none" w:sz="0" w:space="0" w:color="auto"/>
        <w:left w:val="none" w:sz="0" w:space="0" w:color="auto"/>
        <w:bottom w:val="none" w:sz="0" w:space="0" w:color="auto"/>
        <w:right w:val="none" w:sz="0" w:space="0" w:color="auto"/>
      </w:divBdr>
    </w:div>
    <w:div w:id="968820570">
      <w:bodyDiv w:val="1"/>
      <w:marLeft w:val="0"/>
      <w:marRight w:val="0"/>
      <w:marTop w:val="0"/>
      <w:marBottom w:val="0"/>
      <w:divBdr>
        <w:top w:val="none" w:sz="0" w:space="0" w:color="auto"/>
        <w:left w:val="none" w:sz="0" w:space="0" w:color="auto"/>
        <w:bottom w:val="none" w:sz="0" w:space="0" w:color="auto"/>
        <w:right w:val="none" w:sz="0" w:space="0" w:color="auto"/>
      </w:divBdr>
    </w:div>
    <w:div w:id="975916380">
      <w:bodyDiv w:val="1"/>
      <w:marLeft w:val="0"/>
      <w:marRight w:val="0"/>
      <w:marTop w:val="0"/>
      <w:marBottom w:val="0"/>
      <w:divBdr>
        <w:top w:val="none" w:sz="0" w:space="0" w:color="auto"/>
        <w:left w:val="none" w:sz="0" w:space="0" w:color="auto"/>
        <w:bottom w:val="none" w:sz="0" w:space="0" w:color="auto"/>
        <w:right w:val="none" w:sz="0" w:space="0" w:color="auto"/>
      </w:divBdr>
    </w:div>
    <w:div w:id="987636232">
      <w:bodyDiv w:val="1"/>
      <w:marLeft w:val="0"/>
      <w:marRight w:val="0"/>
      <w:marTop w:val="0"/>
      <w:marBottom w:val="0"/>
      <w:divBdr>
        <w:top w:val="none" w:sz="0" w:space="0" w:color="auto"/>
        <w:left w:val="none" w:sz="0" w:space="0" w:color="auto"/>
        <w:bottom w:val="none" w:sz="0" w:space="0" w:color="auto"/>
        <w:right w:val="none" w:sz="0" w:space="0" w:color="auto"/>
      </w:divBdr>
    </w:div>
    <w:div w:id="1005787745">
      <w:bodyDiv w:val="1"/>
      <w:marLeft w:val="0"/>
      <w:marRight w:val="0"/>
      <w:marTop w:val="0"/>
      <w:marBottom w:val="0"/>
      <w:divBdr>
        <w:top w:val="none" w:sz="0" w:space="0" w:color="auto"/>
        <w:left w:val="none" w:sz="0" w:space="0" w:color="auto"/>
        <w:bottom w:val="none" w:sz="0" w:space="0" w:color="auto"/>
        <w:right w:val="none" w:sz="0" w:space="0" w:color="auto"/>
      </w:divBdr>
    </w:div>
    <w:div w:id="1006326752">
      <w:bodyDiv w:val="1"/>
      <w:marLeft w:val="0"/>
      <w:marRight w:val="0"/>
      <w:marTop w:val="0"/>
      <w:marBottom w:val="0"/>
      <w:divBdr>
        <w:top w:val="none" w:sz="0" w:space="0" w:color="auto"/>
        <w:left w:val="none" w:sz="0" w:space="0" w:color="auto"/>
        <w:bottom w:val="none" w:sz="0" w:space="0" w:color="auto"/>
        <w:right w:val="none" w:sz="0" w:space="0" w:color="auto"/>
      </w:divBdr>
    </w:div>
    <w:div w:id="1014265593">
      <w:bodyDiv w:val="1"/>
      <w:marLeft w:val="0"/>
      <w:marRight w:val="0"/>
      <w:marTop w:val="0"/>
      <w:marBottom w:val="0"/>
      <w:divBdr>
        <w:top w:val="none" w:sz="0" w:space="0" w:color="auto"/>
        <w:left w:val="none" w:sz="0" w:space="0" w:color="auto"/>
        <w:bottom w:val="none" w:sz="0" w:space="0" w:color="auto"/>
        <w:right w:val="none" w:sz="0" w:space="0" w:color="auto"/>
      </w:divBdr>
    </w:div>
    <w:div w:id="1014648260">
      <w:bodyDiv w:val="1"/>
      <w:marLeft w:val="0"/>
      <w:marRight w:val="0"/>
      <w:marTop w:val="0"/>
      <w:marBottom w:val="0"/>
      <w:divBdr>
        <w:top w:val="none" w:sz="0" w:space="0" w:color="auto"/>
        <w:left w:val="none" w:sz="0" w:space="0" w:color="auto"/>
        <w:bottom w:val="none" w:sz="0" w:space="0" w:color="auto"/>
        <w:right w:val="none" w:sz="0" w:space="0" w:color="auto"/>
      </w:divBdr>
    </w:div>
    <w:div w:id="1016808238">
      <w:bodyDiv w:val="1"/>
      <w:marLeft w:val="0"/>
      <w:marRight w:val="0"/>
      <w:marTop w:val="0"/>
      <w:marBottom w:val="0"/>
      <w:divBdr>
        <w:top w:val="none" w:sz="0" w:space="0" w:color="auto"/>
        <w:left w:val="none" w:sz="0" w:space="0" w:color="auto"/>
        <w:bottom w:val="none" w:sz="0" w:space="0" w:color="auto"/>
        <w:right w:val="none" w:sz="0" w:space="0" w:color="auto"/>
      </w:divBdr>
    </w:div>
    <w:div w:id="1020009933">
      <w:bodyDiv w:val="1"/>
      <w:marLeft w:val="0"/>
      <w:marRight w:val="0"/>
      <w:marTop w:val="0"/>
      <w:marBottom w:val="0"/>
      <w:divBdr>
        <w:top w:val="none" w:sz="0" w:space="0" w:color="auto"/>
        <w:left w:val="none" w:sz="0" w:space="0" w:color="auto"/>
        <w:bottom w:val="none" w:sz="0" w:space="0" w:color="auto"/>
        <w:right w:val="none" w:sz="0" w:space="0" w:color="auto"/>
      </w:divBdr>
    </w:div>
    <w:div w:id="1022365836">
      <w:bodyDiv w:val="1"/>
      <w:marLeft w:val="0"/>
      <w:marRight w:val="0"/>
      <w:marTop w:val="0"/>
      <w:marBottom w:val="0"/>
      <w:divBdr>
        <w:top w:val="none" w:sz="0" w:space="0" w:color="auto"/>
        <w:left w:val="none" w:sz="0" w:space="0" w:color="auto"/>
        <w:bottom w:val="none" w:sz="0" w:space="0" w:color="auto"/>
        <w:right w:val="none" w:sz="0" w:space="0" w:color="auto"/>
      </w:divBdr>
    </w:div>
    <w:div w:id="1028532765">
      <w:bodyDiv w:val="1"/>
      <w:marLeft w:val="0"/>
      <w:marRight w:val="0"/>
      <w:marTop w:val="0"/>
      <w:marBottom w:val="0"/>
      <w:divBdr>
        <w:top w:val="none" w:sz="0" w:space="0" w:color="auto"/>
        <w:left w:val="none" w:sz="0" w:space="0" w:color="auto"/>
        <w:bottom w:val="none" w:sz="0" w:space="0" w:color="auto"/>
        <w:right w:val="none" w:sz="0" w:space="0" w:color="auto"/>
      </w:divBdr>
    </w:div>
    <w:div w:id="1056855532">
      <w:bodyDiv w:val="1"/>
      <w:marLeft w:val="0"/>
      <w:marRight w:val="0"/>
      <w:marTop w:val="0"/>
      <w:marBottom w:val="0"/>
      <w:divBdr>
        <w:top w:val="none" w:sz="0" w:space="0" w:color="auto"/>
        <w:left w:val="none" w:sz="0" w:space="0" w:color="auto"/>
        <w:bottom w:val="none" w:sz="0" w:space="0" w:color="auto"/>
        <w:right w:val="none" w:sz="0" w:space="0" w:color="auto"/>
      </w:divBdr>
    </w:div>
    <w:div w:id="1062213899">
      <w:bodyDiv w:val="1"/>
      <w:marLeft w:val="0"/>
      <w:marRight w:val="0"/>
      <w:marTop w:val="0"/>
      <w:marBottom w:val="0"/>
      <w:divBdr>
        <w:top w:val="none" w:sz="0" w:space="0" w:color="auto"/>
        <w:left w:val="none" w:sz="0" w:space="0" w:color="auto"/>
        <w:bottom w:val="none" w:sz="0" w:space="0" w:color="auto"/>
        <w:right w:val="none" w:sz="0" w:space="0" w:color="auto"/>
      </w:divBdr>
    </w:div>
    <w:div w:id="1079864993">
      <w:bodyDiv w:val="1"/>
      <w:marLeft w:val="0"/>
      <w:marRight w:val="0"/>
      <w:marTop w:val="0"/>
      <w:marBottom w:val="0"/>
      <w:divBdr>
        <w:top w:val="none" w:sz="0" w:space="0" w:color="auto"/>
        <w:left w:val="none" w:sz="0" w:space="0" w:color="auto"/>
        <w:bottom w:val="none" w:sz="0" w:space="0" w:color="auto"/>
        <w:right w:val="none" w:sz="0" w:space="0" w:color="auto"/>
      </w:divBdr>
    </w:div>
    <w:div w:id="1089154620">
      <w:bodyDiv w:val="1"/>
      <w:marLeft w:val="0"/>
      <w:marRight w:val="0"/>
      <w:marTop w:val="0"/>
      <w:marBottom w:val="0"/>
      <w:divBdr>
        <w:top w:val="none" w:sz="0" w:space="0" w:color="auto"/>
        <w:left w:val="none" w:sz="0" w:space="0" w:color="auto"/>
        <w:bottom w:val="none" w:sz="0" w:space="0" w:color="auto"/>
        <w:right w:val="none" w:sz="0" w:space="0" w:color="auto"/>
      </w:divBdr>
    </w:div>
    <w:div w:id="1092581903">
      <w:bodyDiv w:val="1"/>
      <w:marLeft w:val="0"/>
      <w:marRight w:val="0"/>
      <w:marTop w:val="0"/>
      <w:marBottom w:val="0"/>
      <w:divBdr>
        <w:top w:val="none" w:sz="0" w:space="0" w:color="auto"/>
        <w:left w:val="none" w:sz="0" w:space="0" w:color="auto"/>
        <w:bottom w:val="none" w:sz="0" w:space="0" w:color="auto"/>
        <w:right w:val="none" w:sz="0" w:space="0" w:color="auto"/>
      </w:divBdr>
    </w:div>
    <w:div w:id="1094476650">
      <w:bodyDiv w:val="1"/>
      <w:marLeft w:val="0"/>
      <w:marRight w:val="0"/>
      <w:marTop w:val="0"/>
      <w:marBottom w:val="0"/>
      <w:divBdr>
        <w:top w:val="none" w:sz="0" w:space="0" w:color="auto"/>
        <w:left w:val="none" w:sz="0" w:space="0" w:color="auto"/>
        <w:bottom w:val="none" w:sz="0" w:space="0" w:color="auto"/>
        <w:right w:val="none" w:sz="0" w:space="0" w:color="auto"/>
      </w:divBdr>
    </w:div>
    <w:div w:id="1099444040">
      <w:bodyDiv w:val="1"/>
      <w:marLeft w:val="0"/>
      <w:marRight w:val="0"/>
      <w:marTop w:val="0"/>
      <w:marBottom w:val="0"/>
      <w:divBdr>
        <w:top w:val="none" w:sz="0" w:space="0" w:color="auto"/>
        <w:left w:val="none" w:sz="0" w:space="0" w:color="auto"/>
        <w:bottom w:val="none" w:sz="0" w:space="0" w:color="auto"/>
        <w:right w:val="none" w:sz="0" w:space="0" w:color="auto"/>
      </w:divBdr>
    </w:div>
    <w:div w:id="1100837611">
      <w:bodyDiv w:val="1"/>
      <w:marLeft w:val="0"/>
      <w:marRight w:val="0"/>
      <w:marTop w:val="0"/>
      <w:marBottom w:val="0"/>
      <w:divBdr>
        <w:top w:val="none" w:sz="0" w:space="0" w:color="auto"/>
        <w:left w:val="none" w:sz="0" w:space="0" w:color="auto"/>
        <w:bottom w:val="none" w:sz="0" w:space="0" w:color="auto"/>
        <w:right w:val="none" w:sz="0" w:space="0" w:color="auto"/>
      </w:divBdr>
    </w:div>
    <w:div w:id="1114785580">
      <w:bodyDiv w:val="1"/>
      <w:marLeft w:val="0"/>
      <w:marRight w:val="0"/>
      <w:marTop w:val="0"/>
      <w:marBottom w:val="0"/>
      <w:divBdr>
        <w:top w:val="none" w:sz="0" w:space="0" w:color="auto"/>
        <w:left w:val="none" w:sz="0" w:space="0" w:color="auto"/>
        <w:bottom w:val="none" w:sz="0" w:space="0" w:color="auto"/>
        <w:right w:val="none" w:sz="0" w:space="0" w:color="auto"/>
      </w:divBdr>
    </w:div>
    <w:div w:id="1127502663">
      <w:bodyDiv w:val="1"/>
      <w:marLeft w:val="0"/>
      <w:marRight w:val="0"/>
      <w:marTop w:val="0"/>
      <w:marBottom w:val="0"/>
      <w:divBdr>
        <w:top w:val="none" w:sz="0" w:space="0" w:color="auto"/>
        <w:left w:val="none" w:sz="0" w:space="0" w:color="auto"/>
        <w:bottom w:val="none" w:sz="0" w:space="0" w:color="auto"/>
        <w:right w:val="none" w:sz="0" w:space="0" w:color="auto"/>
      </w:divBdr>
    </w:div>
    <w:div w:id="1133720468">
      <w:bodyDiv w:val="1"/>
      <w:marLeft w:val="0"/>
      <w:marRight w:val="0"/>
      <w:marTop w:val="0"/>
      <w:marBottom w:val="0"/>
      <w:divBdr>
        <w:top w:val="none" w:sz="0" w:space="0" w:color="auto"/>
        <w:left w:val="none" w:sz="0" w:space="0" w:color="auto"/>
        <w:bottom w:val="none" w:sz="0" w:space="0" w:color="auto"/>
        <w:right w:val="none" w:sz="0" w:space="0" w:color="auto"/>
      </w:divBdr>
    </w:div>
    <w:div w:id="1140851889">
      <w:bodyDiv w:val="1"/>
      <w:marLeft w:val="0"/>
      <w:marRight w:val="0"/>
      <w:marTop w:val="0"/>
      <w:marBottom w:val="0"/>
      <w:divBdr>
        <w:top w:val="none" w:sz="0" w:space="0" w:color="auto"/>
        <w:left w:val="none" w:sz="0" w:space="0" w:color="auto"/>
        <w:bottom w:val="none" w:sz="0" w:space="0" w:color="auto"/>
        <w:right w:val="none" w:sz="0" w:space="0" w:color="auto"/>
      </w:divBdr>
    </w:div>
    <w:div w:id="1147433600">
      <w:bodyDiv w:val="1"/>
      <w:marLeft w:val="0"/>
      <w:marRight w:val="0"/>
      <w:marTop w:val="0"/>
      <w:marBottom w:val="0"/>
      <w:divBdr>
        <w:top w:val="none" w:sz="0" w:space="0" w:color="auto"/>
        <w:left w:val="none" w:sz="0" w:space="0" w:color="auto"/>
        <w:bottom w:val="none" w:sz="0" w:space="0" w:color="auto"/>
        <w:right w:val="none" w:sz="0" w:space="0" w:color="auto"/>
      </w:divBdr>
    </w:div>
    <w:div w:id="1148788156">
      <w:bodyDiv w:val="1"/>
      <w:marLeft w:val="0"/>
      <w:marRight w:val="0"/>
      <w:marTop w:val="0"/>
      <w:marBottom w:val="0"/>
      <w:divBdr>
        <w:top w:val="none" w:sz="0" w:space="0" w:color="auto"/>
        <w:left w:val="none" w:sz="0" w:space="0" w:color="auto"/>
        <w:bottom w:val="none" w:sz="0" w:space="0" w:color="auto"/>
        <w:right w:val="none" w:sz="0" w:space="0" w:color="auto"/>
      </w:divBdr>
    </w:div>
    <w:div w:id="1176337358">
      <w:bodyDiv w:val="1"/>
      <w:marLeft w:val="0"/>
      <w:marRight w:val="0"/>
      <w:marTop w:val="0"/>
      <w:marBottom w:val="0"/>
      <w:divBdr>
        <w:top w:val="none" w:sz="0" w:space="0" w:color="auto"/>
        <w:left w:val="none" w:sz="0" w:space="0" w:color="auto"/>
        <w:bottom w:val="none" w:sz="0" w:space="0" w:color="auto"/>
        <w:right w:val="none" w:sz="0" w:space="0" w:color="auto"/>
      </w:divBdr>
    </w:div>
    <w:div w:id="1187062221">
      <w:bodyDiv w:val="1"/>
      <w:marLeft w:val="0"/>
      <w:marRight w:val="0"/>
      <w:marTop w:val="0"/>
      <w:marBottom w:val="0"/>
      <w:divBdr>
        <w:top w:val="none" w:sz="0" w:space="0" w:color="auto"/>
        <w:left w:val="none" w:sz="0" w:space="0" w:color="auto"/>
        <w:bottom w:val="none" w:sz="0" w:space="0" w:color="auto"/>
        <w:right w:val="none" w:sz="0" w:space="0" w:color="auto"/>
      </w:divBdr>
    </w:div>
    <w:div w:id="1197813028">
      <w:bodyDiv w:val="1"/>
      <w:marLeft w:val="0"/>
      <w:marRight w:val="0"/>
      <w:marTop w:val="0"/>
      <w:marBottom w:val="0"/>
      <w:divBdr>
        <w:top w:val="none" w:sz="0" w:space="0" w:color="auto"/>
        <w:left w:val="none" w:sz="0" w:space="0" w:color="auto"/>
        <w:bottom w:val="none" w:sz="0" w:space="0" w:color="auto"/>
        <w:right w:val="none" w:sz="0" w:space="0" w:color="auto"/>
      </w:divBdr>
    </w:div>
    <w:div w:id="1203404237">
      <w:bodyDiv w:val="1"/>
      <w:marLeft w:val="0"/>
      <w:marRight w:val="0"/>
      <w:marTop w:val="0"/>
      <w:marBottom w:val="0"/>
      <w:divBdr>
        <w:top w:val="none" w:sz="0" w:space="0" w:color="auto"/>
        <w:left w:val="none" w:sz="0" w:space="0" w:color="auto"/>
        <w:bottom w:val="none" w:sz="0" w:space="0" w:color="auto"/>
        <w:right w:val="none" w:sz="0" w:space="0" w:color="auto"/>
      </w:divBdr>
    </w:div>
    <w:div w:id="1213619628">
      <w:bodyDiv w:val="1"/>
      <w:marLeft w:val="0"/>
      <w:marRight w:val="0"/>
      <w:marTop w:val="0"/>
      <w:marBottom w:val="0"/>
      <w:divBdr>
        <w:top w:val="none" w:sz="0" w:space="0" w:color="auto"/>
        <w:left w:val="none" w:sz="0" w:space="0" w:color="auto"/>
        <w:bottom w:val="none" w:sz="0" w:space="0" w:color="auto"/>
        <w:right w:val="none" w:sz="0" w:space="0" w:color="auto"/>
      </w:divBdr>
    </w:div>
    <w:div w:id="1219129977">
      <w:bodyDiv w:val="1"/>
      <w:marLeft w:val="0"/>
      <w:marRight w:val="0"/>
      <w:marTop w:val="0"/>
      <w:marBottom w:val="0"/>
      <w:divBdr>
        <w:top w:val="none" w:sz="0" w:space="0" w:color="auto"/>
        <w:left w:val="none" w:sz="0" w:space="0" w:color="auto"/>
        <w:bottom w:val="none" w:sz="0" w:space="0" w:color="auto"/>
        <w:right w:val="none" w:sz="0" w:space="0" w:color="auto"/>
      </w:divBdr>
    </w:div>
    <w:div w:id="1257445253">
      <w:bodyDiv w:val="1"/>
      <w:marLeft w:val="0"/>
      <w:marRight w:val="0"/>
      <w:marTop w:val="0"/>
      <w:marBottom w:val="0"/>
      <w:divBdr>
        <w:top w:val="none" w:sz="0" w:space="0" w:color="auto"/>
        <w:left w:val="none" w:sz="0" w:space="0" w:color="auto"/>
        <w:bottom w:val="none" w:sz="0" w:space="0" w:color="auto"/>
        <w:right w:val="none" w:sz="0" w:space="0" w:color="auto"/>
      </w:divBdr>
    </w:div>
    <w:div w:id="1268074180">
      <w:bodyDiv w:val="1"/>
      <w:marLeft w:val="0"/>
      <w:marRight w:val="0"/>
      <w:marTop w:val="0"/>
      <w:marBottom w:val="0"/>
      <w:divBdr>
        <w:top w:val="none" w:sz="0" w:space="0" w:color="auto"/>
        <w:left w:val="none" w:sz="0" w:space="0" w:color="auto"/>
        <w:bottom w:val="none" w:sz="0" w:space="0" w:color="auto"/>
        <w:right w:val="none" w:sz="0" w:space="0" w:color="auto"/>
      </w:divBdr>
    </w:div>
    <w:div w:id="1273826450">
      <w:bodyDiv w:val="1"/>
      <w:marLeft w:val="0"/>
      <w:marRight w:val="0"/>
      <w:marTop w:val="0"/>
      <w:marBottom w:val="0"/>
      <w:divBdr>
        <w:top w:val="none" w:sz="0" w:space="0" w:color="auto"/>
        <w:left w:val="none" w:sz="0" w:space="0" w:color="auto"/>
        <w:bottom w:val="none" w:sz="0" w:space="0" w:color="auto"/>
        <w:right w:val="none" w:sz="0" w:space="0" w:color="auto"/>
      </w:divBdr>
    </w:div>
    <w:div w:id="1282298839">
      <w:bodyDiv w:val="1"/>
      <w:marLeft w:val="0"/>
      <w:marRight w:val="0"/>
      <w:marTop w:val="0"/>
      <w:marBottom w:val="0"/>
      <w:divBdr>
        <w:top w:val="none" w:sz="0" w:space="0" w:color="auto"/>
        <w:left w:val="none" w:sz="0" w:space="0" w:color="auto"/>
        <w:bottom w:val="none" w:sz="0" w:space="0" w:color="auto"/>
        <w:right w:val="none" w:sz="0" w:space="0" w:color="auto"/>
      </w:divBdr>
    </w:div>
    <w:div w:id="1283878520">
      <w:bodyDiv w:val="1"/>
      <w:marLeft w:val="0"/>
      <w:marRight w:val="0"/>
      <w:marTop w:val="0"/>
      <w:marBottom w:val="0"/>
      <w:divBdr>
        <w:top w:val="none" w:sz="0" w:space="0" w:color="auto"/>
        <w:left w:val="none" w:sz="0" w:space="0" w:color="auto"/>
        <w:bottom w:val="none" w:sz="0" w:space="0" w:color="auto"/>
        <w:right w:val="none" w:sz="0" w:space="0" w:color="auto"/>
      </w:divBdr>
    </w:div>
    <w:div w:id="1300498248">
      <w:bodyDiv w:val="1"/>
      <w:marLeft w:val="0"/>
      <w:marRight w:val="0"/>
      <w:marTop w:val="0"/>
      <w:marBottom w:val="0"/>
      <w:divBdr>
        <w:top w:val="none" w:sz="0" w:space="0" w:color="auto"/>
        <w:left w:val="none" w:sz="0" w:space="0" w:color="auto"/>
        <w:bottom w:val="none" w:sz="0" w:space="0" w:color="auto"/>
        <w:right w:val="none" w:sz="0" w:space="0" w:color="auto"/>
      </w:divBdr>
    </w:div>
    <w:div w:id="1317220317">
      <w:bodyDiv w:val="1"/>
      <w:marLeft w:val="0"/>
      <w:marRight w:val="0"/>
      <w:marTop w:val="0"/>
      <w:marBottom w:val="0"/>
      <w:divBdr>
        <w:top w:val="none" w:sz="0" w:space="0" w:color="auto"/>
        <w:left w:val="none" w:sz="0" w:space="0" w:color="auto"/>
        <w:bottom w:val="none" w:sz="0" w:space="0" w:color="auto"/>
        <w:right w:val="none" w:sz="0" w:space="0" w:color="auto"/>
      </w:divBdr>
    </w:div>
    <w:div w:id="1331446897">
      <w:bodyDiv w:val="1"/>
      <w:marLeft w:val="0"/>
      <w:marRight w:val="0"/>
      <w:marTop w:val="0"/>
      <w:marBottom w:val="0"/>
      <w:divBdr>
        <w:top w:val="none" w:sz="0" w:space="0" w:color="auto"/>
        <w:left w:val="none" w:sz="0" w:space="0" w:color="auto"/>
        <w:bottom w:val="none" w:sz="0" w:space="0" w:color="auto"/>
        <w:right w:val="none" w:sz="0" w:space="0" w:color="auto"/>
      </w:divBdr>
    </w:div>
    <w:div w:id="1332946167">
      <w:bodyDiv w:val="1"/>
      <w:marLeft w:val="0"/>
      <w:marRight w:val="0"/>
      <w:marTop w:val="0"/>
      <w:marBottom w:val="0"/>
      <w:divBdr>
        <w:top w:val="none" w:sz="0" w:space="0" w:color="auto"/>
        <w:left w:val="none" w:sz="0" w:space="0" w:color="auto"/>
        <w:bottom w:val="none" w:sz="0" w:space="0" w:color="auto"/>
        <w:right w:val="none" w:sz="0" w:space="0" w:color="auto"/>
      </w:divBdr>
    </w:div>
    <w:div w:id="1335255789">
      <w:bodyDiv w:val="1"/>
      <w:marLeft w:val="0"/>
      <w:marRight w:val="0"/>
      <w:marTop w:val="0"/>
      <w:marBottom w:val="0"/>
      <w:divBdr>
        <w:top w:val="none" w:sz="0" w:space="0" w:color="auto"/>
        <w:left w:val="none" w:sz="0" w:space="0" w:color="auto"/>
        <w:bottom w:val="none" w:sz="0" w:space="0" w:color="auto"/>
        <w:right w:val="none" w:sz="0" w:space="0" w:color="auto"/>
      </w:divBdr>
    </w:div>
    <w:div w:id="1342246176">
      <w:bodyDiv w:val="1"/>
      <w:marLeft w:val="0"/>
      <w:marRight w:val="0"/>
      <w:marTop w:val="0"/>
      <w:marBottom w:val="0"/>
      <w:divBdr>
        <w:top w:val="none" w:sz="0" w:space="0" w:color="auto"/>
        <w:left w:val="none" w:sz="0" w:space="0" w:color="auto"/>
        <w:bottom w:val="none" w:sz="0" w:space="0" w:color="auto"/>
        <w:right w:val="none" w:sz="0" w:space="0" w:color="auto"/>
      </w:divBdr>
    </w:div>
    <w:div w:id="1350135149">
      <w:bodyDiv w:val="1"/>
      <w:marLeft w:val="0"/>
      <w:marRight w:val="0"/>
      <w:marTop w:val="0"/>
      <w:marBottom w:val="0"/>
      <w:divBdr>
        <w:top w:val="none" w:sz="0" w:space="0" w:color="auto"/>
        <w:left w:val="none" w:sz="0" w:space="0" w:color="auto"/>
        <w:bottom w:val="none" w:sz="0" w:space="0" w:color="auto"/>
        <w:right w:val="none" w:sz="0" w:space="0" w:color="auto"/>
      </w:divBdr>
    </w:div>
    <w:div w:id="1366296591">
      <w:bodyDiv w:val="1"/>
      <w:marLeft w:val="0"/>
      <w:marRight w:val="0"/>
      <w:marTop w:val="0"/>
      <w:marBottom w:val="0"/>
      <w:divBdr>
        <w:top w:val="none" w:sz="0" w:space="0" w:color="auto"/>
        <w:left w:val="none" w:sz="0" w:space="0" w:color="auto"/>
        <w:bottom w:val="none" w:sz="0" w:space="0" w:color="auto"/>
        <w:right w:val="none" w:sz="0" w:space="0" w:color="auto"/>
      </w:divBdr>
    </w:div>
    <w:div w:id="1377730061">
      <w:bodyDiv w:val="1"/>
      <w:marLeft w:val="0"/>
      <w:marRight w:val="0"/>
      <w:marTop w:val="0"/>
      <w:marBottom w:val="0"/>
      <w:divBdr>
        <w:top w:val="none" w:sz="0" w:space="0" w:color="auto"/>
        <w:left w:val="none" w:sz="0" w:space="0" w:color="auto"/>
        <w:bottom w:val="none" w:sz="0" w:space="0" w:color="auto"/>
        <w:right w:val="none" w:sz="0" w:space="0" w:color="auto"/>
      </w:divBdr>
    </w:div>
    <w:div w:id="1381439242">
      <w:bodyDiv w:val="1"/>
      <w:marLeft w:val="0"/>
      <w:marRight w:val="0"/>
      <w:marTop w:val="0"/>
      <w:marBottom w:val="0"/>
      <w:divBdr>
        <w:top w:val="none" w:sz="0" w:space="0" w:color="auto"/>
        <w:left w:val="none" w:sz="0" w:space="0" w:color="auto"/>
        <w:bottom w:val="none" w:sz="0" w:space="0" w:color="auto"/>
        <w:right w:val="none" w:sz="0" w:space="0" w:color="auto"/>
      </w:divBdr>
    </w:div>
    <w:div w:id="1390543361">
      <w:bodyDiv w:val="1"/>
      <w:marLeft w:val="0"/>
      <w:marRight w:val="0"/>
      <w:marTop w:val="0"/>
      <w:marBottom w:val="0"/>
      <w:divBdr>
        <w:top w:val="none" w:sz="0" w:space="0" w:color="auto"/>
        <w:left w:val="none" w:sz="0" w:space="0" w:color="auto"/>
        <w:bottom w:val="none" w:sz="0" w:space="0" w:color="auto"/>
        <w:right w:val="none" w:sz="0" w:space="0" w:color="auto"/>
      </w:divBdr>
    </w:div>
    <w:div w:id="1392266278">
      <w:bodyDiv w:val="1"/>
      <w:marLeft w:val="0"/>
      <w:marRight w:val="0"/>
      <w:marTop w:val="0"/>
      <w:marBottom w:val="0"/>
      <w:divBdr>
        <w:top w:val="none" w:sz="0" w:space="0" w:color="auto"/>
        <w:left w:val="none" w:sz="0" w:space="0" w:color="auto"/>
        <w:bottom w:val="none" w:sz="0" w:space="0" w:color="auto"/>
        <w:right w:val="none" w:sz="0" w:space="0" w:color="auto"/>
      </w:divBdr>
    </w:div>
    <w:div w:id="1393775219">
      <w:bodyDiv w:val="1"/>
      <w:marLeft w:val="0"/>
      <w:marRight w:val="0"/>
      <w:marTop w:val="0"/>
      <w:marBottom w:val="0"/>
      <w:divBdr>
        <w:top w:val="none" w:sz="0" w:space="0" w:color="auto"/>
        <w:left w:val="none" w:sz="0" w:space="0" w:color="auto"/>
        <w:bottom w:val="none" w:sz="0" w:space="0" w:color="auto"/>
        <w:right w:val="none" w:sz="0" w:space="0" w:color="auto"/>
      </w:divBdr>
    </w:div>
    <w:div w:id="1417166513">
      <w:bodyDiv w:val="1"/>
      <w:marLeft w:val="0"/>
      <w:marRight w:val="0"/>
      <w:marTop w:val="0"/>
      <w:marBottom w:val="0"/>
      <w:divBdr>
        <w:top w:val="none" w:sz="0" w:space="0" w:color="auto"/>
        <w:left w:val="none" w:sz="0" w:space="0" w:color="auto"/>
        <w:bottom w:val="none" w:sz="0" w:space="0" w:color="auto"/>
        <w:right w:val="none" w:sz="0" w:space="0" w:color="auto"/>
      </w:divBdr>
    </w:div>
    <w:div w:id="1436435744">
      <w:bodyDiv w:val="1"/>
      <w:marLeft w:val="0"/>
      <w:marRight w:val="0"/>
      <w:marTop w:val="0"/>
      <w:marBottom w:val="0"/>
      <w:divBdr>
        <w:top w:val="none" w:sz="0" w:space="0" w:color="auto"/>
        <w:left w:val="none" w:sz="0" w:space="0" w:color="auto"/>
        <w:bottom w:val="none" w:sz="0" w:space="0" w:color="auto"/>
        <w:right w:val="none" w:sz="0" w:space="0" w:color="auto"/>
      </w:divBdr>
    </w:div>
    <w:div w:id="1459760060">
      <w:bodyDiv w:val="1"/>
      <w:marLeft w:val="0"/>
      <w:marRight w:val="0"/>
      <w:marTop w:val="0"/>
      <w:marBottom w:val="0"/>
      <w:divBdr>
        <w:top w:val="none" w:sz="0" w:space="0" w:color="auto"/>
        <w:left w:val="none" w:sz="0" w:space="0" w:color="auto"/>
        <w:bottom w:val="none" w:sz="0" w:space="0" w:color="auto"/>
        <w:right w:val="none" w:sz="0" w:space="0" w:color="auto"/>
      </w:divBdr>
    </w:div>
    <w:div w:id="1469281201">
      <w:bodyDiv w:val="1"/>
      <w:marLeft w:val="0"/>
      <w:marRight w:val="0"/>
      <w:marTop w:val="0"/>
      <w:marBottom w:val="0"/>
      <w:divBdr>
        <w:top w:val="none" w:sz="0" w:space="0" w:color="auto"/>
        <w:left w:val="none" w:sz="0" w:space="0" w:color="auto"/>
        <w:bottom w:val="none" w:sz="0" w:space="0" w:color="auto"/>
        <w:right w:val="none" w:sz="0" w:space="0" w:color="auto"/>
      </w:divBdr>
    </w:div>
    <w:div w:id="1473404621">
      <w:bodyDiv w:val="1"/>
      <w:marLeft w:val="0"/>
      <w:marRight w:val="0"/>
      <w:marTop w:val="0"/>
      <w:marBottom w:val="0"/>
      <w:divBdr>
        <w:top w:val="none" w:sz="0" w:space="0" w:color="auto"/>
        <w:left w:val="none" w:sz="0" w:space="0" w:color="auto"/>
        <w:bottom w:val="none" w:sz="0" w:space="0" w:color="auto"/>
        <w:right w:val="none" w:sz="0" w:space="0" w:color="auto"/>
      </w:divBdr>
    </w:div>
    <w:div w:id="1494292528">
      <w:bodyDiv w:val="1"/>
      <w:marLeft w:val="0"/>
      <w:marRight w:val="0"/>
      <w:marTop w:val="0"/>
      <w:marBottom w:val="0"/>
      <w:divBdr>
        <w:top w:val="none" w:sz="0" w:space="0" w:color="auto"/>
        <w:left w:val="none" w:sz="0" w:space="0" w:color="auto"/>
        <w:bottom w:val="none" w:sz="0" w:space="0" w:color="auto"/>
        <w:right w:val="none" w:sz="0" w:space="0" w:color="auto"/>
      </w:divBdr>
    </w:div>
    <w:div w:id="1520579862">
      <w:bodyDiv w:val="1"/>
      <w:marLeft w:val="0"/>
      <w:marRight w:val="0"/>
      <w:marTop w:val="0"/>
      <w:marBottom w:val="0"/>
      <w:divBdr>
        <w:top w:val="none" w:sz="0" w:space="0" w:color="auto"/>
        <w:left w:val="none" w:sz="0" w:space="0" w:color="auto"/>
        <w:bottom w:val="none" w:sz="0" w:space="0" w:color="auto"/>
        <w:right w:val="none" w:sz="0" w:space="0" w:color="auto"/>
      </w:divBdr>
    </w:div>
    <w:div w:id="1529374579">
      <w:bodyDiv w:val="1"/>
      <w:marLeft w:val="0"/>
      <w:marRight w:val="0"/>
      <w:marTop w:val="0"/>
      <w:marBottom w:val="0"/>
      <w:divBdr>
        <w:top w:val="none" w:sz="0" w:space="0" w:color="auto"/>
        <w:left w:val="none" w:sz="0" w:space="0" w:color="auto"/>
        <w:bottom w:val="none" w:sz="0" w:space="0" w:color="auto"/>
        <w:right w:val="none" w:sz="0" w:space="0" w:color="auto"/>
      </w:divBdr>
    </w:div>
    <w:div w:id="1532764873">
      <w:bodyDiv w:val="1"/>
      <w:marLeft w:val="0"/>
      <w:marRight w:val="0"/>
      <w:marTop w:val="0"/>
      <w:marBottom w:val="0"/>
      <w:divBdr>
        <w:top w:val="none" w:sz="0" w:space="0" w:color="auto"/>
        <w:left w:val="none" w:sz="0" w:space="0" w:color="auto"/>
        <w:bottom w:val="none" w:sz="0" w:space="0" w:color="auto"/>
        <w:right w:val="none" w:sz="0" w:space="0" w:color="auto"/>
      </w:divBdr>
    </w:div>
    <w:div w:id="1544754648">
      <w:bodyDiv w:val="1"/>
      <w:marLeft w:val="0"/>
      <w:marRight w:val="0"/>
      <w:marTop w:val="0"/>
      <w:marBottom w:val="0"/>
      <w:divBdr>
        <w:top w:val="none" w:sz="0" w:space="0" w:color="auto"/>
        <w:left w:val="none" w:sz="0" w:space="0" w:color="auto"/>
        <w:bottom w:val="none" w:sz="0" w:space="0" w:color="auto"/>
        <w:right w:val="none" w:sz="0" w:space="0" w:color="auto"/>
      </w:divBdr>
    </w:div>
    <w:div w:id="1548295132">
      <w:bodyDiv w:val="1"/>
      <w:marLeft w:val="0"/>
      <w:marRight w:val="0"/>
      <w:marTop w:val="0"/>
      <w:marBottom w:val="0"/>
      <w:divBdr>
        <w:top w:val="none" w:sz="0" w:space="0" w:color="auto"/>
        <w:left w:val="none" w:sz="0" w:space="0" w:color="auto"/>
        <w:bottom w:val="none" w:sz="0" w:space="0" w:color="auto"/>
        <w:right w:val="none" w:sz="0" w:space="0" w:color="auto"/>
      </w:divBdr>
    </w:div>
    <w:div w:id="1584335670">
      <w:bodyDiv w:val="1"/>
      <w:marLeft w:val="0"/>
      <w:marRight w:val="0"/>
      <w:marTop w:val="0"/>
      <w:marBottom w:val="0"/>
      <w:divBdr>
        <w:top w:val="none" w:sz="0" w:space="0" w:color="auto"/>
        <w:left w:val="none" w:sz="0" w:space="0" w:color="auto"/>
        <w:bottom w:val="none" w:sz="0" w:space="0" w:color="auto"/>
        <w:right w:val="none" w:sz="0" w:space="0" w:color="auto"/>
      </w:divBdr>
    </w:div>
    <w:div w:id="1589189073">
      <w:bodyDiv w:val="1"/>
      <w:marLeft w:val="0"/>
      <w:marRight w:val="0"/>
      <w:marTop w:val="0"/>
      <w:marBottom w:val="0"/>
      <w:divBdr>
        <w:top w:val="none" w:sz="0" w:space="0" w:color="auto"/>
        <w:left w:val="none" w:sz="0" w:space="0" w:color="auto"/>
        <w:bottom w:val="none" w:sz="0" w:space="0" w:color="auto"/>
        <w:right w:val="none" w:sz="0" w:space="0" w:color="auto"/>
      </w:divBdr>
    </w:div>
    <w:div w:id="1616323613">
      <w:bodyDiv w:val="1"/>
      <w:marLeft w:val="0"/>
      <w:marRight w:val="0"/>
      <w:marTop w:val="0"/>
      <w:marBottom w:val="0"/>
      <w:divBdr>
        <w:top w:val="none" w:sz="0" w:space="0" w:color="auto"/>
        <w:left w:val="none" w:sz="0" w:space="0" w:color="auto"/>
        <w:bottom w:val="none" w:sz="0" w:space="0" w:color="auto"/>
        <w:right w:val="none" w:sz="0" w:space="0" w:color="auto"/>
      </w:divBdr>
    </w:div>
    <w:div w:id="1620530230">
      <w:bodyDiv w:val="1"/>
      <w:marLeft w:val="0"/>
      <w:marRight w:val="0"/>
      <w:marTop w:val="0"/>
      <w:marBottom w:val="0"/>
      <w:divBdr>
        <w:top w:val="none" w:sz="0" w:space="0" w:color="auto"/>
        <w:left w:val="none" w:sz="0" w:space="0" w:color="auto"/>
        <w:bottom w:val="none" w:sz="0" w:space="0" w:color="auto"/>
        <w:right w:val="none" w:sz="0" w:space="0" w:color="auto"/>
      </w:divBdr>
    </w:div>
    <w:div w:id="1638799704">
      <w:bodyDiv w:val="1"/>
      <w:marLeft w:val="0"/>
      <w:marRight w:val="0"/>
      <w:marTop w:val="0"/>
      <w:marBottom w:val="0"/>
      <w:divBdr>
        <w:top w:val="none" w:sz="0" w:space="0" w:color="auto"/>
        <w:left w:val="none" w:sz="0" w:space="0" w:color="auto"/>
        <w:bottom w:val="none" w:sz="0" w:space="0" w:color="auto"/>
        <w:right w:val="none" w:sz="0" w:space="0" w:color="auto"/>
      </w:divBdr>
    </w:div>
    <w:div w:id="1638871369">
      <w:bodyDiv w:val="1"/>
      <w:marLeft w:val="0"/>
      <w:marRight w:val="0"/>
      <w:marTop w:val="0"/>
      <w:marBottom w:val="0"/>
      <w:divBdr>
        <w:top w:val="none" w:sz="0" w:space="0" w:color="auto"/>
        <w:left w:val="none" w:sz="0" w:space="0" w:color="auto"/>
        <w:bottom w:val="none" w:sz="0" w:space="0" w:color="auto"/>
        <w:right w:val="none" w:sz="0" w:space="0" w:color="auto"/>
      </w:divBdr>
    </w:div>
    <w:div w:id="1639842494">
      <w:bodyDiv w:val="1"/>
      <w:marLeft w:val="0"/>
      <w:marRight w:val="0"/>
      <w:marTop w:val="0"/>
      <w:marBottom w:val="0"/>
      <w:divBdr>
        <w:top w:val="none" w:sz="0" w:space="0" w:color="auto"/>
        <w:left w:val="none" w:sz="0" w:space="0" w:color="auto"/>
        <w:bottom w:val="none" w:sz="0" w:space="0" w:color="auto"/>
        <w:right w:val="none" w:sz="0" w:space="0" w:color="auto"/>
      </w:divBdr>
    </w:div>
    <w:div w:id="1654020103">
      <w:bodyDiv w:val="1"/>
      <w:marLeft w:val="0"/>
      <w:marRight w:val="0"/>
      <w:marTop w:val="0"/>
      <w:marBottom w:val="0"/>
      <w:divBdr>
        <w:top w:val="none" w:sz="0" w:space="0" w:color="auto"/>
        <w:left w:val="none" w:sz="0" w:space="0" w:color="auto"/>
        <w:bottom w:val="none" w:sz="0" w:space="0" w:color="auto"/>
        <w:right w:val="none" w:sz="0" w:space="0" w:color="auto"/>
      </w:divBdr>
    </w:div>
    <w:div w:id="1658727885">
      <w:bodyDiv w:val="1"/>
      <w:marLeft w:val="0"/>
      <w:marRight w:val="0"/>
      <w:marTop w:val="0"/>
      <w:marBottom w:val="0"/>
      <w:divBdr>
        <w:top w:val="none" w:sz="0" w:space="0" w:color="auto"/>
        <w:left w:val="none" w:sz="0" w:space="0" w:color="auto"/>
        <w:bottom w:val="none" w:sz="0" w:space="0" w:color="auto"/>
        <w:right w:val="none" w:sz="0" w:space="0" w:color="auto"/>
      </w:divBdr>
    </w:div>
    <w:div w:id="1677148247">
      <w:bodyDiv w:val="1"/>
      <w:marLeft w:val="0"/>
      <w:marRight w:val="0"/>
      <w:marTop w:val="0"/>
      <w:marBottom w:val="0"/>
      <w:divBdr>
        <w:top w:val="none" w:sz="0" w:space="0" w:color="auto"/>
        <w:left w:val="none" w:sz="0" w:space="0" w:color="auto"/>
        <w:bottom w:val="none" w:sz="0" w:space="0" w:color="auto"/>
        <w:right w:val="none" w:sz="0" w:space="0" w:color="auto"/>
      </w:divBdr>
    </w:div>
    <w:div w:id="1679891372">
      <w:bodyDiv w:val="1"/>
      <w:marLeft w:val="0"/>
      <w:marRight w:val="0"/>
      <w:marTop w:val="0"/>
      <w:marBottom w:val="0"/>
      <w:divBdr>
        <w:top w:val="none" w:sz="0" w:space="0" w:color="auto"/>
        <w:left w:val="none" w:sz="0" w:space="0" w:color="auto"/>
        <w:bottom w:val="none" w:sz="0" w:space="0" w:color="auto"/>
        <w:right w:val="none" w:sz="0" w:space="0" w:color="auto"/>
      </w:divBdr>
    </w:div>
    <w:div w:id="1680426448">
      <w:bodyDiv w:val="1"/>
      <w:marLeft w:val="0"/>
      <w:marRight w:val="0"/>
      <w:marTop w:val="0"/>
      <w:marBottom w:val="0"/>
      <w:divBdr>
        <w:top w:val="none" w:sz="0" w:space="0" w:color="auto"/>
        <w:left w:val="none" w:sz="0" w:space="0" w:color="auto"/>
        <w:bottom w:val="none" w:sz="0" w:space="0" w:color="auto"/>
        <w:right w:val="none" w:sz="0" w:space="0" w:color="auto"/>
      </w:divBdr>
    </w:div>
    <w:div w:id="1689257302">
      <w:bodyDiv w:val="1"/>
      <w:marLeft w:val="0"/>
      <w:marRight w:val="0"/>
      <w:marTop w:val="0"/>
      <w:marBottom w:val="0"/>
      <w:divBdr>
        <w:top w:val="none" w:sz="0" w:space="0" w:color="auto"/>
        <w:left w:val="none" w:sz="0" w:space="0" w:color="auto"/>
        <w:bottom w:val="none" w:sz="0" w:space="0" w:color="auto"/>
        <w:right w:val="none" w:sz="0" w:space="0" w:color="auto"/>
      </w:divBdr>
    </w:div>
    <w:div w:id="1691713236">
      <w:bodyDiv w:val="1"/>
      <w:marLeft w:val="0"/>
      <w:marRight w:val="0"/>
      <w:marTop w:val="0"/>
      <w:marBottom w:val="0"/>
      <w:divBdr>
        <w:top w:val="none" w:sz="0" w:space="0" w:color="auto"/>
        <w:left w:val="none" w:sz="0" w:space="0" w:color="auto"/>
        <w:bottom w:val="none" w:sz="0" w:space="0" w:color="auto"/>
        <w:right w:val="none" w:sz="0" w:space="0" w:color="auto"/>
      </w:divBdr>
    </w:div>
    <w:div w:id="1696880141">
      <w:bodyDiv w:val="1"/>
      <w:marLeft w:val="0"/>
      <w:marRight w:val="0"/>
      <w:marTop w:val="0"/>
      <w:marBottom w:val="0"/>
      <w:divBdr>
        <w:top w:val="none" w:sz="0" w:space="0" w:color="auto"/>
        <w:left w:val="none" w:sz="0" w:space="0" w:color="auto"/>
        <w:bottom w:val="none" w:sz="0" w:space="0" w:color="auto"/>
        <w:right w:val="none" w:sz="0" w:space="0" w:color="auto"/>
      </w:divBdr>
    </w:div>
    <w:div w:id="1712801640">
      <w:bodyDiv w:val="1"/>
      <w:marLeft w:val="0"/>
      <w:marRight w:val="0"/>
      <w:marTop w:val="0"/>
      <w:marBottom w:val="0"/>
      <w:divBdr>
        <w:top w:val="none" w:sz="0" w:space="0" w:color="auto"/>
        <w:left w:val="none" w:sz="0" w:space="0" w:color="auto"/>
        <w:bottom w:val="none" w:sz="0" w:space="0" w:color="auto"/>
        <w:right w:val="none" w:sz="0" w:space="0" w:color="auto"/>
      </w:divBdr>
    </w:div>
    <w:div w:id="1724980105">
      <w:bodyDiv w:val="1"/>
      <w:marLeft w:val="0"/>
      <w:marRight w:val="0"/>
      <w:marTop w:val="0"/>
      <w:marBottom w:val="0"/>
      <w:divBdr>
        <w:top w:val="none" w:sz="0" w:space="0" w:color="auto"/>
        <w:left w:val="none" w:sz="0" w:space="0" w:color="auto"/>
        <w:bottom w:val="none" w:sz="0" w:space="0" w:color="auto"/>
        <w:right w:val="none" w:sz="0" w:space="0" w:color="auto"/>
      </w:divBdr>
    </w:div>
    <w:div w:id="1727799138">
      <w:bodyDiv w:val="1"/>
      <w:marLeft w:val="0"/>
      <w:marRight w:val="0"/>
      <w:marTop w:val="0"/>
      <w:marBottom w:val="0"/>
      <w:divBdr>
        <w:top w:val="none" w:sz="0" w:space="0" w:color="auto"/>
        <w:left w:val="none" w:sz="0" w:space="0" w:color="auto"/>
        <w:bottom w:val="none" w:sz="0" w:space="0" w:color="auto"/>
        <w:right w:val="none" w:sz="0" w:space="0" w:color="auto"/>
      </w:divBdr>
    </w:div>
    <w:div w:id="1750925429">
      <w:bodyDiv w:val="1"/>
      <w:marLeft w:val="0"/>
      <w:marRight w:val="0"/>
      <w:marTop w:val="0"/>
      <w:marBottom w:val="0"/>
      <w:divBdr>
        <w:top w:val="none" w:sz="0" w:space="0" w:color="auto"/>
        <w:left w:val="none" w:sz="0" w:space="0" w:color="auto"/>
        <w:bottom w:val="none" w:sz="0" w:space="0" w:color="auto"/>
        <w:right w:val="none" w:sz="0" w:space="0" w:color="auto"/>
      </w:divBdr>
    </w:div>
    <w:div w:id="1751653810">
      <w:bodyDiv w:val="1"/>
      <w:marLeft w:val="0"/>
      <w:marRight w:val="0"/>
      <w:marTop w:val="0"/>
      <w:marBottom w:val="0"/>
      <w:divBdr>
        <w:top w:val="none" w:sz="0" w:space="0" w:color="auto"/>
        <w:left w:val="none" w:sz="0" w:space="0" w:color="auto"/>
        <w:bottom w:val="none" w:sz="0" w:space="0" w:color="auto"/>
        <w:right w:val="none" w:sz="0" w:space="0" w:color="auto"/>
      </w:divBdr>
    </w:div>
    <w:div w:id="1759327600">
      <w:bodyDiv w:val="1"/>
      <w:marLeft w:val="0"/>
      <w:marRight w:val="0"/>
      <w:marTop w:val="0"/>
      <w:marBottom w:val="0"/>
      <w:divBdr>
        <w:top w:val="none" w:sz="0" w:space="0" w:color="auto"/>
        <w:left w:val="none" w:sz="0" w:space="0" w:color="auto"/>
        <w:bottom w:val="none" w:sz="0" w:space="0" w:color="auto"/>
        <w:right w:val="none" w:sz="0" w:space="0" w:color="auto"/>
      </w:divBdr>
    </w:div>
    <w:div w:id="1771781630">
      <w:bodyDiv w:val="1"/>
      <w:marLeft w:val="0"/>
      <w:marRight w:val="0"/>
      <w:marTop w:val="0"/>
      <w:marBottom w:val="0"/>
      <w:divBdr>
        <w:top w:val="none" w:sz="0" w:space="0" w:color="auto"/>
        <w:left w:val="none" w:sz="0" w:space="0" w:color="auto"/>
        <w:bottom w:val="none" w:sz="0" w:space="0" w:color="auto"/>
        <w:right w:val="none" w:sz="0" w:space="0" w:color="auto"/>
      </w:divBdr>
    </w:div>
    <w:div w:id="1774938072">
      <w:bodyDiv w:val="1"/>
      <w:marLeft w:val="0"/>
      <w:marRight w:val="0"/>
      <w:marTop w:val="0"/>
      <w:marBottom w:val="0"/>
      <w:divBdr>
        <w:top w:val="none" w:sz="0" w:space="0" w:color="auto"/>
        <w:left w:val="none" w:sz="0" w:space="0" w:color="auto"/>
        <w:bottom w:val="none" w:sz="0" w:space="0" w:color="auto"/>
        <w:right w:val="none" w:sz="0" w:space="0" w:color="auto"/>
      </w:divBdr>
    </w:div>
    <w:div w:id="1776366200">
      <w:bodyDiv w:val="1"/>
      <w:marLeft w:val="0"/>
      <w:marRight w:val="0"/>
      <w:marTop w:val="0"/>
      <w:marBottom w:val="0"/>
      <w:divBdr>
        <w:top w:val="none" w:sz="0" w:space="0" w:color="auto"/>
        <w:left w:val="none" w:sz="0" w:space="0" w:color="auto"/>
        <w:bottom w:val="none" w:sz="0" w:space="0" w:color="auto"/>
        <w:right w:val="none" w:sz="0" w:space="0" w:color="auto"/>
      </w:divBdr>
    </w:div>
    <w:div w:id="1785272373">
      <w:bodyDiv w:val="1"/>
      <w:marLeft w:val="0"/>
      <w:marRight w:val="0"/>
      <w:marTop w:val="0"/>
      <w:marBottom w:val="0"/>
      <w:divBdr>
        <w:top w:val="none" w:sz="0" w:space="0" w:color="auto"/>
        <w:left w:val="none" w:sz="0" w:space="0" w:color="auto"/>
        <w:bottom w:val="none" w:sz="0" w:space="0" w:color="auto"/>
        <w:right w:val="none" w:sz="0" w:space="0" w:color="auto"/>
      </w:divBdr>
    </w:div>
    <w:div w:id="1797749506">
      <w:bodyDiv w:val="1"/>
      <w:marLeft w:val="0"/>
      <w:marRight w:val="0"/>
      <w:marTop w:val="0"/>
      <w:marBottom w:val="0"/>
      <w:divBdr>
        <w:top w:val="none" w:sz="0" w:space="0" w:color="auto"/>
        <w:left w:val="none" w:sz="0" w:space="0" w:color="auto"/>
        <w:bottom w:val="none" w:sz="0" w:space="0" w:color="auto"/>
        <w:right w:val="none" w:sz="0" w:space="0" w:color="auto"/>
      </w:divBdr>
    </w:div>
    <w:div w:id="1804763088">
      <w:bodyDiv w:val="1"/>
      <w:marLeft w:val="0"/>
      <w:marRight w:val="0"/>
      <w:marTop w:val="0"/>
      <w:marBottom w:val="0"/>
      <w:divBdr>
        <w:top w:val="none" w:sz="0" w:space="0" w:color="auto"/>
        <w:left w:val="none" w:sz="0" w:space="0" w:color="auto"/>
        <w:bottom w:val="none" w:sz="0" w:space="0" w:color="auto"/>
        <w:right w:val="none" w:sz="0" w:space="0" w:color="auto"/>
      </w:divBdr>
    </w:div>
    <w:div w:id="1804880668">
      <w:bodyDiv w:val="1"/>
      <w:marLeft w:val="0"/>
      <w:marRight w:val="0"/>
      <w:marTop w:val="0"/>
      <w:marBottom w:val="0"/>
      <w:divBdr>
        <w:top w:val="none" w:sz="0" w:space="0" w:color="auto"/>
        <w:left w:val="none" w:sz="0" w:space="0" w:color="auto"/>
        <w:bottom w:val="none" w:sz="0" w:space="0" w:color="auto"/>
        <w:right w:val="none" w:sz="0" w:space="0" w:color="auto"/>
      </w:divBdr>
    </w:div>
    <w:div w:id="1811288488">
      <w:bodyDiv w:val="1"/>
      <w:marLeft w:val="0"/>
      <w:marRight w:val="0"/>
      <w:marTop w:val="0"/>
      <w:marBottom w:val="0"/>
      <w:divBdr>
        <w:top w:val="none" w:sz="0" w:space="0" w:color="auto"/>
        <w:left w:val="none" w:sz="0" w:space="0" w:color="auto"/>
        <w:bottom w:val="none" w:sz="0" w:space="0" w:color="auto"/>
        <w:right w:val="none" w:sz="0" w:space="0" w:color="auto"/>
      </w:divBdr>
    </w:div>
    <w:div w:id="1823498331">
      <w:bodyDiv w:val="1"/>
      <w:marLeft w:val="0"/>
      <w:marRight w:val="0"/>
      <w:marTop w:val="0"/>
      <w:marBottom w:val="0"/>
      <w:divBdr>
        <w:top w:val="none" w:sz="0" w:space="0" w:color="auto"/>
        <w:left w:val="none" w:sz="0" w:space="0" w:color="auto"/>
        <w:bottom w:val="none" w:sz="0" w:space="0" w:color="auto"/>
        <w:right w:val="none" w:sz="0" w:space="0" w:color="auto"/>
      </w:divBdr>
    </w:div>
    <w:div w:id="1835216723">
      <w:bodyDiv w:val="1"/>
      <w:marLeft w:val="0"/>
      <w:marRight w:val="0"/>
      <w:marTop w:val="0"/>
      <w:marBottom w:val="0"/>
      <w:divBdr>
        <w:top w:val="none" w:sz="0" w:space="0" w:color="auto"/>
        <w:left w:val="none" w:sz="0" w:space="0" w:color="auto"/>
        <w:bottom w:val="none" w:sz="0" w:space="0" w:color="auto"/>
        <w:right w:val="none" w:sz="0" w:space="0" w:color="auto"/>
      </w:divBdr>
    </w:div>
    <w:div w:id="1853492791">
      <w:bodyDiv w:val="1"/>
      <w:marLeft w:val="0"/>
      <w:marRight w:val="0"/>
      <w:marTop w:val="0"/>
      <w:marBottom w:val="0"/>
      <w:divBdr>
        <w:top w:val="none" w:sz="0" w:space="0" w:color="auto"/>
        <w:left w:val="none" w:sz="0" w:space="0" w:color="auto"/>
        <w:bottom w:val="none" w:sz="0" w:space="0" w:color="auto"/>
        <w:right w:val="none" w:sz="0" w:space="0" w:color="auto"/>
      </w:divBdr>
    </w:div>
    <w:div w:id="1860046557">
      <w:bodyDiv w:val="1"/>
      <w:marLeft w:val="0"/>
      <w:marRight w:val="0"/>
      <w:marTop w:val="0"/>
      <w:marBottom w:val="0"/>
      <w:divBdr>
        <w:top w:val="none" w:sz="0" w:space="0" w:color="auto"/>
        <w:left w:val="none" w:sz="0" w:space="0" w:color="auto"/>
        <w:bottom w:val="none" w:sz="0" w:space="0" w:color="auto"/>
        <w:right w:val="none" w:sz="0" w:space="0" w:color="auto"/>
      </w:divBdr>
    </w:div>
    <w:div w:id="1864710887">
      <w:bodyDiv w:val="1"/>
      <w:marLeft w:val="0"/>
      <w:marRight w:val="0"/>
      <w:marTop w:val="0"/>
      <w:marBottom w:val="0"/>
      <w:divBdr>
        <w:top w:val="none" w:sz="0" w:space="0" w:color="auto"/>
        <w:left w:val="none" w:sz="0" w:space="0" w:color="auto"/>
        <w:bottom w:val="none" w:sz="0" w:space="0" w:color="auto"/>
        <w:right w:val="none" w:sz="0" w:space="0" w:color="auto"/>
      </w:divBdr>
    </w:div>
    <w:div w:id="1875120464">
      <w:bodyDiv w:val="1"/>
      <w:marLeft w:val="0"/>
      <w:marRight w:val="0"/>
      <w:marTop w:val="0"/>
      <w:marBottom w:val="0"/>
      <w:divBdr>
        <w:top w:val="none" w:sz="0" w:space="0" w:color="auto"/>
        <w:left w:val="none" w:sz="0" w:space="0" w:color="auto"/>
        <w:bottom w:val="none" w:sz="0" w:space="0" w:color="auto"/>
        <w:right w:val="none" w:sz="0" w:space="0" w:color="auto"/>
      </w:divBdr>
    </w:div>
    <w:div w:id="1890872164">
      <w:bodyDiv w:val="1"/>
      <w:marLeft w:val="0"/>
      <w:marRight w:val="0"/>
      <w:marTop w:val="0"/>
      <w:marBottom w:val="0"/>
      <w:divBdr>
        <w:top w:val="none" w:sz="0" w:space="0" w:color="auto"/>
        <w:left w:val="none" w:sz="0" w:space="0" w:color="auto"/>
        <w:bottom w:val="none" w:sz="0" w:space="0" w:color="auto"/>
        <w:right w:val="none" w:sz="0" w:space="0" w:color="auto"/>
      </w:divBdr>
    </w:div>
    <w:div w:id="1892577240">
      <w:bodyDiv w:val="1"/>
      <w:marLeft w:val="0"/>
      <w:marRight w:val="0"/>
      <w:marTop w:val="0"/>
      <w:marBottom w:val="0"/>
      <w:divBdr>
        <w:top w:val="none" w:sz="0" w:space="0" w:color="auto"/>
        <w:left w:val="none" w:sz="0" w:space="0" w:color="auto"/>
        <w:bottom w:val="none" w:sz="0" w:space="0" w:color="auto"/>
        <w:right w:val="none" w:sz="0" w:space="0" w:color="auto"/>
      </w:divBdr>
    </w:div>
    <w:div w:id="1901095040">
      <w:bodyDiv w:val="1"/>
      <w:marLeft w:val="0"/>
      <w:marRight w:val="0"/>
      <w:marTop w:val="0"/>
      <w:marBottom w:val="0"/>
      <w:divBdr>
        <w:top w:val="none" w:sz="0" w:space="0" w:color="auto"/>
        <w:left w:val="none" w:sz="0" w:space="0" w:color="auto"/>
        <w:bottom w:val="none" w:sz="0" w:space="0" w:color="auto"/>
        <w:right w:val="none" w:sz="0" w:space="0" w:color="auto"/>
      </w:divBdr>
    </w:div>
    <w:div w:id="1902324057">
      <w:bodyDiv w:val="1"/>
      <w:marLeft w:val="0"/>
      <w:marRight w:val="0"/>
      <w:marTop w:val="0"/>
      <w:marBottom w:val="0"/>
      <w:divBdr>
        <w:top w:val="none" w:sz="0" w:space="0" w:color="auto"/>
        <w:left w:val="none" w:sz="0" w:space="0" w:color="auto"/>
        <w:bottom w:val="none" w:sz="0" w:space="0" w:color="auto"/>
        <w:right w:val="none" w:sz="0" w:space="0" w:color="auto"/>
      </w:divBdr>
    </w:div>
    <w:div w:id="1913192880">
      <w:bodyDiv w:val="1"/>
      <w:marLeft w:val="0"/>
      <w:marRight w:val="0"/>
      <w:marTop w:val="0"/>
      <w:marBottom w:val="0"/>
      <w:divBdr>
        <w:top w:val="none" w:sz="0" w:space="0" w:color="auto"/>
        <w:left w:val="none" w:sz="0" w:space="0" w:color="auto"/>
        <w:bottom w:val="none" w:sz="0" w:space="0" w:color="auto"/>
        <w:right w:val="none" w:sz="0" w:space="0" w:color="auto"/>
      </w:divBdr>
    </w:div>
    <w:div w:id="1916166361">
      <w:bodyDiv w:val="1"/>
      <w:marLeft w:val="0"/>
      <w:marRight w:val="0"/>
      <w:marTop w:val="0"/>
      <w:marBottom w:val="0"/>
      <w:divBdr>
        <w:top w:val="none" w:sz="0" w:space="0" w:color="auto"/>
        <w:left w:val="none" w:sz="0" w:space="0" w:color="auto"/>
        <w:bottom w:val="none" w:sz="0" w:space="0" w:color="auto"/>
        <w:right w:val="none" w:sz="0" w:space="0" w:color="auto"/>
      </w:divBdr>
    </w:div>
    <w:div w:id="1920485417">
      <w:bodyDiv w:val="1"/>
      <w:marLeft w:val="0"/>
      <w:marRight w:val="0"/>
      <w:marTop w:val="0"/>
      <w:marBottom w:val="0"/>
      <w:divBdr>
        <w:top w:val="none" w:sz="0" w:space="0" w:color="auto"/>
        <w:left w:val="none" w:sz="0" w:space="0" w:color="auto"/>
        <w:bottom w:val="none" w:sz="0" w:space="0" w:color="auto"/>
        <w:right w:val="none" w:sz="0" w:space="0" w:color="auto"/>
      </w:divBdr>
    </w:div>
    <w:div w:id="1921793978">
      <w:bodyDiv w:val="1"/>
      <w:marLeft w:val="0"/>
      <w:marRight w:val="0"/>
      <w:marTop w:val="0"/>
      <w:marBottom w:val="0"/>
      <w:divBdr>
        <w:top w:val="none" w:sz="0" w:space="0" w:color="auto"/>
        <w:left w:val="none" w:sz="0" w:space="0" w:color="auto"/>
        <w:bottom w:val="none" w:sz="0" w:space="0" w:color="auto"/>
        <w:right w:val="none" w:sz="0" w:space="0" w:color="auto"/>
      </w:divBdr>
    </w:div>
    <w:div w:id="1921870104">
      <w:bodyDiv w:val="1"/>
      <w:marLeft w:val="0"/>
      <w:marRight w:val="0"/>
      <w:marTop w:val="0"/>
      <w:marBottom w:val="0"/>
      <w:divBdr>
        <w:top w:val="none" w:sz="0" w:space="0" w:color="auto"/>
        <w:left w:val="none" w:sz="0" w:space="0" w:color="auto"/>
        <w:bottom w:val="none" w:sz="0" w:space="0" w:color="auto"/>
        <w:right w:val="none" w:sz="0" w:space="0" w:color="auto"/>
      </w:divBdr>
    </w:div>
    <w:div w:id="1929580295">
      <w:bodyDiv w:val="1"/>
      <w:marLeft w:val="0"/>
      <w:marRight w:val="0"/>
      <w:marTop w:val="0"/>
      <w:marBottom w:val="0"/>
      <w:divBdr>
        <w:top w:val="none" w:sz="0" w:space="0" w:color="auto"/>
        <w:left w:val="none" w:sz="0" w:space="0" w:color="auto"/>
        <w:bottom w:val="none" w:sz="0" w:space="0" w:color="auto"/>
        <w:right w:val="none" w:sz="0" w:space="0" w:color="auto"/>
      </w:divBdr>
    </w:div>
    <w:div w:id="1935019346">
      <w:bodyDiv w:val="1"/>
      <w:marLeft w:val="0"/>
      <w:marRight w:val="0"/>
      <w:marTop w:val="0"/>
      <w:marBottom w:val="0"/>
      <w:divBdr>
        <w:top w:val="none" w:sz="0" w:space="0" w:color="auto"/>
        <w:left w:val="none" w:sz="0" w:space="0" w:color="auto"/>
        <w:bottom w:val="none" w:sz="0" w:space="0" w:color="auto"/>
        <w:right w:val="none" w:sz="0" w:space="0" w:color="auto"/>
      </w:divBdr>
    </w:div>
    <w:div w:id="1945846915">
      <w:bodyDiv w:val="1"/>
      <w:marLeft w:val="0"/>
      <w:marRight w:val="0"/>
      <w:marTop w:val="0"/>
      <w:marBottom w:val="0"/>
      <w:divBdr>
        <w:top w:val="none" w:sz="0" w:space="0" w:color="auto"/>
        <w:left w:val="none" w:sz="0" w:space="0" w:color="auto"/>
        <w:bottom w:val="none" w:sz="0" w:space="0" w:color="auto"/>
        <w:right w:val="none" w:sz="0" w:space="0" w:color="auto"/>
      </w:divBdr>
    </w:div>
    <w:div w:id="1968702880">
      <w:bodyDiv w:val="1"/>
      <w:marLeft w:val="0"/>
      <w:marRight w:val="0"/>
      <w:marTop w:val="0"/>
      <w:marBottom w:val="0"/>
      <w:divBdr>
        <w:top w:val="none" w:sz="0" w:space="0" w:color="auto"/>
        <w:left w:val="none" w:sz="0" w:space="0" w:color="auto"/>
        <w:bottom w:val="none" w:sz="0" w:space="0" w:color="auto"/>
        <w:right w:val="none" w:sz="0" w:space="0" w:color="auto"/>
      </w:divBdr>
    </w:div>
    <w:div w:id="1984037154">
      <w:bodyDiv w:val="1"/>
      <w:marLeft w:val="0"/>
      <w:marRight w:val="0"/>
      <w:marTop w:val="0"/>
      <w:marBottom w:val="0"/>
      <w:divBdr>
        <w:top w:val="none" w:sz="0" w:space="0" w:color="auto"/>
        <w:left w:val="none" w:sz="0" w:space="0" w:color="auto"/>
        <w:bottom w:val="none" w:sz="0" w:space="0" w:color="auto"/>
        <w:right w:val="none" w:sz="0" w:space="0" w:color="auto"/>
      </w:divBdr>
    </w:div>
    <w:div w:id="1988630221">
      <w:bodyDiv w:val="1"/>
      <w:marLeft w:val="0"/>
      <w:marRight w:val="0"/>
      <w:marTop w:val="0"/>
      <w:marBottom w:val="0"/>
      <w:divBdr>
        <w:top w:val="none" w:sz="0" w:space="0" w:color="auto"/>
        <w:left w:val="none" w:sz="0" w:space="0" w:color="auto"/>
        <w:bottom w:val="none" w:sz="0" w:space="0" w:color="auto"/>
        <w:right w:val="none" w:sz="0" w:space="0" w:color="auto"/>
      </w:divBdr>
    </w:div>
    <w:div w:id="2019191794">
      <w:bodyDiv w:val="1"/>
      <w:marLeft w:val="0"/>
      <w:marRight w:val="0"/>
      <w:marTop w:val="0"/>
      <w:marBottom w:val="0"/>
      <w:divBdr>
        <w:top w:val="none" w:sz="0" w:space="0" w:color="auto"/>
        <w:left w:val="none" w:sz="0" w:space="0" w:color="auto"/>
        <w:bottom w:val="none" w:sz="0" w:space="0" w:color="auto"/>
        <w:right w:val="none" w:sz="0" w:space="0" w:color="auto"/>
      </w:divBdr>
    </w:div>
    <w:div w:id="2045329705">
      <w:bodyDiv w:val="1"/>
      <w:marLeft w:val="0"/>
      <w:marRight w:val="0"/>
      <w:marTop w:val="0"/>
      <w:marBottom w:val="0"/>
      <w:divBdr>
        <w:top w:val="none" w:sz="0" w:space="0" w:color="auto"/>
        <w:left w:val="none" w:sz="0" w:space="0" w:color="auto"/>
        <w:bottom w:val="none" w:sz="0" w:space="0" w:color="auto"/>
        <w:right w:val="none" w:sz="0" w:space="0" w:color="auto"/>
      </w:divBdr>
    </w:div>
    <w:div w:id="2054112678">
      <w:bodyDiv w:val="1"/>
      <w:marLeft w:val="0"/>
      <w:marRight w:val="0"/>
      <w:marTop w:val="0"/>
      <w:marBottom w:val="0"/>
      <w:divBdr>
        <w:top w:val="none" w:sz="0" w:space="0" w:color="auto"/>
        <w:left w:val="none" w:sz="0" w:space="0" w:color="auto"/>
        <w:bottom w:val="none" w:sz="0" w:space="0" w:color="auto"/>
        <w:right w:val="none" w:sz="0" w:space="0" w:color="auto"/>
      </w:divBdr>
    </w:div>
    <w:div w:id="2071230226">
      <w:bodyDiv w:val="1"/>
      <w:marLeft w:val="0"/>
      <w:marRight w:val="0"/>
      <w:marTop w:val="0"/>
      <w:marBottom w:val="0"/>
      <w:divBdr>
        <w:top w:val="none" w:sz="0" w:space="0" w:color="auto"/>
        <w:left w:val="none" w:sz="0" w:space="0" w:color="auto"/>
        <w:bottom w:val="none" w:sz="0" w:space="0" w:color="auto"/>
        <w:right w:val="none" w:sz="0" w:space="0" w:color="auto"/>
      </w:divBdr>
    </w:div>
    <w:div w:id="2079862502">
      <w:bodyDiv w:val="1"/>
      <w:marLeft w:val="0"/>
      <w:marRight w:val="0"/>
      <w:marTop w:val="0"/>
      <w:marBottom w:val="0"/>
      <w:divBdr>
        <w:top w:val="none" w:sz="0" w:space="0" w:color="auto"/>
        <w:left w:val="none" w:sz="0" w:space="0" w:color="auto"/>
        <w:bottom w:val="none" w:sz="0" w:space="0" w:color="auto"/>
        <w:right w:val="none" w:sz="0" w:space="0" w:color="auto"/>
      </w:divBdr>
    </w:div>
    <w:div w:id="2114591149">
      <w:bodyDiv w:val="1"/>
      <w:marLeft w:val="0"/>
      <w:marRight w:val="0"/>
      <w:marTop w:val="0"/>
      <w:marBottom w:val="0"/>
      <w:divBdr>
        <w:top w:val="none" w:sz="0" w:space="0" w:color="auto"/>
        <w:left w:val="none" w:sz="0" w:space="0" w:color="auto"/>
        <w:bottom w:val="none" w:sz="0" w:space="0" w:color="auto"/>
        <w:right w:val="none" w:sz="0" w:space="0" w:color="auto"/>
      </w:divBdr>
    </w:div>
    <w:div w:id="2127960886">
      <w:bodyDiv w:val="1"/>
      <w:marLeft w:val="0"/>
      <w:marRight w:val="0"/>
      <w:marTop w:val="0"/>
      <w:marBottom w:val="0"/>
      <w:divBdr>
        <w:top w:val="none" w:sz="0" w:space="0" w:color="auto"/>
        <w:left w:val="none" w:sz="0" w:space="0" w:color="auto"/>
        <w:bottom w:val="none" w:sz="0" w:space="0" w:color="auto"/>
        <w:right w:val="none" w:sz="0" w:space="0" w:color="auto"/>
      </w:divBdr>
    </w:div>
    <w:div w:id="2129811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package" Target="embeddings/Microsoft_Word_Document.docx"/></Relationships>
</file>

<file path=word/charts/_rels/chart1.xml.rels><?xml version="1.0" encoding="UTF-8" standalone="yes"?>
<Relationships xmlns="http://schemas.openxmlformats.org/package/2006/relationships"><Relationship Id="rId2" Type="http://schemas.openxmlformats.org/officeDocument/2006/relationships/oleObject" Target="https://uowtsd-my.sharepoint.com/personal/2216506_student_uwtsd_ac_uk/Documents/Milestone%20and%20task%20project%20timeline2.xlsx" TargetMode="External"/><Relationship Id="rId1" Type="http://schemas.openxmlformats.org/officeDocument/2006/relationships/image" Target="../media/image2.png"/></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t" anchorCtr="1"/>
          <a:lstStyle/>
          <a:p>
            <a:pPr>
              <a:defRPr sz="1800" b="1" i="0" u="none" strike="noStrike" kern="1200" spc="0" baseline="0">
                <a:solidFill>
                  <a:schemeClr val="accent1">
                    <a:lumMod val="75000"/>
                  </a:schemeClr>
                </a:solidFill>
                <a:latin typeface="+mn-lt"/>
                <a:ea typeface="+mn-ea"/>
                <a:cs typeface="+mn-cs"/>
              </a:defRPr>
            </a:pPr>
            <a:r>
              <a:rPr lang="en-US" sz="1800" b="1">
                <a:solidFill>
                  <a:schemeClr val="accent1">
                    <a:lumMod val="75000"/>
                  </a:schemeClr>
                </a:solidFill>
                <a:latin typeface="+mn-lt"/>
              </a:rPr>
              <a:t>ISS Project</a:t>
            </a:r>
          </a:p>
        </c:rich>
      </c:tx>
      <c:layout>
        <c:manualLayout>
          <c:xMode val="edge"/>
          <c:yMode val="edge"/>
          <c:x val="0.36354412275822873"/>
          <c:y val="3.1403339839978964E-2"/>
        </c:manualLayout>
      </c:layout>
      <c:overlay val="0"/>
      <c:spPr>
        <a:noFill/>
        <a:ln>
          <a:noFill/>
        </a:ln>
        <a:effectLst/>
      </c:spPr>
    </c:title>
    <c:autoTitleDeleted val="0"/>
    <c:plotArea>
      <c:layout>
        <c:manualLayout>
          <c:layoutTarget val="inner"/>
          <c:xMode val="edge"/>
          <c:yMode val="edge"/>
          <c:x val="5.6978185383786448E-2"/>
          <c:y val="7.8828945337177894E-2"/>
          <c:w val="0.87548045355302873"/>
          <c:h val="0.89401558523578717"/>
        </c:manualLayout>
      </c:layout>
      <c:scatterChart>
        <c:scatterStyle val="lineMarker"/>
        <c:varyColors val="0"/>
        <c:ser>
          <c:idx val="1"/>
          <c:order val="0"/>
          <c:tx>
            <c:v>Tasks</c:v>
          </c:tx>
          <c:spPr>
            <a:ln w="25400" cap="rnd">
              <a:noFill/>
              <a:round/>
            </a:ln>
            <a:effectLst/>
          </c:spPr>
          <c:marker>
            <c:symbol val="diamond"/>
            <c:size val="12"/>
            <c:spPr>
              <a:solidFill>
                <a:schemeClr val="accent1">
                  <a:lumMod val="60000"/>
                  <a:lumOff val="40000"/>
                </a:schemeClr>
              </a:solidFill>
              <a:ln w="9525">
                <a:noFill/>
              </a:ln>
              <a:effectLst/>
            </c:spPr>
          </c:marker>
          <c:dLbls>
            <c:dLbl>
              <c:idx val="0"/>
              <c:tx>
                <c:rich>
                  <a:bodyPr/>
                  <a:lstStyle/>
                  <a:p>
                    <a:endParaRPr lang="en-US"/>
                  </a:p>
                </c:rich>
              </c:tx>
              <c:dLblPos val="l"/>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0-A78E-44FD-BE34-BEB4AEA78674}"/>
                </c:ext>
              </c:extLst>
            </c:dLbl>
            <c:dLbl>
              <c:idx val="1"/>
              <c:tx>
                <c:rich>
                  <a:bodyPr/>
                  <a:lstStyle/>
                  <a:p>
                    <a:fld id="{90C2C040-782C-4986-8C01-9636FABA080C}"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1-A78E-44FD-BE34-BEB4AEA78674}"/>
                </c:ext>
              </c:extLst>
            </c:dLbl>
            <c:dLbl>
              <c:idx val="2"/>
              <c:tx>
                <c:rich>
                  <a:bodyPr/>
                  <a:lstStyle/>
                  <a:p>
                    <a:fld id="{F46E7EB2-1DD1-464C-8F9B-7E02BCE9BAE6}"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2-A78E-44FD-BE34-BEB4AEA78674}"/>
                </c:ext>
              </c:extLst>
            </c:dLbl>
            <c:dLbl>
              <c:idx val="3"/>
              <c:tx>
                <c:rich>
                  <a:bodyPr/>
                  <a:lstStyle/>
                  <a:p>
                    <a:fld id="{DEB98BFC-4C90-43AD-A7BC-79D61FE37ADF}"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3-A78E-44FD-BE34-BEB4AEA78674}"/>
                </c:ext>
              </c:extLst>
            </c:dLbl>
            <c:dLbl>
              <c:idx val="4"/>
              <c:tx>
                <c:rich>
                  <a:bodyPr/>
                  <a:lstStyle/>
                  <a:p>
                    <a:fld id="{F75D5A96-A5E3-4DBA-AA8C-A482EB385984}" type="CELLRANGE">
                      <a:rPr lang="en-GB"/>
                      <a:pPr/>
                      <a:t>[CELLRANGE]</a:t>
                    </a:fld>
                    <a:endParaRPr lang="en-GB"/>
                  </a:p>
                </c:rich>
              </c:tx>
              <c:dLblPos val="l"/>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4-A78E-44FD-BE34-BEB4AEA78674}"/>
                </c:ext>
              </c:extLst>
            </c:dLbl>
            <c:dLbl>
              <c:idx val="5"/>
              <c:tx>
                <c:rich>
                  <a:bodyPr/>
                  <a:lstStyle/>
                  <a:p>
                    <a:endParaRPr lang="en-US"/>
                  </a:p>
                </c:rich>
              </c:tx>
              <c:dLblPos val="l"/>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5-A78E-44FD-BE34-BEB4AEA78674}"/>
                </c:ext>
              </c:extLst>
            </c:dLbl>
            <c:spPr>
              <a:solidFill>
                <a:schemeClr val="bg1">
                  <a:alpha val="60000"/>
                </a:schemeClr>
              </a:solid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dLblPos val="l"/>
            <c:showLegendKey val="0"/>
            <c:showVal val="0"/>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c15:spPr>
                <c15:showDataLabelsRange val="1"/>
                <c15:showLeaderLines val="1"/>
                <c15:leaderLines>
                  <c:spPr>
                    <a:ln w="9525" cap="flat" cmpd="sng" algn="ctr">
                      <a:solidFill>
                        <a:schemeClr val="tx1">
                          <a:lumMod val="35000"/>
                          <a:lumOff val="65000"/>
                        </a:schemeClr>
                      </a:solidFill>
                      <a:round/>
                    </a:ln>
                    <a:effectLst/>
                  </c:spPr>
                </c15:leaderLines>
              </c:ext>
            </c:extLst>
          </c:dLbls>
          <c:errBars>
            <c:errDir val="x"/>
            <c:errBarType val="plus"/>
            <c:errValType val="cust"/>
            <c:noEndCap val="1"/>
            <c:plus>
              <c:numRef>
                <c:f>Timeline!$D$30:$D$35</c:f>
                <c:numCache>
                  <c:formatCode>General</c:formatCode>
                  <c:ptCount val="6"/>
                  <c:pt idx="1">
                    <c:v>149</c:v>
                  </c:pt>
                  <c:pt idx="2">
                    <c:v>91</c:v>
                  </c:pt>
                  <c:pt idx="3">
                    <c:v>13</c:v>
                  </c:pt>
                  <c:pt idx="4">
                    <c:v>17</c:v>
                  </c:pt>
                </c:numCache>
              </c:numRef>
            </c:plus>
            <c:minus>
              <c:numLit>
                <c:formatCode>General</c:formatCode>
                <c:ptCount val="1"/>
                <c:pt idx="0">
                  <c:v>1</c:v>
                </c:pt>
              </c:numLit>
            </c:minus>
            <c:spPr>
              <a:noFill/>
              <a:ln w="152400" cap="flat" cmpd="sng" algn="ctr">
                <a:solidFill>
                  <a:schemeClr val="accent1"/>
                </a:solidFill>
                <a:round/>
              </a:ln>
              <a:effectLst/>
            </c:spPr>
          </c:errBars>
          <c:errBars>
            <c:errDir val="y"/>
            <c:errBarType val="minus"/>
            <c:errValType val="cust"/>
            <c:noEndCap val="1"/>
            <c:plus>
              <c:numLit>
                <c:formatCode>General</c:formatCode>
                <c:ptCount val="1"/>
                <c:pt idx="0">
                  <c:v>0</c:v>
                </c:pt>
              </c:numLit>
            </c:plus>
            <c:minus>
              <c:numRef>
                <c:f>Timeline!$G$30:$G$35</c:f>
                <c:numCache>
                  <c:formatCode>General</c:formatCode>
                  <c:ptCount val="6"/>
                  <c:pt idx="1">
                    <c:v>-25</c:v>
                  </c:pt>
                  <c:pt idx="2">
                    <c:v>-15</c:v>
                  </c:pt>
                  <c:pt idx="3">
                    <c:v>-15</c:v>
                  </c:pt>
                  <c:pt idx="4">
                    <c:v>-80</c:v>
                  </c:pt>
                </c:numCache>
              </c:numRef>
            </c:minus>
            <c:spPr>
              <a:noFill/>
              <a:ln w="12700" cap="flat" cmpd="sng" algn="ctr">
                <a:solidFill>
                  <a:schemeClr val="accent1">
                    <a:lumMod val="75000"/>
                    <a:alpha val="70000"/>
                  </a:schemeClr>
                </a:solidFill>
                <a:prstDash val="solid"/>
                <a:round/>
              </a:ln>
              <a:effectLst/>
            </c:spPr>
          </c:errBars>
          <c:xVal>
            <c:numRef>
              <c:f>Timeline!$B$30:$B$35</c:f>
              <c:numCache>
                <c:formatCode>m/d/yyyy</c:formatCode>
                <c:ptCount val="6"/>
                <c:pt idx="1">
                  <c:v>46192</c:v>
                </c:pt>
                <c:pt idx="2">
                  <c:v>46342</c:v>
                </c:pt>
                <c:pt idx="3">
                  <c:v>46434</c:v>
                </c:pt>
                <c:pt idx="4">
                  <c:v>46448</c:v>
                </c:pt>
              </c:numCache>
            </c:numRef>
          </c:xVal>
          <c:yVal>
            <c:numRef>
              <c:f>Timeline!$F$30:$F$35</c:f>
              <c:numCache>
                <c:formatCode>General</c:formatCode>
                <c:ptCount val="6"/>
                <c:pt idx="1">
                  <c:v>-25</c:v>
                </c:pt>
                <c:pt idx="2">
                  <c:v>-40</c:v>
                </c:pt>
                <c:pt idx="3">
                  <c:v>-55</c:v>
                </c:pt>
                <c:pt idx="4">
                  <c:v>-80</c:v>
                </c:pt>
              </c:numCache>
            </c:numRef>
          </c:yVal>
          <c:smooth val="0"/>
          <c:extLst>
            <c:ext xmlns:c15="http://schemas.microsoft.com/office/drawing/2012/chart" uri="{02D57815-91ED-43cb-92C2-25804820EDAC}">
              <c15:datalabelsRange>
                <c15:f>Timeline!$E$30:$E$35</c15:f>
                <c15:dlblRangeCache>
                  <c:ptCount val="6"/>
                  <c:pt idx="1">
                    <c:v>Planning</c:v>
                  </c:pt>
                  <c:pt idx="2">
                    <c:v>ISS Testing</c:v>
                  </c:pt>
                  <c:pt idx="3">
                    <c:v>Data Analysis and STLE</c:v>
                  </c:pt>
                  <c:pt idx="4">
                    <c:v>Project Report</c:v>
                  </c:pt>
                  <c:pt idx="5">
                    <c:v>Insert new rows above this one</c:v>
                  </c:pt>
                </c15:dlblRangeCache>
              </c15:datalabelsRange>
            </c:ext>
            <c:ext xmlns:c16="http://schemas.microsoft.com/office/drawing/2014/chart" uri="{C3380CC4-5D6E-409C-BE32-E72D297353CC}">
              <c16:uniqueId val="{00000006-A78E-44FD-BE34-BEB4AEA78674}"/>
            </c:ext>
          </c:extLst>
        </c:ser>
        <c:ser>
          <c:idx val="0"/>
          <c:order val="1"/>
          <c:tx>
            <c:v>Milestones</c:v>
          </c:tx>
          <c:spPr>
            <a:ln w="25400" cap="rnd">
              <a:noFill/>
              <a:round/>
            </a:ln>
            <a:effectLst/>
          </c:spPr>
          <c:marker>
            <c:symbol val="diamond"/>
            <c:size val="14"/>
            <c:spPr>
              <a:solidFill>
                <a:schemeClr val="tx1"/>
              </a:solidFill>
              <a:ln w="9525">
                <a:noFill/>
              </a:ln>
              <a:effectLst/>
            </c:spPr>
          </c:marker>
          <c:dPt>
            <c:idx val="0"/>
            <c:marker>
              <c:spPr>
                <a:solidFill>
                  <a:schemeClr val="accent6">
                    <a:lumMod val="75000"/>
                  </a:schemeClr>
                </a:solidFill>
                <a:ln w="9525">
                  <a:noFill/>
                </a:ln>
                <a:effectLst/>
              </c:spPr>
            </c:marker>
            <c:bubble3D val="0"/>
            <c:extLst>
              <c:ext xmlns:c16="http://schemas.microsoft.com/office/drawing/2014/chart" uri="{C3380CC4-5D6E-409C-BE32-E72D297353CC}">
                <c16:uniqueId val="{00000007-A78E-44FD-BE34-BEB4AEA78674}"/>
              </c:ext>
            </c:extLst>
          </c:dPt>
          <c:dPt>
            <c:idx val="1"/>
            <c:marker>
              <c:symbol val="circle"/>
              <c:size val="14"/>
              <c:spPr>
                <a:solidFill>
                  <a:srgbClr val="00B050"/>
                </a:solidFill>
                <a:ln w="9525">
                  <a:noFill/>
                </a:ln>
                <a:effectLst/>
              </c:spPr>
            </c:marker>
            <c:bubble3D val="0"/>
            <c:extLst>
              <c:ext xmlns:c16="http://schemas.microsoft.com/office/drawing/2014/chart" uri="{C3380CC4-5D6E-409C-BE32-E72D297353CC}">
                <c16:uniqueId val="{00000008-A78E-44FD-BE34-BEB4AEA78674}"/>
              </c:ext>
            </c:extLst>
          </c:dPt>
          <c:dPt>
            <c:idx val="6"/>
            <c:marker>
              <c:symbol val="picture"/>
              <c:spPr>
                <a:blipFill>
                  <a:blip xmlns:r="http://schemas.openxmlformats.org/officeDocument/2006/relationships" r:embed="rId1"/>
                  <a:stretch>
                    <a:fillRect/>
                  </a:stretch>
                </a:blipFill>
                <a:ln w="9525">
                  <a:noFill/>
                </a:ln>
                <a:effectLst/>
              </c:spPr>
            </c:marker>
            <c:bubble3D val="0"/>
            <c:extLst>
              <c:ext xmlns:c16="http://schemas.microsoft.com/office/drawing/2014/chart" uri="{C3380CC4-5D6E-409C-BE32-E72D297353CC}">
                <c16:uniqueId val="{00000009-A78E-44FD-BE34-BEB4AEA78674}"/>
              </c:ext>
            </c:extLst>
          </c:dPt>
          <c:dLbls>
            <c:dLbl>
              <c:idx val="0"/>
              <c:tx>
                <c:rich>
                  <a:bodyPr/>
                  <a:lstStyle/>
                  <a:p>
                    <a:endParaRPr lang="en-US"/>
                  </a:p>
                </c:rich>
              </c:tx>
              <c:dLblPos val="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7-A78E-44FD-BE34-BEB4AEA78674}"/>
                </c:ext>
              </c:extLst>
            </c:dLbl>
            <c:dLbl>
              <c:idx val="1"/>
              <c:tx>
                <c:rich>
                  <a:bodyPr/>
                  <a:lstStyle/>
                  <a:p>
                    <a:fld id="{D83FA75B-D5F0-4A6F-A9E2-454BF777BA51}"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8-A78E-44FD-BE34-BEB4AEA78674}"/>
                </c:ext>
              </c:extLst>
            </c:dLbl>
            <c:dLbl>
              <c:idx val="2"/>
              <c:tx>
                <c:rich>
                  <a:bodyPr/>
                  <a:lstStyle/>
                  <a:p>
                    <a:fld id="{B1E1AE11-F1C7-45AC-9291-916B63889C32}"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A-A78E-44FD-BE34-BEB4AEA78674}"/>
                </c:ext>
              </c:extLst>
            </c:dLbl>
            <c:dLbl>
              <c:idx val="3"/>
              <c:tx>
                <c:rich>
                  <a:bodyPr/>
                  <a:lstStyle/>
                  <a:p>
                    <a:fld id="{8AA3FDFD-F84E-42C9-8A9D-3267DDEE8613}"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B-A78E-44FD-BE34-BEB4AEA78674}"/>
                </c:ext>
              </c:extLst>
            </c:dLbl>
            <c:dLbl>
              <c:idx val="4"/>
              <c:tx>
                <c:rich>
                  <a:bodyPr/>
                  <a:lstStyle/>
                  <a:p>
                    <a:fld id="{0C26B0E7-6F23-42A4-BCD5-6B9E16501D43}"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C-A78E-44FD-BE34-BEB4AEA78674}"/>
                </c:ext>
              </c:extLst>
            </c:dLbl>
            <c:dLbl>
              <c:idx val="5"/>
              <c:tx>
                <c:rich>
                  <a:bodyPr/>
                  <a:lstStyle/>
                  <a:p>
                    <a:fld id="{C11B27F1-DA03-414C-8441-3DF463303B07}"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D-A78E-44FD-BE34-BEB4AEA78674}"/>
                </c:ext>
              </c:extLst>
            </c:dLbl>
            <c:dLbl>
              <c:idx val="6"/>
              <c:tx>
                <c:rich>
                  <a:bodyPr/>
                  <a:lstStyle/>
                  <a:p>
                    <a:fld id="{4E45EC9C-B3DA-4754-B493-9E1C568C0F51}" type="CELLRANGE">
                      <a:rPr lang="en-GB"/>
                      <a:pPr/>
                      <a:t>[CELLRANGE]</a:t>
                    </a:fld>
                    <a:endParaRPr lang="en-GB"/>
                  </a:p>
                </c:rich>
              </c:tx>
              <c:dLblPos val="t"/>
              <c:showLegendKey val="0"/>
              <c:showVal val="0"/>
              <c:showCatName val="0"/>
              <c:showSerName val="0"/>
              <c:showPercent val="0"/>
              <c:showBubbleSize val="0"/>
              <c:extLst>
                <c:ext xmlns:c15="http://schemas.microsoft.com/office/drawing/2012/chart" uri="{CE6537A1-D6FC-4f65-9D91-7224C49458BB}">
                  <c15:dlblFieldTable/>
                  <c15:xForSave val="1"/>
                  <c15:showDataLabelsRange val="1"/>
                </c:ext>
                <c:ext xmlns:c16="http://schemas.microsoft.com/office/drawing/2014/chart" uri="{C3380CC4-5D6E-409C-BE32-E72D297353CC}">
                  <c16:uniqueId val="{00000009-A78E-44FD-BE34-BEB4AEA78674}"/>
                </c:ext>
              </c:extLst>
            </c:dLbl>
            <c:dLbl>
              <c:idx val="7"/>
              <c:tx>
                <c:rich>
                  <a:bodyPr/>
                  <a:lstStyle/>
                  <a:p>
                    <a:endParaRPr lang="en-GB"/>
                  </a:p>
                </c:rich>
              </c:tx>
              <c:dLblPos val="t"/>
              <c:showLegendKey val="0"/>
              <c:showVal val="0"/>
              <c:showCatName val="0"/>
              <c:showSerName val="0"/>
              <c:showPercent val="0"/>
              <c:showBubbleSize val="0"/>
              <c:extLst>
                <c:ext xmlns:c15="http://schemas.microsoft.com/office/drawing/2012/chart" uri="{CE6537A1-D6FC-4f65-9D91-7224C49458BB}">
                  <c15:xForSave val="1"/>
                  <c15:showDataLabelsRange val="1"/>
                </c:ext>
                <c:ext xmlns:c16="http://schemas.microsoft.com/office/drawing/2014/chart" uri="{C3380CC4-5D6E-409C-BE32-E72D297353CC}">
                  <c16:uniqueId val="{0000000E-A78E-44FD-BE34-BEB4AEA78674}"/>
                </c:ext>
              </c:extLst>
            </c:dLbl>
            <c:dLbl>
              <c:idx val="8"/>
              <c:tx>
                <c:rich>
                  <a:bodyPr/>
                  <a:lstStyle/>
                  <a:p>
                    <a:endParaRPr lang="en-US"/>
                  </a:p>
                </c:rich>
              </c:tx>
              <c:dLblPos val="t"/>
              <c:showLegendKey val="0"/>
              <c:showVal val="0"/>
              <c:showCatName val="0"/>
              <c:showSerName val="0"/>
              <c:showPercent val="0"/>
              <c:showBubbleSize val="0"/>
              <c:extLst>
                <c:ext xmlns:c15="http://schemas.microsoft.com/office/drawing/2012/chart" uri="{CE6537A1-D6FC-4f65-9D91-7224C49458BB}">
                  <c15:showDataLabelsRange val="0"/>
                </c:ext>
                <c:ext xmlns:c16="http://schemas.microsoft.com/office/drawing/2014/chart" uri="{C3380CC4-5D6E-409C-BE32-E72D297353CC}">
                  <c16:uniqueId val="{0000000F-A78E-44FD-BE34-BEB4AEA78674}"/>
                </c:ext>
              </c:extLst>
            </c:dLbl>
            <c:spPr>
              <a:solidFill>
                <a:schemeClr val="bg1">
                  <a:alpha val="50000"/>
                </a:schemeClr>
              </a:solid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ysClr val="windowText" lastClr="000000"/>
                    </a:solidFill>
                    <a:latin typeface="+mn-lt"/>
                    <a:ea typeface="+mn-ea"/>
                    <a:cs typeface="+mn-cs"/>
                  </a:defRPr>
                </a:pPr>
                <a:endParaRPr lang="en-US"/>
              </a:p>
            </c:txPr>
            <c:dLblPos val="t"/>
            <c:showLegendKey val="0"/>
            <c:showVal val="0"/>
            <c:showCatName val="0"/>
            <c:showSerName val="0"/>
            <c:showPercent val="0"/>
            <c:showBubbleSize val="0"/>
            <c:showLeaderLines val="0"/>
            <c:extLst>
              <c:ext xmlns:c15="http://schemas.microsoft.com/office/drawing/2012/chart" uri="{CE6537A1-D6FC-4f65-9D91-7224C49458BB}">
                <c15:showDataLabelsRange val="1"/>
                <c15:showLeaderLines val="1"/>
                <c15:leaderLines>
                  <c:spPr>
                    <a:ln w="9525" cap="flat" cmpd="sng" algn="ctr">
                      <a:solidFill>
                        <a:schemeClr val="tx1">
                          <a:lumMod val="35000"/>
                          <a:lumOff val="65000"/>
                        </a:schemeClr>
                      </a:solidFill>
                      <a:round/>
                    </a:ln>
                    <a:effectLst/>
                  </c:spPr>
                </c15:leaderLines>
              </c:ext>
            </c:extLst>
          </c:dLbls>
          <c:errBars>
            <c:errDir val="y"/>
            <c:errBarType val="minus"/>
            <c:errValType val="percentage"/>
            <c:noEndCap val="1"/>
            <c:val val="100"/>
            <c:spPr>
              <a:noFill/>
              <a:ln w="12700" cap="flat" cmpd="sng" algn="ctr">
                <a:solidFill>
                  <a:schemeClr val="tx1">
                    <a:lumMod val="75000"/>
                    <a:lumOff val="25000"/>
                  </a:schemeClr>
                </a:solidFill>
                <a:prstDash val="dash"/>
                <a:round/>
              </a:ln>
              <a:effectLst/>
            </c:spPr>
          </c:errBars>
          <c:xVal>
            <c:numRef>
              <c:f>Timeline!$B$39:$B$47</c:f>
              <c:numCache>
                <c:formatCode>m/d/yyyy</c:formatCode>
                <c:ptCount val="9"/>
                <c:pt idx="1">
                  <c:v>46192</c:v>
                </c:pt>
                <c:pt idx="2">
                  <c:v>46254</c:v>
                </c:pt>
                <c:pt idx="3">
                  <c:v>46275</c:v>
                </c:pt>
                <c:pt idx="4">
                  <c:v>46433</c:v>
                </c:pt>
                <c:pt idx="5">
                  <c:v>46447</c:v>
                </c:pt>
                <c:pt idx="6">
                  <c:v>46465</c:v>
                </c:pt>
              </c:numCache>
            </c:numRef>
          </c:xVal>
          <c:yVal>
            <c:numRef>
              <c:f>Timeline!$F$39:$F$47</c:f>
              <c:numCache>
                <c:formatCode>General</c:formatCode>
                <c:ptCount val="9"/>
                <c:pt idx="1">
                  <c:v>30</c:v>
                </c:pt>
                <c:pt idx="2">
                  <c:v>25</c:v>
                </c:pt>
                <c:pt idx="3">
                  <c:v>20</c:v>
                </c:pt>
                <c:pt idx="4">
                  <c:v>35</c:v>
                </c:pt>
                <c:pt idx="5">
                  <c:v>20</c:v>
                </c:pt>
                <c:pt idx="6">
                  <c:v>5</c:v>
                </c:pt>
              </c:numCache>
            </c:numRef>
          </c:yVal>
          <c:smooth val="0"/>
          <c:extLst>
            <c:ext xmlns:c15="http://schemas.microsoft.com/office/drawing/2012/chart" uri="{02D57815-91ED-43cb-92C2-25804820EDAC}">
              <c15:datalabelsRange>
                <c15:f>Timeline!$E$39:$E$47</c15:f>
                <c15:dlblRangeCache>
                  <c:ptCount val="9"/>
                  <c:pt idx="1">
                    <c:v>Start, Jun 19</c:v>
                  </c:pt>
                  <c:pt idx="2">
                    <c:v>ISS Plan Drafted</c:v>
                  </c:pt>
                  <c:pt idx="3">
                    <c:v>ISS Plan Reviewed</c:v>
                  </c:pt>
                  <c:pt idx="4">
                    <c:v>Data Extracted</c:v>
                  </c:pt>
                  <c:pt idx="5">
                    <c:v>Extension Granted</c:v>
                  </c:pt>
                  <c:pt idx="6">
                    <c:v>Project Report Hand In</c:v>
                  </c:pt>
                  <c:pt idx="8">
                    <c:v>Insert new rows above this one</c:v>
                  </c:pt>
                </c15:dlblRangeCache>
              </c15:datalabelsRange>
            </c:ext>
            <c:ext xmlns:c16="http://schemas.microsoft.com/office/drawing/2014/chart" uri="{C3380CC4-5D6E-409C-BE32-E72D297353CC}">
              <c16:uniqueId val="{00000010-A78E-44FD-BE34-BEB4AEA78674}"/>
            </c:ext>
          </c:extLst>
        </c:ser>
        <c:dLbls>
          <c:showLegendKey val="0"/>
          <c:showVal val="0"/>
          <c:showCatName val="0"/>
          <c:showSerName val="0"/>
          <c:showPercent val="0"/>
          <c:showBubbleSize val="0"/>
        </c:dLbls>
        <c:axId val="484833240"/>
        <c:axId val="484834552"/>
      </c:scatterChart>
      <c:valAx>
        <c:axId val="484833240"/>
        <c:scaling>
          <c:orientation val="minMax"/>
        </c:scaling>
        <c:delete val="0"/>
        <c:axPos val="b"/>
        <c:numFmt formatCode="m/d/yyyy" sourceLinked="1"/>
        <c:majorTickMark val="cross"/>
        <c:minorTickMark val="none"/>
        <c:tickLblPos val="nextTo"/>
        <c:spPr>
          <a:noFill/>
          <a:ln w="63500" cap="flat" cmpd="sng" algn="ctr">
            <a:solidFill>
              <a:schemeClr val="tx1">
                <a:lumMod val="50000"/>
                <a:lumOff val="50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484834552"/>
        <c:crosses val="autoZero"/>
        <c:crossBetween val="midCat"/>
      </c:valAx>
      <c:valAx>
        <c:axId val="484834552"/>
        <c:scaling>
          <c:orientation val="minMax"/>
          <c:max val="50"/>
          <c:min val="-100"/>
        </c:scaling>
        <c:delete val="1"/>
        <c:axPos val="l"/>
        <c:numFmt formatCode="General" sourceLinked="1"/>
        <c:majorTickMark val="out"/>
        <c:minorTickMark val="none"/>
        <c:tickLblPos val="nextTo"/>
        <c:crossAx val="484833240"/>
        <c:crosses val="autoZero"/>
        <c:crossBetween val="midCat"/>
        <c:majorUnit val="25"/>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38100" cap="flat" cmpd="sng" algn="ctr">
      <a:solidFill>
        <a:schemeClr val="bg1">
          <a:lumMod val="85000"/>
        </a:schemeClr>
      </a:solidFill>
      <a:round/>
    </a:ln>
    <a:effectLst/>
  </c:spPr>
  <c:txPr>
    <a:bodyPr/>
    <a:lstStyle/>
    <a:p>
      <a:pPr>
        <a:defRPr/>
      </a:pPr>
      <a:endParaRPr lang="en-US"/>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Min25</b:Tag>
    <b:SourceType>InternetSite</b:SourceType>
    <b:Guid>{DEEDE886-7FAC-43DF-9178-01D380E553D1}</b:Guid>
    <b:Title>DSA03 OME: part 1 OME Acquisition</b:Title>
    <b:Year>2025</b:Year>
    <b:Month>November</b:Month>
    <b:Day>20</b:Day>
    <b:YearAccessed>2026</b:YearAccessed>
    <b:MonthAccessed>June</b:MonthAccessed>
    <b:DayAccessed>18</b:DayAccessed>
    <b:URL>https://www.gov.uk/government/publications/dsa03-ome-part-1-ome-acquisition</b:URL>
    <b:Author>
      <b:Author>
        <b:Corporate>Ministry of Defence</b:Corporate>
      </b:Author>
    </b:Author>
    <b:ProductionCompany>Ministry of Defence</b:ProductionCompany>
    <b:RefOrder>2</b:RefOrder>
  </b:Source>
  <b:Source>
    <b:Tag>Def</b:Tag>
    <b:SourceType>DocumentFromInternetSite</b:SourceType>
    <b:Guid>{56305F41-6E4F-4F9F-9231-2301B8FD3EE1}</b:Guid>
    <b:Title>DSA 03.OME Part 1: Defence Code of Practice (DCOP) 113 OME Through-Life Capability Management (TLCM)</b:Title>
    <b:Author>
      <b:Author>
        <b:Corporate>Defence Safety Authority</b:Corporate>
      </b:Author>
    </b:Author>
    <b:URL>https://assets.publishing.service.gov.uk/media/69b1604558d4ef5adaf0e444/DSA_03.OME_Part_1-DCOP113_OME_Through-Life_Capability_Management__v2.0_Feb_26_.pdf</b:URL>
    <b:Year>2025</b:Year>
    <b:Month>November</b:Month>
    <b:Day>20</b:Day>
    <b:YearAccessed>2026</b:YearAccessed>
    <b:MonthAccessed>June</b:MonthAccessed>
    <b:DayAccessed>18</b:DayAccessed>
    <b:RefOrder>3</b:RefOrder>
  </b:Source>
  <b:Source>
    <b:Tag>Nor17</b:Tag>
    <b:SourceType>DocumentFromInternetSite</b:SourceType>
    <b:Guid>{53455CEC-DF16-4A92-9EBD-3162C79ED236}</b:Guid>
    <b:Author>
      <b:Author>
        <b:Corporate>North Atlantic Treaty Organization (NATO)</b:Corporate>
      </b:Author>
    </b:Author>
    <b:Title>NATO - AOP-62</b:Title>
    <b:Year>2017</b:Year>
    <b:Month>February</b:Month>
    <b:Day>27</b:Day>
    <b:YearAccessed>2026</b:YearAccessed>
    <b:MonthAccessed>June</b:MonthAccessed>
    <b:DayAccessed>18</b:DayAccessed>
    <b:URL>https://standards.globalspec.com/std/10266598/aop-62</b:URL>
    <b:RefOrder>5</b:RefOrder>
  </b:Source>
  <b:Source>
    <b:Tag>NAT17</b:Tag>
    <b:SourceType>DocumentFromInternetSite</b:SourceType>
    <b:Guid>{397DD361-7D14-4005-8179-3E52722FB971}</b:Guid>
    <b:Title>NATO - STANAG 4675</b:Title>
    <b:Year>2017</b:Year>
    <b:Month>February</b:Month>
    <b:Day>27</b:Day>
    <b:YearAccessed>2026</b:YearAccessed>
    <b:MonthAccessed>June</b:MonthAccessed>
    <b:DayAccessed>18</b:DayAccessed>
    <b:URL>https://standards.globalspec.com/std/10199856/stanag-4675</b:URL>
    <b:Author>
      <b:Author>
        <b:Corporate>North Atlantic Treaty Organization (NATO)</b:Corporate>
      </b:Author>
    </b:Author>
    <b:RefOrder>4</b:RefOrder>
  </b:Source>
  <b:Source>
    <b:Tag>UKM05</b:Tag>
    <b:SourceType>DocumentFromInternetSite</b:SourceType>
    <b:Guid>{DB60C4E3-CBEC-441F-B346-1C09D0BE0BE3}</b:Guid>
    <b:Author>
      <b:Author>
        <b:Corporate>UK Ministry of Defence</b:Corporate>
      </b:Author>
    </b:Author>
    <b:Title>DEF STAN 05-101 - Proof of Ordnance, Munitions, Armour and Explosives Part 1 Requirements</b:Title>
    <b:Year>2005</b:Year>
    <b:Month>May</b:Month>
    <b:Day>20</b:Day>
    <b:YearAccessed>2026</b:YearAccessed>
    <b:MonthAccessed>June</b:MonthAccessed>
    <b:DayAccessed>18</b:DayAccessed>
    <b:URL>https://standards.globalspec.com/std/805186/def-stan-05-101-part-1</b:URL>
    <b:RefOrder>6</b:RefOrder>
  </b:Source>
  <b:Source>
    <b:Tag>Sch11</b:Tag>
    <b:SourceType>ConferenceProceedings</b:SourceType>
    <b:Guid>{AD5041F2-704B-4A75-AF85-985740F982C6}</b:Guid>
    <b:Author>
      <b:Author>
        <b:NameList>
          <b:Person>
            <b:Last>K.</b:Last>
            <b:First>Schadow</b:First>
          </b:Person>
        </b:NameList>
      </b:Author>
    </b:Author>
    <b:Title>Health Management of Munitions</b:Title>
    <b:Year>2011</b:Year>
    <b:YearAccessed>2026</b:YearAccessed>
    <b:MonthAccessed>June</b:MonthAccessed>
    <b:DayAccessed>18</b:DayAccessed>
    <b:URL>https://www.sto.nato.int/document/health-management-of-munitions/</b:URL>
    <b:ConferenceName>Applied Vehicle Technology Panel</b:ConferenceName>
    <b:City>Brussels</b:City>
    <b:RefOrder>16</b:RefOrder>
  </b:Source>
  <b:Source>
    <b:Tag>BON23</b:Tag>
    <b:SourceType>JournalArticle</b:SourceType>
    <b:Guid>{3F6A4BC9-62CF-4E5D-8BE7-0B03AD6E056D}</b:Guid>
    <b:Title>Comprehensive Approach of Testing and Evaluation and Involvement of NDT in the Ammunition Life Cycle</b:Title>
    <b:Year>2023</b:Year>
    <b:JournalName>Bulgarian Society for NDT</b:JournalName>
    <b:Volume>6</b:Volume>
    <b:Issue>2</b:Issue>
    <b:URL>https://www.ndt.net/article/NDTDays2023/papers/JNDTD-v6-n2-a01.pdf</b:URL>
    <b:Author>
      <b:Author>
        <b:NameList>
          <b:Person>
            <b:Last>BONCHEV</b:Last>
            <b:First>Petko</b:First>
          </b:Person>
          <b:Person>
            <b:Last>NEDELCHECV</b:Last>
            <b:First>Delyan</b:First>
          </b:Person>
        </b:NameList>
      </b:Author>
    </b:Author>
    <b:RefOrder>11</b:RefOrder>
  </b:Source>
  <b:Source>
    <b:Tag>GEN18</b:Tag>
    <b:SourceType>JournalArticle</b:SourceType>
    <b:Guid>{2DEBCF41-7376-4887-BCF8-C46CBB2BE922}</b:Guid>
    <b:Title>Criteria for Selection of NDT in the Ammunition Life Cycle</b:Title>
    <b:JournalName>Bulgarian Society for NDT </b:JournalName>
    <b:Year>2018</b:Year>
    <b:Volume>1</b:Volume>
    <b:Issue>4</b:Issue>
    <b:Author>
      <b:Author>
        <b:NameList>
          <b:Person>
            <b:Last>GENOV</b:Last>
            <b:First>Borislav</b:First>
          </b:Person>
        </b:NameList>
      </b:Author>
    </b:Author>
    <b:RefOrder>9</b:RefOrder>
  </b:Source>
  <b:Source>
    <b:Tag>Mar24</b:Tag>
    <b:SourceType>JournalArticle</b:SourceType>
    <b:Guid>{74AF8488-44EB-4D3A-9FA7-B1BA9800B7DA}</b:Guid>
    <b:Title>NON-DESTRUCTIVE TESTING OF SOLID PROPELLANTS: A REVIEW OF METHODS AND APPLICATIONS </b:Title>
    <b:JournalName>Defence S&amp;T Tech</b:JournalName>
    <b:Year>2024</b:Year>
    <b:Pages>105-125</b:Pages>
    <b:Volume>17</b:Volume>
    <b:Issue>2</b:Issue>
    <b:Author>
      <b:Author>
        <b:NameList>
          <b:Person>
            <b:Last>Group</b:Last>
            <b:First>Marine</b:First>
            <b:Middle>Materials Research</b:Middle>
          </b:Person>
        </b:NameList>
      </b:Author>
    </b:Author>
    <b:RefOrder>10</b:RefOrder>
  </b:Source>
  <b:Source>
    <b:Tag>Yam1</b:Tag>
    <b:SourceType>BookSection</b:SourceType>
    <b:Guid>{BE5A16B9-7C41-49A3-8D1A-42DC130A602B}</b:Guid>
    <b:Title>Poisson Distribution</b:Title>
    <b:Publisher>HARPER &amp; ROW</b:Publisher>
    <b:City>New York</b:City>
    <b:BookTitle>Statistics; An Introductory Analysis</b:BookTitle>
    <b:Pages>588-612</b:Pages>
    <b:Author>
      <b:Author>
        <b:NameList>
          <b:Person>
            <b:Last>Yamane</b:Last>
            <b:First>Taro</b:First>
          </b:Person>
        </b:NameList>
      </b:Author>
    </b:Author>
    <b:RefOrder>13</b:RefOrder>
  </b:Source>
  <b:Source>
    <b:Tag>Def25</b:Tag>
    <b:SourceType>DocumentFromInternetSite</b:SourceType>
    <b:Guid>{540A36AA-F762-489A-A2A3-58946CD640A0}</b:Guid>
    <b:Title>DCOP 105 - Safety Risk Management </b:Title>
    <b:Year>2025</b:Year>
    <b:Author>
      <b:Author>
        <b:Corporate>Defence Safety Authority</b:Corporate>
      </b:Author>
    </b:Author>
    <b:Month>November</b:Month>
    <b:Day>20</b:Day>
    <b:YearAccessed>2026</b:YearAccessed>
    <b:MonthAccessed>June</b:MonthAccessed>
    <b:DayAccessed>18</b:DayAccessed>
    <b:URL>https://assets.publishing.service.gov.uk/media/69b15f8824c6431b84f0e440/DSA_03.OME_Part_1-DCOP105_Safety_Risk_Management__v2.0_Feb_26_.pdf</b:URL>
    <b:RefOrder>15</b:RefOrder>
  </b:Source>
  <b:Source>
    <b:Tag>Int26</b:Tag>
    <b:SourceType>DocumentFromInternetSite</b:SourceType>
    <b:Guid>{10409005-6688-4414-A121-75C0E2D24064}</b:Guid>
    <b:Author>
      <b:Author>
        <b:Corporate>International Ammunition Technical Guidelines</b:Corporate>
      </b:Author>
    </b:Author>
    <b:Title>In-Service Surveillance</b:Title>
    <b:YearAccessed>2026</b:YearAccessed>
    <b:MonthAccessed>June</b:MonthAccessed>
    <b:DayAccessed>18</b:DayAccessed>
    <b:URL>https://data.unsaferguard.org/iatg/en/IATG-07.10-Surveillance-proof-IATG-V.3.pdf </b:URL>
    <b:RefOrder>14</b:RefOrder>
  </b:Source>
  <b:Source>
    <b:Tag>WES26</b:Tag>
    <b:SourceType>DocumentFromInternetSite</b:SourceType>
    <b:Guid>{D6F2B99D-1524-4CF2-B0ED-D3ACF1231AA0}</b:Guid>
    <b:Author>
      <b:Author>
        <b:Corporate>WESCOM Defence</b:Corporate>
      </b:Author>
    </b:Author>
    <b:Title>40mm Coloured Smoke Cartridges</b:Title>
    <b:YearAccessed>2026</b:YearAccessed>
    <b:MonthAccessed>June</b:MonthAccessed>
    <b:DayAccessed>18</b:DayAccessed>
    <b:URL>https://wescomdefence.com/product/tactical-signalling-marking/40mm-coloured-smoke-cartridges/</b:URL>
    <b:RefOrder>1</b:RefOrder>
  </b:Source>
  <b:Source>
    <b:Tag>Qin26</b:Tag>
    <b:SourceType>InternetSite</b:SourceType>
    <b:Guid>{C077519E-FE62-4ACD-A898-10CAADDD160E}</b:Guid>
    <b:Title>QinetiQ's work at MOD Pendine</b:Title>
    <b:YearAccessed>2026</b:YearAccessed>
    <b:MonthAccessed>June</b:MonthAccessed>
    <b:DayAccessed>18</b:DayAccessed>
    <b:URL>https://www.qinetiq.com/en/pendine/about/qinetiqs-work-at-mod-pendine</b:URL>
    <b:Author>
      <b:Author>
        <b:Corporate>QinetiQ</b:Corporate>
      </b:Author>
    </b:Author>
    <b:ProductionCompany>QinetiQ</b:ProductionCompany>
    <b:RefOrder>17</b:RefOrder>
  </b:Source>
  <b:Source>
    <b:Tag>Cay10</b:Tag>
    <b:SourceType>ConferenceProceedings</b:SourceType>
    <b:Guid>{AD92D384-FB8C-4EF0-BDDA-50D27BF7F85B}</b:Guid>
    <b:Title>Shelf Life Extension of One Shot Device Based on Reliability Analysis</b:Title>
    <b:Year>2010</b:Year>
    <b:ConferenceName>Applied Vehicle Technology Panel</b:ConferenceName>
    <b:City>Brussels</b:City>
    <b:Author>
      <b:Author>
        <b:NameList>
          <b:Person>
            <b:Last>Caylar</b:Last>
            <b:First>S</b:First>
          </b:Person>
          <b:Person>
            <b:Last>Vardar</b:Last>
            <b:First>K</b:First>
          </b:Person>
        </b:NameList>
      </b:Author>
    </b:Author>
    <b:RefOrder>8</b:RefOrder>
  </b:Source>
  <b:Source>
    <b:Tag>Car18</b:Tag>
    <b:SourceType>DocumentFromInternetSite</b:SourceType>
    <b:Guid>{A6F1AEB9-59C6-4896-9279-A4AA41CEC76E}</b:Guid>
    <b:Title>A Practical Guide to Life-cycle Management of Ammunition</b:Title>
    <b:Year>2018</b:Year>
    <b:Month>April</b:Month>
    <b:YearAccessed>2026</b:YearAccessed>
    <b:MonthAccessed>June</b:MonthAccessed>
    <b:DayAccessed>19</b:DayAccessed>
    <b:URL>https://www.smallarmssurvey.org/sites/default/files/resources/LCMA%20Handbook%20Text%20REV5%20WEB.pdf?utm_source=copilot.com</b:URL>
    <b:Author>
      <b:Author>
        <b:NameList>
          <b:Person>
            <b:Last>Carapic</b:Last>
            <b:First>Jovana</b:First>
          </b:Person>
          <b:Person>
            <b:Last>Deschambault</b:Last>
            <b:First>Eric J</b:First>
          </b:Person>
          <b:Person>
            <b:Last>Holtom</b:Last>
            <b:First>Paul</b:First>
          </b:Person>
          <b:Person>
            <b:Last>King</b:Last>
            <b:First>Benjamin</b:First>
          </b:Person>
        </b:NameList>
      </b:Author>
    </b:Author>
    <b:RefOrder>7</b:RefOrder>
  </b:Source>
  <b:Source>
    <b:Tag>Col21</b:Tag>
    <b:SourceType>DocumentFromInternetSite</b:SourceType>
    <b:Guid>{08DB0694-F4BA-4267-A48A-691A7FDD9DB4}</b:Guid>
    <b:Title>L-266 International Review of ISS Practices</b:Title>
    <b:Year>2021</b:Year>
    <b:Month>May</b:Month>
    <b:YearAccessed>2026</b:YearAccessed>
    <b:MonthAccessed>June</b:MonthAccessed>
    <b:DayAccessed>19</b:DayAccessed>
    <b:URL>https://www.msiac.nato.int/publication/l-266-international-review-of-iss-practices/?utm_source=copilot.com</b:URL>
    <b:Author>
      <b:Author>
        <b:NameList>
          <b:Person>
            <b:Last>Collet</b:Last>
            <b:First>Christelle</b:First>
          </b:Person>
        </b:NameList>
      </b:Author>
    </b:Author>
    <b:RefOrder>12</b:RefOrder>
  </b:Source>
</b:Sources>
</file>

<file path=customXml/itemProps1.xml><?xml version="1.0" encoding="utf-8"?>
<ds:datastoreItem xmlns:ds="http://schemas.openxmlformats.org/officeDocument/2006/customXml" ds:itemID="{CB2C26D1-56AF-43AE-B708-61C0388C49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1157</TotalTime>
  <Pages>9</Pages>
  <Words>1793</Words>
  <Characters>10221</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Sam Hawkins (2216506)</cp:lastModifiedBy>
  <cp:revision>352</cp:revision>
  <dcterms:created xsi:type="dcterms:W3CDTF">2026-06-17T10:18:00Z</dcterms:created>
  <dcterms:modified xsi:type="dcterms:W3CDTF">2026-06-19T11:27:00Z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SIP_Label_8e28611e-2819-430a-bdf7-3581be6cbbdd_Enabled">
    <vt:lpwstr>true</vt:lpwstr>
  </property>
  <property fmtid="{D5CDD505-2E9C-101B-9397-08002B2CF9AE}" pid="4" name="MSIP_Label_8e28611e-2819-430a-bdf7-3581be6cbbdd_SetDate">
    <vt:lpwstr>2026-06-19T07:10:25Z</vt:lpwstr>
  </property>
  <property fmtid="{D5CDD505-2E9C-101B-9397-08002B2CF9AE}" pid="5" name="MSIP_Label_8e28611e-2819-430a-bdf7-3581be6cbbdd_Method">
    <vt:lpwstr>Privileged</vt:lpwstr>
  </property>
  <property fmtid="{D5CDD505-2E9C-101B-9397-08002B2CF9AE}" pid="6" name="MSIP_Label_8e28611e-2819-430a-bdf7-3581be6cbbdd_Name">
    <vt:lpwstr>MOD-1-NWR-‘NON-WORK  RELATED’</vt:lpwstr>
  </property>
  <property fmtid="{D5CDD505-2E9C-101B-9397-08002B2CF9AE}" pid="7" name="MSIP_Label_8e28611e-2819-430a-bdf7-3581be6cbbdd_SiteId">
    <vt:lpwstr>be7760ed-5953-484b-ae95-d0a16dfa09e5</vt:lpwstr>
  </property>
  <property fmtid="{D5CDD505-2E9C-101B-9397-08002B2CF9AE}" pid="8" name="MSIP_Label_8e28611e-2819-430a-bdf7-3581be6cbbdd_ActionId">
    <vt:lpwstr>043204e9-de3f-4fec-a240-1787f54f0746</vt:lpwstr>
  </property>
  <property fmtid="{D5CDD505-2E9C-101B-9397-08002B2CF9AE}" pid="9" name="MSIP_Label_8e28611e-2819-430a-bdf7-3581be6cbbdd_ContentBits">
    <vt:lpwstr>0</vt:lpwstr>
  </property>
  <property fmtid="{D5CDD505-2E9C-101B-9397-08002B2CF9AE}" pid="10" name="MSIP_Label_8e28611e-2819-430a-bdf7-3581be6cbbdd_Tag">
    <vt:lpwstr>10, 0, 1, 1</vt:lpwstr>
  </property>
</Properties>
</file>