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ascii="Candara" w:hAnsi="Candara" w:cs="Arial"/>
          <w:sz w:val="13"/>
          <w:szCs w:val="13"/>
        </w:rPr>
      </w:pPr>
      <w:bookmarkStart w:id="12" w:name="_GoBack"/>
      <w:bookmarkEnd w:id="12"/>
      <w:r>
        <w:rPr>
          <w:rFonts w:ascii="Candara" w:hAnsi="Candara" w:cs="Arial"/>
          <w:sz w:val="13"/>
          <w:szCs w:val="13"/>
        </w:rPr>
        <w:drawing>
          <wp:inline distT="0" distB="0" distL="0" distR="0">
            <wp:extent cx="5163185" cy="266446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5178662" cy="2672189"/>
                    </a:xfrm>
                    <a:prstGeom prst="rect">
                      <a:avLst/>
                    </a:prstGeom>
                    <a:noFill/>
                  </pic:spPr>
                </pic:pic>
              </a:graphicData>
            </a:graphic>
          </wp:inline>
        </w:drawing>
      </w:r>
    </w:p>
    <w:p>
      <w:pPr>
        <w:pStyle w:val="17"/>
        <w:jc w:val="both"/>
        <w:rPr>
          <w:rFonts w:ascii="Candara" w:hAnsi="Candara" w:cs="Arial"/>
          <w:sz w:val="28"/>
          <w:szCs w:val="28"/>
        </w:rPr>
      </w:pPr>
      <w:r>
        <w:rPr>
          <w:rFonts w:ascii="Candara" w:hAnsi="Candara" w:cs="Arial"/>
          <w:sz w:val="28"/>
          <w:szCs w:val="28"/>
        </w:rPr>
        <w:t>Strategic Marketing Plan of Marriott in the context of covid-19 pandemic</w:t>
      </w:r>
    </w:p>
    <w:p>
      <w:pPr>
        <w:jc w:val="center"/>
        <w:rPr>
          <w:rFonts w:ascii="Candara" w:hAnsi="Candara" w:cs="Arial"/>
          <w:sz w:val="28"/>
          <w:szCs w:val="28"/>
        </w:rPr>
      </w:pPr>
    </w:p>
    <w:p>
      <w:pPr>
        <w:jc w:val="center"/>
        <w:rPr>
          <w:rFonts w:hint="default" w:ascii="Candara" w:hAnsi="Candara" w:cs="Arial"/>
          <w:sz w:val="28"/>
          <w:szCs w:val="28"/>
          <w:lang w:eastAsia="zh-Hans"/>
        </w:rPr>
      </w:pPr>
      <w:r>
        <w:rPr>
          <w:rFonts w:hint="eastAsia" w:ascii="Candara" w:hAnsi="Candara" w:cs="Arial"/>
          <w:sz w:val="28"/>
          <w:szCs w:val="28"/>
          <w:lang w:val="en-US" w:eastAsia="zh-Hans"/>
        </w:rPr>
        <w:t>Junjie</w:t>
      </w:r>
      <w:r>
        <w:rPr>
          <w:rFonts w:hint="default" w:ascii="Candara" w:hAnsi="Candara" w:cs="Arial"/>
          <w:sz w:val="28"/>
          <w:szCs w:val="28"/>
          <w:lang w:eastAsia="zh-Hans"/>
        </w:rPr>
        <w:t xml:space="preserve"> </w:t>
      </w:r>
      <w:r>
        <w:rPr>
          <w:rFonts w:hint="eastAsia" w:ascii="Candara" w:hAnsi="Candara" w:cs="Arial"/>
          <w:sz w:val="28"/>
          <w:szCs w:val="28"/>
          <w:lang w:val="en-US" w:eastAsia="zh-Hans"/>
        </w:rPr>
        <w:t>Li</w:t>
      </w:r>
      <w:r>
        <w:rPr>
          <w:rFonts w:hint="default" w:ascii="Candara" w:hAnsi="Candara" w:cs="Arial"/>
          <w:sz w:val="28"/>
          <w:szCs w:val="28"/>
          <w:lang w:eastAsia="zh-Hans"/>
        </w:rPr>
        <w:t xml:space="preserve"> (2105553)</w:t>
      </w:r>
    </w:p>
    <w:p>
      <w:pPr>
        <w:jc w:val="center"/>
        <w:rPr>
          <w:rFonts w:hint="default" w:ascii="Candara" w:hAnsi="Candara" w:cs="Arial"/>
          <w:sz w:val="28"/>
          <w:szCs w:val="28"/>
          <w:lang w:eastAsia="zh-Hans"/>
        </w:rPr>
      </w:pPr>
      <w:r>
        <w:rPr>
          <w:rFonts w:hint="default" w:ascii="Candara" w:hAnsi="Candara" w:cs="Arial"/>
          <w:sz w:val="28"/>
          <w:szCs w:val="28"/>
          <w:lang w:eastAsia="zh-Hans"/>
        </w:rPr>
        <w:t>Strategic Marketing (BMBM6016)</w:t>
      </w:r>
    </w:p>
    <w:p>
      <w:pPr>
        <w:rPr>
          <w:rFonts w:ascii="Candara" w:hAnsi="Candara" w:cs="Arial"/>
          <w:sz w:val="28"/>
          <w:szCs w:val="28"/>
        </w:rPr>
      </w:pPr>
      <w:r>
        <w:rPr>
          <w:rFonts w:ascii="Candara" w:hAnsi="Candara" w:cs="Arial"/>
          <w:sz w:val="28"/>
          <w:szCs w:val="28"/>
        </w:rPr>
        <w:br w:type="page"/>
      </w:r>
    </w:p>
    <w:sdt>
      <w:sdtPr>
        <w:rPr>
          <w:rFonts w:hint="default" w:ascii="Times New Roman Regular" w:hAnsi="Times New Roman Regular" w:cs="Times New Roman Regular" w:eastAsiaTheme="minorEastAsia"/>
          <w:b/>
          <w:bCs/>
          <w:color w:val="auto"/>
          <w:sz w:val="30"/>
          <w:szCs w:val="30"/>
          <w:lang w:val="zh-CN"/>
        </w:rPr>
        <w:id w:val="0"/>
      </w:sdtPr>
      <w:sdtEndPr>
        <w:rPr>
          <w:rFonts w:hint="default" w:asciiTheme="minorHAnsi" w:hAnsiTheme="minorHAnsi" w:eastAsiaTheme="minorEastAsia" w:cstheme="minorBidi"/>
          <w:b/>
          <w:bCs/>
          <w:color w:val="auto"/>
          <w:sz w:val="21"/>
          <w:szCs w:val="21"/>
          <w:lang w:val="zh-CN"/>
        </w:rPr>
      </w:sdtEndPr>
      <w:sdtContent>
        <w:p>
          <w:pPr>
            <w:pStyle w:val="47"/>
            <w:jc w:val="center"/>
            <w:rPr>
              <w:rFonts w:hint="default" w:ascii="Times New Roman Regular" w:hAnsi="Times New Roman Regular" w:cs="Times New Roman Regular"/>
              <w:b/>
              <w:bCs/>
              <w:sz w:val="30"/>
              <w:szCs w:val="30"/>
            </w:rPr>
          </w:pPr>
          <w:r>
            <w:rPr>
              <w:rFonts w:hint="default" w:ascii="Times New Roman Regular" w:hAnsi="Times New Roman Regular" w:cs="Times New Roman Regular"/>
              <w:b/>
              <w:bCs/>
              <w:sz w:val="30"/>
              <w:szCs w:val="30"/>
              <w:lang w:val="zh-CN"/>
            </w:rPr>
            <w:t>Content Lists</w:t>
          </w:r>
        </w:p>
        <w:p>
          <w:pPr>
            <w:pStyle w:val="14"/>
            <w:tabs>
              <w:tab w:val="right" w:leader="dot" w:pos="9736"/>
            </w:tabs>
            <w:rPr>
              <w:rFonts w:hint="default" w:ascii="Times New Roman Regular" w:hAnsi="Times New Roman Regular" w:cs="Times New Roman Regular"/>
              <w:sz w:val="24"/>
              <w:szCs w:val="24"/>
            </w:rPr>
          </w:pPr>
          <w:r>
            <w:fldChar w:fldCharType="begin"/>
          </w:r>
          <w:r>
            <w:instrText xml:space="preserve"> TOC \o "1-3" \h \z \u </w:instrText>
          </w:r>
          <w:r>
            <w:fldChar w:fldCharType="separate"/>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"_Toc101877560" </w:instrText>
          </w:r>
          <w:r>
            <w:rPr>
              <w:rFonts w:hint="default" w:ascii="Times New Roman Regular" w:hAnsi="Times New Roman Regular" w:cs="Times New Roman Regular"/>
              <w:sz w:val="24"/>
              <w:szCs w:val="24"/>
            </w:rPr>
            <w:fldChar w:fldCharType="separate"/>
          </w:r>
          <w:r>
            <w:rPr>
              <w:rStyle w:val="21"/>
              <w:rFonts w:hint="default" w:ascii="Times New Roman Regular" w:hAnsi="Times New Roman Regular" w:cs="Times New Roman Regular"/>
              <w:sz w:val="24"/>
              <w:szCs w:val="24"/>
            </w:rPr>
            <w:t>Executive Summary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_Toc101877560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4"/>
            <w:tabs>
              <w:tab w:val="left" w:pos="420"/>
              <w:tab w:val="right" w:leader="dot" w:pos="973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"_Toc101877561" </w:instrText>
          </w:r>
          <w:r>
            <w:rPr>
              <w:rFonts w:hint="default" w:ascii="Times New Roman Regular" w:hAnsi="Times New Roman Regular" w:cs="Times New Roman Regular"/>
              <w:sz w:val="24"/>
              <w:szCs w:val="24"/>
            </w:rPr>
            <w:fldChar w:fldCharType="separate"/>
          </w:r>
          <w:r>
            <w:rPr>
              <w:rStyle w:val="21"/>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tab/>
          </w:r>
          <w:r>
            <w:rPr>
              <w:rStyle w:val="21"/>
              <w:rFonts w:hint="default" w:ascii="Times New Roman Regular" w:hAnsi="Times New Roman Regular" w:cs="Times New Roman Regular"/>
              <w:sz w:val="24"/>
              <w:szCs w:val="24"/>
            </w:rPr>
            <w:t>Introduction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_Toc101877561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4"/>
            <w:tabs>
              <w:tab w:val="left" w:pos="420"/>
              <w:tab w:val="right" w:leader="dot" w:pos="973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"_Toc101877562" </w:instrText>
          </w:r>
          <w:r>
            <w:rPr>
              <w:rFonts w:hint="default" w:ascii="Times New Roman Regular" w:hAnsi="Times New Roman Regular" w:cs="Times New Roman Regular"/>
              <w:sz w:val="24"/>
              <w:szCs w:val="24"/>
            </w:rPr>
            <w:fldChar w:fldCharType="separate"/>
          </w:r>
          <w:r>
            <w:rPr>
              <w:rStyle w:val="21"/>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tab/>
          </w:r>
          <w:r>
            <w:rPr>
              <w:rStyle w:val="21"/>
              <w:rFonts w:hint="default" w:ascii="Times New Roman Regular" w:hAnsi="Times New Roman Regular" w:cs="Times New Roman Regular"/>
              <w:sz w:val="24"/>
              <w:szCs w:val="24"/>
            </w:rPr>
            <w:t>SOSTAC Marketing Planning for Marriott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_Toc101877562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6"/>
            <w:tabs>
              <w:tab w:val="left" w:pos="1050"/>
              <w:tab w:val="right" w:leader="dot" w:pos="973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"_Toc101877563" </w:instrText>
          </w:r>
          <w:r>
            <w:rPr>
              <w:rFonts w:hint="default" w:ascii="Times New Roman Regular" w:hAnsi="Times New Roman Regular" w:cs="Times New Roman Regular"/>
              <w:sz w:val="24"/>
              <w:szCs w:val="24"/>
            </w:rPr>
            <w:fldChar w:fldCharType="separate"/>
          </w:r>
          <w:r>
            <w:rPr>
              <w:rStyle w:val="21"/>
              <w:rFonts w:hint="default" w:ascii="Times New Roman Regular" w:hAnsi="Times New Roman Regular" w:cs="Times New Roman Regular"/>
              <w:sz w:val="24"/>
              <w:szCs w:val="24"/>
            </w:rPr>
            <w:t>2.1</w:t>
          </w:r>
          <w:r>
            <w:rPr>
              <w:rFonts w:hint="default" w:ascii="Times New Roman Regular" w:hAnsi="Times New Roman Regular" w:cs="Times New Roman Regular"/>
              <w:sz w:val="24"/>
              <w:szCs w:val="24"/>
            </w:rPr>
            <w:tab/>
          </w:r>
          <w:r>
            <w:rPr>
              <w:rStyle w:val="21"/>
              <w:rFonts w:hint="default" w:ascii="Times New Roman Regular" w:hAnsi="Times New Roman Regular" w:cs="Times New Roman Regular"/>
              <w:sz w:val="24"/>
              <w:szCs w:val="24"/>
            </w:rPr>
            <w:t>Situation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_Toc101877563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6"/>
            <w:tabs>
              <w:tab w:val="left" w:pos="1050"/>
              <w:tab w:val="right" w:leader="dot" w:pos="973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"_Toc101877564" </w:instrText>
          </w:r>
          <w:r>
            <w:rPr>
              <w:rFonts w:hint="default" w:ascii="Times New Roman Regular" w:hAnsi="Times New Roman Regular" w:cs="Times New Roman Regular"/>
              <w:sz w:val="24"/>
              <w:szCs w:val="24"/>
            </w:rPr>
            <w:fldChar w:fldCharType="separate"/>
          </w:r>
          <w:r>
            <w:rPr>
              <w:rStyle w:val="21"/>
              <w:rFonts w:hint="default" w:ascii="Times New Roman Regular" w:hAnsi="Times New Roman Regular" w:cs="Times New Roman Regular"/>
              <w:sz w:val="24"/>
              <w:szCs w:val="24"/>
            </w:rPr>
            <w:t>2.2</w:t>
          </w:r>
          <w:r>
            <w:rPr>
              <w:rFonts w:hint="default" w:ascii="Times New Roman Regular" w:hAnsi="Times New Roman Regular" w:cs="Times New Roman Regular"/>
              <w:sz w:val="24"/>
              <w:szCs w:val="24"/>
            </w:rPr>
            <w:tab/>
          </w:r>
          <w:r>
            <w:rPr>
              <w:rStyle w:val="21"/>
              <w:rFonts w:hint="default" w:ascii="Times New Roman Regular" w:hAnsi="Times New Roman Regular" w:cs="Times New Roman Regular"/>
              <w:sz w:val="24"/>
              <w:szCs w:val="24"/>
            </w:rPr>
            <w:t>Objective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_Toc101877564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6"/>
            <w:tabs>
              <w:tab w:val="left" w:pos="1050"/>
              <w:tab w:val="right" w:leader="dot" w:pos="973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"_Toc101877565" </w:instrText>
          </w:r>
          <w:r>
            <w:rPr>
              <w:rFonts w:hint="default" w:ascii="Times New Roman Regular" w:hAnsi="Times New Roman Regular" w:cs="Times New Roman Regular"/>
              <w:sz w:val="24"/>
              <w:szCs w:val="24"/>
            </w:rPr>
            <w:fldChar w:fldCharType="separate"/>
          </w:r>
          <w:r>
            <w:rPr>
              <w:rStyle w:val="21"/>
              <w:rFonts w:hint="default" w:ascii="Times New Roman Regular" w:hAnsi="Times New Roman Regular" w:cs="Times New Roman Regular"/>
              <w:sz w:val="24"/>
              <w:szCs w:val="24"/>
            </w:rPr>
            <w:t>2.3</w:t>
          </w:r>
          <w:r>
            <w:rPr>
              <w:rFonts w:hint="default" w:ascii="Times New Roman Regular" w:hAnsi="Times New Roman Regular" w:cs="Times New Roman Regular"/>
              <w:sz w:val="24"/>
              <w:szCs w:val="24"/>
            </w:rPr>
            <w:tab/>
          </w:r>
          <w:r>
            <w:rPr>
              <w:rStyle w:val="21"/>
              <w:rFonts w:hint="default" w:ascii="Times New Roman Regular" w:hAnsi="Times New Roman Regular" w:cs="Times New Roman Regular"/>
              <w:sz w:val="24"/>
              <w:szCs w:val="24"/>
            </w:rPr>
            <w:t>Strategy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_Toc101877565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6"/>
            <w:tabs>
              <w:tab w:val="right" w:leader="dot" w:pos="973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"_Toc101877566" </w:instrText>
          </w:r>
          <w:r>
            <w:rPr>
              <w:rFonts w:hint="default" w:ascii="Times New Roman Regular" w:hAnsi="Times New Roman Regular" w:cs="Times New Roman Regular"/>
              <w:sz w:val="24"/>
              <w:szCs w:val="24"/>
            </w:rPr>
            <w:fldChar w:fldCharType="separate"/>
          </w:r>
          <w:r>
            <w:rPr>
              <w:rStyle w:val="21"/>
              <w:rFonts w:hint="default" w:ascii="Times New Roman Regular" w:hAnsi="Times New Roman Regular" w:cs="Times New Roman Regular"/>
              <w:sz w:val="24"/>
              <w:szCs w:val="24"/>
            </w:rPr>
            <w:t>2.4   Tactics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_Toc101877566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6"/>
            <w:tabs>
              <w:tab w:val="left" w:pos="1050"/>
              <w:tab w:val="right" w:leader="dot" w:pos="973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"_Toc101877567" </w:instrText>
          </w:r>
          <w:r>
            <w:rPr>
              <w:rFonts w:hint="default" w:ascii="Times New Roman Regular" w:hAnsi="Times New Roman Regular" w:cs="Times New Roman Regular"/>
              <w:sz w:val="24"/>
              <w:szCs w:val="24"/>
            </w:rPr>
            <w:fldChar w:fldCharType="separate"/>
          </w:r>
          <w:r>
            <w:rPr>
              <w:rStyle w:val="21"/>
              <w:rFonts w:hint="default" w:ascii="Times New Roman Regular" w:hAnsi="Times New Roman Regular" w:cs="Times New Roman Regular"/>
              <w:sz w:val="24"/>
              <w:szCs w:val="24"/>
            </w:rPr>
            <w:t>2.5</w:t>
          </w:r>
          <w:r>
            <w:rPr>
              <w:rFonts w:hint="default" w:ascii="Times New Roman Regular" w:hAnsi="Times New Roman Regular" w:cs="Times New Roman Regular"/>
              <w:sz w:val="24"/>
              <w:szCs w:val="24"/>
            </w:rPr>
            <w:tab/>
          </w:r>
          <w:r>
            <w:rPr>
              <w:rStyle w:val="21"/>
              <w:rFonts w:hint="default" w:ascii="Times New Roman Regular" w:hAnsi="Times New Roman Regular" w:cs="Times New Roman Regular"/>
              <w:sz w:val="24"/>
              <w:szCs w:val="24"/>
            </w:rPr>
            <w:t>Action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_Toc101877567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6"/>
            <w:tabs>
              <w:tab w:val="left" w:pos="1050"/>
              <w:tab w:val="right" w:leader="dot" w:pos="973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"_Toc101877568" </w:instrText>
          </w:r>
          <w:r>
            <w:rPr>
              <w:rFonts w:hint="default" w:ascii="Times New Roman Regular" w:hAnsi="Times New Roman Regular" w:cs="Times New Roman Regular"/>
              <w:sz w:val="24"/>
              <w:szCs w:val="24"/>
            </w:rPr>
            <w:fldChar w:fldCharType="separate"/>
          </w:r>
          <w:r>
            <w:rPr>
              <w:rStyle w:val="21"/>
              <w:rFonts w:hint="default" w:ascii="Times New Roman Regular" w:hAnsi="Times New Roman Regular" w:cs="Times New Roman Regular"/>
              <w:sz w:val="24"/>
              <w:szCs w:val="24"/>
            </w:rPr>
            <w:t>2.6</w:t>
          </w:r>
          <w:r>
            <w:rPr>
              <w:rFonts w:hint="default" w:ascii="Times New Roman Regular" w:hAnsi="Times New Roman Regular" w:cs="Times New Roman Regular"/>
              <w:sz w:val="24"/>
              <w:szCs w:val="24"/>
            </w:rPr>
            <w:tab/>
          </w:r>
          <w:r>
            <w:rPr>
              <w:rStyle w:val="21"/>
              <w:rFonts w:hint="default" w:ascii="Times New Roman Regular" w:hAnsi="Times New Roman Regular" w:cs="Times New Roman Regular"/>
              <w:sz w:val="24"/>
              <w:szCs w:val="24"/>
            </w:rPr>
            <w:t>Control</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_Toc101877568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4"/>
            <w:tabs>
              <w:tab w:val="left" w:pos="420"/>
              <w:tab w:val="right" w:leader="dot" w:pos="973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"_Toc101877569" </w:instrText>
          </w:r>
          <w:r>
            <w:rPr>
              <w:rFonts w:hint="default" w:ascii="Times New Roman Regular" w:hAnsi="Times New Roman Regular" w:cs="Times New Roman Regular"/>
              <w:sz w:val="24"/>
              <w:szCs w:val="24"/>
            </w:rPr>
            <w:fldChar w:fldCharType="separate"/>
          </w:r>
          <w:r>
            <w:rPr>
              <w:rStyle w:val="21"/>
              <w:rFonts w:hint="default" w:ascii="Times New Roman Regular" w:hAnsi="Times New Roman Regular" w:cs="Times New Roman Regular"/>
              <w:sz w:val="24"/>
              <w:szCs w:val="24"/>
            </w:rPr>
            <w:t>3.</w:t>
          </w:r>
          <w:r>
            <w:rPr>
              <w:rFonts w:hint="default" w:ascii="Times New Roman Regular" w:hAnsi="Times New Roman Regular" w:cs="Times New Roman Regular"/>
              <w:sz w:val="24"/>
              <w:szCs w:val="24"/>
            </w:rPr>
            <w:tab/>
          </w:r>
          <w:r>
            <w:rPr>
              <w:rStyle w:val="21"/>
              <w:rFonts w:hint="default" w:ascii="Times New Roman Regular" w:hAnsi="Times New Roman Regular" w:cs="Times New Roman Regular"/>
              <w:sz w:val="24"/>
              <w:szCs w:val="24"/>
            </w:rPr>
            <w:t>Recommendation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_Toc101877569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4"/>
            <w:tabs>
              <w:tab w:val="left" w:pos="420"/>
              <w:tab w:val="right" w:leader="dot" w:pos="973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"_Toc101877570" </w:instrText>
          </w:r>
          <w:r>
            <w:rPr>
              <w:rFonts w:hint="default" w:ascii="Times New Roman Regular" w:hAnsi="Times New Roman Regular" w:cs="Times New Roman Regular"/>
              <w:sz w:val="24"/>
              <w:szCs w:val="24"/>
            </w:rPr>
            <w:fldChar w:fldCharType="separate"/>
          </w:r>
          <w:r>
            <w:rPr>
              <w:rStyle w:val="21"/>
              <w:rFonts w:hint="default" w:ascii="Times New Roman Regular" w:hAnsi="Times New Roman Regular" w:cs="Times New Roman Regular"/>
              <w:sz w:val="24"/>
              <w:szCs w:val="24"/>
            </w:rPr>
            <w:t>4.</w:t>
          </w:r>
          <w:r>
            <w:rPr>
              <w:rFonts w:hint="default" w:ascii="Times New Roman Regular" w:hAnsi="Times New Roman Regular" w:cs="Times New Roman Regular"/>
              <w:sz w:val="24"/>
              <w:szCs w:val="24"/>
            </w:rPr>
            <w:tab/>
          </w:r>
          <w:r>
            <w:rPr>
              <w:rStyle w:val="21"/>
              <w:rFonts w:hint="default" w:ascii="Times New Roman Regular" w:hAnsi="Times New Roman Regular" w:cs="Times New Roman Regular"/>
              <w:sz w:val="24"/>
              <w:szCs w:val="24"/>
            </w:rPr>
            <w:t>Conclusion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_Toc101877570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4"/>
            <w:tabs>
              <w:tab w:val="left" w:pos="420"/>
              <w:tab w:val="right" w:leader="dot" w:pos="9736"/>
            </w:tabs>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"_Toc101877571" </w:instrText>
          </w:r>
          <w:r>
            <w:rPr>
              <w:rFonts w:hint="default" w:ascii="Times New Roman Regular" w:hAnsi="Times New Roman Regular" w:cs="Times New Roman Regular"/>
              <w:sz w:val="24"/>
              <w:szCs w:val="24"/>
            </w:rPr>
            <w:fldChar w:fldCharType="separate"/>
          </w:r>
          <w:r>
            <w:rPr>
              <w:rStyle w:val="21"/>
              <w:rFonts w:hint="default" w:ascii="Times New Roman Regular" w:hAnsi="Times New Roman Regular" w:cs="Times New Roman Regular"/>
              <w:sz w:val="24"/>
              <w:szCs w:val="24"/>
            </w:rPr>
            <w:t>5.</w:t>
          </w:r>
          <w:r>
            <w:rPr>
              <w:rFonts w:hint="default" w:ascii="Times New Roman Regular" w:hAnsi="Times New Roman Regular" w:cs="Times New Roman Regular"/>
              <w:sz w:val="24"/>
              <w:szCs w:val="24"/>
            </w:rPr>
            <w:tab/>
          </w:r>
          <w:r>
            <w:rPr>
              <w:rStyle w:val="21"/>
              <w:rFonts w:hint="default" w:ascii="Times New Roman Regular" w:hAnsi="Times New Roman Regular" w:cs="Times New Roman Regular"/>
              <w:sz w:val="24"/>
              <w:szCs w:val="24"/>
            </w:rPr>
            <w:t>Reference List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_Toc101877571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r>
            <w:rPr>
              <w:b/>
              <w:bCs/>
              <w:lang w:val="zh-CN"/>
            </w:rPr>
            <w:fldChar w:fldCharType="end"/>
          </w:r>
        </w:p>
      </w:sdtContent>
    </w:sdt>
    <w:p>
      <w:pPr>
        <w:pStyle w:val="17"/>
        <w:jc w:val="both"/>
        <w:rPr>
          <w:rFonts w:ascii="Candara" w:hAnsi="Candara" w:cs="Arial"/>
          <w:sz w:val="28"/>
          <w:szCs w:val="28"/>
        </w:rPr>
      </w:pPr>
    </w:p>
    <w:p>
      <w:pPr>
        <w:spacing w:after="0" w:line="240" w:lineRule="auto"/>
        <w:jc w:val="both"/>
        <w:rPr>
          <w:rFonts w:ascii="Candara" w:hAnsi="Candara"/>
          <w:sz w:val="13"/>
          <w:szCs w:val="13"/>
        </w:rPr>
      </w:pPr>
      <w:r>
        <w:rPr>
          <w:rFonts w:ascii="Candara" w:hAnsi="Candara"/>
          <w:sz w:val="13"/>
          <w:szCs w:val="13"/>
        </w:rPr>
        <w:br w:type="page"/>
      </w:r>
    </w:p>
    <w:p>
      <w:pPr>
        <w:pStyle w:val="2"/>
        <w:rPr>
          <w:rFonts w:ascii="Candara" w:hAnsi="Candara"/>
        </w:rPr>
        <w:sectPr>
          <w:footerReference r:id="rId3" w:type="default"/>
          <w:pgSz w:w="11906" w:h="16838"/>
          <w:pgMar w:top="1440" w:right="1080" w:bottom="1440" w:left="1080" w:header="851" w:footer="992" w:gutter="0"/>
          <w:cols w:space="425" w:num="1"/>
          <w:docGrid w:type="lines" w:linePitch="312" w:charSpace="0"/>
        </w:sectPr>
      </w:pPr>
    </w:p>
    <w:p>
      <w:pPr>
        <w:pStyle w:val="2"/>
        <w:rPr>
          <w:rFonts w:hint="default" w:ascii="Times New Roman Regular" w:hAnsi="Times New Roman Regular" w:cs="Times New Roman Regular"/>
          <w:b/>
          <w:bCs/>
        </w:rPr>
      </w:pPr>
      <w:bookmarkStart w:id="0" w:name="_Toc101877560"/>
      <w:r>
        <w:rPr>
          <w:rFonts w:hint="default" w:ascii="Times New Roman Regular" w:hAnsi="Times New Roman Regular" w:cs="Times New Roman Regular"/>
          <w:b/>
          <w:bCs/>
        </w:rPr>
        <w:t>Executive Summary</w:t>
      </w:r>
      <w:bookmarkEnd w:id="0"/>
      <w:r>
        <w:rPr>
          <w:rFonts w:hint="default" w:ascii="Times New Roman Regular" w:hAnsi="Times New Roman Regular" w:cs="Times New Roman Regular"/>
          <w:b/>
          <w:bCs/>
        </w:rPr>
        <w:t xml:space="preserve"> </w:t>
      </w:r>
    </w:p>
    <w:p>
      <w:pPr>
        <w:spacing w:after="0" w:line="36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Although the hospitality industry has no longer been seriously struck by the covid-19 pandemic as it was in 2020 and 2021, the uncertainties in the global hospitality sector indicates players should actively navigate the challenges and turn crisis into opportunities.</w:t>
      </w:r>
    </w:p>
    <w:p>
      <w:pPr>
        <w:spacing w:after="0" w:line="360" w:lineRule="auto"/>
        <w:jc w:val="both"/>
        <w:rPr>
          <w:rFonts w:hint="default" w:ascii="Times New Roman Regular" w:hAnsi="Times New Roman Regular" w:cs="Times New Roman Regular"/>
          <w:sz w:val="24"/>
          <w:szCs w:val="24"/>
        </w:rPr>
      </w:pPr>
    </w:p>
    <w:p>
      <w:pPr>
        <w:spacing w:after="0" w:line="36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marketing report developed for Marriott, based on a sound situational analysis internally and externally, indicates the 70% room occupancy rate by 2022 as a proper objective. Based on the objective, a corresponding tactic based on the marketing mix is developed, including personalized stay offers, dynamic stay pricing, wider accessibility of the place, and social media marketing using storytelling and short videos, etc. The KPI will be closely monitored at the regional level and international level, together with other relevant KPIs, to ensure the effective implementation and adjustment of the marketing plan. </w:t>
      </w:r>
    </w:p>
    <w:p>
      <w:pPr>
        <w:pStyle w:val="2"/>
        <w:numPr>
          <w:ilvl w:val="0"/>
          <w:numId w:val="1"/>
        </w:numPr>
        <w:jc w:val="both"/>
        <w:rPr>
          <w:rFonts w:hint="default" w:ascii="Times New Roman Regular" w:hAnsi="Times New Roman Regular" w:cs="Times New Roman Regular"/>
          <w:b/>
          <w:bCs/>
        </w:rPr>
      </w:pPr>
      <w:bookmarkStart w:id="1" w:name="_Toc101877561"/>
      <w:r>
        <w:rPr>
          <w:rFonts w:hint="default" w:ascii="Times New Roman Regular" w:hAnsi="Times New Roman Regular" w:cs="Times New Roman Regular"/>
          <w:b/>
          <w:bCs/>
        </w:rPr>
        <w:t>Introduction</w:t>
      </w:r>
      <w:bookmarkEnd w:id="1"/>
      <w:r>
        <w:rPr>
          <w:rFonts w:hint="default" w:ascii="Times New Roman Regular" w:hAnsi="Times New Roman Regular" w:cs="Times New Roman Regular"/>
          <w:b/>
          <w:bCs/>
        </w:rPr>
        <w:t xml:space="preserve"> </w:t>
      </w:r>
    </w:p>
    <w:p>
      <w:pPr>
        <w:spacing w:line="36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Since the outbreak of covid-19 at the beginning of 2020, the covid-19 pandemic devastated the travel industry on a global scale. However, the travel sector has gradually bounced back, yet recovery still has a long way to go. This is due to the fact that the covid-19 has not yet been eliminated, and could not be eliminated totally in the foreseeable future. Furthermore, different geographies tell very different stories in recovery directly as a consequence of the varying travel restrictions (See Figure 1).</w:t>
      </w:r>
    </w:p>
    <w:p>
      <w:pPr>
        <w:jc w:val="center"/>
        <w:rPr>
          <w:rFonts w:ascii="Candara" w:hAnsi="Candara"/>
          <w:sz w:val="22"/>
          <w:szCs w:val="22"/>
        </w:rPr>
      </w:pPr>
      <w:r>
        <w:rPr>
          <w:rFonts w:ascii="Candara" w:hAnsi="Candara"/>
          <w:sz w:val="22"/>
          <w:szCs w:val="22"/>
        </w:rPr>
        <w:drawing>
          <wp:inline distT="0" distB="0" distL="0" distR="0">
            <wp:extent cx="4655185" cy="2277745"/>
            <wp:effectExtent l="0" t="0" r="0" b="825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7"/>
                    <a:srcRect t="15337" b="5569"/>
                    <a:stretch>
                      <a:fillRect/>
                    </a:stretch>
                  </pic:blipFill>
                  <pic:spPr>
                    <a:xfrm>
                      <a:off x="0" y="0"/>
                      <a:ext cx="4656223" cy="2278390"/>
                    </a:xfrm>
                    <a:prstGeom prst="rect">
                      <a:avLst/>
                    </a:prstGeom>
                    <a:ln>
                      <a:noFill/>
                    </a:ln>
                  </pic:spPr>
                </pic:pic>
              </a:graphicData>
            </a:graphic>
          </wp:inline>
        </w:drawing>
      </w:r>
    </w:p>
    <w:p>
      <w:pPr>
        <w:jc w:val="center"/>
        <w:rPr>
          <w:rFonts w:ascii="Candara" w:hAnsi="Candara"/>
          <w:sz w:val="22"/>
          <w:szCs w:val="22"/>
        </w:rPr>
      </w:pPr>
      <w:r>
        <w:rPr>
          <w:rFonts w:ascii="Candara" w:hAnsi="Candara"/>
          <w:sz w:val="22"/>
          <w:szCs w:val="22"/>
        </w:rPr>
        <w:t>Figure 1: Vastly different recovery stories across geographies</w:t>
      </w:r>
    </w:p>
    <w:p>
      <w:pPr>
        <w:jc w:val="center"/>
        <w:rPr>
          <w:rFonts w:ascii="Candara" w:hAnsi="Candara"/>
          <w:sz w:val="22"/>
          <w:szCs w:val="22"/>
        </w:rPr>
      </w:pPr>
      <w:r>
        <w:rPr>
          <w:rFonts w:ascii="Candara" w:hAnsi="Candara"/>
          <w:sz w:val="22"/>
          <w:szCs w:val="22"/>
        </w:rPr>
        <w:t xml:space="preserve">Source: </w:t>
      </w:r>
      <w:r>
        <w:rPr>
          <w:rFonts w:ascii="Candara" w:hAnsi="Candara"/>
          <w:sz w:val="22"/>
          <w:szCs w:val="22"/>
        </w:rPr>
        <w:fldChar w:fldCharType="begin" w:fldLock="1"/>
      </w:r>
      <w:r>
        <w:rPr>
          <w:rFonts w:ascii="Candara" w:hAnsi="Candara"/>
          <w:sz w:val="22"/>
          <w:szCs w:val="22"/>
        </w:rPr>
        <w:instrText xml:space="preserve">ADDIN CSL_CITATION {"citationItems":[{"id":"ITEM-1","itemData":{"URL":"https://www.mckinsey.com/industries/travel-logistics-and-infrastructure/our-insights/rebooting-customer-experience-to-bring-back-the-magic-of-travel","accessed":{"date-parts":[["2022","4","26"]]},"author":[{"dropping-particle":"","family":"McKinsey &amp; Company","given":"","non-dropping-particle":"","parse-names":false,"suffix":""}],"id":"ITEM-1","issued":{"date-parts":[["2021"]]},"title":"Rebooting customer experience in travel","type":"webpage"},"uris":["http://www.mendeley.com/documents/?uuid=1e05e7b6-7fc3-3ef6-86ba-da4eaa0af5c5"]}],"mendeley":{"formattedCitation":"(McKinsey &amp; Company, 2021)","plainTextFormattedCitation":"(McKinsey &amp; Company, 2021)","previouslyFormattedCitation":"(McKinsey &amp; Company, 2021)"},"properties":{"noteIndex":0},"schema":"https://github.com/citation-style-language/schema/raw/master/csl-citation.json"}</w:instrText>
      </w:r>
      <w:r>
        <w:rPr>
          <w:rFonts w:ascii="Candara" w:hAnsi="Candara"/>
          <w:sz w:val="22"/>
          <w:szCs w:val="22"/>
        </w:rPr>
        <w:fldChar w:fldCharType="separate"/>
      </w:r>
      <w:r>
        <w:rPr>
          <w:rFonts w:ascii="Candara" w:hAnsi="Candara"/>
          <w:sz w:val="22"/>
          <w:szCs w:val="22"/>
        </w:rPr>
        <w:t>(McKinsey &amp; Company, 2021)</w:t>
      </w:r>
      <w:r>
        <w:rPr>
          <w:rFonts w:ascii="Candara" w:hAnsi="Candara"/>
          <w:sz w:val="22"/>
          <w:szCs w:val="22"/>
        </w:rPr>
        <w:fldChar w:fldCharType="end"/>
      </w:r>
    </w:p>
    <w:p>
      <w:pPr>
        <w:spacing w:line="36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However, the during and post-pandemic travel market has exhibited different patterns compared to the previous market, such as the distinct challenge of safe customer experience, etc. This indicates players within the whole travel ecosystem contemplate the question of how they could adapt to the new competitive environment to secure future growth. The present report develops a marketing plan for Marriott, a multinational hotel provider, with 30+ brands, 7000+properties across 130+counties, based on the identification of the new travel landscape. The report is structured according to the SOSTAC framework, a simple and structured framework with a full planning methodology behind it. SOSTAC stands for, situation analysis (where are we now?), objectives (where do we want to be?), strategy (how do we get there?), tactics (the details of strategy), actions (how to implement with excellence and passion?), and control (how do we know we get there?)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{"citationItems":[{"id":"ITEM-1","itemData":{"URL":"https://prsmith.org/sostac/","accessed":{"date-parts":[["2022","4","26"]]},"author":[{"dropping-particle":"","family":"PR Smith Marketing","given":"","non-dropping-particle":"","parse-names":false,"suffix":""}],"id":"ITEM-1","issued":{"date-parts":[["2020"]]},"title":"SOSTAC® Official Site ","type":"webpage"},"uris":["http://www.mendeley.com/documents/?uuid=d71dd240-cafb-3d31-b496-cc71d68d68cb"]},{"id":"ITEM-2","itemData":{"ISBN":"1315640341","author":[{"dropping-particle":"","family":"Chaffey","given":"Dave","non-dropping-particle":"","parse-names":false,"suffix":""},{"dropping-particle":"","family":"Smith","given":"Paul Russell","non-dropping-particle":"","parse-names":false,"suffix":""}],"id":"ITEM-2","issued":{"date-parts":[["2017"]]},"publisher":"Routledge","title":"Digital marketing excellence: planning, optimizing and integrating online marketing","type":"book"},"uris":["http://www.mendeley.com/documents/?uuid=9e0888a4-e824-4f2e-8680-1fd9d511ca53"]}],"mendeley":{"formattedCitation":"(Chaffey and Smith, 2017; PR Smith Marketing, 2020)","plainTextFormattedCitation":"(Chaffey and Smith, 2017; PR Smith Marketing, 2020)","previouslyFormattedCitation":"(Chaffey and Smith, 2017; PR Smith Marketing, 2020)"},"properties":{"noteIndex":0},"schema":"https://github.com/citation-style-language/schema/raw/master/csl-citation.json"}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(Chaffey and Smith, 2017; PR Smith Marketing, 2020)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w:t>
      </w:r>
    </w:p>
    <w:p>
      <w:pPr>
        <w:pStyle w:val="2"/>
        <w:numPr>
          <w:ilvl w:val="0"/>
          <w:numId w:val="1"/>
        </w:numPr>
        <w:rPr>
          <w:rFonts w:hint="default" w:ascii="Times New Roman Regular" w:hAnsi="Times New Roman Regular" w:cs="Times New Roman Regular"/>
          <w:b/>
          <w:bCs/>
        </w:rPr>
      </w:pPr>
      <w:bookmarkStart w:id="2" w:name="_Toc101877562"/>
      <w:r>
        <w:rPr>
          <w:rFonts w:hint="default" w:ascii="Times New Roman Regular" w:hAnsi="Times New Roman Regular" w:cs="Times New Roman Regular"/>
          <w:b/>
          <w:bCs/>
        </w:rPr>
        <w:t>SOSTAC Marketing Planning for Marriott</w:t>
      </w:r>
      <w:bookmarkEnd w:id="2"/>
      <w:r>
        <w:rPr>
          <w:rFonts w:hint="default" w:ascii="Times New Roman Regular" w:hAnsi="Times New Roman Regular" w:cs="Times New Roman Regular"/>
          <w:b/>
          <w:bCs/>
        </w:rPr>
        <w:t xml:space="preserve"> </w:t>
      </w:r>
    </w:p>
    <w:p>
      <w:pPr>
        <w:pStyle w:val="3"/>
        <w:numPr>
          <w:ilvl w:val="1"/>
          <w:numId w:val="1"/>
        </w:numPr>
        <w:rPr>
          <w:rFonts w:ascii="Candara" w:hAnsi="Candara"/>
        </w:rPr>
      </w:pPr>
      <w:bookmarkStart w:id="3" w:name="_Toc101877563"/>
      <w:r>
        <w:rPr>
          <w:rFonts w:hint="default" w:ascii="Times New Roman Regular" w:hAnsi="Times New Roman Regular" w:cs="Times New Roman Regular"/>
          <w:b/>
          <w:bCs/>
        </w:rPr>
        <w:t>Situation analysis</w:t>
      </w:r>
      <w:bookmarkEnd w:id="3"/>
      <w:r>
        <w:rPr>
          <w:rFonts w:ascii="Candara" w:hAnsi="Candara"/>
        </w:rPr>
        <w:t xml:space="preserve"> </w:t>
      </w:r>
    </w:p>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Situation analysis provides a thorough analysis of the current competitive situation facing the organization, through internal and external environmental audits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{"citationItems":[{"id":"ITEM-1","itemData":{"author":[{"dropping-particle":"","family":"Deepak","given":"R Kanthiah Alias","non-dropping-particle":"","parse-names":false,"suffix":""},{"dropping-particle":"","family":"Jeyakumar","given":"S","non-dropping-particle":"","parse-names":false,"suffix":""}],"id":"ITEM-1","issued":{"date-parts":[["2019"]]},"publisher":"Educreation Publishing","title":"Marketing management","type":"book"},"uris":["http://www.mendeley.com/documents/?uuid=abcd382b-49a3-42ff-b36e-f9197fad70a4"]}],"mendeley":{"formattedCitation":"(Deepak and Jeyakumar, 2019)","plainTextFormattedCitation":"(Deepak and Jeyakumar, 2019)","previouslyFormattedCitation":"(Deepak and Jeyakumar, 2019)"},"properties":{"noteIndex":0},"schema":"https://github.com/citation-style-language/schema/raw/master/csl-citation.json"}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(Deepak and Jeyakumar, 2019)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All relevant factors, both internal and external, are synthesized and highlighted in the following SWOT analysis. </w:t>
      </w:r>
    </w:p>
    <w:p>
      <w:pPr>
        <w:jc w:val="center"/>
        <w:rPr>
          <w:rFonts w:ascii="Candara" w:hAnsi="Candara"/>
        </w:rPr>
      </w:pPr>
      <w:r>
        <w:rPr>
          <w:rFonts w:ascii="Candara" w:hAnsi="Candara"/>
        </w:rPr>
        <w:t>Table 1: Situation analysis through SWOT analysis</w:t>
      </w:r>
    </w:p>
    <w:p>
      <w:pPr>
        <w:jc w:val="center"/>
        <w:rPr>
          <w:rFonts w:ascii="Candara" w:hAnsi="Candara"/>
        </w:rPr>
      </w:pPr>
      <w:r>
        <w:rPr>
          <w:rFonts w:ascii="Candara" w:hAnsi="Candara"/>
        </w:rPr>
        <w:t>Source: own summary</w:t>
      </w:r>
    </w:p>
    <w:tbl>
      <w:tblPr>
        <w:tblStyle w:val="52"/>
        <w:tblW w:w="0" w:type="auto"/>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Layout w:type="autofit"/>
        <w:tblCellMar>
          <w:top w:w="0" w:type="dxa"/>
          <w:left w:w="108" w:type="dxa"/>
          <w:bottom w:w="0" w:type="dxa"/>
          <w:right w:w="108" w:type="dxa"/>
        </w:tblCellMar>
      </w:tblPr>
      <w:tblGrid>
        <w:gridCol w:w="2122"/>
        <w:gridCol w:w="7614"/>
      </w:tblGrid>
      <w:tr>
        <w:tc>
          <w:tcPr>
            <w:tcW w:w="2122" w:type="dxa"/>
            <w:tcBorders>
              <w:top w:val="single" w:color="FFFFFF" w:themeColor="background1" w:sz="4" w:space="0"/>
              <w:left w:val="single" w:color="FFFFFF" w:themeColor="background1" w:sz="4" w:space="0"/>
              <w:right w:val="nil"/>
              <w:insideV w:val="nil"/>
            </w:tcBorders>
            <w:shd w:val="clear" w:color="auto" w:fill="ED7D31" w:themeFill="accent2"/>
          </w:tcPr>
          <w:p>
            <w:pPr>
              <w:spacing w:after="0" w:line="240" w:lineRule="auto"/>
              <w:jc w:val="both"/>
              <w:rPr>
                <w:rFonts w:ascii="Candara" w:hAnsi="Candara" w:cs="Arial"/>
                <w:b w:val="0"/>
                <w:bCs w:val="0"/>
                <w:color w:val="000000" w:themeColor="text1"/>
                <w:sz w:val="18"/>
                <w:szCs w:val="18"/>
                <w14:textFill>
                  <w14:solidFill>
                    <w14:schemeClr w14:val="tx1"/>
                  </w14:solidFill>
                </w14:textFill>
              </w:rPr>
            </w:pPr>
            <w:r>
              <w:rPr>
                <w:rFonts w:ascii="Candara" w:hAnsi="Candara" w:cs="Arial"/>
                <w:b w:val="0"/>
                <w:bCs w:val="0"/>
                <w:color w:val="000000" w:themeColor="text1"/>
                <w:sz w:val="18"/>
                <w:szCs w:val="18"/>
                <w14:textFill>
                  <w14:solidFill>
                    <w14:schemeClr w14:val="tx1"/>
                  </w14:solidFill>
                </w14:textFill>
              </w:rPr>
              <w:t xml:space="preserve">Factors </w:t>
            </w:r>
          </w:p>
        </w:tc>
        <w:tc>
          <w:tcPr>
            <w:tcW w:w="7614" w:type="dxa"/>
            <w:tcBorders>
              <w:top w:val="single" w:color="FFFFFF" w:themeColor="background1" w:sz="4" w:space="0"/>
              <w:right w:val="single" w:color="FFFFFF" w:themeColor="background1" w:sz="4" w:space="0"/>
              <w:insideV w:val="nil"/>
            </w:tcBorders>
            <w:shd w:val="clear" w:color="auto" w:fill="ED7D31" w:themeFill="accent2"/>
          </w:tcPr>
          <w:p>
            <w:pPr>
              <w:spacing w:after="0" w:line="240" w:lineRule="auto"/>
              <w:jc w:val="both"/>
              <w:rPr>
                <w:rFonts w:ascii="Candara" w:hAnsi="Candara" w:cs="Arial"/>
                <w:b w:val="0"/>
                <w:bCs w:val="0"/>
                <w:color w:val="000000" w:themeColor="text1"/>
                <w:sz w:val="18"/>
                <w:szCs w:val="18"/>
                <w14:textFill>
                  <w14:solidFill>
                    <w14:schemeClr w14:val="tx1"/>
                  </w14:solidFill>
                </w14:textFill>
              </w:rPr>
            </w:pPr>
            <w:r>
              <w:rPr>
                <w:rFonts w:ascii="Candara" w:hAnsi="Candara" w:cs="Arial"/>
                <w:b w:val="0"/>
                <w:bCs w:val="0"/>
                <w:color w:val="000000" w:themeColor="text1"/>
                <w:sz w:val="18"/>
                <w:szCs w:val="18"/>
                <w14:textFill>
                  <w14:solidFill>
                    <w14:schemeClr w14:val="tx1"/>
                  </w14:solidFill>
                </w14:textFill>
              </w:rPr>
              <w:t xml:space="preserve">Implications </w:t>
            </w:r>
          </w:p>
        </w:tc>
      </w:tr>
      <w:tr>
        <w:tc>
          <w:tcPr>
            <w:tcW w:w="2122" w:type="dxa"/>
            <w:tcBorders>
              <w:left w:val="single" w:color="FFFFFF" w:themeColor="background1" w:sz="4" w:space="0"/>
            </w:tcBorders>
            <w:shd w:val="clear" w:color="auto" w:fill="ED7D31" w:themeFill="accent2"/>
          </w:tcPr>
          <w:p>
            <w:pPr>
              <w:spacing w:after="0" w:line="240" w:lineRule="auto"/>
              <w:jc w:val="both"/>
              <w:rPr>
                <w:rFonts w:ascii="Candara" w:hAnsi="Candara" w:cs="Arial"/>
                <w:b w:val="0"/>
                <w:bCs w:val="0"/>
                <w:color w:val="000000" w:themeColor="text1"/>
                <w:sz w:val="18"/>
                <w:szCs w:val="18"/>
                <w14:textFill>
                  <w14:solidFill>
                    <w14:schemeClr w14:val="tx1"/>
                  </w14:solidFill>
                </w14:textFill>
              </w:rPr>
            </w:pPr>
            <w:r>
              <w:rPr>
                <w:rFonts w:ascii="Candara" w:hAnsi="Candara" w:cs="Arial"/>
                <w:b w:val="0"/>
                <w:bCs w:val="0"/>
                <w:color w:val="000000" w:themeColor="text1"/>
                <w:sz w:val="18"/>
                <w:szCs w:val="18"/>
                <w14:textFill>
                  <w14:solidFill>
                    <w14:schemeClr w14:val="tx1"/>
                  </w14:solidFill>
                </w14:textFill>
              </w:rPr>
              <w:t>Strengths</w:t>
            </w:r>
          </w:p>
        </w:tc>
        <w:tc>
          <w:tcPr>
            <w:tcW w:w="7614" w:type="dxa"/>
            <w:shd w:val="clear" w:color="auto" w:fill="F7CAAC" w:themeFill="accent2" w:themeFillTint="66"/>
          </w:tcPr>
          <w:p>
            <w:pPr>
              <w:numPr>
                <w:ilvl w:val="0"/>
                <w:numId w:val="2"/>
              </w:numPr>
              <w:spacing w:after="0" w:line="240" w:lineRule="auto"/>
              <w:jc w:val="both"/>
              <w:rPr>
                <w:rFonts w:ascii="Candara" w:hAnsi="Candara" w:cs="Arial"/>
                <w:color w:val="000000" w:themeColor="text1"/>
                <w:sz w:val="18"/>
                <w:szCs w:val="18"/>
                <w14:textFill>
                  <w14:solidFill>
                    <w14:schemeClr w14:val="tx1"/>
                  </w14:solidFill>
                </w14:textFill>
              </w:rPr>
            </w:pPr>
            <w:r>
              <w:rPr>
                <w:rFonts w:ascii="Candara" w:hAnsi="Candara" w:cs="Arial"/>
                <w:color w:val="000000" w:themeColor="text1"/>
                <w:sz w:val="18"/>
                <w:szCs w:val="18"/>
                <w14:textFill>
                  <w14:solidFill>
                    <w14:schemeClr w14:val="tx1"/>
                  </w14:solidFill>
                </w14:textFill>
              </w:rPr>
              <w:t xml:space="preserve">A diversified brand portfolio : Marriott has one of the most compelling range of brands in the hospitality industry. </w:t>
            </w:r>
            <w:r>
              <w:rPr>
                <w:rFonts w:ascii="Candara" w:hAnsi="Candara" w:cs="Arial"/>
                <w:color w:val="000000" w:themeColor="text1"/>
                <w:sz w:val="18"/>
                <w:szCs w:val="18"/>
                <w14:textFill>
                  <w14:solidFill>
                    <w14:schemeClr w14:val="tx1"/>
                  </w14:solidFill>
                </w14:textFill>
              </w:rPr>
              <w:fldChar w:fldCharType="begin" w:fldLock="1"/>
            </w:r>
            <w:r>
              <w:rPr>
                <w:rFonts w:ascii="Candara" w:hAnsi="Candara" w:cs="Arial"/>
                <w:color w:val="000000" w:themeColor="text1"/>
                <w:sz w:val="18"/>
                <w:szCs w:val="18"/>
                <w14:textFill>
                  <w14:solidFill>
                    <w14:schemeClr w14:val="tx1"/>
                  </w14:solidFill>
                </w14:textFill>
              </w:rPr>
              <w:instrText xml:space="preserve">ADDIN CSL_CITATION {"citationItems":[{"id":"ITEM-1","itemData":{"author":[{"dropping-particle":"","family":"Marriott","given":"","non-dropping-particle":"","parse-names":false,"suffix":""}],"id":"ITEM-1","issued":{"date-parts":[["2021"]]},"title":"Marriott International Annual Report 20202","type":"report"},"uris":["http://www.mendeley.com/documents/?uuid=40594913-e2f6-3815-b244-9c604cf1d8af"]}],"mendeley":{"formattedCitation":"(Marriott, 2021)","plainTextFormattedCitation":"(Marriott, 2021)","previouslyFormattedCitation":"(Marriott, 2021)"},"properties":{"noteIndex":0},"schema":"https://github.com/citation-style-language/schema/raw/master/csl-citation.json"}</w:instrText>
            </w:r>
            <w:r>
              <w:rPr>
                <w:rFonts w:ascii="Candara" w:hAnsi="Candara" w:cs="Arial"/>
                <w:color w:val="000000" w:themeColor="text1"/>
                <w:sz w:val="18"/>
                <w:szCs w:val="18"/>
                <w14:textFill>
                  <w14:solidFill>
                    <w14:schemeClr w14:val="tx1"/>
                  </w14:solidFill>
                </w14:textFill>
              </w:rPr>
              <w:fldChar w:fldCharType="separate"/>
            </w:r>
            <w:r>
              <w:rPr>
                <w:rFonts w:ascii="Candara" w:hAnsi="Candara" w:cs="Arial"/>
                <w:color w:val="000000" w:themeColor="text1"/>
                <w:sz w:val="18"/>
                <w:szCs w:val="18"/>
                <w14:textFill>
                  <w14:solidFill>
                    <w14:schemeClr w14:val="tx1"/>
                  </w14:solidFill>
                </w14:textFill>
              </w:rPr>
              <w:t>(Marriott, 2021)</w:t>
            </w:r>
            <w:r>
              <w:rPr>
                <w:rFonts w:ascii="Candara" w:hAnsi="Candara" w:cs="Arial"/>
                <w:color w:val="000000" w:themeColor="text1"/>
                <w:sz w:val="18"/>
                <w:szCs w:val="18"/>
                <w14:textFill>
                  <w14:solidFill>
                    <w14:schemeClr w14:val="tx1"/>
                  </w14:solidFill>
                </w14:textFill>
              </w:rPr>
              <w:fldChar w:fldCharType="end"/>
            </w:r>
          </w:p>
          <w:p>
            <w:pPr>
              <w:numPr>
                <w:ilvl w:val="0"/>
                <w:numId w:val="2"/>
              </w:numPr>
              <w:spacing w:after="0" w:line="240" w:lineRule="auto"/>
              <w:jc w:val="both"/>
              <w:rPr>
                <w:rFonts w:ascii="Candara" w:hAnsi="Candara" w:cs="Arial"/>
                <w:color w:val="000000" w:themeColor="text1"/>
                <w:sz w:val="18"/>
                <w:szCs w:val="18"/>
                <w14:textFill>
                  <w14:solidFill>
                    <w14:schemeClr w14:val="tx1"/>
                  </w14:solidFill>
                </w14:textFill>
              </w:rPr>
            </w:pPr>
            <w:r>
              <w:rPr>
                <w:rFonts w:ascii="Candara" w:hAnsi="Candara" w:cs="Arial"/>
                <w:color w:val="000000" w:themeColor="text1"/>
                <w:sz w:val="18"/>
                <w:szCs w:val="18"/>
                <w14:textFill>
                  <w14:solidFill>
                    <w14:schemeClr w14:val="tx1"/>
                  </w14:solidFill>
                </w14:textFill>
              </w:rPr>
              <w:t xml:space="preserve">Loyalty and credit card program: Marriott has one of the most preferred and largest loyalty programs managed by Marriott Bonvoy, through which guests can access its brands and benefits (such as tours and activities program, miles partnering with airline, etc.) </w:t>
            </w:r>
            <w:r>
              <w:rPr>
                <w:rFonts w:ascii="Candara" w:hAnsi="Candara" w:cs="Arial"/>
                <w:color w:val="000000" w:themeColor="text1"/>
                <w:sz w:val="18"/>
                <w:szCs w:val="18"/>
                <w14:textFill>
                  <w14:solidFill>
                    <w14:schemeClr w14:val="tx1"/>
                  </w14:solidFill>
                </w14:textFill>
              </w:rPr>
              <w:fldChar w:fldCharType="begin" w:fldLock="1"/>
            </w:r>
            <w:r>
              <w:rPr>
                <w:rFonts w:ascii="Candara" w:hAnsi="Candara" w:cs="Arial"/>
                <w:color w:val="000000" w:themeColor="text1"/>
                <w:sz w:val="18"/>
                <w:szCs w:val="18"/>
                <w14:textFill>
                  <w14:solidFill>
                    <w14:schemeClr w14:val="tx1"/>
                  </w14:solidFill>
                </w14:textFill>
              </w:rPr>
              <w:instrText xml:space="preserve">ADDIN CSL_CITATION {"citationItems":[{"id":"ITEM-1","itemData":{"URL":"https://economictimes.indiatimes.com/industry/services/hotels-/-restaurants/marriott-international-launches-jw-marriott-bengaluru-prestige-golfshire-resort-spa/articleshow/90045369.cms","accessed":{"date-parts":[["2022","3","7"]]},"author":[{"dropping-particle":"","family":"The Economic Times","given":"","non-dropping-particle":"","parse-names":false,"suffix":""}],"id":"ITEM-1","issued":{"date-parts":[["2022"]]},"title":"JW Marriott: Marriott International launches JW Marriott Bengaluru Prestige Golfshire Resort &amp; Spa ","type":"webpage"},"uris":["http://www.mendeley.com/documents/?uuid=5cf9116e-8c0c-3efe-be33-a25bcd72f52d"]}],"mendeley":{"formattedCitation":"(The Economic Times, 2022)","plainTextFormattedCitation":"(The Economic Times, 2022)","previouslyFormattedCitation":"(The Economic Times, 2022)"},"properties":{"noteIndex":0},"schema":"https://github.com/citation-style-language/schema/raw/master/csl-citation.json"}</w:instrText>
            </w:r>
            <w:r>
              <w:rPr>
                <w:rFonts w:ascii="Candara" w:hAnsi="Candara" w:cs="Arial"/>
                <w:color w:val="000000" w:themeColor="text1"/>
                <w:sz w:val="18"/>
                <w:szCs w:val="18"/>
                <w14:textFill>
                  <w14:solidFill>
                    <w14:schemeClr w14:val="tx1"/>
                  </w14:solidFill>
                </w14:textFill>
              </w:rPr>
              <w:fldChar w:fldCharType="separate"/>
            </w:r>
            <w:r>
              <w:rPr>
                <w:rFonts w:ascii="Candara" w:hAnsi="Candara" w:cs="Arial"/>
                <w:color w:val="000000" w:themeColor="text1"/>
                <w:sz w:val="18"/>
                <w:szCs w:val="18"/>
                <w14:textFill>
                  <w14:solidFill>
                    <w14:schemeClr w14:val="tx1"/>
                  </w14:solidFill>
                </w14:textFill>
              </w:rPr>
              <w:t>(The Economic Times, 2022)</w:t>
            </w:r>
            <w:r>
              <w:rPr>
                <w:rFonts w:ascii="Candara" w:hAnsi="Candara" w:cs="Arial"/>
                <w:color w:val="000000" w:themeColor="text1"/>
                <w:sz w:val="18"/>
                <w:szCs w:val="18"/>
                <w14:textFill>
                  <w14:solidFill>
                    <w14:schemeClr w14:val="tx1"/>
                  </w14:solidFill>
                </w14:textFill>
              </w:rPr>
              <w:fldChar w:fldCharType="end"/>
            </w:r>
            <w:r>
              <w:rPr>
                <w:rFonts w:ascii="Candara" w:hAnsi="Candara" w:cs="Arial"/>
                <w:color w:val="000000" w:themeColor="text1"/>
                <w:sz w:val="18"/>
                <w:szCs w:val="18"/>
                <w14:textFill>
                  <w14:solidFill>
                    <w14:schemeClr w14:val="tx1"/>
                  </w14:solidFill>
                </w14:textFill>
              </w:rPr>
              <w:t xml:space="preserve">; Marriott has mutually beneficial agreements with credit card issuers, associated with loyalty program. </w:t>
            </w:r>
            <w:r>
              <w:rPr>
                <w:rFonts w:ascii="Candara" w:hAnsi="Candara" w:cs="Arial"/>
                <w:color w:val="000000" w:themeColor="text1"/>
                <w:sz w:val="18"/>
                <w:szCs w:val="18"/>
                <w14:textFill>
                  <w14:solidFill>
                    <w14:schemeClr w14:val="tx1"/>
                  </w14:solidFill>
                </w14:textFill>
              </w:rPr>
              <w:fldChar w:fldCharType="begin" w:fldLock="1"/>
            </w:r>
            <w:r>
              <w:rPr>
                <w:rFonts w:ascii="Candara" w:hAnsi="Candara" w:cs="Arial"/>
                <w:color w:val="000000" w:themeColor="text1"/>
                <w:sz w:val="18"/>
                <w:szCs w:val="18"/>
                <w14:textFill>
                  <w14:solidFill>
                    <w14:schemeClr w14:val="tx1"/>
                  </w14:solidFill>
                </w14:textFill>
              </w:rPr>
              <w:instrText xml:space="preserve">ADDIN CSL_CITATION {"citationItems":[{"id":"ITEM-1","itemData":{"URL":"https://time.com/nextadvisor/credit-cards/reviews/marriott-bonvoy-brilliant-amex-card/","accessed":{"date-parts":[["2022","3","7"]]},"author":[{"dropping-particle":"","family":"The Times","given":"","non-dropping-particle":"","parse-names":false,"suffix":""}],"id":"ITEM-1","issued":{"date-parts":[["2022"]]},"title":"Marriott Bonvoy Brilliant Amex Review — Premium Benefits for Frequent Travelers | NextAdvisor with TIME","type":"webpage"},"uris":["http://www.mendeley.com/documents/?uuid=76c573c6-1c65-362a-b430-d343595f60cc"]}],"mendeley":{"formattedCitation":"(The Times, 2022)","plainTextFormattedCitation":"(The Times, 2022)","previouslyFormattedCitation":"(The Times, 2022)"},"properties":{"noteIndex":0},"schema":"https://github.com/citation-style-language/schema/raw/master/csl-citation.json"}</w:instrText>
            </w:r>
            <w:r>
              <w:rPr>
                <w:rFonts w:ascii="Candara" w:hAnsi="Candara" w:cs="Arial"/>
                <w:color w:val="000000" w:themeColor="text1"/>
                <w:sz w:val="18"/>
                <w:szCs w:val="18"/>
                <w14:textFill>
                  <w14:solidFill>
                    <w14:schemeClr w14:val="tx1"/>
                  </w14:solidFill>
                </w14:textFill>
              </w:rPr>
              <w:fldChar w:fldCharType="separate"/>
            </w:r>
            <w:r>
              <w:rPr>
                <w:rFonts w:ascii="Candara" w:hAnsi="Candara" w:cs="Arial"/>
                <w:color w:val="000000" w:themeColor="text1"/>
                <w:sz w:val="18"/>
                <w:szCs w:val="18"/>
                <w14:textFill>
                  <w14:solidFill>
                    <w14:schemeClr w14:val="tx1"/>
                  </w14:solidFill>
                </w14:textFill>
              </w:rPr>
              <w:t>(The Times, 2022)</w:t>
            </w:r>
            <w:r>
              <w:rPr>
                <w:rFonts w:ascii="Candara" w:hAnsi="Candara" w:cs="Arial"/>
                <w:color w:val="000000" w:themeColor="text1"/>
                <w:sz w:val="18"/>
                <w:szCs w:val="18"/>
                <w14:textFill>
                  <w14:solidFill>
                    <w14:schemeClr w14:val="tx1"/>
                  </w14:solidFill>
                </w14:textFill>
              </w:rPr>
              <w:fldChar w:fldCharType="end"/>
            </w:r>
          </w:p>
          <w:p>
            <w:pPr>
              <w:numPr>
                <w:ilvl w:val="0"/>
                <w:numId w:val="2"/>
              </w:numPr>
              <w:spacing w:after="0" w:line="240" w:lineRule="auto"/>
              <w:jc w:val="both"/>
              <w:rPr>
                <w:rFonts w:ascii="Candara" w:hAnsi="Candara" w:cs="Arial"/>
                <w:color w:val="000000" w:themeColor="text1"/>
                <w:sz w:val="18"/>
                <w:szCs w:val="18"/>
                <w14:textFill>
                  <w14:solidFill>
                    <w14:schemeClr w14:val="tx1"/>
                  </w14:solidFill>
                </w14:textFill>
              </w:rPr>
            </w:pPr>
            <w:r>
              <w:rPr>
                <w:rFonts w:ascii="Candara" w:hAnsi="Candara" w:cs="Arial"/>
                <w:color w:val="000000" w:themeColor="text1"/>
                <w:sz w:val="18"/>
                <w:szCs w:val="18"/>
                <w14:textFill>
                  <w14:solidFill>
                    <w14:schemeClr w14:val="tx1"/>
                  </w14:solidFill>
                </w14:textFill>
              </w:rPr>
              <w:t xml:space="preserve">High geographical presence: Over 7600 properties over 130 countries </w:t>
            </w:r>
          </w:p>
        </w:tc>
      </w:tr>
      <w:tr>
        <w:tc>
          <w:tcPr>
            <w:tcW w:w="2122" w:type="dxa"/>
            <w:tcBorders>
              <w:left w:val="single" w:color="FFFFFF" w:themeColor="background1" w:sz="4" w:space="0"/>
            </w:tcBorders>
            <w:shd w:val="clear" w:color="auto" w:fill="ED7D31" w:themeFill="accent2"/>
          </w:tcPr>
          <w:p>
            <w:pPr>
              <w:spacing w:after="0" w:line="240" w:lineRule="auto"/>
              <w:jc w:val="both"/>
              <w:rPr>
                <w:rFonts w:ascii="Candara" w:hAnsi="Candara" w:cs="Arial"/>
                <w:b w:val="0"/>
                <w:bCs w:val="0"/>
                <w:color w:val="000000" w:themeColor="text1"/>
                <w:sz w:val="18"/>
                <w:szCs w:val="18"/>
                <w14:textFill>
                  <w14:solidFill>
                    <w14:schemeClr w14:val="tx1"/>
                  </w14:solidFill>
                </w14:textFill>
              </w:rPr>
            </w:pPr>
            <w:r>
              <w:rPr>
                <w:rFonts w:ascii="Candara" w:hAnsi="Candara" w:cs="Arial"/>
                <w:b w:val="0"/>
                <w:bCs w:val="0"/>
                <w:color w:val="000000" w:themeColor="text1"/>
                <w:sz w:val="18"/>
                <w:szCs w:val="18"/>
                <w14:textFill>
                  <w14:solidFill>
                    <w14:schemeClr w14:val="tx1"/>
                  </w14:solidFill>
                </w14:textFill>
              </w:rPr>
              <w:t>Weakness</w:t>
            </w:r>
          </w:p>
        </w:tc>
        <w:tc>
          <w:tcPr>
            <w:tcW w:w="7614" w:type="dxa"/>
            <w:shd w:val="clear" w:color="auto" w:fill="FBE4D5" w:themeFill="accent2" w:themeFillTint="33"/>
          </w:tcPr>
          <w:p>
            <w:pPr>
              <w:numPr>
                <w:ilvl w:val="0"/>
                <w:numId w:val="2"/>
              </w:numPr>
              <w:spacing w:after="0" w:line="240" w:lineRule="auto"/>
              <w:jc w:val="both"/>
              <w:rPr>
                <w:rFonts w:ascii="Candara" w:hAnsi="Candara" w:cs="Arial"/>
                <w:color w:val="000000" w:themeColor="text1"/>
                <w:sz w:val="18"/>
                <w:szCs w:val="18"/>
                <w14:textFill>
                  <w14:solidFill>
                    <w14:schemeClr w14:val="tx1"/>
                  </w14:solidFill>
                </w14:textFill>
              </w:rPr>
            </w:pPr>
            <w:r>
              <w:rPr>
                <w:rFonts w:ascii="Candara" w:hAnsi="Candara" w:cs="Arial"/>
                <w:color w:val="000000" w:themeColor="text1"/>
                <w:sz w:val="18"/>
                <w:szCs w:val="18"/>
                <w14:textFill>
                  <w14:solidFill>
                    <w14:schemeClr w14:val="tx1"/>
                  </w14:solidFill>
                </w14:textFill>
              </w:rPr>
              <w:t xml:space="preserve">Solvency problems : Marriott has been struggled with solvency problems due to covid-19 as it has significantly increased the financial leverage through debt to finance its operation  </w:t>
            </w:r>
            <w:r>
              <w:rPr>
                <w:rFonts w:ascii="Candara" w:hAnsi="Candara" w:cs="Arial"/>
                <w:color w:val="000000" w:themeColor="text1"/>
                <w:sz w:val="18"/>
                <w:szCs w:val="18"/>
                <w14:textFill>
                  <w14:solidFill>
                    <w14:schemeClr w14:val="tx1"/>
                  </w14:solidFill>
                </w14:textFill>
              </w:rPr>
              <w:fldChar w:fldCharType="begin" w:fldLock="1"/>
            </w:r>
            <w:r>
              <w:rPr>
                <w:rFonts w:ascii="Candara" w:hAnsi="Candara" w:cs="Arial"/>
                <w:color w:val="000000" w:themeColor="text1"/>
                <w:sz w:val="18"/>
                <w:szCs w:val="18"/>
                <w14:textFill>
                  <w14:solidFill>
                    <w14:schemeClr w14:val="tx1"/>
                  </w14:solidFill>
                </w14:textFill>
              </w:rPr>
              <w:instrText xml:space="preserve">ADDIN CSL_CITATION {"citationItems":[{"id":"ITEM-1","itemData":{"URL":"https://www.hotelmanagement.net/operate/marriott-outlines-plans-for-staying-solvent-a-pandemic","accessed":{"date-parts":[["2022","3","7"]]},"author":[{"dropping-particle":"","family":"Hotel Management","given":"","non-dropping-particle":"","parse-names":false,"suffix":""}],"id":"ITEM-1","issued":{"date-parts":[["2022"]]},"title":"Marriott charts solvency plans amid COVID-19 pandemic ","type":"webpage"},"uris":["http://www.mendeley.com/documents/?uuid=5155513c-8e14-3a7d-b90f-12edd1c714c6"]}],"mendeley":{"formattedCitation":"(Hotel Management, 2022)","plainTextFormattedCitation":"(Hotel Management, 2022)","previouslyFormattedCitation":"(Hotel Management, 2022)"},"properties":{"noteIndex":0},"schema":"https://github.com/citation-style-language/schema/raw/master/csl-citation.json"}</w:instrText>
            </w:r>
            <w:r>
              <w:rPr>
                <w:rFonts w:ascii="Candara" w:hAnsi="Candara" w:cs="Arial"/>
                <w:color w:val="000000" w:themeColor="text1"/>
                <w:sz w:val="18"/>
                <w:szCs w:val="18"/>
                <w14:textFill>
                  <w14:solidFill>
                    <w14:schemeClr w14:val="tx1"/>
                  </w14:solidFill>
                </w14:textFill>
              </w:rPr>
              <w:fldChar w:fldCharType="separate"/>
            </w:r>
            <w:r>
              <w:rPr>
                <w:rFonts w:ascii="Candara" w:hAnsi="Candara" w:cs="Arial"/>
                <w:color w:val="000000" w:themeColor="text1"/>
                <w:sz w:val="18"/>
                <w:szCs w:val="18"/>
                <w14:textFill>
                  <w14:solidFill>
                    <w14:schemeClr w14:val="tx1"/>
                  </w14:solidFill>
                </w14:textFill>
              </w:rPr>
              <w:t>(Hotel Management, 2022)</w:t>
            </w:r>
            <w:r>
              <w:rPr>
                <w:rFonts w:ascii="Candara" w:hAnsi="Candara" w:cs="Arial"/>
                <w:color w:val="000000" w:themeColor="text1"/>
                <w:sz w:val="18"/>
                <w:szCs w:val="18"/>
                <w14:textFill>
                  <w14:solidFill>
                    <w14:schemeClr w14:val="tx1"/>
                  </w14:solidFill>
                </w14:textFill>
              </w:rPr>
              <w:fldChar w:fldCharType="end"/>
            </w:r>
            <w:r>
              <w:rPr>
                <w:rFonts w:ascii="Candara" w:hAnsi="Candara" w:cs="Arial"/>
                <w:color w:val="000000" w:themeColor="text1"/>
                <w:sz w:val="18"/>
                <w:szCs w:val="18"/>
                <w14:textFill>
                  <w14:solidFill>
                    <w14:schemeClr w14:val="tx1"/>
                  </w14:solidFill>
                </w14:textFill>
              </w:rPr>
              <w:t>. This is accompanied by the weakened financial performance of Marriott due to the covid-19 with room occupancy rate dropped to around 30% in 2020.</w:t>
            </w:r>
          </w:p>
          <w:p>
            <w:pPr>
              <w:numPr>
                <w:ilvl w:val="0"/>
                <w:numId w:val="2"/>
              </w:numPr>
              <w:spacing w:after="0" w:line="240" w:lineRule="auto"/>
              <w:jc w:val="both"/>
              <w:rPr>
                <w:rFonts w:ascii="Candara" w:hAnsi="Candara" w:cs="Arial"/>
                <w:color w:val="000000" w:themeColor="text1"/>
                <w:sz w:val="18"/>
                <w:szCs w:val="18"/>
                <w14:textFill>
                  <w14:solidFill>
                    <w14:schemeClr w14:val="tx1"/>
                  </w14:solidFill>
                </w14:textFill>
              </w:rPr>
            </w:pPr>
            <w:r>
              <w:rPr>
                <w:rFonts w:ascii="Candara" w:hAnsi="Candara" w:cs="Arial"/>
                <w:color w:val="000000" w:themeColor="text1"/>
                <w:sz w:val="18"/>
                <w:szCs w:val="18"/>
                <w14:textFill>
                  <w14:solidFill>
                    <w14:schemeClr w14:val="tx1"/>
                  </w14:solidFill>
                </w14:textFill>
              </w:rPr>
              <w:t xml:space="preserve">Highly standardized services: Despite the efforts of Marriott to improve customer experiences, it has been a common pain point for the traditional industry that they have highly standardized and homogenous offerings with low differentiation </w:t>
            </w:r>
          </w:p>
        </w:tc>
      </w:tr>
      <w:tr>
        <w:tc>
          <w:tcPr>
            <w:tcW w:w="2122" w:type="dxa"/>
            <w:tcBorders>
              <w:left w:val="single" w:color="FFFFFF" w:themeColor="background1" w:sz="4" w:space="0"/>
            </w:tcBorders>
            <w:shd w:val="clear" w:color="auto" w:fill="ED7D31" w:themeFill="accent2"/>
          </w:tcPr>
          <w:p>
            <w:pPr>
              <w:spacing w:after="0" w:line="240" w:lineRule="auto"/>
              <w:jc w:val="both"/>
              <w:rPr>
                <w:rFonts w:ascii="Candara" w:hAnsi="Candara" w:cs="Arial"/>
                <w:b w:val="0"/>
                <w:bCs w:val="0"/>
                <w:color w:val="000000" w:themeColor="text1"/>
                <w:sz w:val="18"/>
                <w:szCs w:val="18"/>
                <w14:textFill>
                  <w14:solidFill>
                    <w14:schemeClr w14:val="tx1"/>
                  </w14:solidFill>
                </w14:textFill>
              </w:rPr>
            </w:pPr>
            <w:r>
              <w:rPr>
                <w:rFonts w:ascii="Candara" w:hAnsi="Candara" w:cs="Arial"/>
                <w:b w:val="0"/>
                <w:bCs w:val="0"/>
                <w:color w:val="000000" w:themeColor="text1"/>
                <w:sz w:val="18"/>
                <w:szCs w:val="18"/>
                <w14:textFill>
                  <w14:solidFill>
                    <w14:schemeClr w14:val="tx1"/>
                  </w14:solidFill>
                </w14:textFill>
              </w:rPr>
              <w:t xml:space="preserve">Opportunities </w:t>
            </w:r>
          </w:p>
        </w:tc>
        <w:tc>
          <w:tcPr>
            <w:tcW w:w="7614" w:type="dxa"/>
            <w:shd w:val="clear" w:color="auto" w:fill="F7CAAC" w:themeFill="accent2" w:themeFillTint="66"/>
          </w:tcPr>
          <w:p>
            <w:pPr>
              <w:numPr>
                <w:ilvl w:val="0"/>
                <w:numId w:val="2"/>
              </w:numPr>
              <w:spacing w:after="0" w:line="240" w:lineRule="auto"/>
              <w:jc w:val="both"/>
              <w:rPr>
                <w:rFonts w:ascii="Candara" w:hAnsi="Candara" w:cs="Arial"/>
                <w:color w:val="000000" w:themeColor="text1"/>
                <w:sz w:val="18"/>
                <w:szCs w:val="18"/>
                <w14:textFill>
                  <w14:solidFill>
                    <w14:schemeClr w14:val="tx1"/>
                  </w14:solidFill>
                </w14:textFill>
              </w:rPr>
            </w:pPr>
            <w:r>
              <w:rPr>
                <w:rFonts w:ascii="Candara" w:hAnsi="Candara" w:cs="Arial"/>
                <w:color w:val="000000" w:themeColor="text1"/>
                <w:sz w:val="18"/>
                <w:szCs w:val="18"/>
                <w14:textFill>
                  <w14:solidFill>
                    <w14:schemeClr w14:val="tx1"/>
                  </w14:solidFill>
                </w14:textFill>
              </w:rPr>
              <w:t xml:space="preserve">Cutting edge technologies in the hotel industry : the technologies, especially for covid-19, and for other operations allows plays to not only improve the operational efficiency but also develop understanding on customer behaviors </w:t>
            </w:r>
            <w:r>
              <w:rPr>
                <w:rFonts w:ascii="Candara" w:hAnsi="Candara" w:cs="Arial"/>
                <w:color w:val="000000" w:themeColor="text1"/>
                <w:sz w:val="18"/>
                <w:szCs w:val="18"/>
                <w14:textFill>
                  <w14:solidFill>
                    <w14:schemeClr w14:val="tx1"/>
                  </w14:solidFill>
                </w14:textFill>
              </w:rPr>
              <w:fldChar w:fldCharType="begin" w:fldLock="1"/>
            </w:r>
            <w:r>
              <w:rPr>
                <w:rFonts w:ascii="Candara" w:hAnsi="Candara" w:cs="Arial"/>
                <w:color w:val="000000" w:themeColor="text1"/>
                <w:sz w:val="18"/>
                <w:szCs w:val="18"/>
                <w14:textFill>
                  <w14:solidFill>
                    <w14:schemeClr w14:val="tx1"/>
                  </w14:solidFill>
                </w14:textFill>
              </w:rPr>
              <w:instrText xml:space="preserve">ADDIN CSL_CITATION {"citationItems":[{"id":"ITEM-1","itemData":{"ISSN":"0976-6340","author":[{"dropping-particle":"","family":"Goryushkina","given":"N E","non-dropping-particle":"","parse-names":false,"suffix":""},{"dropping-particle":"","family":"Vakhrushev","given":"I B","non-dropping-particle":"","parse-names":false,"suffix":""},{"dropping-particle":"","family":"Akhmetova","given":"M Kh","non-dropping-particle":"","parse-names":false,"suffix":""},{"dropping-particle":"V","family":"Otto","given":"O","non-dropping-particle":"","parse-names":false,"suffix":""},{"dropping-particle":"V","family":"Pesotskaya","given":"E","non-dropping-particle":"","parse-names":false,"suffix":""},{"dropping-particle":"","family":"Voinova","given":"N E","non-dropping-particle":"","parse-names":false,"suffix":""}],"container-title":"International Journal of Mechanical Engineering and Technology","id":"ITEM-1","issue":"13","issued":{"date-parts":[["2018"]]},"page":"618-627","publisher":"IAEME Publication","title":"The world hotel market: current state and development trends","type":"article-journal","volume":"9"},"uris":["http://www.mendeley.com/documents/?uuid=ec09a963-ba78-48cd-a5ea-ec4a4547d574"]}],"mendeley":{"formattedCitation":"(Goryushkina &lt;i&gt;et al.&lt;/i&gt;, 2018)","plainTextFormattedCitation":"(Goryushkina et al., 2018)","previouslyFormattedCitation":"(Goryushkina &lt;i&gt;et al.&lt;/i&gt;, 2018)"},"properties":{"noteIndex":0},"schema":"https://github.com/citation-style-language/schema/raw/master/csl-citation.json"}</w:instrText>
            </w:r>
            <w:r>
              <w:rPr>
                <w:rFonts w:ascii="Candara" w:hAnsi="Candara" w:cs="Arial"/>
                <w:color w:val="000000" w:themeColor="text1"/>
                <w:sz w:val="18"/>
                <w:szCs w:val="18"/>
                <w14:textFill>
                  <w14:solidFill>
                    <w14:schemeClr w14:val="tx1"/>
                  </w14:solidFill>
                </w14:textFill>
              </w:rPr>
              <w:fldChar w:fldCharType="separate"/>
            </w:r>
            <w:r>
              <w:rPr>
                <w:rFonts w:ascii="Candara" w:hAnsi="Candara" w:cs="Arial"/>
                <w:color w:val="000000" w:themeColor="text1"/>
                <w:sz w:val="18"/>
                <w:szCs w:val="18"/>
                <w14:textFill>
                  <w14:solidFill>
                    <w14:schemeClr w14:val="tx1"/>
                  </w14:solidFill>
                </w14:textFill>
              </w:rPr>
              <w:t xml:space="preserve">(Goryushkina </w:t>
            </w:r>
            <w:r>
              <w:rPr>
                <w:rFonts w:ascii="Candara" w:hAnsi="Candara" w:cs="Arial"/>
                <w:i/>
                <w:color w:val="000000" w:themeColor="text1"/>
                <w:sz w:val="18"/>
                <w:szCs w:val="18"/>
                <w14:textFill>
                  <w14:solidFill>
                    <w14:schemeClr w14:val="tx1"/>
                  </w14:solidFill>
                </w14:textFill>
              </w:rPr>
              <w:t>et al.</w:t>
            </w:r>
            <w:r>
              <w:rPr>
                <w:rFonts w:ascii="Candara" w:hAnsi="Candara" w:cs="Arial"/>
                <w:color w:val="000000" w:themeColor="text1"/>
                <w:sz w:val="18"/>
                <w:szCs w:val="18"/>
                <w14:textFill>
                  <w14:solidFill>
                    <w14:schemeClr w14:val="tx1"/>
                  </w14:solidFill>
                </w14:textFill>
              </w:rPr>
              <w:t>, 2018)</w:t>
            </w:r>
            <w:r>
              <w:rPr>
                <w:rFonts w:ascii="Candara" w:hAnsi="Candara" w:cs="Arial"/>
                <w:color w:val="000000" w:themeColor="text1"/>
                <w:sz w:val="18"/>
                <w:szCs w:val="18"/>
                <w14:textFill>
                  <w14:solidFill>
                    <w14:schemeClr w14:val="tx1"/>
                  </w14:solidFill>
                </w14:textFill>
              </w:rPr>
              <w:fldChar w:fldCharType="end"/>
            </w:r>
            <w:r>
              <w:rPr>
                <w:rFonts w:ascii="Candara" w:hAnsi="Candara" w:cs="Arial"/>
                <w:color w:val="000000" w:themeColor="text1"/>
                <w:sz w:val="18"/>
                <w:szCs w:val="18"/>
                <w14:textFill>
                  <w14:solidFill>
                    <w14:schemeClr w14:val="tx1"/>
                  </w14:solidFill>
                </w14:textFill>
              </w:rPr>
              <w:t xml:space="preserve">. </w:t>
            </w:r>
          </w:p>
          <w:p>
            <w:pPr>
              <w:numPr>
                <w:ilvl w:val="0"/>
                <w:numId w:val="2"/>
              </w:numPr>
              <w:spacing w:after="0" w:line="240" w:lineRule="auto"/>
              <w:jc w:val="both"/>
              <w:rPr>
                <w:rFonts w:ascii="Candara" w:hAnsi="Candara" w:cs="Arial"/>
                <w:color w:val="000000" w:themeColor="text1"/>
                <w:sz w:val="18"/>
                <w:szCs w:val="18"/>
                <w14:textFill>
                  <w14:solidFill>
                    <w14:schemeClr w14:val="tx1"/>
                  </w14:solidFill>
                </w14:textFill>
              </w:rPr>
            </w:pPr>
            <w:r>
              <w:rPr>
                <w:rFonts w:ascii="Candara" w:hAnsi="Candara" w:cs="Arial"/>
                <w:color w:val="000000" w:themeColor="text1"/>
                <w:sz w:val="18"/>
                <w:szCs w:val="18"/>
                <w14:textFill>
                  <w14:solidFill>
                    <w14:schemeClr w14:val="tx1"/>
                  </w14:solidFill>
                </w14:textFill>
              </w:rPr>
              <w:t xml:space="preserve">The strong recovery momentum of the global travel market due to the ease of travel restrictions at a global scale, especially the leisure travel sector </w:t>
            </w:r>
          </w:p>
        </w:tc>
      </w:tr>
      <w:tr>
        <w:tc>
          <w:tcPr>
            <w:tcW w:w="2122" w:type="dxa"/>
            <w:tcBorders>
              <w:left w:val="single" w:color="FFFFFF" w:themeColor="background1" w:sz="4" w:space="0"/>
              <w:bottom w:val="single" w:color="FFFFFF" w:themeColor="background1" w:sz="4" w:space="0"/>
            </w:tcBorders>
            <w:shd w:val="clear" w:color="auto" w:fill="ED7D31" w:themeFill="accent2"/>
          </w:tcPr>
          <w:p>
            <w:pPr>
              <w:spacing w:after="0" w:line="240" w:lineRule="auto"/>
              <w:jc w:val="both"/>
              <w:rPr>
                <w:rFonts w:ascii="Candara" w:hAnsi="Candara" w:cs="Arial"/>
                <w:b w:val="0"/>
                <w:bCs w:val="0"/>
                <w:color w:val="000000" w:themeColor="text1"/>
                <w:sz w:val="18"/>
                <w:szCs w:val="18"/>
                <w14:textFill>
                  <w14:solidFill>
                    <w14:schemeClr w14:val="tx1"/>
                  </w14:solidFill>
                </w14:textFill>
              </w:rPr>
            </w:pPr>
            <w:r>
              <w:rPr>
                <w:rFonts w:ascii="Candara" w:hAnsi="Candara" w:cs="Arial"/>
                <w:b w:val="0"/>
                <w:bCs w:val="0"/>
                <w:color w:val="000000" w:themeColor="text1"/>
                <w:sz w:val="18"/>
                <w:szCs w:val="18"/>
                <w14:textFill>
                  <w14:solidFill>
                    <w14:schemeClr w14:val="tx1"/>
                  </w14:solidFill>
                </w14:textFill>
              </w:rPr>
              <w:t xml:space="preserve">Threats </w:t>
            </w:r>
          </w:p>
        </w:tc>
        <w:tc>
          <w:tcPr>
            <w:tcW w:w="7614" w:type="dxa"/>
            <w:shd w:val="clear" w:color="auto" w:fill="FBE4D5" w:themeFill="accent2" w:themeFillTint="33"/>
          </w:tcPr>
          <w:p>
            <w:pPr>
              <w:numPr>
                <w:ilvl w:val="0"/>
                <w:numId w:val="2"/>
              </w:numPr>
              <w:spacing w:after="0" w:line="240" w:lineRule="auto"/>
              <w:jc w:val="both"/>
              <w:rPr>
                <w:rFonts w:ascii="Candara" w:hAnsi="Candara" w:cs="Arial"/>
                <w:color w:val="000000" w:themeColor="text1"/>
                <w:sz w:val="18"/>
                <w:szCs w:val="18"/>
                <w14:textFill>
                  <w14:solidFill>
                    <w14:schemeClr w14:val="tx1"/>
                  </w14:solidFill>
                </w14:textFill>
              </w:rPr>
            </w:pPr>
            <w:r>
              <w:rPr>
                <w:rFonts w:ascii="Candara" w:hAnsi="Candara" w:cs="Arial"/>
                <w:color w:val="000000" w:themeColor="text1"/>
                <w:sz w:val="18"/>
                <w:szCs w:val="18"/>
                <w14:textFill>
                  <w14:solidFill>
                    <w14:schemeClr w14:val="tx1"/>
                  </w14:solidFill>
                </w14:textFill>
              </w:rPr>
              <w:t xml:space="preserve">Unforeseen circumstance: covid-19 will still negative impact the market through the clustering outbreak or new type of variants, taking the travel industry back to the crsis </w:t>
            </w:r>
          </w:p>
          <w:p>
            <w:pPr>
              <w:numPr>
                <w:ilvl w:val="0"/>
                <w:numId w:val="2"/>
              </w:numPr>
              <w:spacing w:after="0" w:line="240" w:lineRule="auto"/>
              <w:jc w:val="both"/>
              <w:rPr>
                <w:rFonts w:ascii="Candara" w:hAnsi="Candara" w:cs="Arial"/>
                <w:color w:val="000000" w:themeColor="text1"/>
                <w:sz w:val="18"/>
                <w:szCs w:val="18"/>
                <w14:textFill>
                  <w14:solidFill>
                    <w14:schemeClr w14:val="tx1"/>
                  </w14:solidFill>
                </w14:textFill>
              </w:rPr>
            </w:pPr>
          </w:p>
          <w:p>
            <w:pPr>
              <w:numPr>
                <w:ilvl w:val="0"/>
                <w:numId w:val="2"/>
              </w:numPr>
              <w:spacing w:after="0" w:line="240" w:lineRule="auto"/>
              <w:jc w:val="both"/>
              <w:rPr>
                <w:rFonts w:ascii="Candara" w:hAnsi="Candara" w:cs="Arial"/>
                <w:color w:val="000000" w:themeColor="text1"/>
                <w:sz w:val="18"/>
                <w:szCs w:val="18"/>
                <w14:textFill>
                  <w14:solidFill>
                    <w14:schemeClr w14:val="tx1"/>
                  </w14:solidFill>
                </w14:textFill>
              </w:rPr>
            </w:pPr>
            <w:r>
              <w:rPr>
                <w:rFonts w:ascii="Candara" w:hAnsi="Candara" w:cs="Arial"/>
                <w:color w:val="000000" w:themeColor="text1"/>
                <w:sz w:val="18"/>
                <w:szCs w:val="18"/>
                <w14:textFill>
                  <w14:solidFill>
                    <w14:schemeClr w14:val="tx1"/>
                  </w14:solidFill>
                </w14:textFill>
              </w:rPr>
              <w:t xml:space="preserve">Fierce competition: The hotel industry has been highly competitive, leading hotel chains, regional hotel chains, and independent local hotels, sharing and rental accommodations all have the ability to impact Marriott’s operation to some extent </w:t>
            </w:r>
          </w:p>
        </w:tc>
      </w:tr>
    </w:tbl>
    <w:p>
      <w:pPr>
        <w:pStyle w:val="3"/>
        <w:numPr>
          <w:ilvl w:val="1"/>
          <w:numId w:val="1"/>
        </w:numPr>
        <w:rPr>
          <w:rFonts w:hint="default" w:ascii="Times New Roman Regular" w:hAnsi="Times New Roman Regular" w:cs="Times New Roman Regular"/>
          <w:b/>
          <w:bCs/>
        </w:rPr>
      </w:pPr>
      <w:bookmarkStart w:id="4" w:name="_Toc101877564"/>
      <w:r>
        <w:rPr>
          <w:rFonts w:hint="default" w:ascii="Times New Roman Regular" w:hAnsi="Times New Roman Regular" w:cs="Times New Roman Regular"/>
          <w:b/>
          <w:bCs/>
        </w:rPr>
        <w:t>Objective</w:t>
      </w:r>
      <w:bookmarkEnd w:id="4"/>
      <w:r>
        <w:rPr>
          <w:rFonts w:hint="default" w:ascii="Times New Roman Regular" w:hAnsi="Times New Roman Regular" w:cs="Times New Roman Regular"/>
          <w:b/>
          <w:bCs/>
        </w:rPr>
        <w:t xml:space="preserve"> </w:t>
      </w:r>
    </w:p>
    <w:p>
      <w:pPr>
        <w:spacing w:line="360" w:lineRule="auto"/>
        <w:rPr>
          <w:rFonts w:hint="default" w:ascii="Times New Roman Regular" w:hAnsi="Times New Roman Regular" w:cs="Times New Roman Regular"/>
          <w:b w:val="0"/>
          <w:bCs/>
          <w:color w:val="000000" w:themeColor="text1"/>
          <w:sz w:val="24"/>
          <w:szCs w:val="24"/>
          <w14:textFill>
            <w14:solidFill>
              <w14:schemeClr w14:val="tx1"/>
            </w14:solidFill>
          </w14:textFill>
        </w:rPr>
      </w:pP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According to the SMART principles, an effective objective should be specific, measurable, achievable, relevant, and time-bound </w: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begin" w:fldLock="1"/>
      </w:r>
      <w:r>
        <w:rPr>
          <w:rFonts w:hint="default" w:ascii="Times New Roman Regular" w:hAnsi="Times New Roman Regular" w:cs="Times New Roman Regular"/>
          <w:b w:val="0"/>
          <w:color w:val="000000" w:themeColor="text1"/>
          <w:sz w:val="24"/>
          <w:szCs w:val="24"/>
          <w14:textFill>
            <w14:solidFill>
              <w14:schemeClr w14:val="tx1"/>
            </w14:solidFill>
          </w14:textFill>
        </w:rPr>
        <w:instrText xml:space="preserve">ADDIN CSL_CITATION {"citationItems":[{"id":"ITEM-1","itemData":{"ISSN":"0149-7189","author":[{"dropping-particle":"","family":"Bjerke","given":"May Britt","non-dropping-particle":"","parse-names":false,"suffix":""},{"dropping-particle":"","family":"Renger","given":"Ralph","non-dropping-particle":"","parse-names":false,"suffix":""}],"container-title":"Evaluation and program planning","id":"ITEM-1","issue":"1","issued":{"date-parts":[["2017"]]},"page":"125-127","publisher":"Elsevier","title":"Being smart about writing SMART objectives","type":"article-journal","volume":"61"},"uris":["http://www.mendeley.com/documents/?uuid=bb356ddc-be12-40f6-a0de-847d907cf8d9"]}],"mendeley":{"formattedCitation":"(Bjerke and Renger, 2017)","plainTextFormattedCitation":"(Bjerke and Renger, 2017)","previouslyFormattedCitation":"(Bjerke and Renger, 2017)"},"properties":{"noteIndex":0},"schema":"https://github.com/citation-style-language/schema/raw/master/csl-citation.json"}</w:instrTex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b w:val="0"/>
          <w:color w:val="000000" w:themeColor="text1"/>
          <w:sz w:val="24"/>
          <w:szCs w:val="24"/>
          <w14:textFill>
            <w14:solidFill>
              <w14:schemeClr w14:val="tx1"/>
            </w14:solidFill>
          </w14:textFill>
        </w:rPr>
        <w:t>(Bjerke and Renger, 2017)</w: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 Based on the above situational analysis, the marketing objective set for Marriott is:  </w:t>
      </w:r>
      <w:r>
        <w:rPr>
          <w:rFonts w:hint="default" w:ascii="Times New Roman Regular" w:hAnsi="Times New Roman Regular" w:cs="Times New Roman Regular"/>
          <w:b w:val="0"/>
          <w:bCs/>
          <w:color w:val="000000" w:themeColor="text1"/>
          <w:sz w:val="24"/>
          <w:szCs w:val="24"/>
          <w14:textFill>
            <w14:solidFill>
              <w14:schemeClr w14:val="tx1"/>
            </w14:solidFill>
          </w14:textFill>
        </w:rPr>
        <w:t xml:space="preserve">to increase the occupancy rate to above 70% by the end of 202 at the overall wide, specifically to raise occupancy rate of hotels in the Caribbean &amp;lattin American region till around 65, north American region till 75%, European region till 70%, Middle east and African region till 65%m  </w:t>
      </w:r>
    </w:p>
    <w:p>
      <w:pPr>
        <w:spacing w:line="360" w:lineRule="auto"/>
        <w:rPr>
          <w:rFonts w:hint="default" w:ascii="Times New Roman Regular" w:hAnsi="Times New Roman Regular" w:cs="Times New Roman Regular"/>
          <w:b w:val="0"/>
          <w:bCs/>
          <w:color w:val="000000" w:themeColor="text1"/>
          <w:sz w:val="24"/>
          <w:szCs w:val="24"/>
          <w14:textFill>
            <w14:solidFill>
              <w14:schemeClr w14:val="tx1"/>
            </w14:solidFill>
          </w14:textFill>
        </w:rPr>
      </w:pPr>
    </w:p>
    <w:p>
      <w:pPr>
        <w:jc w:val="center"/>
        <w:rPr>
          <w:rFonts w:ascii="Candara" w:hAnsi="Candara" w:cs="Arial"/>
          <w:color w:val="000000" w:themeColor="text1"/>
          <w:sz w:val="18"/>
          <w:szCs w:val="18"/>
          <w14:textFill>
            <w14:solidFill>
              <w14:schemeClr w14:val="tx1"/>
            </w14:solidFill>
          </w14:textFill>
        </w:rPr>
      </w:pPr>
      <w:r>
        <w:rPr>
          <w:rFonts w:ascii="Candara" w:hAnsi="Candara" w:cs="Arial"/>
          <w:color w:val="000000" w:themeColor="text1"/>
          <w:sz w:val="18"/>
          <w:szCs w:val="18"/>
          <w14:textFill>
            <w14:solidFill>
              <w14:schemeClr w14:val="tx1"/>
            </w14:solidFill>
          </w14:textFill>
        </w:rPr>
        <w:t>Table 2: Room occupancy rate of Marriott</w:t>
      </w:r>
    </w:p>
    <w:p>
      <w:pPr>
        <w:jc w:val="center"/>
        <w:rPr>
          <w:rFonts w:ascii="Candara" w:hAnsi="Candara" w:cs="Arial"/>
          <w:color w:val="000000" w:themeColor="text1"/>
          <w:sz w:val="18"/>
          <w:szCs w:val="18"/>
          <w14:textFill>
            <w14:solidFill>
              <w14:schemeClr w14:val="tx1"/>
            </w14:solidFill>
          </w14:textFill>
        </w:rPr>
      </w:pPr>
      <w:r>
        <w:rPr>
          <w:rFonts w:ascii="Candara" w:hAnsi="Candara" w:cs="Arial"/>
          <w:color w:val="000000" w:themeColor="text1"/>
          <w:sz w:val="18"/>
          <w:szCs w:val="18"/>
          <w14:textFill>
            <w14:solidFill>
              <w14:schemeClr w14:val="tx1"/>
            </w14:solidFill>
          </w14:textFill>
        </w:rPr>
        <w:t xml:space="preserve">Source: </w:t>
      </w:r>
      <w:r>
        <w:rPr>
          <w:rFonts w:ascii="Candara" w:hAnsi="Candara" w:cs="Arial"/>
          <w:color w:val="000000" w:themeColor="text1"/>
          <w:sz w:val="18"/>
          <w:szCs w:val="18"/>
          <w14:textFill>
            <w14:solidFill>
              <w14:schemeClr w14:val="tx1"/>
            </w14:solidFill>
          </w14:textFill>
        </w:rPr>
        <w:fldChar w:fldCharType="begin" w:fldLock="1"/>
      </w:r>
      <w:r>
        <w:rPr>
          <w:rFonts w:ascii="Candara" w:hAnsi="Candara" w:cs="Arial"/>
          <w:color w:val="000000" w:themeColor="text1"/>
          <w:sz w:val="18"/>
          <w:szCs w:val="18"/>
          <w14:textFill>
            <w14:solidFill>
              <w14:schemeClr w14:val="tx1"/>
            </w14:solidFill>
          </w14:textFill>
        </w:rPr>
        <w:instrText xml:space="preserve">ADDIN CSL_CITATION {"citationItems":[{"id":"ITEM-1","itemData":{"URL":"https://www-statista-com.uoelibrary.idm.oclc.org/statistics/271096/occupancy-rate-of-marriott-international-inc-hotels-worldwide/","accessed":{"date-parts":[["2022","4","26"]]},"author":[{"dropping-particle":"","family":"Statista","given":"","non-dropping-particle":"","parse-names":false,"suffix":""}],"id":"ITEM-1","issued":{"date-parts":[["2021"]]},"title":"• Marriott hotel occupancy rate worldwide by region 2021 ","type":"webpage"},"uris":["http://www.mendeley.com/documents/?uuid=4564fb78-a0e0-3d13-b614-73a24f597d51"]}],"mendeley":{"formattedCitation":"(Statista, 2021)","plainTextFormattedCitation":"(Statista, 2021)","previouslyFormattedCitation":"(Statista, 2021)"},"properties":{"noteIndex":0},"schema":"https://github.com/citation-style-language/schema/raw/master/csl-citation.json"}</w:instrText>
      </w:r>
      <w:r>
        <w:rPr>
          <w:rFonts w:ascii="Candara" w:hAnsi="Candara" w:cs="Arial"/>
          <w:color w:val="000000" w:themeColor="text1"/>
          <w:sz w:val="18"/>
          <w:szCs w:val="18"/>
          <w14:textFill>
            <w14:solidFill>
              <w14:schemeClr w14:val="tx1"/>
            </w14:solidFill>
          </w14:textFill>
        </w:rPr>
        <w:fldChar w:fldCharType="separate"/>
      </w:r>
      <w:r>
        <w:rPr>
          <w:rFonts w:ascii="Candara" w:hAnsi="Candara" w:cs="Arial"/>
          <w:color w:val="000000" w:themeColor="text1"/>
          <w:sz w:val="18"/>
          <w:szCs w:val="18"/>
          <w14:textFill>
            <w14:solidFill>
              <w14:schemeClr w14:val="tx1"/>
            </w14:solidFill>
          </w14:textFill>
        </w:rPr>
        <w:t>(Statista, 2021)</w:t>
      </w:r>
      <w:r>
        <w:rPr>
          <w:rFonts w:ascii="Candara" w:hAnsi="Candara" w:cs="Arial"/>
          <w:color w:val="000000" w:themeColor="text1"/>
          <w:sz w:val="18"/>
          <w:szCs w:val="18"/>
          <w14:textFill>
            <w14:solidFill>
              <w14:schemeClr w14:val="tx1"/>
            </w14:solidFill>
          </w14:textFill>
        </w:rPr>
        <w:fldChar w:fldCharType="end"/>
      </w:r>
    </w:p>
    <w:tbl>
      <w:tblPr>
        <w:tblStyle w:val="51"/>
        <w:tblW w:w="9424" w:type="dxa"/>
        <w:tblInd w:w="0" w:type="dxa"/>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Layout w:type="autofit"/>
        <w:tblCellMar>
          <w:top w:w="0" w:type="dxa"/>
          <w:left w:w="108" w:type="dxa"/>
          <w:bottom w:w="0" w:type="dxa"/>
          <w:right w:w="108" w:type="dxa"/>
        </w:tblCellMar>
      </w:tblPr>
      <w:tblGrid>
        <w:gridCol w:w="1521"/>
        <w:gridCol w:w="1219"/>
        <w:gridCol w:w="1821"/>
        <w:gridCol w:w="977"/>
        <w:gridCol w:w="1392"/>
        <w:gridCol w:w="1046"/>
        <w:gridCol w:w="1448"/>
      </w:tblGrid>
      <w:tr>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Ex>
        <w:tc>
          <w:tcPr>
            <w:tcW w:w="0" w:type="auto"/>
            <w:tcBorders>
              <w:top w:val="single" w:color="ED7D31" w:themeColor="accent2" w:sz="4" w:space="0"/>
              <w:left w:val="single" w:color="ED7D31" w:themeColor="accent2" w:sz="4" w:space="0"/>
              <w:bottom w:val="single" w:color="ED7D31" w:themeColor="accent2" w:sz="4" w:space="0"/>
              <w:right w:val="nil"/>
              <w:insideH w:val="single" w:sz="4" w:space="0"/>
              <w:insideV w:val="nil"/>
            </w:tcBorders>
            <w:shd w:val="clear" w:color="auto" w:fill="ED7D31" w:themeFill="accent2"/>
          </w:tcPr>
          <w:p>
            <w:pPr>
              <w:spacing w:after="0" w:line="240" w:lineRule="atLeast"/>
              <w:jc w:val="center"/>
              <w:rPr>
                <w:rFonts w:ascii="Candara" w:hAnsi="Candara" w:eastAsia="宋体" w:cs="Open Sans"/>
                <w:b/>
                <w:bCs/>
                <w:color w:val="4F4F4F"/>
                <w:sz w:val="20"/>
                <w:szCs w:val="20"/>
              </w:rPr>
            </w:pPr>
            <w:r>
              <w:rPr>
                <w:rFonts w:ascii="Candara" w:hAnsi="Candara" w:eastAsia="宋体" w:cs="Open Sans"/>
                <w:b/>
                <w:bCs/>
                <w:color w:val="4F4F4F"/>
                <w:sz w:val="20"/>
                <w:szCs w:val="20"/>
              </w:rPr>
              <w:t>Characteristic</w:t>
            </w:r>
          </w:p>
        </w:tc>
        <w:tc>
          <w:tcPr>
            <w:tcW w:w="0" w:type="auto"/>
            <w:tcBorders>
              <w:top w:val="single" w:color="ED7D31" w:themeColor="accent2" w:sz="4" w:space="0"/>
              <w:bottom w:val="single" w:color="ED7D31" w:themeColor="accent2" w:sz="4" w:space="0"/>
              <w:right w:val="nil"/>
              <w:insideH w:val="single" w:sz="4" w:space="0"/>
              <w:insideV w:val="nil"/>
            </w:tcBorders>
            <w:shd w:val="clear" w:color="auto" w:fill="ED7D31" w:themeFill="accent2"/>
          </w:tcPr>
          <w:p>
            <w:pPr>
              <w:spacing w:after="0" w:line="240" w:lineRule="atLeast"/>
              <w:jc w:val="center"/>
              <w:rPr>
                <w:rFonts w:ascii="Candara" w:hAnsi="Candara" w:eastAsia="宋体" w:cs="Open Sans"/>
                <w:b/>
                <w:bCs/>
                <w:color w:val="4F4F4F"/>
                <w:sz w:val="20"/>
                <w:szCs w:val="20"/>
              </w:rPr>
            </w:pPr>
            <w:r>
              <w:rPr>
                <w:rFonts w:ascii="Candara" w:hAnsi="Candara" w:eastAsia="宋体" w:cs="Open Sans"/>
                <w:b/>
                <w:bCs/>
                <w:color w:val="4F4F4F"/>
                <w:sz w:val="20"/>
                <w:szCs w:val="20"/>
              </w:rPr>
              <w:t>North America</w:t>
            </w:r>
          </w:p>
        </w:tc>
        <w:tc>
          <w:tcPr>
            <w:tcW w:w="0" w:type="auto"/>
            <w:tcBorders>
              <w:top w:val="single" w:color="ED7D31" w:themeColor="accent2" w:sz="4" w:space="0"/>
              <w:bottom w:val="single" w:color="ED7D31" w:themeColor="accent2" w:sz="4" w:space="0"/>
              <w:right w:val="nil"/>
              <w:insideH w:val="single" w:sz="4" w:space="0"/>
              <w:insideV w:val="nil"/>
            </w:tcBorders>
            <w:shd w:val="clear" w:color="auto" w:fill="ED7D31" w:themeFill="accent2"/>
          </w:tcPr>
          <w:p>
            <w:pPr>
              <w:spacing w:after="0" w:line="240" w:lineRule="atLeast"/>
              <w:jc w:val="center"/>
              <w:rPr>
                <w:rFonts w:ascii="Candara" w:hAnsi="Candara" w:eastAsia="宋体" w:cs="Open Sans"/>
                <w:b/>
                <w:bCs/>
                <w:color w:val="4F4F4F"/>
                <w:sz w:val="20"/>
                <w:szCs w:val="20"/>
              </w:rPr>
            </w:pPr>
            <w:r>
              <w:rPr>
                <w:rFonts w:ascii="Candara" w:hAnsi="Candara" w:eastAsia="宋体" w:cs="Open Sans"/>
                <w:b/>
                <w:bCs/>
                <w:color w:val="4F4F4F"/>
                <w:sz w:val="20"/>
                <w:szCs w:val="20"/>
              </w:rPr>
              <w:t>Caribbean &amp; Latin America</w:t>
            </w:r>
          </w:p>
        </w:tc>
        <w:tc>
          <w:tcPr>
            <w:tcW w:w="0" w:type="auto"/>
            <w:tcBorders>
              <w:top w:val="single" w:color="ED7D31" w:themeColor="accent2" w:sz="4" w:space="0"/>
              <w:bottom w:val="single" w:color="ED7D31" w:themeColor="accent2" w:sz="4" w:space="0"/>
              <w:right w:val="nil"/>
              <w:insideH w:val="single" w:sz="4" w:space="0"/>
              <w:insideV w:val="nil"/>
            </w:tcBorders>
            <w:shd w:val="clear" w:color="auto" w:fill="ED7D31" w:themeFill="accent2"/>
          </w:tcPr>
          <w:p>
            <w:pPr>
              <w:spacing w:after="0" w:line="240" w:lineRule="atLeast"/>
              <w:jc w:val="center"/>
              <w:rPr>
                <w:rFonts w:ascii="Candara" w:hAnsi="Candara" w:eastAsia="宋体" w:cs="Open Sans"/>
                <w:b/>
                <w:bCs/>
                <w:color w:val="4F4F4F"/>
                <w:sz w:val="20"/>
                <w:szCs w:val="20"/>
              </w:rPr>
            </w:pPr>
            <w:r>
              <w:rPr>
                <w:rFonts w:ascii="Candara" w:hAnsi="Candara" w:eastAsia="宋体" w:cs="Open Sans"/>
                <w:b/>
                <w:bCs/>
                <w:color w:val="4F4F4F"/>
                <w:sz w:val="20"/>
                <w:szCs w:val="20"/>
              </w:rPr>
              <w:t>Europe*</w:t>
            </w:r>
          </w:p>
        </w:tc>
        <w:tc>
          <w:tcPr>
            <w:tcW w:w="0" w:type="auto"/>
            <w:tcBorders>
              <w:top w:val="single" w:color="ED7D31" w:themeColor="accent2" w:sz="4" w:space="0"/>
              <w:bottom w:val="single" w:color="ED7D31" w:themeColor="accent2" w:sz="4" w:space="0"/>
              <w:right w:val="nil"/>
              <w:insideH w:val="single" w:sz="4" w:space="0"/>
              <w:insideV w:val="nil"/>
            </w:tcBorders>
            <w:shd w:val="clear" w:color="auto" w:fill="ED7D31" w:themeFill="accent2"/>
          </w:tcPr>
          <w:p>
            <w:pPr>
              <w:spacing w:after="0" w:line="240" w:lineRule="atLeast"/>
              <w:jc w:val="center"/>
              <w:rPr>
                <w:rFonts w:ascii="Candara" w:hAnsi="Candara" w:eastAsia="宋体" w:cs="Open Sans"/>
                <w:b/>
                <w:bCs/>
                <w:color w:val="4F4F4F"/>
                <w:sz w:val="20"/>
                <w:szCs w:val="20"/>
              </w:rPr>
            </w:pPr>
            <w:r>
              <w:rPr>
                <w:rFonts w:ascii="Candara" w:hAnsi="Candara" w:eastAsia="宋体" w:cs="Open Sans"/>
                <w:b/>
                <w:bCs/>
                <w:color w:val="4F4F4F"/>
                <w:sz w:val="20"/>
                <w:szCs w:val="20"/>
              </w:rPr>
              <w:t>Middle East &amp; Africa</w:t>
            </w:r>
          </w:p>
        </w:tc>
        <w:tc>
          <w:tcPr>
            <w:tcW w:w="0" w:type="auto"/>
            <w:tcBorders>
              <w:top w:val="single" w:color="ED7D31" w:themeColor="accent2" w:sz="4" w:space="0"/>
              <w:bottom w:val="single" w:color="ED7D31" w:themeColor="accent2" w:sz="4" w:space="0"/>
              <w:right w:val="nil"/>
              <w:insideH w:val="single" w:sz="4" w:space="0"/>
              <w:insideV w:val="nil"/>
            </w:tcBorders>
            <w:shd w:val="clear" w:color="auto" w:fill="ED7D31" w:themeFill="accent2"/>
          </w:tcPr>
          <w:p>
            <w:pPr>
              <w:spacing w:after="0" w:line="240" w:lineRule="atLeast"/>
              <w:jc w:val="center"/>
              <w:rPr>
                <w:rFonts w:ascii="Candara" w:hAnsi="Candara" w:eastAsia="宋体" w:cs="Open Sans"/>
                <w:b/>
                <w:bCs/>
                <w:color w:val="4F4F4F"/>
                <w:sz w:val="20"/>
                <w:szCs w:val="20"/>
              </w:rPr>
            </w:pPr>
            <w:r>
              <w:rPr>
                <w:rFonts w:ascii="Candara" w:hAnsi="Candara" w:eastAsia="宋体" w:cs="Open Sans"/>
                <w:b/>
                <w:bCs/>
                <w:color w:val="4F4F4F"/>
                <w:sz w:val="20"/>
                <w:szCs w:val="20"/>
              </w:rPr>
              <w:t>Asia Pacific</w:t>
            </w:r>
          </w:p>
        </w:tc>
        <w:tc>
          <w:tcPr>
            <w:tcW w:w="0" w:type="auto"/>
            <w:tcBorders>
              <w:top w:val="single" w:color="ED7D31" w:themeColor="accent2" w:sz="4" w:space="0"/>
              <w:bottom w:val="single" w:color="ED7D31" w:themeColor="accent2" w:sz="4" w:space="0"/>
              <w:right w:val="single" w:color="ED7D31" w:themeColor="accent2" w:sz="4" w:space="0"/>
              <w:insideH w:val="single" w:sz="4" w:space="0"/>
              <w:insideV w:val="nil"/>
            </w:tcBorders>
            <w:shd w:val="clear" w:color="auto" w:fill="ED7D31" w:themeFill="accent2"/>
          </w:tcPr>
          <w:p>
            <w:pPr>
              <w:spacing w:after="0" w:line="240" w:lineRule="atLeast"/>
              <w:jc w:val="center"/>
              <w:rPr>
                <w:rFonts w:ascii="Candara" w:hAnsi="Candara" w:eastAsia="宋体" w:cs="Open Sans"/>
                <w:b/>
                <w:bCs/>
                <w:color w:val="4F4F4F"/>
                <w:sz w:val="20"/>
                <w:szCs w:val="20"/>
              </w:rPr>
            </w:pPr>
            <w:r>
              <w:rPr>
                <w:rFonts w:ascii="Candara" w:hAnsi="Candara" w:eastAsia="宋体" w:cs="Open Sans"/>
                <w:b/>
                <w:bCs/>
                <w:color w:val="4F4F4F"/>
                <w:sz w:val="20"/>
                <w:szCs w:val="20"/>
              </w:rPr>
              <w:t>Overall worldwide</w:t>
            </w:r>
          </w:p>
        </w:tc>
      </w:tr>
      <w:tr>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Ex>
        <w:tc>
          <w:tcPr>
            <w:tcW w:w="0" w:type="auto"/>
            <w:shd w:val="clear" w:color="auto" w:fill="FBE4D5" w:themeFill="accent2" w:themeFillTint="33"/>
            <w:noWrap/>
          </w:tcPr>
          <w:p>
            <w:pPr>
              <w:spacing w:after="0" w:line="270" w:lineRule="atLeast"/>
              <w:rPr>
                <w:rFonts w:ascii="Candara" w:hAnsi="Candara" w:eastAsia="宋体" w:cs="Open Sans"/>
                <w:b/>
                <w:bCs/>
                <w:color w:val="696969"/>
              </w:rPr>
            </w:pPr>
            <w:r>
              <w:rPr>
                <w:rFonts w:ascii="Candara" w:hAnsi="Candara" w:eastAsia="宋体" w:cs="Open Sans"/>
                <w:b/>
                <w:bCs/>
                <w:color w:val="696969"/>
              </w:rPr>
              <w:t>2016</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75.8%</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65.3%</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71.8%</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64.6%</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75.2%</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72.5%</w:t>
            </w:r>
          </w:p>
        </w:tc>
      </w:tr>
      <w:tr>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Ex>
        <w:tc>
          <w:tcPr>
            <w:tcW w:w="0" w:type="auto"/>
            <w:noWrap/>
          </w:tcPr>
          <w:p>
            <w:pPr>
              <w:spacing w:after="0" w:line="270" w:lineRule="atLeast"/>
              <w:rPr>
                <w:rFonts w:ascii="Candara" w:hAnsi="Candara" w:eastAsia="宋体" w:cs="Open Sans"/>
                <w:b/>
                <w:bCs/>
                <w:color w:val="696969"/>
              </w:rPr>
            </w:pPr>
            <w:r>
              <w:rPr>
                <w:rFonts w:ascii="Candara" w:hAnsi="Candara" w:eastAsia="宋体" w:cs="Open Sans"/>
                <w:b/>
                <w:bCs/>
                <w:color w:val="696969"/>
              </w:rPr>
              <w:t>2017</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76%</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66.5%</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73.5%</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65.7%</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72.8%</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73.7%</w:t>
            </w:r>
          </w:p>
        </w:tc>
      </w:tr>
      <w:tr>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Ex>
        <w:tc>
          <w:tcPr>
            <w:tcW w:w="0" w:type="auto"/>
            <w:shd w:val="clear" w:color="auto" w:fill="FBE4D5" w:themeFill="accent2" w:themeFillTint="33"/>
            <w:noWrap/>
          </w:tcPr>
          <w:p>
            <w:pPr>
              <w:spacing w:after="0" w:line="270" w:lineRule="atLeast"/>
              <w:rPr>
                <w:rFonts w:ascii="Candara" w:hAnsi="Candara" w:eastAsia="宋体" w:cs="Open Sans"/>
                <w:b/>
                <w:bCs/>
                <w:color w:val="696969"/>
              </w:rPr>
            </w:pPr>
            <w:r>
              <w:rPr>
                <w:rFonts w:ascii="Candara" w:hAnsi="Candara" w:eastAsia="宋体" w:cs="Open Sans"/>
                <w:b/>
                <w:bCs/>
                <w:color w:val="696969"/>
              </w:rPr>
              <w:t>2018</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75.7%</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64.8%</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74%</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66.4%</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73.5%</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73.7%</w:t>
            </w:r>
          </w:p>
        </w:tc>
      </w:tr>
      <w:tr>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Ex>
        <w:tc>
          <w:tcPr>
            <w:tcW w:w="0" w:type="auto"/>
            <w:noWrap/>
          </w:tcPr>
          <w:p>
            <w:pPr>
              <w:spacing w:after="0" w:line="270" w:lineRule="atLeast"/>
              <w:rPr>
                <w:rFonts w:ascii="Candara" w:hAnsi="Candara" w:eastAsia="宋体" w:cs="Open Sans"/>
                <w:b/>
                <w:bCs/>
                <w:color w:val="696969"/>
              </w:rPr>
            </w:pPr>
            <w:r>
              <w:rPr>
                <w:rFonts w:ascii="Candara" w:hAnsi="Candara" w:eastAsia="宋体" w:cs="Open Sans"/>
                <w:b/>
                <w:bCs/>
                <w:color w:val="696969"/>
              </w:rPr>
              <w:t>2019</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75.8%</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65.1%</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74.7%</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68.5%</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72.4%</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73.7%</w:t>
            </w:r>
          </w:p>
        </w:tc>
      </w:tr>
      <w:tr>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Ex>
        <w:tc>
          <w:tcPr>
            <w:tcW w:w="0" w:type="auto"/>
            <w:shd w:val="clear" w:color="auto" w:fill="FBE4D5" w:themeFill="accent2" w:themeFillTint="33"/>
            <w:noWrap/>
          </w:tcPr>
          <w:p>
            <w:pPr>
              <w:spacing w:after="0" w:line="270" w:lineRule="atLeast"/>
              <w:rPr>
                <w:rFonts w:ascii="Candara" w:hAnsi="Candara" w:eastAsia="宋体" w:cs="Open Sans"/>
                <w:b/>
                <w:bCs/>
                <w:color w:val="696969"/>
              </w:rPr>
            </w:pPr>
            <w:r>
              <w:rPr>
                <w:rFonts w:ascii="Candara" w:hAnsi="Candara" w:eastAsia="宋体" w:cs="Open Sans"/>
                <w:b/>
                <w:bCs/>
                <w:color w:val="696969"/>
              </w:rPr>
              <w:t>2020</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28.6%</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26.7%</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20.8%</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34.9%</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39.6%</w:t>
            </w:r>
          </w:p>
        </w:tc>
        <w:tc>
          <w:tcPr>
            <w:tcW w:w="0" w:type="auto"/>
            <w:shd w:val="clear" w:color="auto" w:fill="FBE4D5" w:themeFill="accent2" w:themeFillTint="33"/>
            <w:noWrap/>
          </w:tcPr>
          <w:p>
            <w:pPr>
              <w:spacing w:after="0" w:line="270" w:lineRule="atLeast"/>
              <w:jc w:val="right"/>
              <w:rPr>
                <w:rFonts w:ascii="Candara" w:hAnsi="Candara" w:eastAsia="宋体" w:cs="Open Sans"/>
                <w:color w:val="696969"/>
              </w:rPr>
            </w:pPr>
            <w:r>
              <w:rPr>
                <w:rFonts w:ascii="Candara" w:hAnsi="Candara" w:eastAsia="宋体" w:cs="Open Sans"/>
                <w:color w:val="696969"/>
              </w:rPr>
              <w:t>31.4%</w:t>
            </w:r>
          </w:p>
        </w:tc>
      </w:tr>
      <w:tr>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Ex>
        <w:tc>
          <w:tcPr>
            <w:tcW w:w="0" w:type="auto"/>
            <w:noWrap/>
          </w:tcPr>
          <w:p>
            <w:pPr>
              <w:spacing w:after="0" w:line="270" w:lineRule="atLeast"/>
              <w:rPr>
                <w:rFonts w:ascii="Candara" w:hAnsi="Candara" w:eastAsia="宋体" w:cs="Open Sans"/>
                <w:b/>
                <w:bCs/>
                <w:color w:val="696969"/>
              </w:rPr>
            </w:pPr>
            <w:r>
              <w:rPr>
                <w:rFonts w:ascii="Candara" w:hAnsi="Candara" w:eastAsia="宋体" w:cs="Open Sans"/>
                <w:b/>
                <w:bCs/>
                <w:color w:val="696969"/>
              </w:rPr>
              <w:t>2021</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47.1%</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41.8%</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33.4%</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51.5%</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37.8%</w:t>
            </w:r>
          </w:p>
        </w:tc>
        <w:tc>
          <w:tcPr>
            <w:tcW w:w="0" w:type="auto"/>
            <w:noWrap/>
          </w:tcPr>
          <w:p>
            <w:pPr>
              <w:spacing w:after="0" w:line="270" w:lineRule="atLeast"/>
              <w:jc w:val="right"/>
              <w:rPr>
                <w:rFonts w:ascii="Candara" w:hAnsi="Candara" w:eastAsia="宋体" w:cs="Open Sans"/>
                <w:color w:val="696969"/>
              </w:rPr>
            </w:pPr>
            <w:r>
              <w:rPr>
                <w:rFonts w:ascii="Candara" w:hAnsi="Candara" w:eastAsia="宋体" w:cs="Open Sans"/>
                <w:color w:val="696969"/>
              </w:rPr>
              <w:t>51.3%</w:t>
            </w:r>
          </w:p>
        </w:tc>
      </w:tr>
    </w:tbl>
    <w:p>
      <w:pPr>
        <w:rPr>
          <w:rFonts w:ascii="Candara" w:hAnsi="Candara" w:cs="Arial"/>
          <w:b/>
          <w:bCs/>
          <w:color w:val="000000" w:themeColor="text1"/>
          <w:sz w:val="18"/>
          <w:szCs w:val="18"/>
          <w14:textFill>
            <w14:solidFill>
              <w14:schemeClr w14:val="tx1"/>
            </w14:solidFill>
          </w14:textFill>
        </w:rPr>
      </w:pPr>
    </w:p>
    <w:p>
      <w:pPr>
        <w:pStyle w:val="26"/>
        <w:numPr>
          <w:ilvl w:val="0"/>
          <w:numId w:val="3"/>
        </w:numPr>
        <w:spacing w:line="360" w:lineRule="auto"/>
        <w:ind w:firstLineChars="0"/>
        <w:jc w:val="both"/>
        <w:rPr>
          <w:rFonts w:hint="default" w:ascii="Times New Roman Regular" w:hAnsi="Times New Roman Regular" w:cs="Times New Roman Regular"/>
          <w:b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t xml:space="preserve">Specific: </w:t>
      </w:r>
      <w:r>
        <w:rPr>
          <w:rFonts w:hint="default" w:ascii="Times New Roman Regular" w:hAnsi="Times New Roman Regular" w:cs="Times New Roman Regular"/>
          <w:b w:val="0"/>
          <w:color w:val="000000" w:themeColor="text1"/>
          <w:sz w:val="24"/>
          <w:szCs w:val="24"/>
          <w14:textFill>
            <w14:solidFill>
              <w14:schemeClr w14:val="tx1"/>
            </w14:solidFill>
          </w14:textFill>
        </w:rPr>
        <w:t>The objective wants to achieve is to increase the customer satisfaction index from the current level of 50% to the 70%, with detailed requirements tailored for each region determined by the regional pre-pandemic level .</w:t>
      </w:r>
    </w:p>
    <w:p>
      <w:pPr>
        <w:pStyle w:val="26"/>
        <w:numPr>
          <w:ilvl w:val="0"/>
          <w:numId w:val="3"/>
        </w:numPr>
        <w:spacing w:line="360" w:lineRule="auto"/>
        <w:ind w:firstLineChars="0"/>
        <w:jc w:val="both"/>
        <w:rPr>
          <w:rFonts w:hint="default" w:ascii="Times New Roman Regular" w:hAnsi="Times New Roman Regular" w:cs="Times New Roman Regular"/>
          <w:b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t>Measurable:</w:t>
      </w: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 the objective is measurable with a quantitative indicator of room occupancy rate, which calculated by the divided the number of rooms booked by the number of total available room on a given data of over a specific period </w: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begin" w:fldLock="1"/>
      </w:r>
      <w:r>
        <w:rPr>
          <w:rFonts w:hint="default" w:ascii="Times New Roman Regular" w:hAnsi="Times New Roman Regular" w:cs="Times New Roman Regular"/>
          <w:b w:val="0"/>
          <w:color w:val="000000" w:themeColor="text1"/>
          <w:sz w:val="24"/>
          <w:szCs w:val="24"/>
          <w14:textFill>
            <w14:solidFill>
              <w14:schemeClr w14:val="tx1"/>
            </w14:solidFill>
          </w14:textFill>
        </w:rPr>
        <w:instrText xml:space="preserve">ADDIN CSL_CITATION {"citationItems":[{"id":"ITEM-1","itemData":{"ISSN":"1096-3480","author":[{"dropping-particle":"","family":"Mattila","given":"Anna S","non-dropping-particle":"","parse-names":false,"suffix":""},{"dropping-particle":"","family":"O'Neill","given":"John W","non-dropping-particle":"","parse-names":false,"suffix":""}],"container-title":"Journal of Hospitality &amp; Tourism Research","id":"ITEM-1","issue":"3","issued":{"date-parts":[["2003"]]},"page":"328-341","publisher":"Sage Publications Sage CA: Thousand Oaks, CA","title":"Relationships between hotel room pricing, occupancy, and guest satisfaction: A longitudinal case of a midscale hotel in the United States","type":"article-journal","volume":"27"},"uris":["http://www.mendeley.com/documents/?uuid=943970dc-fd12-42de-8143-25cfe555eeb0"]}],"mendeley":{"formattedCitation":"(Mattila and O’Neill, 2003)","plainTextFormattedCitation":"(Mattila and O’Neill, 2003)","previouslyFormattedCitation":"(Mattila and O’Neill, 2003)"},"properties":{"noteIndex":0},"schema":"https://github.com/citation-style-language/schema/raw/master/csl-citation.json"}</w:instrTex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b w:val="0"/>
          <w:color w:val="000000" w:themeColor="text1"/>
          <w:sz w:val="24"/>
          <w:szCs w:val="24"/>
          <w14:textFill>
            <w14:solidFill>
              <w14:schemeClr w14:val="tx1"/>
            </w14:solidFill>
          </w14:textFill>
        </w:rPr>
        <w:t>(Mattila and O’Neill, 2003)</w: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b w:val="0"/>
          <w:color w:val="000000" w:themeColor="text1"/>
          <w:sz w:val="24"/>
          <w:szCs w:val="24"/>
          <w14:textFill>
            <w14:solidFill>
              <w14:schemeClr w14:val="tx1"/>
            </w14:solidFill>
          </w14:textFill>
        </w:rPr>
        <w:t>. Intuitively, the higher occupancy rate indicates a higher revenue is generated.</w:t>
      </w:r>
    </w:p>
    <w:p>
      <w:pPr>
        <w:pStyle w:val="26"/>
        <w:numPr>
          <w:ilvl w:val="0"/>
          <w:numId w:val="3"/>
        </w:numPr>
        <w:spacing w:line="360" w:lineRule="auto"/>
        <w:ind w:firstLineChars="0"/>
        <w:jc w:val="both"/>
        <w:rPr>
          <w:rFonts w:hint="default" w:ascii="Times New Roman Regular" w:hAnsi="Times New Roman Regular" w:cs="Times New Roman Regular"/>
          <w:b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t>Achievable:</w:t>
      </w: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 the objective is absolutely achieved as Marriott reported an above 70% room occupancy rate before 2020 </w: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begin" w:fldLock="1"/>
      </w:r>
      <w:r>
        <w:rPr>
          <w:rFonts w:hint="default" w:ascii="Times New Roman Regular" w:hAnsi="Times New Roman Regular" w:cs="Times New Roman Regular"/>
          <w:b w:val="0"/>
          <w:color w:val="000000" w:themeColor="text1"/>
          <w:sz w:val="24"/>
          <w:szCs w:val="24"/>
          <w14:textFill>
            <w14:solidFill>
              <w14:schemeClr w14:val="tx1"/>
            </w14:solidFill>
          </w14:textFill>
        </w:rPr>
        <w:instrText xml:space="preserve">ADDIN CSL_CITATION {"citationItems":[{"id":"ITEM-1","itemData":{"URL":"https://www-statista-com.uoelibrary.idm.oclc.org/statistics/271096/occupancy-rate-of-marriott-international-inc-hotels-worldwide/","accessed":{"date-parts":[["2022","4","26"]]},"author":[{"dropping-particle":"","family":"Statista","given":"","non-dropping-particle":"","parse-names":false,"suffix":""}],"id":"ITEM-1","issued":{"date-parts":[["2021"]]},"title":"• Marriott hotel occupancy rate worldwide by region 2021 ","type":"webpage"},"uris":["http://www.mendeley.com/documents/?uuid=4564fb78-a0e0-3d13-b614-73a24f597d51"]}],"mendeley":{"formattedCitation":"(Statista, 2021)","plainTextFormattedCitation":"(Statista, 2021)","previouslyFormattedCitation":"(Statista, 2021)"},"properties":{"noteIndex":0},"schema":"https://github.com/citation-style-language/schema/raw/master/csl-citation.json"}</w:instrTex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b w:val="0"/>
          <w:color w:val="000000" w:themeColor="text1"/>
          <w:sz w:val="24"/>
          <w:szCs w:val="24"/>
          <w14:textFill>
            <w14:solidFill>
              <w14:schemeClr w14:val="tx1"/>
            </w14:solidFill>
          </w14:textFill>
        </w:rPr>
        <w:t>(Statista, 2021)</w: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 when the covid-19 had not disrupted the industry. Especially, the market appears to see an end to more border closures and restrictive travel mandates, and the momentum resulted from easing travel restrictions will certainly facilitate the recovery of the global travel industry. Furthermore, as consumers have been in-self quarantine for almost two years, their desire for travel, especially leisure travel remain ever-strong. It is expected by the industry the industry will recovery back to the pre-pandemic level, or even exceeds the pre-pandemic level. Within Marriott’s current resources and competences, including not but are not limited to, one of the largest loyalty programs (with over 14 million loyal members), strong brand presence supported by over 30 brands across market segments presenting 130 countries, etc. the objective is achievable </w: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begin" w:fldLock="1"/>
      </w:r>
      <w:r>
        <w:rPr>
          <w:rFonts w:hint="default" w:ascii="Times New Roman Regular" w:hAnsi="Times New Roman Regular" w:cs="Times New Roman Regular"/>
          <w:b w:val="0"/>
          <w:color w:val="000000" w:themeColor="text1"/>
          <w:sz w:val="24"/>
          <w:szCs w:val="24"/>
          <w14:textFill>
            <w14:solidFill>
              <w14:schemeClr w14:val="tx1"/>
            </w14:solidFill>
          </w14:textFill>
        </w:rPr>
        <w:instrText xml:space="preserve">ADDIN CSL_CITATION {"citationItems":[{"id":"ITEM-1","itemData":{"author":[{"dropping-particle":"","family":"Marriott","given":"","non-dropping-particle":"","parse-names":false,"suffix":""}],"id":"ITEM-1","issued":{"date-parts":[["2021"]]},"title":"Marriott International Annual Report 20202","type":"report"},"uris":["http://www.mendeley.com/documents/?uuid=40594913-e2f6-3815-b244-9c604cf1d8af"]}],"mendeley":{"formattedCitation":"(Marriott, 2021)","plainTextFormattedCitation":"(Marriott, 2021)","previouslyFormattedCitation":"(Marriott, 2021)"},"properties":{"noteIndex":0},"schema":"https://github.com/citation-style-language/schema/raw/master/csl-citation.json"}</w:instrTex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b w:val="0"/>
          <w:color w:val="000000" w:themeColor="text1"/>
          <w:sz w:val="24"/>
          <w:szCs w:val="24"/>
          <w14:textFill>
            <w14:solidFill>
              <w14:schemeClr w14:val="tx1"/>
            </w14:solidFill>
          </w14:textFill>
        </w:rPr>
        <w:t>(Marriott, 2021)</w: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 </w:t>
      </w:r>
    </w:p>
    <w:p>
      <w:pPr>
        <w:pStyle w:val="26"/>
        <w:numPr>
          <w:ilvl w:val="0"/>
          <w:numId w:val="3"/>
        </w:numPr>
        <w:spacing w:line="360" w:lineRule="auto"/>
        <w:ind w:firstLineChars="0"/>
        <w:jc w:val="both"/>
        <w:rPr>
          <w:rFonts w:hint="default" w:ascii="Times New Roman Regular" w:hAnsi="Times New Roman Regular" w:cs="Times New Roman Regular"/>
          <w:b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t>Relevant:</w:t>
      </w: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 Customer expectations on what greater customer experiences look like has changed significantly during the covid-19, leaving the hotel industry in a game of catch-up. In this changing competitive landscape, those which can proactively prioritize customer experience can enhance resilience, gain loyalty and drive growth </w: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begin" w:fldLock="1"/>
      </w:r>
      <w:r>
        <w:rPr>
          <w:rFonts w:hint="default" w:ascii="Times New Roman Regular" w:hAnsi="Times New Roman Regular" w:cs="Times New Roman Regular"/>
          <w:b w:val="0"/>
          <w:color w:val="000000" w:themeColor="text1"/>
          <w:sz w:val="24"/>
          <w:szCs w:val="24"/>
          <w14:textFill>
            <w14:solidFill>
              <w14:schemeClr w14:val="tx1"/>
            </w14:solidFill>
          </w14:textFill>
        </w:rPr>
        <w:instrText xml:space="preserve">ADDIN CSL_CITATION {"citationItems":[{"id":"ITEM-1","itemData":{"ISSN":"1368-3500","author":[{"dropping-particle":"","family":"Neuburger","given":"Larissa","non-dropping-particle":"","parse-names":false,"suffix":""},{"dropping-particle":"","family":"Egger","given":"Roman","non-dropping-particle":"","parse-names":false,"suffix":""}],"container-title":"Current Issues in Tourism","id":"ITEM-1","issue":"7","issued":{"date-parts":[["2021"]]},"page":"1003-1016","publisher":"Taylor &amp; Francis","title":"Travel risk perception and travel behaviour during the COVID-19 pandemic 2020: A case study of the DACH region","type":"article-journal","volume":"24"},"uris":["http://www.mendeley.com/documents/?uuid=f2b7c4c3-6e08-44cf-84f8-ef3eec43a038"]}],"mendeley":{"formattedCitation":"(Neuburger and Egger, 2021)","plainTextFormattedCitation":"(Neuburger and Egger, 2021)","previouslyFormattedCitation":"(Neuburger and Egger, 2021)"},"properties":{"noteIndex":0},"schema":"https://github.com/citation-style-language/schema/raw/master/csl-citation.json"}</w:instrTex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b w:val="0"/>
          <w:color w:val="000000" w:themeColor="text1"/>
          <w:sz w:val="24"/>
          <w:szCs w:val="24"/>
          <w14:textFill>
            <w14:solidFill>
              <w14:schemeClr w14:val="tx1"/>
            </w14:solidFill>
          </w14:textFill>
        </w:rPr>
        <w:t>(Neuburger and Egger, 2021)</w: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 Room occupancy rate has been considered as the most comprehensive and representative indicators of the hotel’ overall competitiveness especially during the covid-19. The objective aligns with Marriott’s overall strategical goals that posed for more resilient growth, by using its major brands to capitalize on major trends that is currently impacting the global hospitality sector. </w:t>
      </w:r>
    </w:p>
    <w:p>
      <w:pPr>
        <w:pStyle w:val="26"/>
        <w:numPr>
          <w:ilvl w:val="0"/>
          <w:numId w:val="3"/>
        </w:numPr>
        <w:spacing w:line="360" w:lineRule="auto"/>
        <w:ind w:firstLineChars="0"/>
        <w:jc w:val="both"/>
        <w:rPr>
          <w:rFonts w:hint="default" w:ascii="Times New Roman Regular" w:hAnsi="Times New Roman Regular" w:cs="Times New Roman Regular"/>
          <w:b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t>Time-</w:t>
      </w: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bound: the objective is expected to accomplish by the end of 2022. The chosen time-frame is not out of no reason. According to </w: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begin" w:fldLock="1"/>
      </w:r>
      <w:r>
        <w:rPr>
          <w:rFonts w:hint="default" w:ascii="Times New Roman Regular" w:hAnsi="Times New Roman Regular" w:cs="Times New Roman Regular"/>
          <w:b w:val="0"/>
          <w:color w:val="000000" w:themeColor="text1"/>
          <w:sz w:val="24"/>
          <w:szCs w:val="24"/>
          <w14:textFill>
            <w14:solidFill>
              <w14:schemeClr w14:val="tx1"/>
            </w14:solidFill>
          </w14:textFill>
        </w:rPr>
        <w:instrText xml:space="preserve">ADDIN CSL_CITATION {"citationItems":[{"id":"ITEM-1","itemData":{"URL":"https://aci.aero/2022/02/24/potential-turning-point-in-the-recovery-of-travel-as-latest-air-traffic-data-revealed/","accessed":{"date-parts":[["2022","4","26"]]},"author":[{"dropping-particle":"","family":"ACI World","given":"","non-dropping-particle":"","parse-names":false,"suffix":""}],"id":"ITEM-1","issued":{"date-parts":[["2022"]]},"title":"Potential turning point in the recovery of travel as latest air traffic data revealed ","type":"webpage"},"uris":["http://www.mendeley.com/documents/?uuid=ac28426e-8074-3254-83d5-eb3de7d59bd1"]}],"mendeley":{"formattedCitation":"(ACI World, 2022)","manualFormatting":"ACI World (2022)","plainTextFormattedCitation":"(ACI World, 2022)","previouslyFormattedCitation":"(ACI World, 2022)"},"properties":{"noteIndex":0},"schema":"https://github.com/citation-style-language/schema/raw/master/csl-citation.json"}</w:instrTex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b w:val="0"/>
          <w:color w:val="000000" w:themeColor="text1"/>
          <w:sz w:val="24"/>
          <w:szCs w:val="24"/>
          <w14:textFill>
            <w14:solidFill>
              <w14:schemeClr w14:val="tx1"/>
            </w14:solidFill>
          </w14:textFill>
        </w:rPr>
        <w:t>ACI World (2022)</w: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 the unprecedented global vaccination effort and latest recommendation for the authorities that governments ease travel restrictions would be significantly beneficial to jumpstart the global travel recovery, and that of the hospitality demand. The data provided by </w: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begin" w:fldLock="1"/>
      </w:r>
      <w:r>
        <w:rPr>
          <w:rFonts w:hint="default" w:ascii="Times New Roman Regular" w:hAnsi="Times New Roman Regular" w:cs="Times New Roman Regular"/>
          <w:b w:val="0"/>
          <w:color w:val="000000" w:themeColor="text1"/>
          <w:sz w:val="24"/>
          <w:szCs w:val="24"/>
          <w14:textFill>
            <w14:solidFill>
              <w14:schemeClr w14:val="tx1"/>
            </w14:solidFill>
          </w14:textFill>
        </w:rPr>
        <w:instrText xml:space="preserve">ADDIN CSL_CITATION {"citationItems":[{"id":"ITEM-1","itemData":{"URL":"https://wttc.org/News-Article/US-Travel-and-Tourism-Recovery-Projected-to-Exceed-Pre-Pandemic-Levels-in-2022","accessed":{"date-parts":[["2022","4","26"]]},"author":[{"dropping-particle":"","family":"World Travel &amp; Tourism Council (WTTC)","given":"","non-dropping-particle":"","parse-names":false,"suffix":""}],"id":"ITEM-1","issued":{"date-parts":[["2022"]]},"title":"WTTC: U.S. Travel &amp; Tourism Recovery Projected to Exceed Pre-Pandemic Levels in 2022","type":"webpage"},"uris":["http://www.mendeley.com/documents/?uuid=1da8c03a-6d26-3e99-93e3-09851b6c2345"]}],"mendeley":{"formattedCitation":"(World Travel &amp; Tourism Council (WTTC), 2022)","manualFormatting":"World Travel &amp; Tourism Council (WTTC) (2022)","plainTextFormattedCitation":"(World Travel &amp; Tourism Council (WTTC), 2022)","previouslyFormattedCitation":"(World Travel &amp; Tourism Council (WTTC), 2022)"},"properties":{"noteIndex":0},"schema":"https://github.com/citation-style-language/schema/raw/master/csl-citation.json"}</w:instrTex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b w:val="0"/>
          <w:color w:val="000000" w:themeColor="text1"/>
          <w:sz w:val="24"/>
          <w:szCs w:val="24"/>
          <w14:textFill>
            <w14:solidFill>
              <w14:schemeClr w14:val="tx1"/>
            </w14:solidFill>
          </w14:textFill>
        </w:rPr>
        <w:t>World Travel &amp; Tourism Council (WTTC) (2022)</w:t>
      </w:r>
      <w:r>
        <w:rPr>
          <w:rFonts w:hint="default" w:ascii="Times New Roman Regular" w:hAnsi="Times New Roman Regular" w:cs="Times New Roman Regular"/>
          <w:b w:val="0"/>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 the global travel sector in 2021 was on track and provided $8.6 trillion economic output, recording only 6.4$ percent less than before the struck of covid-19, and an fully recovery could be expected in 2022. </w:t>
      </w:r>
    </w:p>
    <w:p>
      <w:pPr>
        <w:pStyle w:val="3"/>
        <w:numPr>
          <w:ilvl w:val="1"/>
          <w:numId w:val="1"/>
        </w:numPr>
        <w:rPr>
          <w:rFonts w:hint="default" w:ascii="Times New Roman Regular" w:hAnsi="Times New Roman Regular" w:cs="Times New Roman Regular"/>
          <w:b/>
          <w:bCs/>
        </w:rPr>
      </w:pPr>
      <w:bookmarkStart w:id="5" w:name="_Toc101877565"/>
      <w:r>
        <w:rPr>
          <w:rFonts w:hint="default" w:ascii="Times New Roman Regular" w:hAnsi="Times New Roman Regular" w:cs="Times New Roman Regular"/>
          <w:b/>
          <w:bCs/>
        </w:rPr>
        <w:t>Strategy</w:t>
      </w:r>
      <w:bookmarkEnd w:id="5"/>
    </w:p>
    <w:p>
      <w:pPr>
        <w:spacing w:line="360" w:lineRule="auto"/>
        <w:jc w:val="both"/>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 xml:space="preserve">The strategy promoted for Marriott includes two steps. </w:t>
      </w:r>
    </w:p>
    <w:p>
      <w:pPr>
        <w:pStyle w:val="26"/>
        <w:numPr>
          <w:ilvl w:val="0"/>
          <w:numId w:val="4"/>
        </w:numPr>
        <w:spacing w:line="360" w:lineRule="auto"/>
        <w:ind w:firstLineChars="0"/>
        <w:jc w:val="both"/>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 xml:space="preserve">Step 1: Before rushing into all kinds of marketing efforts during the current transitional phase, it is of great importance that Marriott should make the on-going commitment to the safe resumption of the hotels. This can be achieved through the intervention of contactless technologies, such as using mobile application as a service extension, and the intervention of sanitization technologies, such as UV-C light, robot cleaners, electrostatic sprayers, etc. </w:t>
      </w:r>
      <w:r>
        <w:rPr>
          <w:rFonts w:hint="default" w:ascii="Times New Roman Regular" w:hAnsi="Times New Roman Regular" w:cs="Times New Roman Regular"/>
          <w:i w:val="0"/>
          <w:sz w:val="24"/>
          <w:szCs w:val="24"/>
        </w:rPr>
        <w:fldChar w:fldCharType="begin" w:fldLock="1"/>
      </w:r>
      <w:r>
        <w:rPr>
          <w:rFonts w:hint="default" w:ascii="Times New Roman Regular" w:hAnsi="Times New Roman Regular" w:cs="Times New Roman Regular"/>
          <w:i w:val="0"/>
          <w:sz w:val="24"/>
          <w:szCs w:val="24"/>
        </w:rPr>
        <w:instrText xml:space="preserve">ADDIN CSL_CITATION {"citationItems":[{"id":"ITEM-1","itemData":{"author":[{"dropping-particle":"","family":"Sarkady","given":"Daniel","non-dropping-particle":"","parse-names":false,"suffix":""},{"dropping-particle":"","family":"Neuburger","given":"Larissa","non-dropping-particle":"","parse-names":false,"suffix":""},{"dropping-particle":"","family":"Egger","given":"Roman","non-dropping-particle":"","parse-names":false,"suffix":""}],"container-title":"Information and communication technologies in tourism 2021","id":"ITEM-1","issued":{"date-parts":[["2021"]]},"page":"452-463","publisher":"Springer","title":"Virtual reality as a travel substitution tool during COVID-19","type":"chapter"},"uris":["http://www.mendeley.com/documents/?uuid=3ff097a7-86db-4ca3-9653-9411422d7136"]},{"id":"ITEM-2","itemData":{"ISSN":"1932-6203","author":[{"dropping-particle":"","family":"Rahman","given":"Muhammad Khalilur","non-dropping-particle":"","parse-names":false,"suffix":""},{"dropping-particle":"","family":"Gazi","given":"Md Abu Issa","non-dropping-particle":"","parse-names":false,"suffix":""},{"dropping-particle":"","family":"Bhuiyan","given":"Miraj Ahmed","non-dropping-particle":"","parse-names":false,"suffix":""},{"dropping-particle":"","family":"Rahaman","given":"Md Atikur","non-dropping-particle":"","parse-names":false,"suffix":""}],"container-title":"Plos one","id":"ITEM-2","issue":"9","issued":{"date-parts":[["2021"]]},"page":"e0256486","publisher":"Public Library of Science San Francisco, CA USA","title":"Effect of Covid-19 pandemic on tourist travel risk and management perceptions","type":"article-journal","volume":"16"},"uris":["http://www.mendeley.com/documents/?uuid=a3ac0d72-90d0-4208-b572-601bf40b873b"]}],"mendeley":{"formattedCitation":"(Rahman &lt;i&gt;et al.&lt;/i&gt;, 2021; Sarkady, Neuburger and Egger, 2021)","plainTextFormattedCitation":"(Rahman et al., 2021; Sarkady, Neuburger and Egger, 2021)","previouslyFormattedCitation":"(Rahman &lt;i&gt;et al.&lt;/i&gt;, 2021; Sarkady, Neuburger and Egger, 2021)"},"properties":{"noteIndex":0},"schema":"https://github.com/citation-style-language/schema/raw/master/csl-citation.json"}</w:instrText>
      </w:r>
      <w:r>
        <w:rPr>
          <w:rFonts w:hint="default" w:ascii="Times New Roman Regular" w:hAnsi="Times New Roman Regular" w:cs="Times New Roman Regular"/>
          <w:i w:val="0"/>
          <w:sz w:val="24"/>
          <w:szCs w:val="24"/>
        </w:rPr>
        <w:fldChar w:fldCharType="separate"/>
      </w:r>
      <w:r>
        <w:rPr>
          <w:rFonts w:hint="default" w:ascii="Times New Roman Regular" w:hAnsi="Times New Roman Regular" w:cs="Times New Roman Regular"/>
          <w:i w:val="0"/>
          <w:sz w:val="24"/>
          <w:szCs w:val="24"/>
        </w:rPr>
        <w:t>(Rahman et al., 2021; Sarkady, Neuburger and Egger, 2021)</w:t>
      </w:r>
      <w:r>
        <w:rPr>
          <w:rFonts w:hint="default" w:ascii="Times New Roman Regular" w:hAnsi="Times New Roman Regular" w:cs="Times New Roman Regular"/>
          <w:i w:val="0"/>
          <w:sz w:val="24"/>
          <w:szCs w:val="24"/>
        </w:rPr>
        <w:fldChar w:fldCharType="end"/>
      </w:r>
    </w:p>
    <w:p>
      <w:pPr>
        <w:pStyle w:val="26"/>
        <w:numPr>
          <w:ilvl w:val="0"/>
          <w:numId w:val="4"/>
        </w:numPr>
        <w:spacing w:line="360" w:lineRule="auto"/>
        <w:ind w:firstLineChars="0"/>
        <w:jc w:val="both"/>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 xml:space="preserve">Step 2: After the safety concern is addressed, Marriott should actively align its resources and competences across markets, including North America, Europe, Caribbean &amp; Latin America, Asian Pacific, etc. to pull up the room occupancy rate as a whole. </w:t>
      </w:r>
    </w:p>
    <w:p>
      <w:pPr>
        <w:pStyle w:val="26"/>
        <w:spacing w:line="360" w:lineRule="auto"/>
        <w:ind w:left="420" w:firstLine="0" w:firstLineChars="0"/>
        <w:jc w:val="both"/>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Marriott, should expand their scope of customer experienced in the context of covid-19 to be more human centered. That means Marriott should build an emotional connection that go beyond customer expectations by leveraging science enabled by data technologies. This requires Marriott to build a more robust measurement toolkit by leveraging customer data, rather than using data technologies purely to improve operational efficiency as indicated. The data toolkit should allow Marriott to approach customers by leveraging both internal data (transaction histories, etc.) and external data (social media, etc.) to pinpoint the impact touch points along the service delivery journey. Based on the insights enabled by data toolkit, Marriott should act quickly through marketing and communication efforts to build performance uplift and stand out from the fierce competition in the context of covid-19.</w:t>
      </w:r>
    </w:p>
    <w:p>
      <w:pPr>
        <w:pStyle w:val="3"/>
        <w:rPr>
          <w:rFonts w:hint="default" w:ascii="Times New Roman Regular" w:hAnsi="Times New Roman Regular" w:cs="Times New Roman Regular"/>
          <w:b/>
          <w:bCs/>
        </w:rPr>
      </w:pPr>
      <w:bookmarkStart w:id="6" w:name="_Toc101877566"/>
      <w:r>
        <w:rPr>
          <w:rFonts w:hint="default" w:ascii="Times New Roman Regular" w:hAnsi="Times New Roman Regular" w:cs="Times New Roman Regular"/>
          <w:b/>
          <w:bCs/>
        </w:rPr>
        <w:t>2.4 Tactics</w:t>
      </w:r>
      <w:bookmarkEnd w:id="6"/>
      <w:r>
        <w:rPr>
          <w:rFonts w:hint="default" w:ascii="Times New Roman Regular" w:hAnsi="Times New Roman Regular" w:cs="Times New Roman Regular"/>
          <w:b/>
          <w:bCs/>
        </w:rPr>
        <w:t xml:space="preserve"> </w:t>
      </w:r>
    </w:p>
    <w:p>
      <w:pPr>
        <w:spacing w:line="360" w:lineRule="auto"/>
        <w:jc w:val="both"/>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 xml:space="preserve">The tactics about implementation is developed through the 4P market mix, including product, place, promotion and place. These elements must be united to deliver an effective marketing effort. </w:t>
      </w:r>
    </w:p>
    <w:p>
      <w:pPr>
        <w:pStyle w:val="26"/>
        <w:numPr>
          <w:ilvl w:val="0"/>
          <w:numId w:val="2"/>
        </w:numPr>
        <w:spacing w:line="360" w:lineRule="auto"/>
        <w:ind w:firstLineChars="0"/>
        <w:jc w:val="both"/>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 xml:space="preserve">Product: Over the past few decades, there has been little differentiation between the services offered by different well-known hotel chains. To eliminate this perceived lack of differentiation among consumers, Marriott must implement solutions that - while being able to understand guest preferences in a unique way - use this knowledge to deliver more differentiated, customer-satisfying services. Marriott should allow guests to customize their stays in the way they are most comfortable. Marriott can identify personalized characteristics internally and externally, such as room temperature, dietary preferences, TV show choices, language choices, capture this information and deliver the appropriate services to guests regardless of which hotel they are staying in. Furthermore, the personalization of services should be built upon the on-going commitment to safety during covid-19. </w:t>
      </w:r>
    </w:p>
    <w:p>
      <w:pPr>
        <w:pStyle w:val="26"/>
        <w:numPr>
          <w:ilvl w:val="0"/>
          <w:numId w:val="2"/>
        </w:numPr>
        <w:spacing w:line="360" w:lineRule="auto"/>
        <w:ind w:firstLineChars="0"/>
        <w:jc w:val="both"/>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 xml:space="preserve">Pricing: Unlike differential pricing, which sells the same product to different consumers at different prices based on consumer type and location, dynamic pricing places greater emphasis on time variation based on differential pricing </w:t>
      </w:r>
      <w:r>
        <w:rPr>
          <w:rFonts w:hint="default" w:ascii="Times New Roman Regular" w:hAnsi="Times New Roman Regular" w:cs="Times New Roman Regular"/>
          <w:i w:val="0"/>
          <w:sz w:val="24"/>
          <w:szCs w:val="24"/>
        </w:rPr>
        <w:fldChar w:fldCharType="begin" w:fldLock="1"/>
      </w:r>
      <w:r>
        <w:rPr>
          <w:rFonts w:hint="default" w:ascii="Times New Roman Regular" w:hAnsi="Times New Roman Regular" w:cs="Times New Roman Regular"/>
          <w:i w:val="0"/>
          <w:sz w:val="24"/>
          <w:szCs w:val="24"/>
        </w:rPr>
        <w:instrText xml:space="preserve">ADDIN CSL_CITATION {"citationItems":[{"id":"ITEM-1","itemData":{"ISSN":"1572-9397","author":[{"dropping-particle":"","family":"Bandalouski","given":"Andrei M","non-dropping-particle":"","parse-names":false,"suffix":""},{"dropping-particle":"","family":"Egorova","given":"Natalja G","non-dropping-particle":"","parse-names":false,"suffix":""},{"dropping-particle":"","family":"Kovalyov","given":"Mikhail Y","non-dropping-particle":"","parse-names":false,"suffix":""},{"dropping-particle":"","family":"Pesch","given":"Erwin","non-dropping-particle":"","parse-names":false,"suffix":""},{"dropping-particle":"","family":"Tarim","given":"S Armagan","non-dropping-particle":"","parse-names":false,"suffix":""}],"container-title":"Journal of Heuristics","id":"ITEM-1","issue":"5","issued":{"date-parts":[["2021"]]},"page":"869-885","publisher":"Springer","title":"Dynamic pricing with demand disaggregation for hotel revenue management","type":"article-journal","volume":"27"},"uris":["http://www.mendeley.com/documents/?uuid=d0bc8ba6-d854-4cb4-9172-66d03d1697b4"]}],"mendeley":{"formattedCitation":"(Bandalouski &lt;i&gt;et al.&lt;/i&gt;, 2021)","plainTextFormattedCitation":"(Bandalouski et al., 2021)","previouslyFormattedCitation":"(Bandalouski &lt;i&gt;et al.&lt;/i&gt;, 2021)"},"properties":{"noteIndex":0},"schema":"https://github.com/citation-style-language/schema/raw/master/csl-citation.json"}</w:instrText>
      </w:r>
      <w:r>
        <w:rPr>
          <w:rFonts w:hint="default" w:ascii="Times New Roman Regular" w:hAnsi="Times New Roman Regular" w:cs="Times New Roman Regular"/>
          <w:i w:val="0"/>
          <w:sz w:val="24"/>
          <w:szCs w:val="24"/>
        </w:rPr>
        <w:fldChar w:fldCharType="separate"/>
      </w:r>
      <w:r>
        <w:rPr>
          <w:rFonts w:hint="default" w:ascii="Times New Roman Regular" w:hAnsi="Times New Roman Regular" w:cs="Times New Roman Regular"/>
          <w:i w:val="0"/>
          <w:sz w:val="24"/>
          <w:szCs w:val="24"/>
        </w:rPr>
        <w:t>(Bandalouski et al., 2021)</w:t>
      </w:r>
      <w:r>
        <w:rPr>
          <w:rFonts w:hint="default" w:ascii="Times New Roman Regular" w:hAnsi="Times New Roman Regular" w:cs="Times New Roman Regular"/>
          <w:i w:val="0"/>
          <w:sz w:val="24"/>
          <w:szCs w:val="24"/>
        </w:rPr>
        <w:fldChar w:fldCharType="end"/>
      </w:r>
      <w:r>
        <w:rPr>
          <w:rFonts w:hint="default" w:ascii="Times New Roman Regular" w:hAnsi="Times New Roman Regular" w:cs="Times New Roman Regular"/>
          <w:i w:val="0"/>
          <w:sz w:val="24"/>
          <w:szCs w:val="24"/>
        </w:rPr>
        <w:t xml:space="preserve">. Marriott can develop an optimal pricing strategy based on demand curves and economic models, or use data mining techniques and artificial intelligence to develop new tools to develop a better pricing strategy for the business. However, depending on the hotel class, Marriott can develop a range of price changes roughly in line with their own hotels, determine the appropriate frequency of dynamic pricing, and focus on customer satisfaction while considering revenue </w:t>
      </w:r>
      <w:r>
        <w:rPr>
          <w:rFonts w:hint="default" w:ascii="Times New Roman Regular" w:hAnsi="Times New Roman Regular" w:cs="Times New Roman Regular"/>
          <w:i w:val="0"/>
          <w:sz w:val="24"/>
          <w:szCs w:val="24"/>
        </w:rPr>
        <w:fldChar w:fldCharType="begin" w:fldLock="1"/>
      </w:r>
      <w:r>
        <w:rPr>
          <w:rFonts w:hint="default" w:ascii="Times New Roman Regular" w:hAnsi="Times New Roman Regular" w:cs="Times New Roman Regular"/>
          <w:i w:val="0"/>
          <w:sz w:val="24"/>
          <w:szCs w:val="24"/>
        </w:rPr>
        <w:instrText xml:space="preserve">ADDIN CSL_CITATION {"citationItems":[{"id":"ITEM-1","itemData":{"ISSN":"1477-657X","author":[{"dropping-particle":"","family":"Binesh","given":"Fatemeh","non-dropping-particle":"","parse-names":false,"suffix":""},{"dropping-particle":"","family":"Belarmino","given":"Amanda","non-dropping-particle":"","parse-names":false,"suffix":""},{"dropping-particle":"","family":"Raab","given":"Carola","non-dropping-particle":"","parse-names":false,"suffix":""}],"container-title":"Journal of Revenue and Pricing Management","id":"ITEM-1","issue":"5","issued":{"date-parts":[["2021"]]},"page":"546-558","publisher":"Springer","title":"A meta-analysis of hotel revenue management","type":"article-journal","volume":"20"},"uris":["http://www.mendeley.com/documents/?uuid=d87a80d1-17a2-448f-b369-2302cb608ec9"]}],"mendeley":{"formattedCitation":"(Binesh, Belarmino and Raab, 2021)","plainTextFormattedCitation":"(Binesh, Belarmino and Raab, 2021)","previouslyFormattedCitation":"(Binesh, Belarmino and Raab, 2021)"},"properties":{"noteIndex":0},"schema":"https://github.com/citation-style-language/schema/raw/master/csl-citation.json"}</w:instrText>
      </w:r>
      <w:r>
        <w:rPr>
          <w:rFonts w:hint="default" w:ascii="Times New Roman Regular" w:hAnsi="Times New Roman Regular" w:cs="Times New Roman Regular"/>
          <w:i w:val="0"/>
          <w:sz w:val="24"/>
          <w:szCs w:val="24"/>
        </w:rPr>
        <w:fldChar w:fldCharType="separate"/>
      </w:r>
      <w:r>
        <w:rPr>
          <w:rFonts w:hint="default" w:ascii="Times New Roman Regular" w:hAnsi="Times New Roman Regular" w:cs="Times New Roman Regular"/>
          <w:i w:val="0"/>
          <w:sz w:val="24"/>
          <w:szCs w:val="24"/>
        </w:rPr>
        <w:t>(Binesh, Belarmino and Raab, 2021)</w:t>
      </w:r>
      <w:r>
        <w:rPr>
          <w:rFonts w:hint="default" w:ascii="Times New Roman Regular" w:hAnsi="Times New Roman Regular" w:cs="Times New Roman Regular"/>
          <w:i w:val="0"/>
          <w:sz w:val="24"/>
          <w:szCs w:val="24"/>
        </w:rPr>
        <w:fldChar w:fldCharType="end"/>
      </w:r>
      <w:r>
        <w:rPr>
          <w:rFonts w:hint="default" w:ascii="Times New Roman Regular" w:hAnsi="Times New Roman Regular" w:cs="Times New Roman Regular"/>
          <w:i w:val="0"/>
          <w:sz w:val="24"/>
          <w:szCs w:val="24"/>
        </w:rPr>
        <w:t xml:space="preserve">. At the same time, social media and online platforms have become an important means for tourism companies to conduct marketing or layout strategies. Marriott need to pay high attention to customer satisfaction based on online reviews, and it is advisable to respond to customer online reviews involving price changes with a reasoned explanation, and to provide necessary feedback to customers on price changes to reduce information asymmetry caused by price changes, thereby reducing the sense of price unfairness to customers and enhancing perceived value to achieve customer satisfaction </w:t>
      </w:r>
      <w:r>
        <w:rPr>
          <w:rFonts w:hint="default" w:ascii="Times New Roman Regular" w:hAnsi="Times New Roman Regular" w:cs="Times New Roman Regular"/>
          <w:i w:val="0"/>
          <w:sz w:val="24"/>
          <w:szCs w:val="24"/>
        </w:rPr>
        <w:fldChar w:fldCharType="begin" w:fldLock="1"/>
      </w:r>
      <w:r>
        <w:rPr>
          <w:rFonts w:hint="default" w:ascii="Times New Roman Regular" w:hAnsi="Times New Roman Regular" w:cs="Times New Roman Regular"/>
          <w:i w:val="0"/>
          <w:sz w:val="24"/>
          <w:szCs w:val="24"/>
        </w:rPr>
        <w:instrText xml:space="preserve">ADDIN CSL_CITATION {"citationItems":[{"id":"ITEM-1","itemData":{"ISSN":"1354-8166","author":[{"dropping-particle":"","family":"Ampountolas","given":"Apostolos","non-dropping-particle":"","parse-names":false,"suffix":""},{"dropping-particle":"","family":"Shaw","given":"Gareth","non-dropping-particle":"","parse-names":false,"suffix":""},{"dropping-particle":"","family":"James","given":"Simon","non-dropping-particle":"","parse-names":false,"suffix":""}],"container-title":"Tourism Economics","id":"ITEM-1","issue":"8","issued":{"date-parts":[["2021"]]},"page":"1591-1614","publisher":"SAGE Publications Sage UK: London, England","title":"Examining the relationships between market indicators and hotel pricing approaches","type":"article-journal","volume":"27"},"uris":["http://www.mendeley.com/documents/?uuid=d30dc9a8-be8f-4b7f-8a29-58c036857089"]},{"id":"ITEM-2","itemData":{"ISSN":"1091-9856","author":[{"dropping-particle":"","family":"Zhang","given":"Dan","non-dropping-particle":"","parse-names":false,"suffix":""},{"dropping-particle":"","family":"Weatherford","given":"Larry","non-dropping-particle":"","parse-names":false,"suffix":""}],"container-title":"INFORMS Journal on Computing","id":"ITEM-2","issue":"1","issued":{"date-parts":[["2017"]]},"page":"18-35","publisher":"INFORMS","title":"Dynamic pricing for network revenue management: A new approach and application in the hotel industry","type":"article-journal","volume":"29"},"uris":["http://www.mendeley.com/documents/?uuid=32e878fb-b83a-41f7-b433-cbc4d09bf895"]},{"id":"ITEM-3","itemData":{"ISSN":"1354-8166","author":[{"dropping-particle":"","family":"Ropero","given":"Miguel Angel","non-dropping-particle":"","parse-names":false,"suffix":""}],"container-title":"Tourism economics","id":"ITEM-3","issue":"5","issued":{"date-parts":[["2011"]]},"page":"1087-1102","publisher":"SAGE Publications Sage UK: London, England","title":"Dynamic pricing policies of hotel establishments in an online travel agency","type":"article-journal","volume":"17"},"uris":["http://www.mendeley.com/documents/?uuid=3424c982-e16b-486b-92f8-52e0f60aef4f"]}],"mendeley":{"formattedCitation":"(Ropero, 2011; Zhang and Weatherford, 2017; Ampountolas, Shaw and James, 2021)","plainTextFormattedCitation":"(Ropero, 2011; Zhang and Weatherford, 2017; Ampountolas, Shaw and James, 2021)","previouslyFormattedCitation":"(Ropero, 2011; Zhang and Weatherford, 2017; Ampountolas, Shaw and James, 2021)"},"properties":{"noteIndex":0},"schema":"https://github.com/citation-style-language/schema/raw/master/csl-citation.json"}</w:instrText>
      </w:r>
      <w:r>
        <w:rPr>
          <w:rFonts w:hint="default" w:ascii="Times New Roman Regular" w:hAnsi="Times New Roman Regular" w:cs="Times New Roman Regular"/>
          <w:i w:val="0"/>
          <w:sz w:val="24"/>
          <w:szCs w:val="24"/>
        </w:rPr>
        <w:fldChar w:fldCharType="separate"/>
      </w:r>
      <w:r>
        <w:rPr>
          <w:rFonts w:hint="default" w:ascii="Times New Roman Regular" w:hAnsi="Times New Roman Regular" w:cs="Times New Roman Regular"/>
          <w:i w:val="0"/>
          <w:sz w:val="24"/>
          <w:szCs w:val="24"/>
        </w:rPr>
        <w:t>(Ropero, 2011; Zhang and Weatherford, 2017; Ampountolas, Shaw and James, 2021)</w:t>
      </w:r>
      <w:r>
        <w:rPr>
          <w:rFonts w:hint="default" w:ascii="Times New Roman Regular" w:hAnsi="Times New Roman Regular" w:cs="Times New Roman Regular"/>
          <w:i w:val="0"/>
          <w:sz w:val="24"/>
          <w:szCs w:val="24"/>
        </w:rPr>
        <w:fldChar w:fldCharType="end"/>
      </w:r>
      <w:r>
        <w:rPr>
          <w:rFonts w:hint="default" w:ascii="Times New Roman Regular" w:hAnsi="Times New Roman Regular" w:cs="Times New Roman Regular"/>
          <w:i w:val="0"/>
          <w:sz w:val="24"/>
          <w:szCs w:val="24"/>
        </w:rPr>
        <w:t>.</w:t>
      </w:r>
    </w:p>
    <w:p>
      <w:pPr>
        <w:pStyle w:val="26"/>
        <w:numPr>
          <w:ilvl w:val="0"/>
          <w:numId w:val="2"/>
        </w:numPr>
        <w:spacing w:line="360" w:lineRule="auto"/>
        <w:ind w:firstLineChars="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Place: the promotion of occupancy rate requires Marriott to increase its accessibility to customers around the world. Besides its own website and applications for Booking, more collaboration with international and domestical travel agency should be launched to increase its online presence to customers who have not yet in contact with Marriott yet. </w:t>
      </w:r>
    </w:p>
    <w:p>
      <w:pPr>
        <w:pStyle w:val="26"/>
        <w:numPr>
          <w:ilvl w:val="0"/>
          <w:numId w:val="2"/>
        </w:numPr>
        <w:spacing w:line="360" w:lineRule="auto"/>
        <w:ind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Promotion: With big data and digital marketing, Marriott will be able to better target and personalize advertising or product promotions based on travelers' preferences or purchase paths. The development of big data will allow Marriott to focus more on consumers' search behavior, browsing trajectory and spending history on the company's website, social media platforms and OTAs, in order to predict and evaluate travel consumers' purchase intentions and travel needs, and provide them with precise travel advertisements or products that are close to their expected needs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ISSN":"1447-6770","author":[{"dropping-particle":"","family":"Horng","given":"Jeou-Shyan","non-dropping-particle":"","parse-names":false,"suffix":""},{"dropping-particle":"","family":"Liu","given":"Chih-Hsing","non-dropping-particle":"","parse-names":false,"suffix":""},{"dropping-particle":"","family":"Chou","given":"Sheng-Fang","non-dropping-particle":"","parse-names":false,"suffix":""},{"dropping-particle":"","family":"Yu","given":"Tai-Yi","non-dropping-particle":"","parse-names":false,"suffix":""},{"dropping-particle":"","family":"Hu","given":"Da-Chian","non-dropping-particle":"","parse-names":false,"suffix":""}],"container-title":"Journal of Hospitality and Tourism Management","id":"ITEM-1","issue":"1","issued":{"date-parts":[["2022"]]},"page":"22-38","publisher":"Elsevier","title":"Role of big data capabilities in enhancing competitive advantage and performance in the hospitality sector: Knowledge-based dynamic capabilities view","type":"article-journal","volume":"51"},"uris":["http://www.mendeley.com/documents/?uuid=27b08316-a36a-4682-94a2-909172db3619"]}],"mendeley":{"formattedCitation":"(Horng &lt;i&gt;et al.&lt;/i&gt;, 2022)","plainTextFormattedCitation":"(Horng et al., 2022)","previouslyFormattedCitation":"(Horng &lt;i&gt;et al.&lt;/i&gt;, 2022)"},"properties":{"noteIndex":0},"schema":"https://github.com/citation-style-language/schema/raw/master/csl-citation.json"}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 xml:space="preserve">(Horng </w:t>
      </w:r>
      <w:r>
        <w:rPr>
          <w:rFonts w:hint="default" w:ascii="Times New Roman Regular" w:hAnsi="Times New Roman Regular" w:cs="Times New Roman Regular"/>
          <w:i/>
          <w:sz w:val="24"/>
          <w:szCs w:val="24"/>
        </w:rPr>
        <w:t>et al.</w:t>
      </w:r>
      <w:r>
        <w:rPr>
          <w:rFonts w:hint="default" w:ascii="Times New Roman Regular" w:hAnsi="Times New Roman Regular" w:cs="Times New Roman Regular"/>
          <w:sz w:val="24"/>
          <w:szCs w:val="24"/>
        </w:rPr>
        <w:t>, 2022)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Short videos have opened up a new mode of tourism product marketing. Short videos are generally in the form of videos with a playing time of 5 minutes or less. With the change of young people's communication with the world, short and concise short videos with both content entrance and social genes are gradually being widely favored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{"citationItems":[{"id":"ITEM-1","itemData":{"ISBN":"111820381X","author":[{"dropping-particle":"","family":"Jarboe","given":"Greg","non-dropping-particle":"","parse-names":false,"suffix":""}],"id":"ITEM-1","issued":{"date-parts":[["2011"]]},"publisher":"John Wiley &amp; Sons","title":"YouTube and video marketing: An hour a day","type":"book"},"uris":["http://www.mendeley.com/documents/?uuid=9a276934-326a-4d88-8f8b-32fadd599e7f"]}],"mendeley":{"formattedCitation":"(Jarboe, 2011)","plainTextFormattedCitation":"(Jarboe, 2011)"},"properties":{"noteIndex":0},"schema":"https://github.com/citation-style-language/schema/raw/master/csl-citation.json"}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(Jarboe, 2011)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Marriott can strengthen personalized content by breaking the boundaries of content forms, taking advantage of hot topics or creating new hotspots to attract fans' attention and convert traffic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{"citationItems":[{"id":"ITEM-1","itemData":{"ISSN":"2654-7945","author":[{"dropping-particle":"","family":"Nair","given":"Rajesh Kumar","non-dropping-particle":"","parse-names":false,"suffix":""},{"dropping-particle":"V","family":"Ranjith","given":"P","non-dropping-particle":"","parse-names":false,"suffix":""},{"dropping-particle":"","family":"Azlan","given":"Siti Hajar","non-dropping-particle":"","parse-names":false,"suffix":""},{"dropping-particle":"","family":"Kee","given":"Daisy Mui Hung","non-dropping-particle":"","parse-names":false,"suffix":""},{"dropping-particle":"","family":"Sazali","given":"Shazwanie Amat","non-dropping-particle":"","parse-names":false,"suffix":""},{"dropping-particle":"","family":"Rahmat","given":"Siti Nadiah","non-dropping-particle":"","parse-names":false,"suffix":""},{"dropping-particle":"","family":"Munusamy","given":"Shopanadevi","non-dropping-particle":"","parse-names":false,"suffix":""},{"dropping-particle":"","family":"Ingole","given":"Tejashree","non-dropping-particle":"","parse-names":false,"suffix":""}],"container-title":"International journal of Tourism and hospitality in Asia Pasific (IJTHAP)","id":"ITEM-1","issue":"1","issued":{"date-parts":[["2022"]]},"page":"100-111","title":"Marketing Strategies Implemented by Hotel Industry during COVID-19 in Malaysia","type":"article-journal","volume":"5"},"uris":["http://www.mendeley.com/documents/?uuid=94be1754-42c7-4fe1-916e-a485722646ec"]}],"mendeley":{"formattedCitation":"(Nair &lt;i&gt;et al.&lt;/i&gt;, 2022)","plainTextFormattedCitation":"(Nair et al., 2022)","previouslyFormattedCitation":"(Nair &lt;i&gt;et al.&lt;/i&gt;, 2022)"},"properties":{"noteIndex":0},"schema":"https://github.com/citation-style-language/schema/raw/master/csl-citation.json"}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 xml:space="preserve">(Nair </w:t>
      </w:r>
      <w:r>
        <w:rPr>
          <w:rFonts w:hint="default" w:ascii="Times New Roman Regular" w:hAnsi="Times New Roman Regular" w:cs="Times New Roman Regular"/>
          <w:i/>
          <w:sz w:val="24"/>
          <w:szCs w:val="24"/>
        </w:rPr>
        <w:t>et al.</w:t>
      </w:r>
      <w:r>
        <w:rPr>
          <w:rFonts w:hint="default" w:ascii="Times New Roman Regular" w:hAnsi="Times New Roman Regular" w:cs="Times New Roman Regular"/>
          <w:sz w:val="24"/>
          <w:szCs w:val="24"/>
        </w:rPr>
        <w:t>, 2022)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At the same time, Marriott can conduct a combination of storytelling and short videos. Storytelling is the process of creating a valuable and engaging content that is relevant to the consumer and sharing it with the target audience to attract customers to purchase through the content, which is a content marketing process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ISSN":"0965-254X","author":[{"dropping-particle":"","family":"Youssef","given":"Kamel","non-dropping-particle":"Ben","parse-names":false,"suffix":""},{"dropping-particle":"","family":"Leicht","given":"Thomas","non-dropping-particle":"","parse-names":false,"suffix":""},{"dropping-particle":"","family":"Marongiu","given":"Lidia","non-dropping-particle":"","parse-names":false,"suffix":""}],"container-title":"Journal of Strategic Marketing","id":"ITEM-1","issue":"8","issued":{"date-parts":[["2019"]]},"page":"696-713","publisher":"Taylor &amp; Francis","title":"Storytelling in the context of destination marketing: An analysis of conceptualisations and impact measurement","type":"article-journal","volume":"27"},"uris":["http://www.mendeley.com/documents/?uuid=4de6593c-b170-468e-81d5-d6789325df5f"]},{"id":"ITEM-2","itemData":{"ISSN":"1502-2250","author":[{"dropping-particle":"","family":"Mossberg","given":"Lena","non-dropping-particle":"","parse-names":false,"suffix":""}],"container-title":"Scandinavian Journal of Hospitality and Tourism","id":"ITEM-2","issue":"3","issued":{"date-parts":[["2008"]]},"page":"195-210","publisher":"Taylor &amp; Francis","title":"Extraordinary experiences through storytelling","type":"article-journal","volume":"8"},"uris":["http://www.mendeley.com/documents/?uuid=ddb268c1-b790-4961-a621-074838d27822"]},{"id":"ITEM-3","itemData":{"ISBN":"0742-6046","author":[{"dropping-particle":"","family":"Woodside","given":"Arch G","non-dropping-particle":"","parse-names":false,"suffix":""}],"container-title":"Psychology &amp; Marketing","id":"ITEM-3","issue":"6","issued":{"date-parts":[["2010"]]},"page":"531-540","publisher":"Wiley Online Library","title":"Brand�\\consumer storytelling theory and research: Introduction to a Psychology &amp; Marketing special issue","type":"article","volume":"27"},"uris":["http://www.mendeley.com/documents/?uuid=08e7e716-073e-4592-92e0-578cf6519b78"]}],"mendeley":{"formattedCitation":"(Mossberg, 2008; Woodside, 2010; Ben Youssef, Leicht and Marongiu, 2019)","plainTextFormattedCitation":"(Mossberg, 2008; Woodside, 2010; Ben Youssef, Leicht and Marongiu, 2019)","previouslyFormattedCitation":"(Mossberg, 2008; Woodside, 2010; Ben Youssef, Leicht and Marongiu, 2019)"},"properties":{"noteIndex":0},"schema":"https://github.com/citation-style-language/schema/raw/master/csl-citation.json"}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(Mossberg, 2008; Woodside, 2010; Ben Youssef, Leicht and Marongiu, 2019)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w:t>
      </w:r>
    </w:p>
    <w:p>
      <w:pPr>
        <w:pStyle w:val="26"/>
        <w:spacing w:line="360" w:lineRule="auto"/>
        <w:ind w:left="360" w:firstLine="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addition, Marriott can share product and service information on its official social platform accounts, and directly grasp the feedback of target consumers through targeted screening of its fan base, and timely adjust its communication strategy based on this feedback, which facilitates Marriott's communication of brand messages to users, especially through the power of word-of-mouth communication among users which makes brand communication exponentially more effective.</w:t>
      </w:r>
    </w:p>
    <w:p>
      <w:pPr>
        <w:pStyle w:val="3"/>
        <w:numPr>
          <w:ilvl w:val="1"/>
          <w:numId w:val="5"/>
        </w:numPr>
        <w:rPr>
          <w:rFonts w:ascii="Candara" w:hAnsi="Candara"/>
        </w:rPr>
      </w:pPr>
      <w:bookmarkStart w:id="7" w:name="_Toc101877567"/>
      <w:r>
        <w:rPr>
          <w:rFonts w:hint="default" w:ascii="Times New Roman Regular" w:hAnsi="Times New Roman Regular" w:cs="Times New Roman Regular"/>
          <w:b/>
          <w:bCs/>
        </w:rPr>
        <w:t>Action</w:t>
      </w:r>
      <w:bookmarkEnd w:id="7"/>
      <w:r>
        <w:rPr>
          <w:rFonts w:ascii="Candara" w:hAnsi="Candara"/>
        </w:rPr>
        <w:t xml:space="preserve"> </w:t>
      </w:r>
    </w:p>
    <w:p>
      <w:pPr>
        <w:spacing w:line="36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 specific marketing team directed by the above goal will be established, and will coordinate with the marketing team embedded in each brand to perform the marketing activities in the domestic and international level. The role played by data technologies indicates the cross-department collaboration to establish digital competences of Marriot in marketing, and this could be done through embedding some data analyst professionals in each team. Periodic communication across teams is required to absorb local insights and develop localized marketing efforts. It is important for the team to develop some understanding about the local market and trim the marketing strategies correspondingly. For instance, the use of short video and story telling as major marketing approach requires marketing team to reach out to the online travel content creators in the specific market and realize collaboration to create contents about Marriott on the most popular social media platform in the specific market. </w:t>
      </w:r>
    </w:p>
    <w:p>
      <w:pPr>
        <w:pStyle w:val="3"/>
        <w:numPr>
          <w:ilvl w:val="1"/>
          <w:numId w:val="5"/>
        </w:numPr>
        <w:rPr>
          <w:rFonts w:hint="default" w:ascii="Times New Roman Regular" w:hAnsi="Times New Roman Regular" w:cs="Times New Roman Regular"/>
          <w:b/>
          <w:bCs/>
        </w:rPr>
      </w:pPr>
      <w:bookmarkStart w:id="8" w:name="_Toc101877568"/>
      <w:r>
        <w:rPr>
          <w:rFonts w:hint="default" w:ascii="Times New Roman Regular" w:hAnsi="Times New Roman Regular" w:cs="Times New Roman Regular"/>
          <w:b/>
          <w:bCs/>
        </w:rPr>
        <w:t>Control</w:t>
      </w:r>
      <w:bookmarkEnd w:id="8"/>
    </w:p>
    <w:p>
      <w:pPr>
        <w:spacing w:line="36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overate control is through chasing the key performance indicator (KPI): the occupancy rate. However, the rate should be further developed into regional KPIs as shown in Table 2. The regional KPIs should further be broken down into the monthly and quarterly KPIs according the pre-pandemic level. An integrated data sharing platform should be established by Marriott with peer-to-peer network for all management team to update and monitor the KPI, and other relevant KPIs (such as customer satisfaction, etc.).</w:t>
      </w:r>
    </w:p>
    <w:p>
      <w:pPr>
        <w:pStyle w:val="2"/>
        <w:numPr>
          <w:ilvl w:val="0"/>
          <w:numId w:val="5"/>
        </w:numPr>
        <w:rPr>
          <w:rFonts w:hint="default" w:ascii="Times New Roman Regular" w:hAnsi="Times New Roman Regular" w:cs="Times New Roman Regular"/>
          <w:b/>
          <w:bCs/>
        </w:rPr>
      </w:pPr>
      <w:bookmarkStart w:id="9" w:name="_Toc101877569"/>
      <w:r>
        <w:rPr>
          <w:rFonts w:hint="default" w:ascii="Times New Roman Regular" w:hAnsi="Times New Roman Regular" w:cs="Times New Roman Regular"/>
          <w:b/>
          <w:bCs/>
        </w:rPr>
        <w:t>Recommendation</w:t>
      </w:r>
      <w:bookmarkEnd w:id="9"/>
    </w:p>
    <w:p>
      <w:pPr>
        <w:spacing w:line="36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overall suggestions for Marriott here are that it should make the stays better not just safer. Delivering the commitment of the infection-free stay scratches the surface of the changes in the industry. </w:t>
      </w:r>
    </w:p>
    <w:p>
      <w:pPr>
        <w:spacing w:line="36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Data technologies should be actively leveraged to generate customer insights to optimize customer experience rather than just improving operational efficiency. It is the superior stay experience that led to higher occupancy rate and make Marriott stand out among the fierce competition, this can be realized in the personalization of stays, dynamic pricing to increase perceived value, etc.  </w:t>
      </w:r>
    </w:p>
    <w:p>
      <w:pPr>
        <w:pStyle w:val="2"/>
        <w:numPr>
          <w:ilvl w:val="0"/>
          <w:numId w:val="5"/>
        </w:numPr>
        <w:rPr>
          <w:rFonts w:ascii="Candara" w:hAnsi="Candara"/>
        </w:rPr>
      </w:pPr>
      <w:bookmarkStart w:id="10" w:name="_Toc101877570"/>
      <w:r>
        <w:rPr>
          <w:rFonts w:hint="default" w:ascii="Times New Roman Regular" w:hAnsi="Times New Roman Regular" w:cs="Times New Roman Regular"/>
          <w:b/>
          <w:bCs/>
        </w:rPr>
        <w:t>Conclusion</w:t>
      </w:r>
      <w:bookmarkEnd w:id="10"/>
      <w:r>
        <w:rPr>
          <w:rFonts w:ascii="Candara" w:hAnsi="Candara"/>
        </w:rPr>
        <w:t xml:space="preserve"> </w:t>
      </w:r>
    </w:p>
    <w:p>
      <w:pPr>
        <w:spacing w:line="36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As the travel industry is gradually recovering from the stuck of covid-19, Marriott should be ready to adapt to the changing landscape of competition by refining its marketing plan. Using SOSTAC, the report delivers a marketing plan for Marriott with an objective to increase its room occupancy rate to 70% by 2022, based on a comprehensive situation analysis. The tactic suggested is illustrated too through 4P framework (including personalized product, dynamic pricing, third-party coloration to increase accessibility, social media marketing featured with short video and storytelling, and action and control plan is promoted correspondingly. </w:t>
      </w:r>
    </w:p>
    <w:p>
      <w:pPr>
        <w:rPr>
          <w:rFonts w:ascii="Candara" w:hAnsi="Candara"/>
        </w:rPr>
      </w:pPr>
      <w:r>
        <w:rPr>
          <w:rFonts w:ascii="Candara" w:hAnsi="Candara"/>
        </w:rPr>
        <w:br w:type="page"/>
      </w:r>
    </w:p>
    <w:p>
      <w:pPr>
        <w:pStyle w:val="2"/>
        <w:numPr>
          <w:ilvl w:val="0"/>
          <w:numId w:val="5"/>
        </w:numPr>
        <w:rPr>
          <w:rFonts w:hint="default" w:ascii="Times New Roman Regular" w:hAnsi="Times New Roman Regular" w:cs="Times New Roman Regular"/>
          <w:b/>
          <w:bCs/>
        </w:rPr>
      </w:pPr>
      <w:bookmarkStart w:id="11" w:name="_Toc101877571"/>
      <w:r>
        <w:rPr>
          <w:rFonts w:hint="default" w:ascii="Times New Roman Regular" w:hAnsi="Times New Roman Regular" w:cs="Times New Roman Regular"/>
          <w:b/>
          <w:bCs/>
        </w:rPr>
        <w:t>Reference List</w:t>
      </w:r>
      <w:bookmarkEnd w:id="11"/>
      <w:r>
        <w:rPr>
          <w:rFonts w:hint="default" w:ascii="Times New Roman Regular" w:hAnsi="Times New Roman Regular" w:cs="Times New Roman Regular"/>
          <w:b/>
          <w:bCs/>
        </w:rPr>
        <w:t xml:space="preserve">  </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sz w:val="22"/>
          <w:szCs w:val="22"/>
        </w:rPr>
        <w:fldChar w:fldCharType="begin" w:fldLock="1"/>
      </w:r>
      <w:r>
        <w:rPr>
          <w:rFonts w:ascii="Candara" w:hAnsi="Candara"/>
          <w:sz w:val="22"/>
          <w:szCs w:val="22"/>
        </w:rPr>
        <w:instrText xml:space="preserve">ADDIN Mendeley Bibliography CSL_BIBLIOGRAPHY </w:instrText>
      </w:r>
      <w:r>
        <w:rPr>
          <w:rFonts w:ascii="Candara" w:hAnsi="Candara"/>
          <w:sz w:val="22"/>
          <w:szCs w:val="22"/>
        </w:rPr>
        <w:fldChar w:fldCharType="separate"/>
      </w:r>
      <w:r>
        <w:rPr>
          <w:rFonts w:ascii="Candara" w:hAnsi="Candara" w:eastAsia="等线" w:cs="Times New Roman"/>
          <w:sz w:val="22"/>
          <w:szCs w:val="22"/>
        </w:rPr>
        <w:t xml:space="preserve">ACI World (2022) </w:t>
      </w:r>
      <w:r>
        <w:rPr>
          <w:rFonts w:ascii="Candara" w:hAnsi="Candara" w:eastAsia="等线" w:cs="Times New Roman"/>
          <w:i/>
          <w:iCs/>
          <w:sz w:val="22"/>
          <w:szCs w:val="22"/>
        </w:rPr>
        <w:t>Potential turning point in the recovery of travel as latest air traffic data revealed </w:t>
      </w:r>
      <w:r>
        <w:rPr>
          <w:rFonts w:ascii="Candara" w:hAnsi="Candara" w:eastAsia="等线" w:cs="Times New Roman"/>
          <w:sz w:val="22"/>
          <w:szCs w:val="22"/>
        </w:rPr>
        <w:t>. Available at: https://aci.aero/2022/02/24/potential-turning-point-in-the-recovery-of-travel-as-latest-air-traffic-data-revealed/ (Accessed: 26 April 2022).</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Ampountolas, A., Shaw, G. and James, S. (2021) ‘Examining the relationships between market indicators and hotel pricing approaches’, </w:t>
      </w:r>
      <w:r>
        <w:rPr>
          <w:rFonts w:ascii="Candara" w:hAnsi="Candara" w:eastAsia="等线" w:cs="Times New Roman"/>
          <w:i/>
          <w:iCs/>
          <w:sz w:val="22"/>
          <w:szCs w:val="22"/>
        </w:rPr>
        <w:t>Tourism Economics</w:t>
      </w:r>
      <w:r>
        <w:rPr>
          <w:rFonts w:ascii="Candara" w:hAnsi="Candara" w:eastAsia="等线" w:cs="Times New Roman"/>
          <w:sz w:val="22"/>
          <w:szCs w:val="22"/>
        </w:rPr>
        <w:t>, 27(8), pp. 1591–1614.</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Bandalouski, A. M. </w:t>
      </w:r>
      <w:r>
        <w:rPr>
          <w:rFonts w:ascii="Candara" w:hAnsi="Candara" w:eastAsia="等线" w:cs="Times New Roman"/>
          <w:i/>
          <w:iCs/>
          <w:sz w:val="22"/>
          <w:szCs w:val="22"/>
        </w:rPr>
        <w:t>et al.</w:t>
      </w:r>
      <w:r>
        <w:rPr>
          <w:rFonts w:ascii="Candara" w:hAnsi="Candara" w:eastAsia="等线" w:cs="Times New Roman"/>
          <w:sz w:val="22"/>
          <w:szCs w:val="22"/>
        </w:rPr>
        <w:t xml:space="preserve"> (2021) ‘Dynamic pricing with demand disaggregation for hotel revenue management’, </w:t>
      </w:r>
      <w:r>
        <w:rPr>
          <w:rFonts w:ascii="Candara" w:hAnsi="Candara" w:eastAsia="等线" w:cs="Times New Roman"/>
          <w:i/>
          <w:iCs/>
          <w:sz w:val="22"/>
          <w:szCs w:val="22"/>
        </w:rPr>
        <w:t>Journal of Heuristics</w:t>
      </w:r>
      <w:r>
        <w:rPr>
          <w:rFonts w:ascii="Candara" w:hAnsi="Candara" w:eastAsia="等线" w:cs="Times New Roman"/>
          <w:sz w:val="22"/>
          <w:szCs w:val="22"/>
        </w:rPr>
        <w:t>, 27(5), pp. 869–885.</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Binesh, F., Belarmino, A. and Raab, C. (2021) ‘A meta-analysis of hotel revenue management’, </w:t>
      </w:r>
      <w:r>
        <w:rPr>
          <w:rFonts w:ascii="Candara" w:hAnsi="Candara" w:eastAsia="等线" w:cs="Times New Roman"/>
          <w:i/>
          <w:iCs/>
          <w:sz w:val="22"/>
          <w:szCs w:val="22"/>
        </w:rPr>
        <w:t>Journal of Revenue and Pricing Management</w:t>
      </w:r>
      <w:r>
        <w:rPr>
          <w:rFonts w:ascii="Candara" w:hAnsi="Candara" w:eastAsia="等线" w:cs="Times New Roman"/>
          <w:sz w:val="22"/>
          <w:szCs w:val="22"/>
        </w:rPr>
        <w:t>, 20(5), pp. 546–558.</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Bjerke, M. B. and Renger, R. (2017) ‘Being smart about writing SMART objectives’, </w:t>
      </w:r>
      <w:r>
        <w:rPr>
          <w:rFonts w:ascii="Candara" w:hAnsi="Candara" w:eastAsia="等线" w:cs="Times New Roman"/>
          <w:i/>
          <w:iCs/>
          <w:sz w:val="22"/>
          <w:szCs w:val="22"/>
        </w:rPr>
        <w:t>Evaluation and program planning</w:t>
      </w:r>
      <w:r>
        <w:rPr>
          <w:rFonts w:ascii="Candara" w:hAnsi="Candara" w:eastAsia="等线" w:cs="Times New Roman"/>
          <w:sz w:val="22"/>
          <w:szCs w:val="22"/>
        </w:rPr>
        <w:t>, 61(1), pp. 125–127.</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Chaffey, D. and Smith, P. R. (2017) </w:t>
      </w:r>
      <w:r>
        <w:rPr>
          <w:rFonts w:ascii="Candara" w:hAnsi="Candara" w:eastAsia="等线" w:cs="Times New Roman"/>
          <w:i/>
          <w:iCs/>
          <w:sz w:val="22"/>
          <w:szCs w:val="22"/>
        </w:rPr>
        <w:t>Digital marketing excellence: planning, optimizing and integrating online marketing</w:t>
      </w:r>
      <w:r>
        <w:rPr>
          <w:rFonts w:ascii="Candara" w:hAnsi="Candara" w:eastAsia="等线" w:cs="Times New Roman"/>
          <w:sz w:val="22"/>
          <w:szCs w:val="22"/>
        </w:rPr>
        <w:t>. Routledge.</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Deepak, R. K. A. and Jeyakumar, S. (2019) </w:t>
      </w:r>
      <w:r>
        <w:rPr>
          <w:rFonts w:ascii="Candara" w:hAnsi="Candara" w:eastAsia="等线" w:cs="Times New Roman"/>
          <w:i/>
          <w:iCs/>
          <w:sz w:val="22"/>
          <w:szCs w:val="22"/>
        </w:rPr>
        <w:t>Marketing management</w:t>
      </w:r>
      <w:r>
        <w:rPr>
          <w:rFonts w:ascii="Candara" w:hAnsi="Candara" w:eastAsia="等线" w:cs="Times New Roman"/>
          <w:sz w:val="22"/>
          <w:szCs w:val="22"/>
        </w:rPr>
        <w:t>. Educreation Publishing.</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Goryushkina, N. E. </w:t>
      </w:r>
      <w:r>
        <w:rPr>
          <w:rFonts w:ascii="Candara" w:hAnsi="Candara" w:eastAsia="等线" w:cs="Times New Roman"/>
          <w:i/>
          <w:iCs/>
          <w:sz w:val="22"/>
          <w:szCs w:val="22"/>
        </w:rPr>
        <w:t>et al.</w:t>
      </w:r>
      <w:r>
        <w:rPr>
          <w:rFonts w:ascii="Candara" w:hAnsi="Candara" w:eastAsia="等线" w:cs="Times New Roman"/>
          <w:sz w:val="22"/>
          <w:szCs w:val="22"/>
        </w:rPr>
        <w:t xml:space="preserve"> (2018) ‘The world hotel market: current state and development trends’, </w:t>
      </w:r>
      <w:r>
        <w:rPr>
          <w:rFonts w:ascii="Candara" w:hAnsi="Candara" w:eastAsia="等线" w:cs="Times New Roman"/>
          <w:i/>
          <w:iCs/>
          <w:sz w:val="22"/>
          <w:szCs w:val="22"/>
        </w:rPr>
        <w:t>International Journal of Mechanical Engineering and Technology</w:t>
      </w:r>
      <w:r>
        <w:rPr>
          <w:rFonts w:ascii="Candara" w:hAnsi="Candara" w:eastAsia="等线" w:cs="Times New Roman"/>
          <w:sz w:val="22"/>
          <w:szCs w:val="22"/>
        </w:rPr>
        <w:t>, 9(13), pp. 618–627.</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Horng, J.-S. </w:t>
      </w:r>
      <w:r>
        <w:rPr>
          <w:rFonts w:ascii="Candara" w:hAnsi="Candara" w:eastAsia="等线" w:cs="Times New Roman"/>
          <w:i/>
          <w:iCs/>
          <w:sz w:val="22"/>
          <w:szCs w:val="22"/>
        </w:rPr>
        <w:t>et al.</w:t>
      </w:r>
      <w:r>
        <w:rPr>
          <w:rFonts w:ascii="Candara" w:hAnsi="Candara" w:eastAsia="等线" w:cs="Times New Roman"/>
          <w:sz w:val="22"/>
          <w:szCs w:val="22"/>
        </w:rPr>
        <w:t xml:space="preserve"> (2022) ‘Role of big data capabilities in enhancing competitive advantage and performance in the hospitality sector: Knowledge-based dynamic capabilities view’, </w:t>
      </w:r>
      <w:r>
        <w:rPr>
          <w:rFonts w:ascii="Candara" w:hAnsi="Candara" w:eastAsia="等线" w:cs="Times New Roman"/>
          <w:i/>
          <w:iCs/>
          <w:sz w:val="22"/>
          <w:szCs w:val="22"/>
        </w:rPr>
        <w:t>Journal of Hospitality and Tourism Management</w:t>
      </w:r>
      <w:r>
        <w:rPr>
          <w:rFonts w:ascii="Candara" w:hAnsi="Candara" w:eastAsia="等线" w:cs="Times New Roman"/>
          <w:sz w:val="22"/>
          <w:szCs w:val="22"/>
        </w:rPr>
        <w:t>, 51(1), pp. 22–38.</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Hotel Management (2022) </w:t>
      </w:r>
      <w:r>
        <w:rPr>
          <w:rFonts w:ascii="Candara" w:hAnsi="Candara" w:eastAsia="等线" w:cs="Times New Roman"/>
          <w:i/>
          <w:iCs/>
          <w:sz w:val="22"/>
          <w:szCs w:val="22"/>
        </w:rPr>
        <w:t xml:space="preserve">Marriott charts solvency plans amid COVID-19 pandemic </w:t>
      </w:r>
      <w:r>
        <w:rPr>
          <w:rFonts w:ascii="Candara" w:hAnsi="Candara" w:eastAsia="等线" w:cs="Times New Roman"/>
          <w:sz w:val="22"/>
          <w:szCs w:val="22"/>
        </w:rPr>
        <w:t>. Available at: https://www.hotelmanagement.net/operate/marriott-outlines-plans-for-staying-solvent-a-pandemic (Accessed: 7 March 2022).</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Jarboe, G. (2011) </w:t>
      </w:r>
      <w:r>
        <w:rPr>
          <w:rFonts w:ascii="Candara" w:hAnsi="Candara" w:eastAsia="等线" w:cs="Times New Roman"/>
          <w:i/>
          <w:iCs/>
          <w:sz w:val="22"/>
          <w:szCs w:val="22"/>
        </w:rPr>
        <w:t>YouTube and video marketing: An hour a day</w:t>
      </w:r>
      <w:r>
        <w:rPr>
          <w:rFonts w:ascii="Candara" w:hAnsi="Candara" w:eastAsia="等线" w:cs="Times New Roman"/>
          <w:sz w:val="22"/>
          <w:szCs w:val="22"/>
        </w:rPr>
        <w:t>. John Wiley &amp; Sons.</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Marriott (2021) </w:t>
      </w:r>
      <w:r>
        <w:rPr>
          <w:rFonts w:ascii="Candara" w:hAnsi="Candara" w:eastAsia="等线" w:cs="Times New Roman"/>
          <w:i/>
          <w:iCs/>
          <w:sz w:val="22"/>
          <w:szCs w:val="22"/>
        </w:rPr>
        <w:t>Marriott International Annual Report 20202</w:t>
      </w:r>
      <w:r>
        <w:rPr>
          <w:rFonts w:ascii="Candara" w:hAnsi="Candara" w:eastAsia="等线" w:cs="Times New Roman"/>
          <w:sz w:val="22"/>
          <w:szCs w:val="22"/>
        </w:rPr>
        <w:t>.</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Mattila, A. S. and O’Neill, J. W. (2003) ‘Relationships between hotel room pricing, occupancy, and guest satisfaction: A longitudinal case of a midscale hotel in the United States’, </w:t>
      </w:r>
      <w:r>
        <w:rPr>
          <w:rFonts w:ascii="Candara" w:hAnsi="Candara" w:eastAsia="等线" w:cs="Times New Roman"/>
          <w:i/>
          <w:iCs/>
          <w:sz w:val="22"/>
          <w:szCs w:val="22"/>
        </w:rPr>
        <w:t>Journal of Hospitality &amp; Tourism Research</w:t>
      </w:r>
      <w:r>
        <w:rPr>
          <w:rFonts w:ascii="Candara" w:hAnsi="Candara" w:eastAsia="等线" w:cs="Times New Roman"/>
          <w:sz w:val="22"/>
          <w:szCs w:val="22"/>
        </w:rPr>
        <w:t>, 27(3), pp. 328–341.</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McKinsey &amp; Company (2021) </w:t>
      </w:r>
      <w:r>
        <w:rPr>
          <w:rFonts w:ascii="Candara" w:hAnsi="Candara" w:eastAsia="等线" w:cs="Times New Roman"/>
          <w:i/>
          <w:iCs/>
          <w:sz w:val="22"/>
          <w:szCs w:val="22"/>
        </w:rPr>
        <w:t>Rebooting customer experience in travel</w:t>
      </w:r>
      <w:r>
        <w:rPr>
          <w:rFonts w:ascii="Candara" w:hAnsi="Candara" w:eastAsia="等线" w:cs="Times New Roman"/>
          <w:sz w:val="22"/>
          <w:szCs w:val="22"/>
        </w:rPr>
        <w:t>. Available at: https://www.mckinsey.com/industries/travel-logistics-and-infrastructure/our-insights/rebooting-customer-experience-to-bring-back-the-magic-of-travel (Accessed: 26 April 2022).</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Mossberg, L. (2008) ‘Extraordinary experiences through storytelling’, </w:t>
      </w:r>
      <w:r>
        <w:rPr>
          <w:rFonts w:ascii="Candara" w:hAnsi="Candara" w:eastAsia="等线" w:cs="Times New Roman"/>
          <w:i/>
          <w:iCs/>
          <w:sz w:val="22"/>
          <w:szCs w:val="22"/>
        </w:rPr>
        <w:t>Scandinavian Journal of Hospitality and Tourism</w:t>
      </w:r>
      <w:r>
        <w:rPr>
          <w:rFonts w:ascii="Candara" w:hAnsi="Candara" w:eastAsia="等线" w:cs="Times New Roman"/>
          <w:sz w:val="22"/>
          <w:szCs w:val="22"/>
        </w:rPr>
        <w:t>, 8(3), pp. 195–210.</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Nair, R. K. </w:t>
      </w:r>
      <w:r>
        <w:rPr>
          <w:rFonts w:ascii="Candara" w:hAnsi="Candara" w:eastAsia="等线" w:cs="Times New Roman"/>
          <w:i/>
          <w:iCs/>
          <w:sz w:val="22"/>
          <w:szCs w:val="22"/>
        </w:rPr>
        <w:t>et al.</w:t>
      </w:r>
      <w:r>
        <w:rPr>
          <w:rFonts w:ascii="Candara" w:hAnsi="Candara" w:eastAsia="等线" w:cs="Times New Roman"/>
          <w:sz w:val="22"/>
          <w:szCs w:val="22"/>
        </w:rPr>
        <w:t xml:space="preserve"> (2022) ‘Marketing Strategies Implemented by Hotel Industry during COVID-19 in Malaysia’, </w:t>
      </w:r>
      <w:r>
        <w:rPr>
          <w:rFonts w:ascii="Candara" w:hAnsi="Candara" w:eastAsia="等线" w:cs="Times New Roman"/>
          <w:i/>
          <w:iCs/>
          <w:sz w:val="22"/>
          <w:szCs w:val="22"/>
        </w:rPr>
        <w:t>International journal of Tourism and hospitality in Asia Pasific (IJTHAP)</w:t>
      </w:r>
      <w:r>
        <w:rPr>
          <w:rFonts w:ascii="Candara" w:hAnsi="Candara" w:eastAsia="等线" w:cs="Times New Roman"/>
          <w:sz w:val="22"/>
          <w:szCs w:val="22"/>
        </w:rPr>
        <w:t>, 5(1), pp. 100–111.</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Neuburger, L. and Egger, R. (2021) ‘Travel risk perception and travel behaviour during the COVID-19 pandemic 2020: A case study of the DACH region’, </w:t>
      </w:r>
      <w:r>
        <w:rPr>
          <w:rFonts w:ascii="Candara" w:hAnsi="Candara" w:eastAsia="等线" w:cs="Times New Roman"/>
          <w:i/>
          <w:iCs/>
          <w:sz w:val="22"/>
          <w:szCs w:val="22"/>
        </w:rPr>
        <w:t>Current Issues in Tourism</w:t>
      </w:r>
      <w:r>
        <w:rPr>
          <w:rFonts w:ascii="Candara" w:hAnsi="Candara" w:eastAsia="等线" w:cs="Times New Roman"/>
          <w:sz w:val="22"/>
          <w:szCs w:val="22"/>
        </w:rPr>
        <w:t>, 24(7), pp. 1003–1016.</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PR Smith Marketing (2020) </w:t>
      </w:r>
      <w:r>
        <w:rPr>
          <w:rFonts w:ascii="Candara" w:hAnsi="Candara" w:eastAsia="等线" w:cs="Times New Roman"/>
          <w:i/>
          <w:iCs/>
          <w:sz w:val="22"/>
          <w:szCs w:val="22"/>
        </w:rPr>
        <w:t xml:space="preserve">SOSTAC® Official Site </w:t>
      </w:r>
      <w:r>
        <w:rPr>
          <w:rFonts w:ascii="Candara" w:hAnsi="Candara" w:eastAsia="等线" w:cs="Times New Roman"/>
          <w:sz w:val="22"/>
          <w:szCs w:val="22"/>
        </w:rPr>
        <w:t>. Available at: https://prsmith.org/sostac/ (Accessed: 26 April 2022).</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Rahman, M. K. </w:t>
      </w:r>
      <w:r>
        <w:rPr>
          <w:rFonts w:ascii="Candara" w:hAnsi="Candara" w:eastAsia="等线" w:cs="Times New Roman"/>
          <w:i/>
          <w:iCs/>
          <w:sz w:val="22"/>
          <w:szCs w:val="22"/>
        </w:rPr>
        <w:t>et al.</w:t>
      </w:r>
      <w:r>
        <w:rPr>
          <w:rFonts w:ascii="Candara" w:hAnsi="Candara" w:eastAsia="等线" w:cs="Times New Roman"/>
          <w:sz w:val="22"/>
          <w:szCs w:val="22"/>
        </w:rPr>
        <w:t xml:space="preserve"> (2021) ‘Effect of Covid-19 pandemic on tourist travel risk and management perceptions’, </w:t>
      </w:r>
      <w:r>
        <w:rPr>
          <w:rFonts w:ascii="Candara" w:hAnsi="Candara" w:eastAsia="等线" w:cs="Times New Roman"/>
          <w:i/>
          <w:iCs/>
          <w:sz w:val="22"/>
          <w:szCs w:val="22"/>
        </w:rPr>
        <w:t>Plos one</w:t>
      </w:r>
      <w:r>
        <w:rPr>
          <w:rFonts w:ascii="Candara" w:hAnsi="Candara" w:eastAsia="等线" w:cs="Times New Roman"/>
          <w:sz w:val="22"/>
          <w:szCs w:val="22"/>
        </w:rPr>
        <w:t>, 16(9), p. e0256486.</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Ropero, M. A. (2011) ‘Dynamic pricing policies of hotel establishments in an online travel agency’, </w:t>
      </w:r>
      <w:r>
        <w:rPr>
          <w:rFonts w:ascii="Candara" w:hAnsi="Candara" w:eastAsia="等线" w:cs="Times New Roman"/>
          <w:i/>
          <w:iCs/>
          <w:sz w:val="22"/>
          <w:szCs w:val="22"/>
        </w:rPr>
        <w:t>Tourism economics</w:t>
      </w:r>
      <w:r>
        <w:rPr>
          <w:rFonts w:ascii="Candara" w:hAnsi="Candara" w:eastAsia="等线" w:cs="Times New Roman"/>
          <w:sz w:val="22"/>
          <w:szCs w:val="22"/>
        </w:rPr>
        <w:t>, 17(5), pp. 1087–1102.</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Sarkady, D., Neuburger, L. and Egger, R. (2021) ‘Virtual reality as a travel substitution tool during COVID-19’, in </w:t>
      </w:r>
      <w:r>
        <w:rPr>
          <w:rFonts w:ascii="Candara" w:hAnsi="Candara" w:eastAsia="等线" w:cs="Times New Roman"/>
          <w:i/>
          <w:iCs/>
          <w:sz w:val="22"/>
          <w:szCs w:val="22"/>
        </w:rPr>
        <w:t>Information and communication technologies in tourism 2021</w:t>
      </w:r>
      <w:r>
        <w:rPr>
          <w:rFonts w:ascii="Candara" w:hAnsi="Candara" w:eastAsia="等线" w:cs="Times New Roman"/>
          <w:sz w:val="22"/>
          <w:szCs w:val="22"/>
        </w:rPr>
        <w:t>. Springer, pp. 452–463.</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Statista (2021) </w:t>
      </w:r>
      <w:r>
        <w:rPr>
          <w:rFonts w:ascii="Candara" w:hAnsi="Candara" w:eastAsia="等线" w:cs="Times New Roman"/>
          <w:i/>
          <w:iCs/>
          <w:sz w:val="22"/>
          <w:szCs w:val="22"/>
        </w:rPr>
        <w:t xml:space="preserve">• Marriott hotel occupancy rate worldwide by region 2021 </w:t>
      </w:r>
      <w:r>
        <w:rPr>
          <w:rFonts w:ascii="Candara" w:hAnsi="Candara" w:eastAsia="等线" w:cs="Times New Roman"/>
          <w:sz w:val="22"/>
          <w:szCs w:val="22"/>
        </w:rPr>
        <w:t>. Available at: https://www-statista-com.uoelibrary.idm.oclc.org/statistics/271096/occupancy-rate-of-marriott-international-inc-hotels-worldwide/ (Accessed: 26 April 2022).</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The Economic Times (2022) </w:t>
      </w:r>
      <w:r>
        <w:rPr>
          <w:rFonts w:ascii="Candara" w:hAnsi="Candara" w:eastAsia="等线" w:cs="Times New Roman"/>
          <w:i/>
          <w:iCs/>
          <w:sz w:val="22"/>
          <w:szCs w:val="22"/>
        </w:rPr>
        <w:t xml:space="preserve">JW Marriott: Marriott International launches JW Marriott Bengaluru Prestige Golfshire Resort &amp; Spa </w:t>
      </w:r>
      <w:r>
        <w:rPr>
          <w:rFonts w:ascii="Candara" w:hAnsi="Candara" w:eastAsia="等线" w:cs="Times New Roman"/>
          <w:sz w:val="22"/>
          <w:szCs w:val="22"/>
        </w:rPr>
        <w:t>. Available at: https://economictimes.indiatimes.com/industry/services/hotels-/-restaurants/marriott-international-launches-jw-marriott-bengaluru-prestige-golfshire-resort-spa/articleshow/90045369.cms (Accessed: 7 March 2022).</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The Times (2022) </w:t>
      </w:r>
      <w:r>
        <w:rPr>
          <w:rFonts w:ascii="Candara" w:hAnsi="Candara" w:eastAsia="等线" w:cs="Times New Roman"/>
          <w:i/>
          <w:iCs/>
          <w:sz w:val="22"/>
          <w:szCs w:val="22"/>
        </w:rPr>
        <w:t>Marriott Bonvoy Brilliant Amex Review — Premium Benefits for Frequent Travelers | NextAdvisor with TIME</w:t>
      </w:r>
      <w:r>
        <w:rPr>
          <w:rFonts w:ascii="Candara" w:hAnsi="Candara" w:eastAsia="等线" w:cs="Times New Roman"/>
          <w:sz w:val="22"/>
          <w:szCs w:val="22"/>
        </w:rPr>
        <w:t>. Available at: https://time.com/nextadvisor/credit-cards/reviews/marriott-bonvoy-brilliant-amex-card/ (Accessed: 7 March 2022).</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Woodside, A. G. (2010) ‘Brand</w:t>
      </w:r>
      <w:r>
        <w:rPr>
          <w:rFonts w:ascii="Malgun Gothic" w:hAnsi="Malgun Gothic" w:eastAsia="等线" w:cs="Malgun Gothic"/>
          <w:sz w:val="22"/>
          <w:szCs w:val="22"/>
        </w:rPr>
        <w:t>-</w:t>
      </w:r>
      <w:r>
        <w:rPr>
          <w:rFonts w:ascii="Candara" w:hAnsi="Candara" w:eastAsia="等线" w:cs="Times New Roman"/>
          <w:sz w:val="22"/>
          <w:szCs w:val="22"/>
        </w:rPr>
        <w:t xml:space="preserve">consumer storytelling theory and research: Introduction to a Psychology &amp; Marketing special issue’, </w:t>
      </w:r>
      <w:r>
        <w:rPr>
          <w:rFonts w:ascii="Candara" w:hAnsi="Candara" w:eastAsia="等线" w:cs="Times New Roman"/>
          <w:i/>
          <w:iCs/>
          <w:sz w:val="22"/>
          <w:szCs w:val="22"/>
        </w:rPr>
        <w:t>Psychology &amp; Marketing</w:t>
      </w:r>
      <w:r>
        <w:rPr>
          <w:rFonts w:ascii="Candara" w:hAnsi="Candara" w:eastAsia="等线" w:cs="Times New Roman"/>
          <w:sz w:val="22"/>
          <w:szCs w:val="22"/>
        </w:rPr>
        <w:t>. Wiley Online Library, pp. 531–540.</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World Travel &amp; Tourism Council (WTTC) (2022) </w:t>
      </w:r>
      <w:r>
        <w:rPr>
          <w:rFonts w:ascii="Candara" w:hAnsi="Candara" w:eastAsia="等线" w:cs="Times New Roman"/>
          <w:i/>
          <w:iCs/>
          <w:sz w:val="22"/>
          <w:szCs w:val="22"/>
        </w:rPr>
        <w:t>WTTC: U.S. Travel &amp; Tourism Recovery Projected to Exceed Pre-Pandemic Levels in 2022</w:t>
      </w:r>
      <w:r>
        <w:rPr>
          <w:rFonts w:ascii="Candara" w:hAnsi="Candara" w:eastAsia="等线" w:cs="Times New Roman"/>
          <w:sz w:val="22"/>
          <w:szCs w:val="22"/>
        </w:rPr>
        <w:t>. Available at: https://wttc.org/News-Article/US-Travel-and-Tourism-Recovery-Projected-to-Exceed-Pre-Pandemic-Levels-in-2022 (Accessed: 26 April 2022).</w:t>
      </w:r>
    </w:p>
    <w:p>
      <w:pPr>
        <w:pStyle w:val="26"/>
        <w:numPr>
          <w:ilvl w:val="0"/>
          <w:numId w:val="6"/>
        </w:numPr>
        <w:autoSpaceDE w:val="0"/>
        <w:autoSpaceDN w:val="0"/>
        <w:adjustRightInd w:val="0"/>
        <w:spacing w:line="240" w:lineRule="auto"/>
        <w:ind w:firstLineChars="0"/>
        <w:rPr>
          <w:rFonts w:ascii="Candara" w:hAnsi="Candara" w:eastAsia="等线" w:cs="Times New Roman"/>
          <w:sz w:val="22"/>
          <w:szCs w:val="22"/>
        </w:rPr>
      </w:pPr>
      <w:r>
        <w:rPr>
          <w:rFonts w:ascii="Candara" w:hAnsi="Candara" w:eastAsia="等线" w:cs="Times New Roman"/>
          <w:sz w:val="22"/>
          <w:szCs w:val="22"/>
        </w:rPr>
        <w:t xml:space="preserve">Ben Youssef, K., Leicht, T. and Marongiu, L. (2019) ‘Storytelling in the context of destination marketing: An analysis of conceptualisations and impact measurement’, </w:t>
      </w:r>
      <w:r>
        <w:rPr>
          <w:rFonts w:ascii="Candara" w:hAnsi="Candara" w:eastAsia="等线" w:cs="Times New Roman"/>
          <w:i/>
          <w:iCs/>
          <w:sz w:val="22"/>
          <w:szCs w:val="22"/>
        </w:rPr>
        <w:t>Journal of Strategic Marketing</w:t>
      </w:r>
      <w:r>
        <w:rPr>
          <w:rFonts w:ascii="Candara" w:hAnsi="Candara" w:eastAsia="等线" w:cs="Times New Roman"/>
          <w:sz w:val="22"/>
          <w:szCs w:val="22"/>
        </w:rPr>
        <w:t>, 27(8), pp. 696–713.</w:t>
      </w:r>
    </w:p>
    <w:p>
      <w:pPr>
        <w:pStyle w:val="26"/>
        <w:numPr>
          <w:ilvl w:val="0"/>
          <w:numId w:val="6"/>
        </w:numPr>
        <w:autoSpaceDE w:val="0"/>
        <w:autoSpaceDN w:val="0"/>
        <w:adjustRightInd w:val="0"/>
        <w:spacing w:line="240" w:lineRule="auto"/>
        <w:ind w:firstLineChars="0"/>
        <w:rPr>
          <w:rFonts w:ascii="Candara" w:hAnsi="Candara" w:eastAsia="等线"/>
          <w:sz w:val="22"/>
          <w:szCs w:val="22"/>
        </w:rPr>
      </w:pPr>
      <w:r>
        <w:rPr>
          <w:rFonts w:ascii="Candara" w:hAnsi="Candara" w:eastAsia="等线" w:cs="Times New Roman"/>
          <w:sz w:val="22"/>
          <w:szCs w:val="22"/>
        </w:rPr>
        <w:t xml:space="preserve">Zhang, D. and Weatherford, L. (2017) ‘Dynamic pricing for network revenue management: A new approach and application in the hotel industry’, </w:t>
      </w:r>
      <w:r>
        <w:rPr>
          <w:rFonts w:ascii="Candara" w:hAnsi="Candara" w:eastAsia="等线" w:cs="Times New Roman"/>
          <w:i/>
          <w:iCs/>
          <w:sz w:val="22"/>
          <w:szCs w:val="22"/>
        </w:rPr>
        <w:t>INFORMS Journal on Computing</w:t>
      </w:r>
      <w:r>
        <w:rPr>
          <w:rFonts w:ascii="Candara" w:hAnsi="Candara" w:eastAsia="等线" w:cs="Times New Roman"/>
          <w:sz w:val="22"/>
          <w:szCs w:val="22"/>
        </w:rPr>
        <w:t>, 29(1), pp. 18–35.</w:t>
      </w:r>
    </w:p>
    <w:p>
      <w:pPr>
        <w:rPr>
          <w:rFonts w:ascii="Candara" w:hAnsi="Candara"/>
          <w:sz w:val="22"/>
          <w:szCs w:val="22"/>
        </w:rPr>
      </w:pPr>
      <w:r>
        <w:rPr>
          <w:rFonts w:ascii="Candara" w:hAnsi="Candara"/>
          <w:sz w:val="22"/>
          <w:szCs w:val="22"/>
        </w:rPr>
        <w:fldChar w:fldCharType="end"/>
      </w:r>
    </w:p>
    <w:sectPr>
      <w:footerReference r:id="rId4" w:type="default"/>
      <w:pgSz w:w="11906" w:h="16838"/>
      <w:pgMar w:top="1440" w:right="1080" w:bottom="1440" w:left="108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等线">
    <w:altName w:val="汉仪中等线KW"/>
    <w:panose1 w:val="02010600030101010101"/>
    <w:charset w:val="86"/>
    <w:family w:val="auto"/>
    <w:pitch w:val="default"/>
    <w:sig w:usb0="00000000" w:usb1="00000000" w:usb2="00000016" w:usb3="00000000" w:csb0="0004000F" w:csb1="00000000"/>
  </w:font>
  <w:font w:name="汉仪中等线KW">
    <w:panose1 w:val="01010104010101010101"/>
    <w:charset w:val="86"/>
    <w:family w:val="auto"/>
    <w:pitch w:val="default"/>
    <w:sig w:usb0="800002BF" w:usb1="004F7CFA" w:usb2="00000000" w:usb3="00000000" w:csb0="00040001" w:csb1="00000000"/>
  </w:font>
  <w:font w:name="等线">
    <w:altName w:val="汉仪中等线KW"/>
    <w:panose1 w:val="00000000000000000000"/>
    <w:charset w:val="86"/>
    <w:family w:val="auto"/>
    <w:pitch w:val="default"/>
    <w:sig w:usb0="00000000" w:usb1="00000000" w:usb2="00000000" w:usb3="00000000" w:csb0="00000000" w:csb1="00000000"/>
  </w:font>
  <w:font w:name="等线 Light">
    <w:altName w:val="汉仪中等线KW"/>
    <w:panose1 w:val="02010600030101010101"/>
    <w:charset w:val="86"/>
    <w:family w:val="auto"/>
    <w:pitch w:val="default"/>
    <w:sig w:usb0="00000000" w:usb1="00000000" w:usb2="00000016" w:usb3="00000000" w:csb0="0004000F" w:csb1="00000000"/>
  </w:font>
  <w:font w:name="Candara">
    <w:altName w:val="苹方-简"/>
    <w:panose1 w:val="020E0502030303020204"/>
    <w:charset w:val="00"/>
    <w:family w:val="swiss"/>
    <w:pitch w:val="default"/>
    <w:sig w:usb0="00000000" w:usb1="00000000" w:usb2="00000000" w:usb3="00000000" w:csb0="0000019F" w:csb1="00000000"/>
  </w:font>
  <w:font w:name="Arial">
    <w:panose1 w:val="020B0604020202090204"/>
    <w:charset w:val="00"/>
    <w:family w:val="swiss"/>
    <w:pitch w:val="default"/>
    <w:sig w:usb0="E0000AFF" w:usb1="00007843" w:usb2="00000001" w:usb3="00000000" w:csb0="400001BF" w:csb1="DFF70000"/>
  </w:font>
  <w:font w:name="Open Sans">
    <w:altName w:val="苹方-简"/>
    <w:panose1 w:val="00000000000000000000"/>
    <w:charset w:val="00"/>
    <w:family w:val="swiss"/>
    <w:pitch w:val="default"/>
    <w:sig w:usb0="00000000" w:usb1="00000000" w:usb2="00000028" w:usb3="00000000" w:csb0="0000019F" w:csb1="00000000"/>
  </w:font>
  <w:font w:name="Malgun Gothic">
    <w:altName w:val="Apple SD Gothic Neo"/>
    <w:panose1 w:val="020B0503020000020004"/>
    <w:charset w:val="81"/>
    <w:family w:val="swiss"/>
    <w:pitch w:val="default"/>
    <w:sig w:usb0="00000000" w:usb1="00000000" w:usb2="00000012" w:usb3="00000000" w:csb0="00080001" w:csb1="00000000"/>
  </w:font>
  <w:font w:name="Apple SD Gothic Neo">
    <w:panose1 w:val="02000300000000000000"/>
    <w:charset w:val="86"/>
    <w:family w:val="auto"/>
    <w:pitch w:val="default"/>
    <w:sig w:usb0="00000203" w:usb1="21D12C10" w:usb2="00000010" w:usb3="00000000" w:csb0="00280005" w:csb1="00000000"/>
  </w:font>
  <w:font w:name="冬青黑体简体中文">
    <w:panose1 w:val="020B0300000000000000"/>
    <w:charset w:val="86"/>
    <w:family w:val="auto"/>
    <w:pitch w:val="default"/>
    <w:sig w:usb0="A00002BF" w:usb1="1ACF7CFA" w:usb2="00000016" w:usb3="00000000" w:csb0="00060007" w:csb1="00000000"/>
  </w:font>
  <w:font w:name="等线 Light">
    <w:altName w:val="汉仪中等线KW"/>
    <w:panose1 w:val="00000000000000000000"/>
    <w:charset w:val="00"/>
    <w:family w:val="auto"/>
    <w:pitch w:val="default"/>
    <w:sig w:usb0="00000000" w:usb1="00000000" w:usb2="00000000" w:usb3="00000000" w:csb0="00000000" w:csb1="00000000"/>
  </w:font>
  <w:font w:name="PingFang SC">
    <w:panose1 w:val="020B0400000000000000"/>
    <w:charset w:val="86"/>
    <w:family w:val="auto"/>
    <w:pitch w:val="default"/>
    <w:sig w:usb0="A00002FF" w:usb1="7ACFFDFB" w:usb2="00000017" w:usb3="00000000" w:csb0="00040001" w:csb1="00000000"/>
  </w:font>
  <w:font w:name="Tahoma">
    <w:panose1 w:val="020B08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Times New Roman Regular">
    <w:panose1 w:val="02020603050405020304"/>
    <w:charset w:val="00"/>
    <w:family w:val="auto"/>
    <w:pitch w:val="default"/>
    <w:sig w:usb0="E0002AEF" w:usb1="C0007841" w:usb2="00000009" w:usb3="00000000" w:csb0="400001FF" w:csb1="FFFF0000"/>
  </w:font>
  <w:font w:name="等线">
    <w:altName w:val="汉仪中等线KW"/>
    <w:panose1 w:val="00000000000000000000"/>
    <w:charset w:val="00"/>
    <w:family w:val="auto"/>
    <w:pitch w:val="default"/>
    <w:sig w:usb0="00000000" w:usb1="00000000" w:usb2="00000000" w:usb3="00000000" w:csb0="00000000" w:csb1="00000000"/>
  </w:font>
  <w:font w:name="Apple SD Gothic Neo">
    <w:panose1 w:val="02000300000000000000"/>
    <w:charset w:val="81"/>
    <w:family w:val="auto"/>
    <w:pitch w:val="default"/>
    <w:sig w:usb0="00000203" w:usb1="21D12C10" w:usb2="00000010" w:usb3="00000000" w:csb0="00280005"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145083717"/>
    </w:sdtPr>
    <w:sdtContent>
      <w:p>
        <w:pPr>
          <w:pStyle w:val="12"/>
          <w:jc w:val="right"/>
        </w:pPr>
        <w:r>
          <w:fldChar w:fldCharType="begin"/>
        </w:r>
        <w:r>
          <w:instrText xml:space="preserve">PAGE   \* MERGEFORMAT</w:instrText>
        </w:r>
        <w:r>
          <w:fldChar w:fldCharType="separate"/>
        </w:r>
        <w:r>
          <w:rPr>
            <w:lang w:val="zh-CN"/>
          </w:rPr>
          <w:t>2</w:t>
        </w:r>
        <w:r>
          <w:fldChar w:fldCharType="end"/>
        </w:r>
      </w:p>
    </w:sdtContent>
  </w:sdt>
  <w:p>
    <w:pPr>
      <w:pStyle w:val="12"/>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0"/>
    </w:sdtPr>
    <w:sdtContent>
      <w:p>
        <w:pPr>
          <w:pStyle w:val="12"/>
          <w:jc w:val="right"/>
        </w:pPr>
        <w:r>
          <w:fldChar w:fldCharType="begin"/>
        </w:r>
        <w:r>
          <w:instrText xml:space="preserve">PAGE   \* MERGEFORMAT</w:instrText>
        </w:r>
        <w:r>
          <w:fldChar w:fldCharType="separate"/>
        </w:r>
        <w:r>
          <w:rPr>
            <w:lang w:val="zh-CN"/>
          </w:rPr>
          <w:t>2</w:t>
        </w:r>
        <w:r>
          <w:fldChar w:fldCharType="end"/>
        </w:r>
      </w:p>
    </w:sdtContent>
  </w:sdt>
  <w:p>
    <w:pPr>
      <w:pStyle w:val="12"/>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4701B4"/>
    <w:multiLevelType w:val="multilevel"/>
    <w:tmpl w:val="114701B4"/>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1">
    <w:nsid w:val="11DA1EBF"/>
    <w:multiLevelType w:val="multilevel"/>
    <w:tmpl w:val="11DA1EBF"/>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2">
    <w:nsid w:val="1FF7025A"/>
    <w:multiLevelType w:val="multilevel"/>
    <w:tmpl w:val="1FF7025A"/>
    <w:lvl w:ilvl="0" w:tentative="0">
      <w:start w:val="1"/>
      <w:numFmt w:val="decimal"/>
      <w:lvlText w:val="%1."/>
      <w:lvlJc w:val="left"/>
      <w:pPr>
        <w:ind w:left="360" w:hanging="360"/>
      </w:pPr>
      <w:rPr>
        <w:rFonts w:hint="default"/>
      </w:rPr>
    </w:lvl>
    <w:lvl w:ilvl="1" w:tentative="0">
      <w:start w:val="1"/>
      <w:numFmt w:val="decimal"/>
      <w:isLgl/>
      <w:lvlText w:val="%1.%2"/>
      <w:lvlJc w:val="left"/>
      <w:pPr>
        <w:ind w:left="552" w:hanging="552"/>
      </w:pPr>
      <w:rPr>
        <w:rFonts w:hint="default" w:ascii="Times New Roman Regular" w:hAnsi="Times New Roman Regular" w:cs="Times New Roman Regular"/>
        <w:b w:val="0"/>
        <w:bCs/>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abstractNum w:abstractNumId="3">
    <w:nsid w:val="2411525B"/>
    <w:multiLevelType w:val="multilevel"/>
    <w:tmpl w:val="2411525B"/>
    <w:lvl w:ilvl="0" w:tentative="0">
      <w:start w:val="1"/>
      <w:numFmt w:val="bullet"/>
      <w:lvlText w:val=""/>
      <w:lvlJc w:val="left"/>
      <w:pPr>
        <w:ind w:left="360" w:hanging="36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4">
    <w:nsid w:val="486343DE"/>
    <w:multiLevelType w:val="multilevel"/>
    <w:tmpl w:val="486343DE"/>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5">
    <w:nsid w:val="65C62BB4"/>
    <w:multiLevelType w:val="multilevel"/>
    <w:tmpl w:val="65C62BB4"/>
    <w:lvl w:ilvl="0" w:tentative="0">
      <w:start w:val="2"/>
      <w:numFmt w:val="decimal"/>
      <w:lvlText w:val="%1"/>
      <w:lvlJc w:val="left"/>
      <w:pPr>
        <w:ind w:left="444" w:hanging="444"/>
      </w:pPr>
      <w:rPr>
        <w:rFonts w:hint="default"/>
      </w:rPr>
    </w:lvl>
    <w:lvl w:ilvl="1" w:tentative="0">
      <w:start w:val="5"/>
      <w:numFmt w:val="decimal"/>
      <w:lvlText w:val="%1.%2"/>
      <w:lvlJc w:val="left"/>
      <w:pPr>
        <w:ind w:left="720" w:hanging="720"/>
      </w:pPr>
      <w:rPr>
        <w:rFonts w:hint="default"/>
      </w:rPr>
    </w:lvl>
    <w:lvl w:ilvl="2" w:tentative="0">
      <w:start w:val="1"/>
      <w:numFmt w:val="decimal"/>
      <w:lvlText w:val="%1.%2.%3"/>
      <w:lvlJc w:val="left"/>
      <w:pPr>
        <w:ind w:left="1080" w:hanging="1080"/>
      </w:pPr>
      <w:rPr>
        <w:rFonts w:hint="default"/>
      </w:rPr>
    </w:lvl>
    <w:lvl w:ilvl="3" w:tentative="0">
      <w:start w:val="1"/>
      <w:numFmt w:val="decimal"/>
      <w:lvlText w:val="%1.%2.%3.%4"/>
      <w:lvlJc w:val="left"/>
      <w:pPr>
        <w:ind w:left="1080" w:hanging="1080"/>
      </w:pPr>
      <w:rPr>
        <w:rFonts w:hint="default"/>
      </w:rPr>
    </w:lvl>
    <w:lvl w:ilvl="4" w:tentative="0">
      <w:start w:val="1"/>
      <w:numFmt w:val="decimal"/>
      <w:lvlText w:val="%1.%2.%3.%4.%5"/>
      <w:lvlJc w:val="left"/>
      <w:pPr>
        <w:ind w:left="1440" w:hanging="1440"/>
      </w:pPr>
      <w:rPr>
        <w:rFonts w:hint="default"/>
      </w:rPr>
    </w:lvl>
    <w:lvl w:ilvl="5" w:tentative="0">
      <w:start w:val="1"/>
      <w:numFmt w:val="decimal"/>
      <w:lvlText w:val="%1.%2.%3.%4.%5.%6"/>
      <w:lvlJc w:val="left"/>
      <w:pPr>
        <w:ind w:left="1800" w:hanging="1800"/>
      </w:pPr>
      <w:rPr>
        <w:rFonts w:hint="default"/>
      </w:rPr>
    </w:lvl>
    <w:lvl w:ilvl="6" w:tentative="0">
      <w:start w:val="1"/>
      <w:numFmt w:val="decimal"/>
      <w:lvlText w:val="%1.%2.%3.%4.%5.%6.%7"/>
      <w:lvlJc w:val="left"/>
      <w:pPr>
        <w:ind w:left="2160" w:hanging="2160"/>
      </w:pPr>
      <w:rPr>
        <w:rFonts w:hint="default"/>
      </w:rPr>
    </w:lvl>
    <w:lvl w:ilvl="7" w:tentative="0">
      <w:start w:val="1"/>
      <w:numFmt w:val="decimal"/>
      <w:lvlText w:val="%1.%2.%3.%4.%5.%6.%7.%8"/>
      <w:lvlJc w:val="left"/>
      <w:pPr>
        <w:ind w:left="2160" w:hanging="2160"/>
      </w:pPr>
      <w:rPr>
        <w:rFonts w:hint="default"/>
      </w:rPr>
    </w:lvl>
    <w:lvl w:ilvl="8" w:tentative="0">
      <w:start w:val="1"/>
      <w:numFmt w:val="decimal"/>
      <w:lvlText w:val="%1.%2.%3.%4.%5.%6.%7.%8.%9"/>
      <w:lvlJc w:val="left"/>
      <w:pPr>
        <w:ind w:left="2520" w:hanging="2520"/>
      </w:pPr>
      <w:rPr>
        <w:rFonts w:hint="default"/>
      </w:rPr>
    </w:lvl>
  </w:abstractNum>
  <w:num w:numId="1">
    <w:abstractNumId w:val="2"/>
  </w:num>
  <w:num w:numId="2">
    <w:abstractNumId w:val="3"/>
  </w:num>
  <w:num w:numId="3">
    <w:abstractNumId w:val="4"/>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8"/>
  <w:doNotDisplayPageBoundaries w:val="1"/>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2F91"/>
    <w:rsid w:val="000B0731"/>
    <w:rsid w:val="001D58FC"/>
    <w:rsid w:val="0028662F"/>
    <w:rsid w:val="00356F33"/>
    <w:rsid w:val="00372AA1"/>
    <w:rsid w:val="00444446"/>
    <w:rsid w:val="00575151"/>
    <w:rsid w:val="00617728"/>
    <w:rsid w:val="00685125"/>
    <w:rsid w:val="00685CDF"/>
    <w:rsid w:val="006A1B83"/>
    <w:rsid w:val="006A6547"/>
    <w:rsid w:val="006B5AD4"/>
    <w:rsid w:val="006C658C"/>
    <w:rsid w:val="00715A1E"/>
    <w:rsid w:val="00886554"/>
    <w:rsid w:val="0097681E"/>
    <w:rsid w:val="00A02E57"/>
    <w:rsid w:val="00A05425"/>
    <w:rsid w:val="00A9186B"/>
    <w:rsid w:val="00A95C53"/>
    <w:rsid w:val="00B27C72"/>
    <w:rsid w:val="00B73665"/>
    <w:rsid w:val="00BF00FD"/>
    <w:rsid w:val="00C0442F"/>
    <w:rsid w:val="00C63AB8"/>
    <w:rsid w:val="00CF1E8A"/>
    <w:rsid w:val="00D97076"/>
    <w:rsid w:val="00E256E2"/>
    <w:rsid w:val="00E654A8"/>
    <w:rsid w:val="00EC2F91"/>
    <w:rsid w:val="00F07B44"/>
    <w:rsid w:val="00F57C0B"/>
    <w:rsid w:val="00F81253"/>
    <w:rsid w:val="0FF3F9AE"/>
    <w:rsid w:val="1771F742"/>
    <w:rsid w:val="3C2DAE8B"/>
    <w:rsid w:val="3DF760C9"/>
    <w:rsid w:val="5DE9A8CC"/>
    <w:rsid w:val="5FFC8A30"/>
    <w:rsid w:val="61B5DE11"/>
    <w:rsid w:val="71E72A9C"/>
    <w:rsid w:val="75F73CCF"/>
    <w:rsid w:val="7BAF466C"/>
    <w:rsid w:val="7BE70FAC"/>
    <w:rsid w:val="7DB7241E"/>
    <w:rsid w:val="7F7B8E9E"/>
    <w:rsid w:val="A95F6807"/>
    <w:rsid w:val="BFB66EDD"/>
    <w:rsid w:val="BFBBB554"/>
    <w:rsid w:val="DDDFCD2F"/>
    <w:rsid w:val="DFBE08DB"/>
    <w:rsid w:val="E05A6F5B"/>
    <w:rsid w:val="ED4589AD"/>
    <w:rsid w:val="EFBFF8C3"/>
    <w:rsid w:val="EFDB7B38"/>
    <w:rsid w:val="F4FCDA30"/>
    <w:rsid w:val="F6B1DA50"/>
    <w:rsid w:val="FDFF4308"/>
    <w:rsid w:val="FFBF2B8B"/>
    <w:rsid w:val="FFDA32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6" w:lineRule="auto"/>
    </w:pPr>
    <w:rPr>
      <w:rFonts w:asciiTheme="minorHAnsi" w:hAnsiTheme="minorHAnsi" w:eastAsiaTheme="minorEastAsia" w:cstheme="minorBidi"/>
      <w:sz w:val="21"/>
      <w:szCs w:val="21"/>
      <w:lang w:val="en-US" w:eastAsia="zh-CN" w:bidi="ar-SA"/>
    </w:rPr>
  </w:style>
  <w:style w:type="paragraph" w:styleId="2">
    <w:name w:val="heading 1"/>
    <w:basedOn w:val="1"/>
    <w:next w:val="1"/>
    <w:link w:val="27"/>
    <w:qFormat/>
    <w:uiPriority w:val="9"/>
    <w:pPr>
      <w:keepNext/>
      <w:keepLines/>
      <w:pBdr>
        <w:bottom w:val="single" w:color="ED7D31" w:themeColor="accent2" w:sz="4" w:space="2"/>
      </w:pBdr>
      <w:spacing w:before="360" w:after="120" w:line="240" w:lineRule="auto"/>
      <w:outlineLvl w:val="0"/>
    </w:pPr>
    <w:rPr>
      <w:rFonts w:asciiTheme="majorHAnsi" w:hAnsiTheme="majorHAnsi" w:eastAsiaTheme="majorEastAsia" w:cstheme="majorBidi"/>
      <w:color w:val="262626" w:themeColor="text1" w:themeTint="D9"/>
      <w:sz w:val="40"/>
      <w:szCs w:val="40"/>
      <w14:textFill>
        <w14:solidFill>
          <w14:schemeClr w14:val="tx1">
            <w14:lumMod w14:val="85000"/>
            <w14:lumOff w14:val="15000"/>
          </w14:schemeClr>
        </w14:solidFill>
      </w14:textFill>
    </w:rPr>
  </w:style>
  <w:style w:type="paragraph" w:styleId="3">
    <w:name w:val="heading 2"/>
    <w:basedOn w:val="1"/>
    <w:next w:val="1"/>
    <w:link w:val="28"/>
    <w:unhideWhenUsed/>
    <w:qFormat/>
    <w:uiPriority w:val="9"/>
    <w:pPr>
      <w:keepNext/>
      <w:keepLines/>
      <w:spacing w:before="120" w:after="0" w:line="240" w:lineRule="auto"/>
      <w:outlineLvl w:val="1"/>
    </w:pPr>
    <w:rPr>
      <w:rFonts w:asciiTheme="majorHAnsi" w:hAnsiTheme="majorHAnsi" w:eastAsiaTheme="majorEastAsia" w:cstheme="majorBidi"/>
      <w:color w:val="ED7D31" w:themeColor="accent2"/>
      <w:sz w:val="36"/>
      <w:szCs w:val="36"/>
      <w14:textFill>
        <w14:solidFill>
          <w14:schemeClr w14:val="accent2"/>
        </w14:solidFill>
      </w14:textFill>
    </w:rPr>
  </w:style>
  <w:style w:type="paragraph" w:styleId="4">
    <w:name w:val="heading 3"/>
    <w:basedOn w:val="1"/>
    <w:next w:val="1"/>
    <w:link w:val="29"/>
    <w:unhideWhenUsed/>
    <w:qFormat/>
    <w:uiPriority w:val="9"/>
    <w:pPr>
      <w:keepNext/>
      <w:keepLines/>
      <w:spacing w:before="80" w:after="0" w:line="240" w:lineRule="auto"/>
      <w:outlineLvl w:val="2"/>
    </w:pPr>
    <w:rPr>
      <w:rFonts w:asciiTheme="majorHAnsi" w:hAnsiTheme="majorHAnsi" w:eastAsiaTheme="majorEastAsia" w:cstheme="majorBidi"/>
      <w:color w:val="C55A11" w:themeColor="accent2" w:themeShade="BF"/>
      <w:sz w:val="32"/>
      <w:szCs w:val="32"/>
    </w:rPr>
  </w:style>
  <w:style w:type="paragraph" w:styleId="5">
    <w:name w:val="heading 4"/>
    <w:basedOn w:val="1"/>
    <w:next w:val="1"/>
    <w:link w:val="30"/>
    <w:unhideWhenUsed/>
    <w:qFormat/>
    <w:uiPriority w:val="9"/>
    <w:pPr>
      <w:keepNext/>
      <w:keepLines/>
      <w:spacing w:before="80" w:after="0" w:line="240" w:lineRule="auto"/>
      <w:outlineLvl w:val="3"/>
    </w:pPr>
    <w:rPr>
      <w:rFonts w:asciiTheme="majorHAnsi" w:hAnsiTheme="majorHAnsi" w:eastAsiaTheme="majorEastAsia" w:cstheme="majorBidi"/>
      <w:i/>
      <w:iCs/>
      <w:color w:val="843C0B" w:themeColor="accent2" w:themeShade="80"/>
      <w:sz w:val="28"/>
      <w:szCs w:val="28"/>
    </w:rPr>
  </w:style>
  <w:style w:type="paragraph" w:styleId="6">
    <w:name w:val="heading 5"/>
    <w:basedOn w:val="1"/>
    <w:next w:val="1"/>
    <w:link w:val="31"/>
    <w:unhideWhenUsed/>
    <w:qFormat/>
    <w:uiPriority w:val="9"/>
    <w:pPr>
      <w:keepNext/>
      <w:keepLines/>
      <w:spacing w:before="80" w:after="0" w:line="240" w:lineRule="auto"/>
      <w:outlineLvl w:val="4"/>
    </w:pPr>
    <w:rPr>
      <w:rFonts w:asciiTheme="majorHAnsi" w:hAnsiTheme="majorHAnsi" w:eastAsiaTheme="majorEastAsia" w:cstheme="majorBidi"/>
      <w:color w:val="C55A11" w:themeColor="accent2" w:themeShade="BF"/>
      <w:sz w:val="24"/>
      <w:szCs w:val="24"/>
    </w:rPr>
  </w:style>
  <w:style w:type="paragraph" w:styleId="7">
    <w:name w:val="heading 6"/>
    <w:basedOn w:val="1"/>
    <w:next w:val="1"/>
    <w:link w:val="32"/>
    <w:unhideWhenUsed/>
    <w:qFormat/>
    <w:uiPriority w:val="9"/>
    <w:pPr>
      <w:keepNext/>
      <w:keepLines/>
      <w:spacing w:before="80" w:after="0" w:line="240" w:lineRule="auto"/>
      <w:outlineLvl w:val="5"/>
    </w:pPr>
    <w:rPr>
      <w:rFonts w:asciiTheme="majorHAnsi" w:hAnsiTheme="majorHAnsi" w:eastAsiaTheme="majorEastAsia" w:cstheme="majorBidi"/>
      <w:i/>
      <w:iCs/>
      <w:color w:val="843C0B" w:themeColor="accent2" w:themeShade="80"/>
      <w:sz w:val="24"/>
      <w:szCs w:val="24"/>
    </w:rPr>
  </w:style>
  <w:style w:type="paragraph" w:styleId="8">
    <w:name w:val="heading 7"/>
    <w:basedOn w:val="1"/>
    <w:next w:val="1"/>
    <w:link w:val="33"/>
    <w:unhideWhenUsed/>
    <w:qFormat/>
    <w:uiPriority w:val="9"/>
    <w:pPr>
      <w:keepNext/>
      <w:keepLines/>
      <w:spacing w:before="80" w:after="0" w:line="240" w:lineRule="auto"/>
      <w:outlineLvl w:val="6"/>
    </w:pPr>
    <w:rPr>
      <w:rFonts w:asciiTheme="majorHAnsi" w:hAnsiTheme="majorHAnsi" w:eastAsiaTheme="majorEastAsia" w:cstheme="majorBidi"/>
      <w:b/>
      <w:bCs/>
      <w:color w:val="843C0B" w:themeColor="accent2" w:themeShade="80"/>
      <w:sz w:val="22"/>
      <w:szCs w:val="22"/>
    </w:rPr>
  </w:style>
  <w:style w:type="paragraph" w:styleId="9">
    <w:name w:val="heading 8"/>
    <w:basedOn w:val="1"/>
    <w:next w:val="1"/>
    <w:link w:val="34"/>
    <w:unhideWhenUsed/>
    <w:qFormat/>
    <w:uiPriority w:val="9"/>
    <w:pPr>
      <w:keepNext/>
      <w:keepLines/>
      <w:spacing w:before="80" w:after="0" w:line="240" w:lineRule="auto"/>
      <w:outlineLvl w:val="7"/>
    </w:pPr>
    <w:rPr>
      <w:rFonts w:asciiTheme="majorHAnsi" w:hAnsiTheme="majorHAnsi" w:eastAsiaTheme="majorEastAsia" w:cstheme="majorBidi"/>
      <w:color w:val="843C0B" w:themeColor="accent2" w:themeShade="80"/>
      <w:sz w:val="22"/>
      <w:szCs w:val="22"/>
    </w:rPr>
  </w:style>
  <w:style w:type="paragraph" w:styleId="10">
    <w:name w:val="heading 9"/>
    <w:basedOn w:val="1"/>
    <w:next w:val="1"/>
    <w:link w:val="35"/>
    <w:unhideWhenUsed/>
    <w:qFormat/>
    <w:uiPriority w:val="9"/>
    <w:pPr>
      <w:keepNext/>
      <w:keepLines/>
      <w:spacing w:before="80" w:after="0" w:line="240" w:lineRule="auto"/>
      <w:outlineLvl w:val="8"/>
    </w:pPr>
    <w:rPr>
      <w:rFonts w:asciiTheme="majorHAnsi" w:hAnsiTheme="majorHAnsi" w:eastAsiaTheme="majorEastAsia" w:cstheme="majorBidi"/>
      <w:i/>
      <w:iCs/>
      <w:color w:val="843C0B" w:themeColor="accent2" w:themeShade="80"/>
      <w:sz w:val="22"/>
      <w:szCs w:val="22"/>
    </w:rPr>
  </w:style>
  <w:style w:type="character" w:default="1" w:styleId="18">
    <w:name w:val="Default Paragraph Font"/>
    <w:unhideWhenUsed/>
    <w:qFormat/>
    <w:uiPriority w:val="1"/>
  </w:style>
  <w:style w:type="table" w:default="1" w:styleId="22">
    <w:name w:val="Normal Table"/>
    <w:unhideWhenUsed/>
    <w:qFormat/>
    <w:uiPriority w:val="99"/>
    <w:tblPr>
      <w:tblCellMar>
        <w:top w:w="0" w:type="dxa"/>
        <w:left w:w="108" w:type="dxa"/>
        <w:bottom w:w="0" w:type="dxa"/>
        <w:right w:w="108" w:type="dxa"/>
      </w:tblCellMar>
    </w:tblPr>
  </w:style>
  <w:style w:type="paragraph" w:styleId="11">
    <w:name w:val="caption"/>
    <w:basedOn w:val="1"/>
    <w:next w:val="1"/>
    <w:unhideWhenUsed/>
    <w:qFormat/>
    <w:uiPriority w:val="35"/>
    <w:pPr>
      <w:spacing w:line="240" w:lineRule="auto"/>
    </w:pPr>
    <w:rPr>
      <w:b/>
      <w:bCs/>
      <w:color w:val="404040" w:themeColor="text1" w:themeTint="BF"/>
      <w:sz w:val="16"/>
      <w:szCs w:val="16"/>
      <w14:textFill>
        <w14:solidFill>
          <w14:schemeClr w14:val="tx1">
            <w14:lumMod w14:val="75000"/>
            <w14:lumOff w14:val="25000"/>
          </w14:schemeClr>
        </w14:solidFill>
      </w14:textFill>
    </w:rPr>
  </w:style>
  <w:style w:type="paragraph" w:styleId="12">
    <w:name w:val="footer"/>
    <w:basedOn w:val="1"/>
    <w:link w:val="24"/>
    <w:unhideWhenUsed/>
    <w:qFormat/>
    <w:uiPriority w:val="99"/>
    <w:pPr>
      <w:tabs>
        <w:tab w:val="center" w:pos="4153"/>
        <w:tab w:val="right" w:pos="8306"/>
      </w:tabs>
      <w:snapToGrid w:val="0"/>
    </w:pPr>
    <w:rPr>
      <w:sz w:val="18"/>
      <w:szCs w:val="18"/>
    </w:rPr>
  </w:style>
  <w:style w:type="paragraph" w:styleId="13">
    <w:name w:val="header"/>
    <w:basedOn w:val="1"/>
    <w:link w:val="23"/>
    <w:unhideWhenUsed/>
    <w:qFormat/>
    <w:uiPriority w:val="99"/>
    <w:pPr>
      <w:pBdr>
        <w:bottom w:val="single" w:color="auto" w:sz="6" w:space="1"/>
      </w:pBdr>
      <w:tabs>
        <w:tab w:val="center" w:pos="4153"/>
        <w:tab w:val="right" w:pos="8306"/>
      </w:tabs>
      <w:snapToGrid w:val="0"/>
      <w:jc w:val="center"/>
    </w:pPr>
    <w:rPr>
      <w:sz w:val="18"/>
      <w:szCs w:val="18"/>
    </w:rPr>
  </w:style>
  <w:style w:type="paragraph" w:styleId="14">
    <w:name w:val="toc 1"/>
    <w:basedOn w:val="1"/>
    <w:next w:val="1"/>
    <w:unhideWhenUsed/>
    <w:qFormat/>
    <w:uiPriority w:val="39"/>
  </w:style>
  <w:style w:type="paragraph" w:styleId="15">
    <w:name w:val="Subtitle"/>
    <w:basedOn w:val="1"/>
    <w:next w:val="1"/>
    <w:link w:val="36"/>
    <w:qFormat/>
    <w:uiPriority w:val="11"/>
    <w:pPr>
      <w:spacing w:after="240"/>
    </w:pPr>
    <w:rPr>
      <w:caps/>
      <w:color w:val="404040" w:themeColor="text1" w:themeTint="BF"/>
      <w:spacing w:val="20"/>
      <w:sz w:val="28"/>
      <w:szCs w:val="28"/>
      <w14:textFill>
        <w14:solidFill>
          <w14:schemeClr w14:val="tx1">
            <w14:lumMod w14:val="75000"/>
            <w14:lumOff w14:val="25000"/>
          </w14:schemeClr>
        </w14:solidFill>
      </w14:textFill>
    </w:rPr>
  </w:style>
  <w:style w:type="paragraph" w:styleId="16">
    <w:name w:val="toc 2"/>
    <w:basedOn w:val="1"/>
    <w:next w:val="1"/>
    <w:unhideWhenUsed/>
    <w:qFormat/>
    <w:uiPriority w:val="39"/>
    <w:pPr>
      <w:ind w:left="420" w:leftChars="200"/>
    </w:pPr>
  </w:style>
  <w:style w:type="paragraph" w:styleId="17">
    <w:name w:val="Title"/>
    <w:basedOn w:val="1"/>
    <w:next w:val="1"/>
    <w:link w:val="25"/>
    <w:qFormat/>
    <w:uiPriority w:val="10"/>
    <w:pPr>
      <w:spacing w:after="0" w:line="240" w:lineRule="auto"/>
      <w:contextualSpacing/>
    </w:pPr>
    <w:rPr>
      <w:rFonts w:asciiTheme="majorHAnsi" w:hAnsiTheme="majorHAnsi" w:eastAsiaTheme="majorEastAsia" w:cstheme="majorBidi"/>
      <w:color w:val="262626" w:themeColor="text1" w:themeTint="D9"/>
      <w:sz w:val="96"/>
      <w:szCs w:val="96"/>
      <w14:textFill>
        <w14:solidFill>
          <w14:schemeClr w14:val="tx1">
            <w14:lumMod w14:val="85000"/>
            <w14:lumOff w14:val="15000"/>
          </w14:schemeClr>
        </w14:solidFill>
      </w14:textFill>
    </w:rPr>
  </w:style>
  <w:style w:type="character" w:styleId="19">
    <w:name w:val="Strong"/>
    <w:basedOn w:val="18"/>
    <w:qFormat/>
    <w:uiPriority w:val="22"/>
    <w:rPr>
      <w:b/>
      <w:bCs/>
    </w:rPr>
  </w:style>
  <w:style w:type="character" w:styleId="20">
    <w:name w:val="Emphasis"/>
    <w:basedOn w:val="18"/>
    <w:qFormat/>
    <w:uiPriority w:val="20"/>
    <w:rPr>
      <w:i/>
      <w:iCs/>
      <w:color w:val="000000" w:themeColor="text1"/>
      <w14:textFill>
        <w14:solidFill>
          <w14:schemeClr w14:val="tx1"/>
        </w14:solidFill>
      </w14:textFill>
    </w:rPr>
  </w:style>
  <w:style w:type="character" w:styleId="21">
    <w:name w:val="Hyperlink"/>
    <w:basedOn w:val="18"/>
    <w:unhideWhenUsed/>
    <w:qFormat/>
    <w:uiPriority w:val="99"/>
    <w:rPr>
      <w:color w:val="0563C1" w:themeColor="hyperlink"/>
      <w:u w:val="single"/>
      <w14:textFill>
        <w14:solidFill>
          <w14:schemeClr w14:val="hlink"/>
        </w14:solidFill>
      </w14:textFill>
    </w:rPr>
  </w:style>
  <w:style w:type="character" w:customStyle="1" w:styleId="23">
    <w:name w:val="页眉 字符"/>
    <w:basedOn w:val="18"/>
    <w:link w:val="13"/>
    <w:qFormat/>
    <w:uiPriority w:val="99"/>
    <w:rPr>
      <w:sz w:val="18"/>
      <w:szCs w:val="18"/>
      <w:lang w:val="en-GB"/>
    </w:rPr>
  </w:style>
  <w:style w:type="character" w:customStyle="1" w:styleId="24">
    <w:name w:val="页脚 字符"/>
    <w:basedOn w:val="18"/>
    <w:link w:val="12"/>
    <w:qFormat/>
    <w:uiPriority w:val="99"/>
    <w:rPr>
      <w:sz w:val="18"/>
      <w:szCs w:val="18"/>
      <w:lang w:val="en-GB"/>
    </w:rPr>
  </w:style>
  <w:style w:type="character" w:customStyle="1" w:styleId="25">
    <w:name w:val="标题 字符"/>
    <w:basedOn w:val="18"/>
    <w:link w:val="17"/>
    <w:qFormat/>
    <w:uiPriority w:val="10"/>
    <w:rPr>
      <w:rFonts w:asciiTheme="majorHAnsi" w:hAnsiTheme="majorHAnsi" w:eastAsiaTheme="majorEastAsia" w:cstheme="majorBidi"/>
      <w:color w:val="262626" w:themeColor="text1" w:themeTint="D9"/>
      <w:sz w:val="96"/>
      <w:szCs w:val="96"/>
      <w14:textFill>
        <w14:solidFill>
          <w14:schemeClr w14:val="tx1">
            <w14:lumMod w14:val="85000"/>
            <w14:lumOff w14:val="15000"/>
          </w14:schemeClr>
        </w14:solidFill>
      </w14:textFill>
    </w:rPr>
  </w:style>
  <w:style w:type="paragraph" w:customStyle="1" w:styleId="26">
    <w:name w:val="List Paragraph"/>
    <w:basedOn w:val="1"/>
    <w:qFormat/>
    <w:uiPriority w:val="34"/>
    <w:pPr>
      <w:ind w:firstLine="420" w:firstLineChars="200"/>
    </w:pPr>
  </w:style>
  <w:style w:type="character" w:customStyle="1" w:styleId="27">
    <w:name w:val="标题 1 字符"/>
    <w:basedOn w:val="18"/>
    <w:link w:val="2"/>
    <w:qFormat/>
    <w:uiPriority w:val="9"/>
    <w:rPr>
      <w:rFonts w:asciiTheme="majorHAnsi" w:hAnsiTheme="majorHAnsi" w:eastAsiaTheme="majorEastAsia" w:cstheme="majorBidi"/>
      <w:color w:val="262626" w:themeColor="text1" w:themeTint="D9"/>
      <w:sz w:val="40"/>
      <w:szCs w:val="40"/>
      <w14:textFill>
        <w14:solidFill>
          <w14:schemeClr w14:val="tx1">
            <w14:lumMod w14:val="85000"/>
            <w14:lumOff w14:val="15000"/>
          </w14:schemeClr>
        </w14:solidFill>
      </w14:textFill>
    </w:rPr>
  </w:style>
  <w:style w:type="character" w:customStyle="1" w:styleId="28">
    <w:name w:val="标题 2 字符"/>
    <w:basedOn w:val="18"/>
    <w:link w:val="3"/>
    <w:qFormat/>
    <w:uiPriority w:val="9"/>
    <w:rPr>
      <w:rFonts w:asciiTheme="majorHAnsi" w:hAnsiTheme="majorHAnsi" w:eastAsiaTheme="majorEastAsia" w:cstheme="majorBidi"/>
      <w:color w:val="ED7D31" w:themeColor="accent2"/>
      <w:sz w:val="36"/>
      <w:szCs w:val="36"/>
      <w14:textFill>
        <w14:solidFill>
          <w14:schemeClr w14:val="accent2"/>
        </w14:solidFill>
      </w14:textFill>
    </w:rPr>
  </w:style>
  <w:style w:type="character" w:customStyle="1" w:styleId="29">
    <w:name w:val="标题 3 字符"/>
    <w:basedOn w:val="18"/>
    <w:link w:val="4"/>
    <w:semiHidden/>
    <w:qFormat/>
    <w:uiPriority w:val="9"/>
    <w:rPr>
      <w:rFonts w:asciiTheme="majorHAnsi" w:hAnsiTheme="majorHAnsi" w:eastAsiaTheme="majorEastAsia" w:cstheme="majorBidi"/>
      <w:color w:val="C55A11" w:themeColor="accent2" w:themeShade="BF"/>
      <w:sz w:val="32"/>
      <w:szCs w:val="32"/>
    </w:rPr>
  </w:style>
  <w:style w:type="character" w:customStyle="1" w:styleId="30">
    <w:name w:val="标题 4 字符"/>
    <w:basedOn w:val="18"/>
    <w:link w:val="5"/>
    <w:semiHidden/>
    <w:qFormat/>
    <w:uiPriority w:val="9"/>
    <w:rPr>
      <w:rFonts w:asciiTheme="majorHAnsi" w:hAnsiTheme="majorHAnsi" w:eastAsiaTheme="majorEastAsia" w:cstheme="majorBidi"/>
      <w:i/>
      <w:iCs/>
      <w:color w:val="843C0B" w:themeColor="accent2" w:themeShade="80"/>
      <w:sz w:val="28"/>
      <w:szCs w:val="28"/>
    </w:rPr>
  </w:style>
  <w:style w:type="character" w:customStyle="1" w:styleId="31">
    <w:name w:val="标题 5 字符"/>
    <w:basedOn w:val="18"/>
    <w:link w:val="6"/>
    <w:semiHidden/>
    <w:qFormat/>
    <w:uiPriority w:val="9"/>
    <w:rPr>
      <w:rFonts w:asciiTheme="majorHAnsi" w:hAnsiTheme="majorHAnsi" w:eastAsiaTheme="majorEastAsia" w:cstheme="majorBidi"/>
      <w:color w:val="C55A11" w:themeColor="accent2" w:themeShade="BF"/>
      <w:sz w:val="24"/>
      <w:szCs w:val="24"/>
    </w:rPr>
  </w:style>
  <w:style w:type="character" w:customStyle="1" w:styleId="32">
    <w:name w:val="标题 6 字符"/>
    <w:basedOn w:val="18"/>
    <w:link w:val="7"/>
    <w:semiHidden/>
    <w:qFormat/>
    <w:uiPriority w:val="9"/>
    <w:rPr>
      <w:rFonts w:asciiTheme="majorHAnsi" w:hAnsiTheme="majorHAnsi" w:eastAsiaTheme="majorEastAsia" w:cstheme="majorBidi"/>
      <w:i/>
      <w:iCs/>
      <w:color w:val="843C0B" w:themeColor="accent2" w:themeShade="80"/>
      <w:sz w:val="24"/>
      <w:szCs w:val="24"/>
    </w:rPr>
  </w:style>
  <w:style w:type="character" w:customStyle="1" w:styleId="33">
    <w:name w:val="标题 7 字符"/>
    <w:basedOn w:val="18"/>
    <w:link w:val="8"/>
    <w:semiHidden/>
    <w:qFormat/>
    <w:uiPriority w:val="9"/>
    <w:rPr>
      <w:rFonts w:asciiTheme="majorHAnsi" w:hAnsiTheme="majorHAnsi" w:eastAsiaTheme="majorEastAsia" w:cstheme="majorBidi"/>
      <w:b/>
      <w:bCs/>
      <w:color w:val="843C0B" w:themeColor="accent2" w:themeShade="80"/>
      <w:sz w:val="22"/>
      <w:szCs w:val="22"/>
    </w:rPr>
  </w:style>
  <w:style w:type="character" w:customStyle="1" w:styleId="34">
    <w:name w:val="标题 8 字符"/>
    <w:basedOn w:val="18"/>
    <w:link w:val="9"/>
    <w:semiHidden/>
    <w:qFormat/>
    <w:uiPriority w:val="9"/>
    <w:rPr>
      <w:rFonts w:asciiTheme="majorHAnsi" w:hAnsiTheme="majorHAnsi" w:eastAsiaTheme="majorEastAsia" w:cstheme="majorBidi"/>
      <w:color w:val="843C0B" w:themeColor="accent2" w:themeShade="80"/>
      <w:sz w:val="22"/>
      <w:szCs w:val="22"/>
    </w:rPr>
  </w:style>
  <w:style w:type="character" w:customStyle="1" w:styleId="35">
    <w:name w:val="标题 9 字符"/>
    <w:basedOn w:val="18"/>
    <w:link w:val="10"/>
    <w:semiHidden/>
    <w:qFormat/>
    <w:uiPriority w:val="9"/>
    <w:rPr>
      <w:rFonts w:asciiTheme="majorHAnsi" w:hAnsiTheme="majorHAnsi" w:eastAsiaTheme="majorEastAsia" w:cstheme="majorBidi"/>
      <w:i/>
      <w:iCs/>
      <w:color w:val="843C0B" w:themeColor="accent2" w:themeShade="80"/>
      <w:sz w:val="22"/>
      <w:szCs w:val="22"/>
    </w:rPr>
  </w:style>
  <w:style w:type="character" w:customStyle="1" w:styleId="36">
    <w:name w:val="副标题 字符"/>
    <w:basedOn w:val="18"/>
    <w:link w:val="15"/>
    <w:qFormat/>
    <w:uiPriority w:val="11"/>
    <w:rPr>
      <w:caps/>
      <w:color w:val="404040" w:themeColor="text1" w:themeTint="BF"/>
      <w:spacing w:val="20"/>
      <w:sz w:val="28"/>
      <w:szCs w:val="28"/>
      <w14:textFill>
        <w14:solidFill>
          <w14:schemeClr w14:val="tx1">
            <w14:lumMod w14:val="75000"/>
            <w14:lumOff w14:val="25000"/>
          </w14:schemeClr>
        </w14:solidFill>
      </w14:textFill>
    </w:rPr>
  </w:style>
  <w:style w:type="paragraph" w:customStyle="1" w:styleId="37">
    <w:name w:val="No Spacing"/>
    <w:qFormat/>
    <w:uiPriority w:val="1"/>
    <w:pPr>
      <w:spacing w:after="0" w:line="240" w:lineRule="auto"/>
    </w:pPr>
    <w:rPr>
      <w:rFonts w:asciiTheme="minorHAnsi" w:hAnsiTheme="minorHAnsi" w:eastAsiaTheme="minorEastAsia" w:cstheme="minorBidi"/>
      <w:sz w:val="21"/>
      <w:szCs w:val="21"/>
      <w:lang w:val="en-US" w:eastAsia="zh-CN" w:bidi="ar-SA"/>
    </w:rPr>
  </w:style>
  <w:style w:type="paragraph" w:customStyle="1" w:styleId="38">
    <w:name w:val="Quote"/>
    <w:basedOn w:val="1"/>
    <w:next w:val="1"/>
    <w:link w:val="39"/>
    <w:qFormat/>
    <w:uiPriority w:val="29"/>
    <w:pPr>
      <w:spacing w:before="160"/>
      <w:ind w:left="720" w:right="720"/>
      <w:jc w:val="center"/>
    </w:pPr>
    <w:rPr>
      <w:rFonts w:asciiTheme="majorHAnsi" w:hAnsiTheme="majorHAnsi" w:eastAsiaTheme="majorEastAsia" w:cstheme="majorBidi"/>
      <w:color w:val="000000" w:themeColor="text1"/>
      <w:sz w:val="24"/>
      <w:szCs w:val="24"/>
      <w14:textFill>
        <w14:solidFill>
          <w14:schemeClr w14:val="tx1"/>
        </w14:solidFill>
      </w14:textFill>
    </w:rPr>
  </w:style>
  <w:style w:type="character" w:customStyle="1" w:styleId="39">
    <w:name w:val="引用 字符"/>
    <w:basedOn w:val="18"/>
    <w:link w:val="38"/>
    <w:qFormat/>
    <w:uiPriority w:val="29"/>
    <w:rPr>
      <w:rFonts w:asciiTheme="majorHAnsi" w:hAnsiTheme="majorHAnsi" w:eastAsiaTheme="majorEastAsia" w:cstheme="majorBidi"/>
      <w:color w:val="000000" w:themeColor="text1"/>
      <w:sz w:val="24"/>
      <w:szCs w:val="24"/>
      <w14:textFill>
        <w14:solidFill>
          <w14:schemeClr w14:val="tx1"/>
        </w14:solidFill>
      </w14:textFill>
    </w:rPr>
  </w:style>
  <w:style w:type="paragraph" w:customStyle="1" w:styleId="40">
    <w:name w:val="Intense Quote"/>
    <w:basedOn w:val="1"/>
    <w:next w:val="1"/>
    <w:link w:val="41"/>
    <w:qFormat/>
    <w:uiPriority w:val="30"/>
    <w:pPr>
      <w:pBdr>
        <w:top w:val="single" w:color="ED7D31" w:themeColor="accent2" w:sz="24" w:space="4"/>
      </w:pBdr>
      <w:spacing w:before="240" w:after="240" w:line="240" w:lineRule="auto"/>
      <w:ind w:left="936" w:right="936"/>
      <w:jc w:val="center"/>
    </w:pPr>
    <w:rPr>
      <w:rFonts w:asciiTheme="majorHAnsi" w:hAnsiTheme="majorHAnsi" w:eastAsiaTheme="majorEastAsia" w:cstheme="majorBidi"/>
      <w:sz w:val="24"/>
      <w:szCs w:val="24"/>
    </w:rPr>
  </w:style>
  <w:style w:type="character" w:customStyle="1" w:styleId="41">
    <w:name w:val="明显引用 字符"/>
    <w:basedOn w:val="18"/>
    <w:link w:val="40"/>
    <w:qFormat/>
    <w:uiPriority w:val="30"/>
    <w:rPr>
      <w:rFonts w:asciiTheme="majorHAnsi" w:hAnsiTheme="majorHAnsi" w:eastAsiaTheme="majorEastAsia" w:cstheme="majorBidi"/>
      <w:sz w:val="24"/>
      <w:szCs w:val="24"/>
    </w:rPr>
  </w:style>
  <w:style w:type="character" w:customStyle="1" w:styleId="42">
    <w:name w:val="Subtle Emphasis"/>
    <w:basedOn w:val="18"/>
    <w:qFormat/>
    <w:uiPriority w:val="19"/>
    <w:rPr>
      <w:i/>
      <w:iCs/>
      <w:color w:val="595959" w:themeColor="text1" w:themeTint="A6"/>
      <w14:textFill>
        <w14:solidFill>
          <w14:schemeClr w14:val="tx1">
            <w14:lumMod w14:val="65000"/>
            <w14:lumOff w14:val="35000"/>
          </w14:schemeClr>
        </w14:solidFill>
      </w14:textFill>
    </w:rPr>
  </w:style>
  <w:style w:type="character" w:customStyle="1" w:styleId="43">
    <w:name w:val="Intense Emphasis"/>
    <w:basedOn w:val="18"/>
    <w:qFormat/>
    <w:uiPriority w:val="21"/>
    <w:rPr>
      <w:b/>
      <w:bCs/>
      <w:i/>
      <w:iCs/>
      <w:color w:val="ED7D31" w:themeColor="accent2"/>
      <w14:textFill>
        <w14:solidFill>
          <w14:schemeClr w14:val="accent2"/>
        </w14:solidFill>
      </w14:textFill>
    </w:rPr>
  </w:style>
  <w:style w:type="character" w:customStyle="1" w:styleId="44">
    <w:name w:val="Subtle Reference"/>
    <w:basedOn w:val="18"/>
    <w:qFormat/>
    <w:uiPriority w:val="31"/>
    <w:rPr>
      <w:smallCaps/>
      <w:color w:val="404040" w:themeColor="text1" w:themeTint="BF"/>
      <w:spacing w:val="0"/>
      <w:u w:val="single" w:color="7E7E7E" w:themeColor="text1" w:themeTint="80"/>
      <w14:textFill>
        <w14:solidFill>
          <w14:schemeClr w14:val="tx1">
            <w14:lumMod w14:val="75000"/>
            <w14:lumOff w14:val="25000"/>
          </w14:schemeClr>
        </w14:solidFill>
      </w14:textFill>
    </w:rPr>
  </w:style>
  <w:style w:type="character" w:customStyle="1" w:styleId="45">
    <w:name w:val="Intense Reference"/>
    <w:basedOn w:val="18"/>
    <w:qFormat/>
    <w:uiPriority w:val="32"/>
    <w:rPr>
      <w:b/>
      <w:bCs/>
      <w:smallCaps/>
      <w:color w:val="auto"/>
      <w:spacing w:val="0"/>
      <w:u w:val="single"/>
    </w:rPr>
  </w:style>
  <w:style w:type="character" w:customStyle="1" w:styleId="46">
    <w:name w:val="Book Title"/>
    <w:basedOn w:val="18"/>
    <w:qFormat/>
    <w:uiPriority w:val="33"/>
    <w:rPr>
      <w:b/>
      <w:bCs/>
      <w:smallCaps/>
      <w:spacing w:val="0"/>
    </w:rPr>
  </w:style>
  <w:style w:type="paragraph" w:customStyle="1" w:styleId="47">
    <w:name w:val="TOC Heading"/>
    <w:basedOn w:val="2"/>
    <w:next w:val="1"/>
    <w:unhideWhenUsed/>
    <w:qFormat/>
    <w:uiPriority w:val="39"/>
    <w:pPr>
      <w:outlineLvl w:val="9"/>
    </w:pPr>
  </w:style>
  <w:style w:type="character" w:customStyle="1" w:styleId="48">
    <w:name w:val="Unresolved Mention"/>
    <w:basedOn w:val="18"/>
    <w:unhideWhenUsed/>
    <w:qFormat/>
    <w:uiPriority w:val="99"/>
    <w:rPr>
      <w:color w:val="605E5C"/>
      <w:shd w:val="clear" w:color="auto" w:fill="E1DFDD"/>
    </w:rPr>
  </w:style>
  <w:style w:type="table" w:customStyle="1" w:styleId="49">
    <w:name w:val="无格式表格 41"/>
    <w:basedOn w:val="22"/>
    <w:qFormat/>
    <w:uiPriority w:val="44"/>
    <w:pPr>
      <w:spacing w:after="0" w:line="240" w:lineRule="auto"/>
    </w:pPr>
    <w:tblStylePr w:type="firstRow">
      <w:rPr>
        <w:b/>
        <w:bCs/>
      </w:rPr>
    </w:tblStylePr>
    <w:tblStylePr w:type="lastRow">
      <w:rPr>
        <w:b/>
        <w:bCs/>
      </w:r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table" w:customStyle="1" w:styleId="50">
    <w:name w:val="Plain Table 4"/>
    <w:basedOn w:val="22"/>
    <w:qFormat/>
    <w:uiPriority w:val="44"/>
    <w:pPr>
      <w:spacing w:after="0" w:line="240" w:lineRule="auto"/>
    </w:pPr>
    <w:tblStylePr w:type="firstRow">
      <w:rPr>
        <w:b/>
        <w:bCs/>
      </w:rPr>
    </w:tblStylePr>
    <w:tblStylePr w:type="lastRow">
      <w:rPr>
        <w:b/>
        <w:bCs/>
      </w:r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table" w:customStyle="1" w:styleId="51">
    <w:name w:val="Grid Table 4 Accent 2"/>
    <w:basedOn w:val="22"/>
    <w:qFormat/>
    <w:uiPriority w:val="49"/>
    <w:pPr>
      <w:spacing w:after="0" w:line="240" w:lineRule="auto"/>
    </w:pPr>
    <w:tblPr>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
    <w:tblStylePr w:type="firstRow">
      <w:rPr>
        <w:b/>
        <w:bCs/>
        <w:color w:val="FFFFFF" w:themeColor="background1"/>
        <w14:textFill>
          <w14:solidFill>
            <w14:schemeClr w14:val="bg1"/>
          </w14:solidFill>
        </w14:textFill>
      </w:r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insideV w:val="nil"/>
        </w:tcBorders>
        <w:shd w:val="clear" w:color="auto" w:fill="ED7D31" w:themeFill="accent2"/>
      </w:tcPr>
    </w:tblStylePr>
    <w:tblStylePr w:type="lastRow">
      <w:rPr>
        <w:b/>
        <w:bCs/>
      </w:rPr>
      <w:tcPr>
        <w:tcBorders>
          <w:top w:val="double" w:color="ED7D31" w:themeColor="accent2" w:sz="4" w:space="0"/>
        </w:tcBorders>
      </w:tcPr>
    </w:tblStylePr>
    <w:tblStylePr w:type="firstCol">
      <w:rPr>
        <w:b/>
        <w:bCs/>
      </w:rPr>
    </w:tblStylePr>
    <w:tblStylePr w:type="lastCol">
      <w:rPr>
        <w:b/>
        <w:bCs/>
      </w:rPr>
    </w:tblStylePr>
    <w:tblStylePr w:type="band1Vert">
      <w:tcPr>
        <w:shd w:val="clear" w:color="auto" w:fill="FBE4D5" w:themeFill="accent2" w:themeFillTint="33"/>
      </w:tcPr>
    </w:tblStylePr>
    <w:tblStylePr w:type="band1Horz">
      <w:tcPr>
        <w:shd w:val="clear" w:color="auto" w:fill="FBE4D5" w:themeFill="accent2" w:themeFillTint="33"/>
      </w:tcPr>
    </w:tblStylePr>
  </w:style>
  <w:style w:type="table" w:customStyle="1" w:styleId="52">
    <w:name w:val="Grid Table 5 Dark Accent 2"/>
    <w:basedOn w:val="22"/>
    <w:qFormat/>
    <w:uiPriority w:val="50"/>
    <w:pPr>
      <w:spacing w:after="0"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BE4D5" w:themeFill="accent2"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D7D31" w:themeFill="accent2"/>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D7D31" w:themeFill="accent2"/>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ED7D31" w:themeFill="accent2"/>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D7D31" w:themeFill="accent2"/>
      </w:tcPr>
    </w:tblStylePr>
    <w:tblStylePr w:type="band1Vert">
      <w:tcPr>
        <w:shd w:val="clear" w:color="auto" w:fill="F7CAAC" w:themeFill="accent2" w:themeFillTint="66"/>
      </w:tcPr>
    </w:tblStylePr>
    <w:tblStylePr w:type="band1Horz">
      <w:tcPr>
        <w:shd w:val="clear" w:color="auto" w:fill="F7CAAC" w:themeFill="accent2" w:themeFillTint="66"/>
      </w:tcPr>
    </w:tblStyle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11</Pages>
  <Words>8066</Words>
  <Characters>45980</Characters>
  <Lines>383</Lines>
  <Paragraphs>107</Paragraphs>
  <TotalTime>0</TotalTime>
  <ScaleCrop>false</ScaleCrop>
  <LinksUpToDate>false</LinksUpToDate>
  <CharactersWithSpaces>53939</CharactersWithSpaces>
  <Application>WPS Office_3.9.0.6159_F1E327BC-269C-435d-A152-05C5408002CA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2022-05-05T21:05:00Z</dcterms:created>
  <dc:creator>admin admin</dc:creator>
  <cp:lastModifiedBy>lijunjie</cp:lastModifiedBy>
  <dcterms:modified xsi:type="dcterms:W3CDTF">2022-05-05T23:00:41Z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dc7538be-bcd6-3be4-b1f3-3329b185610b</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7th edition</vt:lpwstr>
  </property>
  <property fmtid="{D5CDD505-2E9C-101B-9397-08002B2CF9AE}" pid="7" name="Mendeley Recent Style Id 1_1">
    <vt:lpwstr>http://www.zotero.org/styles/american-sociological-association</vt:lpwstr>
  </property>
  <property fmtid="{D5CDD505-2E9C-101B-9397-08002B2CF9AE}" pid="8" name="Mendeley Recent Style Name 1_1">
    <vt:lpwstr>American Sociological Association</vt:lpwstr>
  </property>
  <property fmtid="{D5CDD505-2E9C-101B-9397-08002B2CF9AE}" pid="9" name="Mendeley Recent Style Id 2_1">
    <vt:lpwstr>http://www.zotero.org/styles/chicago-author-date</vt:lpwstr>
  </property>
  <property fmtid="{D5CDD505-2E9C-101B-9397-08002B2CF9AE}" pid="10" name="Mendeley Recent Style Name 2_1">
    <vt:lpwstr>Chicago Manual of Style 17th edition (author-date)</vt:lpwstr>
  </property>
  <property fmtid="{D5CDD505-2E9C-101B-9397-08002B2CF9AE}" pid="11" name="Mendeley Recent Style Id 3_1">
    <vt:lpwstr>http://www.zotero.org/styles/chicago-fullnote-bibliography</vt:lpwstr>
  </property>
  <property fmtid="{D5CDD505-2E9C-101B-9397-08002B2CF9AE}" pid="12" name="Mendeley Recent Style Name 3_1">
    <vt:lpwstr>Chicago Manual of Style 17th edition (full note)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http://www.zotero.org/styles/harvard-coventry-university</vt:lpwstr>
  </property>
  <property fmtid="{D5CDD505-2E9C-101B-9397-08002B2CF9AE}" pid="16" name="Mendeley Recent Style Name 5_1">
    <vt:lpwstr>Coventry University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http://www.zotero.org/styles/harvard-university-of-leeds</vt:lpwstr>
  </property>
  <property fmtid="{D5CDD505-2E9C-101B-9397-08002B2CF9AE}" pid="22" name="Mendeley Recent Style Name 8_1">
    <vt:lpwstr>University of Leeds - Harvard</vt:lpwstr>
  </property>
  <property fmtid="{D5CDD505-2E9C-101B-9397-08002B2CF9AE}" pid="23" name="Mendeley Recent Style Id 9_1">
    <vt:lpwstr>http://www.zotero.org/styles/harvard-university-of-westminster</vt:lpwstr>
  </property>
  <property fmtid="{D5CDD505-2E9C-101B-9397-08002B2CF9AE}" pid="24" name="Mendeley Recent Style Name 9_1">
    <vt:lpwstr>University of Westminster - Harvard</vt:lpwstr>
  </property>
  <property fmtid="{D5CDD505-2E9C-101B-9397-08002B2CF9AE}" pid="25" name="KSOProductBuildVer">
    <vt:lpwstr>2052-3.9.0.6159</vt:lpwstr>
  </property>
  <property fmtid="{D5CDD505-2E9C-101B-9397-08002B2CF9AE}" pid="26" name="ICV">
    <vt:lpwstr>7BE5167438C3B6410F2D746236BBC3C5</vt:lpwstr>
  </property>
</Properties>
</file>