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C34D99" w14:textId="77777777" w:rsidR="00642A87" w:rsidRDefault="00642A87">
      <w:pPr>
        <w:spacing w:before="60" w:after="60"/>
      </w:pPr>
    </w:p>
    <w:p w14:paraId="7584A6A5" w14:textId="77777777" w:rsidR="00642A87" w:rsidRDefault="00642A87">
      <w:pPr>
        <w:spacing w:before="60" w:after="60"/>
      </w:pPr>
    </w:p>
    <w:p w14:paraId="7CF9ED64" w14:textId="1017C514" w:rsidR="00642A87" w:rsidRDefault="00000000">
      <w:pPr>
        <w:spacing w:before="480" w:after="120"/>
        <w:jc w:val="center"/>
        <w:rPr>
          <w:bCs/>
          <w:color w:val="1F5C99"/>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sidRPr="009F3EF2">
        <w:rPr>
          <w:bCs/>
          <w:color w:val="1F5C99"/>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Data Security, Governance and Compliance</w:t>
      </w:r>
    </w:p>
    <w:p w14:paraId="5384B948" w14:textId="0994F19A" w:rsidR="009F3EF2" w:rsidRDefault="009F3EF2" w:rsidP="009F3EF2">
      <w:pPr>
        <w:spacing w:before="480" w:after="120"/>
        <w:rPr>
          <w:bCs/>
          <w:color w:val="1F5C99"/>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bCs/>
          <w:color w:val="1F5C99"/>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sidR="00BF0628">
        <w:rPr>
          <w:noProof/>
        </w:rPr>
        <w:drawing>
          <wp:inline distT="0" distB="0" distL="0" distR="0" wp14:anchorId="66644A2C" wp14:editId="4E57639A">
            <wp:extent cx="2026920" cy="2255520"/>
            <wp:effectExtent l="0" t="0" r="0" b="0"/>
            <wp:docPr id="270162583"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26920" cy="2255520"/>
                    </a:xfrm>
                    <a:prstGeom prst="rect">
                      <a:avLst/>
                    </a:prstGeom>
                    <a:noFill/>
                    <a:ln>
                      <a:noFill/>
                    </a:ln>
                  </pic:spPr>
                </pic:pic>
              </a:graphicData>
            </a:graphic>
          </wp:inline>
        </w:drawing>
      </w:r>
    </w:p>
    <w:p w14:paraId="10A44EFF" w14:textId="4A26F75F" w:rsidR="00BF0628" w:rsidRDefault="00F27A9B" w:rsidP="009F3EF2">
      <w:pPr>
        <w:spacing w:before="480" w:after="120"/>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44"/>
          <w:szCs w:val="44"/>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w:t>
      </w:r>
      <w: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MUHH</w:t>
      </w:r>
      <w:r w:rsidR="00951A6E">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AMMAD AKTERUZZMAN</w:t>
      </w:r>
    </w:p>
    <w:p w14:paraId="42613640" w14:textId="04357CC4" w:rsidR="00951A6E" w:rsidRPr="00F27A9B" w:rsidRDefault="00951A6E" w:rsidP="009F3EF2">
      <w:pPr>
        <w:spacing w:before="480" w:after="120"/>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pPr>
      <w:r>
        <w:rPr>
          <w:sz w:val="32"/>
          <w:szCs w:val="32"/>
          <w14:reflection w14:blurRad="6350" w14:stA="53000" w14:stPos="0" w14:endA="300" w14:endPos="35500" w14:dist="0" w14:dir="5400000" w14:fadeDir="5400000" w14:sx="100000" w14:sy="-90000" w14:kx="0" w14:ky="0" w14:algn="bl"/>
          <w14:textOutline w14:w="0" w14:cap="flat" w14:cmpd="sng" w14:algn="ctr">
            <w14:noFill/>
            <w14:prstDash w14:val="solid"/>
            <w14:round/>
          </w14:textOutline>
          <w14:textFill>
            <w14:gradFill>
              <w14:gsLst>
                <w14:gs w14:pos="0">
                  <w14:schemeClr w14:val="accent5">
                    <w14:lumMod w14:val="50000"/>
                  </w14:schemeClr>
                </w14:gs>
                <w14:gs w14:pos="50000">
                  <w14:schemeClr w14:val="accent5"/>
                </w14:gs>
                <w14:gs w14:pos="100000">
                  <w14:schemeClr w14:val="accent5">
                    <w14:lumMod w14:val="60000"/>
                    <w14:lumOff w14:val="40000"/>
                  </w14:schemeClr>
                </w14:gs>
              </w14:gsLst>
              <w14:lin w14:ang="5400000" w14:scaled="0"/>
            </w14:gradFill>
          </w14:textFill>
        </w:rPr>
        <w:t xml:space="preserve">                                  SID -2216724</w:t>
      </w:r>
    </w:p>
    <w:p w14:paraId="129757C7" w14:textId="769D1655" w:rsidR="00642A87" w:rsidRPr="009F3EF2" w:rsidRDefault="009F3EF2" w:rsidP="009F3EF2">
      <w:pPr>
        <w:spacing w:before="140" w:after="60"/>
        <w:rPr>
          <w:color w:val="555555"/>
          <w:sz w:val="44"/>
          <w:szCs w:val="44"/>
        </w:rPr>
      </w:pPr>
      <w:r w:rsidRPr="009F3EF2">
        <w:rPr>
          <w:color w:val="555555"/>
          <w:sz w:val="44"/>
          <w:szCs w:val="44"/>
        </w:rPr>
        <w:t xml:space="preserve">                                           </w:t>
      </w:r>
    </w:p>
    <w:p w14:paraId="28695819" w14:textId="77777777" w:rsidR="008F58A1" w:rsidRDefault="008F58A1">
      <w:pPr>
        <w:spacing w:before="140" w:after="60"/>
        <w:jc w:val="center"/>
        <w:rPr>
          <w:i/>
          <w:iCs/>
          <w:color w:val="555555"/>
          <w:sz w:val="23"/>
          <w:szCs w:val="23"/>
        </w:rPr>
      </w:pPr>
    </w:p>
    <w:p w14:paraId="77408017" w14:textId="77777777" w:rsidR="00A44A0F" w:rsidRDefault="00A44A0F">
      <w:pPr>
        <w:spacing w:before="140" w:after="60"/>
        <w:jc w:val="center"/>
        <w:rPr>
          <w:i/>
          <w:iCs/>
          <w:color w:val="555555"/>
          <w:sz w:val="23"/>
          <w:szCs w:val="23"/>
        </w:rPr>
      </w:pPr>
    </w:p>
    <w:p w14:paraId="574F64AD" w14:textId="77777777" w:rsidR="00A44A0F" w:rsidRDefault="00A44A0F">
      <w:pPr>
        <w:spacing w:before="140" w:after="60"/>
        <w:jc w:val="center"/>
        <w:rPr>
          <w:i/>
          <w:iCs/>
          <w:color w:val="555555"/>
          <w:sz w:val="23"/>
          <w:szCs w:val="23"/>
        </w:rPr>
      </w:pPr>
    </w:p>
    <w:p w14:paraId="016890FE" w14:textId="40E9E8D1" w:rsidR="00A44A0F" w:rsidRPr="00F27A9B" w:rsidRDefault="00A44A0F" w:rsidP="00F27A9B">
      <w:pPr>
        <w:spacing w:before="140" w:after="60"/>
      </w:pPr>
    </w:p>
    <w:p w14:paraId="4A01A66C" w14:textId="77777777" w:rsidR="004371FA" w:rsidRDefault="004371FA">
      <w:pPr>
        <w:pStyle w:val="Heading1"/>
      </w:pPr>
    </w:p>
    <w:p w14:paraId="70E28348" w14:textId="77777777" w:rsidR="004371FA" w:rsidRDefault="004371FA">
      <w:pPr>
        <w:pStyle w:val="Heading1"/>
      </w:pPr>
    </w:p>
    <w:p w14:paraId="14FFF019" w14:textId="77777777" w:rsidR="004371FA" w:rsidRDefault="004371FA">
      <w:pPr>
        <w:pStyle w:val="Heading1"/>
      </w:pPr>
    </w:p>
    <w:p w14:paraId="658692F3" w14:textId="77777777" w:rsidR="004371FA" w:rsidRDefault="004371FA">
      <w:pPr>
        <w:pStyle w:val="Heading1"/>
      </w:pPr>
    </w:p>
    <w:p w14:paraId="4F80CD05" w14:textId="77777777" w:rsidR="004371FA" w:rsidRDefault="004371FA">
      <w:pPr>
        <w:pStyle w:val="Heading1"/>
      </w:pPr>
    </w:p>
    <w:p w14:paraId="30954A1C" w14:textId="16895D92" w:rsidR="00AE53A8" w:rsidRPr="00765EE0" w:rsidRDefault="0083689A">
      <w:pPr>
        <w:pStyle w:val="Heading1"/>
      </w:pPr>
      <w:r w:rsidRPr="0083689A">
        <w:lastRenderedPageBreak/>
        <w:t xml:space="preserve">Table of contact </w:t>
      </w:r>
    </w:p>
    <w:p w14:paraId="6878B763" w14:textId="5FCB9D18" w:rsidR="0083689A" w:rsidRDefault="00B87DAF">
      <w:pPr>
        <w:pStyle w:val="Heading1"/>
        <w:rPr>
          <w:b w:val="0"/>
          <w:bCs w:val="0"/>
          <w:color w:val="000000" w:themeColor="text1"/>
          <w:sz w:val="28"/>
          <w:szCs w:val="28"/>
        </w:rPr>
      </w:pPr>
      <w:r>
        <w:rPr>
          <w:b w:val="0"/>
          <w:bCs w:val="0"/>
          <w:color w:val="000000" w:themeColor="text1"/>
          <w:sz w:val="28"/>
          <w:szCs w:val="28"/>
        </w:rPr>
        <w:t xml:space="preserve">1. </w:t>
      </w:r>
      <w:r w:rsidR="00C06601">
        <w:rPr>
          <w:b w:val="0"/>
          <w:bCs w:val="0"/>
          <w:color w:val="000000" w:themeColor="text1"/>
          <w:sz w:val="28"/>
          <w:szCs w:val="28"/>
        </w:rPr>
        <w:t>Introduction</w:t>
      </w:r>
      <w:r w:rsidR="00C810E8">
        <w:rPr>
          <w:b w:val="0"/>
          <w:bCs w:val="0"/>
          <w:color w:val="000000" w:themeColor="text1"/>
          <w:sz w:val="28"/>
          <w:szCs w:val="28"/>
        </w:rPr>
        <w:t>……………………………………………………….</w:t>
      </w:r>
      <w:r w:rsidR="00526312">
        <w:rPr>
          <w:b w:val="0"/>
          <w:bCs w:val="0"/>
          <w:color w:val="000000" w:themeColor="text1"/>
          <w:sz w:val="28"/>
          <w:szCs w:val="28"/>
        </w:rPr>
        <w:t>3</w:t>
      </w:r>
    </w:p>
    <w:p w14:paraId="082C61DE" w14:textId="67EF07E1" w:rsidR="00E82562" w:rsidRDefault="00B87DAF">
      <w:pPr>
        <w:pStyle w:val="Heading1"/>
        <w:rPr>
          <w:b w:val="0"/>
          <w:bCs w:val="0"/>
          <w:color w:val="000000" w:themeColor="text1"/>
          <w:sz w:val="28"/>
          <w:szCs w:val="28"/>
        </w:rPr>
      </w:pPr>
      <w:r>
        <w:rPr>
          <w:b w:val="0"/>
          <w:bCs w:val="0"/>
          <w:color w:val="000000" w:themeColor="text1"/>
          <w:sz w:val="28"/>
          <w:szCs w:val="28"/>
        </w:rPr>
        <w:t xml:space="preserve">2. </w:t>
      </w:r>
      <w:r w:rsidR="00E82562">
        <w:rPr>
          <w:b w:val="0"/>
          <w:bCs w:val="0"/>
          <w:color w:val="000000" w:themeColor="text1"/>
          <w:sz w:val="28"/>
          <w:szCs w:val="28"/>
        </w:rPr>
        <w:t xml:space="preserve">Research into security </w:t>
      </w:r>
      <w:r w:rsidR="00EB2545">
        <w:rPr>
          <w:b w:val="0"/>
          <w:bCs w:val="0"/>
          <w:color w:val="000000" w:themeColor="text1"/>
          <w:sz w:val="28"/>
          <w:szCs w:val="28"/>
        </w:rPr>
        <w:t>framework</w:t>
      </w:r>
      <w:r w:rsidR="00E82562">
        <w:rPr>
          <w:b w:val="0"/>
          <w:bCs w:val="0"/>
          <w:color w:val="000000" w:themeColor="text1"/>
          <w:sz w:val="28"/>
          <w:szCs w:val="28"/>
        </w:rPr>
        <w:t xml:space="preserve"> and model</w:t>
      </w:r>
      <w:r w:rsidR="00EB2545">
        <w:rPr>
          <w:b w:val="0"/>
          <w:bCs w:val="0"/>
          <w:color w:val="000000" w:themeColor="text1"/>
          <w:sz w:val="28"/>
          <w:szCs w:val="28"/>
        </w:rPr>
        <w:t>s</w:t>
      </w:r>
      <w:r w:rsidR="00E82562">
        <w:rPr>
          <w:b w:val="0"/>
          <w:bCs w:val="0"/>
          <w:color w:val="000000" w:themeColor="text1"/>
          <w:sz w:val="28"/>
          <w:szCs w:val="28"/>
        </w:rPr>
        <w:t>……………</w:t>
      </w:r>
      <w:proofErr w:type="gramStart"/>
      <w:r w:rsidR="00E82562">
        <w:rPr>
          <w:b w:val="0"/>
          <w:bCs w:val="0"/>
          <w:color w:val="000000" w:themeColor="text1"/>
          <w:sz w:val="28"/>
          <w:szCs w:val="28"/>
        </w:rPr>
        <w:t>…..</w:t>
      </w:r>
      <w:proofErr w:type="gramEnd"/>
      <w:r w:rsidR="00E82562">
        <w:rPr>
          <w:b w:val="0"/>
          <w:bCs w:val="0"/>
          <w:color w:val="000000" w:themeColor="text1"/>
          <w:sz w:val="28"/>
          <w:szCs w:val="28"/>
        </w:rPr>
        <w:t>4</w:t>
      </w:r>
    </w:p>
    <w:p w14:paraId="15006FFF" w14:textId="77C4782C" w:rsidR="006106E1" w:rsidRDefault="006106E1">
      <w:pPr>
        <w:pStyle w:val="Heading1"/>
        <w:rPr>
          <w:b w:val="0"/>
          <w:bCs w:val="0"/>
          <w:color w:val="000000" w:themeColor="text1"/>
          <w:sz w:val="28"/>
          <w:szCs w:val="28"/>
        </w:rPr>
      </w:pPr>
      <w:r>
        <w:rPr>
          <w:b w:val="0"/>
          <w:bCs w:val="0"/>
          <w:color w:val="000000" w:themeColor="text1"/>
          <w:sz w:val="28"/>
          <w:szCs w:val="28"/>
        </w:rPr>
        <w:t xml:space="preserve">        Information technology </w:t>
      </w:r>
      <w:r w:rsidR="00B87DAF">
        <w:rPr>
          <w:b w:val="0"/>
          <w:bCs w:val="0"/>
          <w:color w:val="000000" w:themeColor="text1"/>
          <w:sz w:val="28"/>
          <w:szCs w:val="28"/>
        </w:rPr>
        <w:t>infrastructure Library’s ……………5</w:t>
      </w:r>
    </w:p>
    <w:p w14:paraId="766EA0D6" w14:textId="5BA51E95" w:rsidR="00B87DAF" w:rsidRDefault="00B87DAF">
      <w:pPr>
        <w:pStyle w:val="Heading1"/>
        <w:rPr>
          <w:b w:val="0"/>
          <w:bCs w:val="0"/>
          <w:color w:val="000000" w:themeColor="text1"/>
          <w:sz w:val="28"/>
          <w:szCs w:val="28"/>
        </w:rPr>
      </w:pPr>
      <w:r w:rsidRPr="00735BEA">
        <w:rPr>
          <w:b w:val="0"/>
          <w:bCs w:val="0"/>
          <w:color w:val="000000" w:themeColor="text1"/>
          <w:sz w:val="28"/>
          <w:szCs w:val="28"/>
        </w:rPr>
        <w:t xml:space="preserve">      </w:t>
      </w:r>
      <w:r w:rsidR="00735BEA">
        <w:rPr>
          <w:b w:val="0"/>
          <w:bCs w:val="0"/>
          <w:color w:val="000000" w:themeColor="text1"/>
          <w:sz w:val="28"/>
          <w:szCs w:val="28"/>
        </w:rPr>
        <w:t xml:space="preserve">  </w:t>
      </w:r>
      <w:r w:rsidRPr="00735BEA">
        <w:rPr>
          <w:b w:val="0"/>
          <w:bCs w:val="0"/>
          <w:color w:val="000000" w:themeColor="text1"/>
          <w:sz w:val="28"/>
          <w:szCs w:val="28"/>
        </w:rPr>
        <w:t xml:space="preserve"> </w:t>
      </w:r>
      <w:r w:rsidR="00735BEA" w:rsidRPr="00735BEA">
        <w:rPr>
          <w:b w:val="0"/>
          <w:bCs w:val="0"/>
          <w:color w:val="000000" w:themeColor="text1"/>
          <w:sz w:val="28"/>
          <w:szCs w:val="28"/>
        </w:rPr>
        <w:t>ISO/IEC 27001 and the ISO 27000 Family</w:t>
      </w:r>
      <w:r w:rsidRPr="00735BEA">
        <w:rPr>
          <w:b w:val="0"/>
          <w:bCs w:val="0"/>
          <w:color w:val="000000" w:themeColor="text1"/>
          <w:sz w:val="28"/>
          <w:szCs w:val="28"/>
        </w:rPr>
        <w:t xml:space="preserve"> </w:t>
      </w:r>
      <w:r w:rsidR="00735BEA">
        <w:rPr>
          <w:b w:val="0"/>
          <w:bCs w:val="0"/>
          <w:color w:val="000000" w:themeColor="text1"/>
          <w:sz w:val="28"/>
          <w:szCs w:val="28"/>
        </w:rPr>
        <w:t>……………</w:t>
      </w:r>
      <w:proofErr w:type="gramStart"/>
      <w:r w:rsidR="00735BEA">
        <w:rPr>
          <w:b w:val="0"/>
          <w:bCs w:val="0"/>
          <w:color w:val="000000" w:themeColor="text1"/>
          <w:sz w:val="28"/>
          <w:szCs w:val="28"/>
        </w:rPr>
        <w:t>…..</w:t>
      </w:r>
      <w:proofErr w:type="gramEnd"/>
      <w:r w:rsidR="00F90FD6">
        <w:rPr>
          <w:b w:val="0"/>
          <w:bCs w:val="0"/>
          <w:color w:val="000000" w:themeColor="text1"/>
          <w:sz w:val="28"/>
          <w:szCs w:val="28"/>
        </w:rPr>
        <w:t>6</w:t>
      </w:r>
    </w:p>
    <w:p w14:paraId="78DE27AE" w14:textId="2678F434" w:rsidR="00FC4969" w:rsidRDefault="00FC4969" w:rsidP="00FC4969">
      <w:pPr>
        <w:pStyle w:val="Heading2"/>
        <w:rPr>
          <w:b w:val="0"/>
          <w:bCs w:val="0"/>
          <w:color w:val="000000" w:themeColor="text1"/>
          <w:sz w:val="28"/>
          <w:szCs w:val="28"/>
        </w:rPr>
      </w:pPr>
      <w:r>
        <w:rPr>
          <w:b w:val="0"/>
          <w:bCs w:val="0"/>
          <w:color w:val="000000" w:themeColor="text1"/>
          <w:sz w:val="28"/>
          <w:szCs w:val="28"/>
        </w:rPr>
        <w:t xml:space="preserve">       </w:t>
      </w:r>
      <w:r w:rsidR="00767497">
        <w:rPr>
          <w:b w:val="0"/>
          <w:bCs w:val="0"/>
          <w:color w:val="000000" w:themeColor="text1"/>
          <w:sz w:val="28"/>
          <w:szCs w:val="28"/>
        </w:rPr>
        <w:t xml:space="preserve"> </w:t>
      </w:r>
      <w:r>
        <w:rPr>
          <w:b w:val="0"/>
          <w:bCs w:val="0"/>
          <w:color w:val="000000" w:themeColor="text1"/>
          <w:sz w:val="28"/>
          <w:szCs w:val="28"/>
        </w:rPr>
        <w:t xml:space="preserve"> </w:t>
      </w:r>
      <w:r w:rsidRPr="00FC4969">
        <w:rPr>
          <w:b w:val="0"/>
          <w:bCs w:val="0"/>
          <w:color w:val="000000" w:themeColor="text1"/>
          <w:sz w:val="28"/>
          <w:szCs w:val="28"/>
        </w:rPr>
        <w:t xml:space="preserve">NIST Cybersecurity Framework (CSF </w:t>
      </w:r>
      <w:proofErr w:type="gramStart"/>
      <w:r w:rsidRPr="00FC4969">
        <w:rPr>
          <w:b w:val="0"/>
          <w:bCs w:val="0"/>
          <w:color w:val="000000" w:themeColor="text1"/>
          <w:sz w:val="28"/>
          <w:szCs w:val="28"/>
        </w:rPr>
        <w:t>2.0)</w:t>
      </w:r>
      <w:r w:rsidR="00954906">
        <w:rPr>
          <w:b w:val="0"/>
          <w:bCs w:val="0"/>
          <w:color w:val="000000" w:themeColor="text1"/>
          <w:sz w:val="28"/>
          <w:szCs w:val="28"/>
        </w:rPr>
        <w:t>…</w:t>
      </w:r>
      <w:proofErr w:type="gramEnd"/>
      <w:r w:rsidR="00954906">
        <w:rPr>
          <w:b w:val="0"/>
          <w:bCs w:val="0"/>
          <w:color w:val="000000" w:themeColor="text1"/>
          <w:sz w:val="28"/>
          <w:szCs w:val="28"/>
        </w:rPr>
        <w:t>………………</w:t>
      </w:r>
      <w:r w:rsidR="00DA009B">
        <w:rPr>
          <w:b w:val="0"/>
          <w:bCs w:val="0"/>
          <w:color w:val="000000" w:themeColor="text1"/>
          <w:sz w:val="28"/>
          <w:szCs w:val="28"/>
        </w:rPr>
        <w:t>7</w:t>
      </w:r>
    </w:p>
    <w:p w14:paraId="040F4A0A" w14:textId="0AC0B1CA" w:rsidR="00B85795" w:rsidRDefault="00B85795" w:rsidP="00FC4969">
      <w:pPr>
        <w:pStyle w:val="Heading2"/>
        <w:rPr>
          <w:b w:val="0"/>
          <w:bCs w:val="0"/>
          <w:color w:val="000000" w:themeColor="text1"/>
          <w:sz w:val="28"/>
          <w:szCs w:val="28"/>
        </w:rPr>
      </w:pPr>
      <w:r>
        <w:rPr>
          <w:b w:val="0"/>
          <w:bCs w:val="0"/>
          <w:color w:val="000000" w:themeColor="text1"/>
          <w:sz w:val="28"/>
          <w:szCs w:val="28"/>
        </w:rPr>
        <w:t xml:space="preserve">         </w:t>
      </w:r>
      <w:r w:rsidRPr="00B85795">
        <w:rPr>
          <w:b w:val="0"/>
          <w:bCs w:val="0"/>
          <w:color w:val="000000" w:themeColor="text1"/>
          <w:sz w:val="28"/>
          <w:szCs w:val="28"/>
        </w:rPr>
        <w:t>COBIT</w:t>
      </w:r>
      <w:r w:rsidR="005B4175">
        <w:rPr>
          <w:b w:val="0"/>
          <w:bCs w:val="0"/>
          <w:color w:val="000000" w:themeColor="text1"/>
          <w:sz w:val="28"/>
          <w:szCs w:val="28"/>
        </w:rPr>
        <w:t>………………………………………………………</w:t>
      </w:r>
      <w:proofErr w:type="gramStart"/>
      <w:r w:rsidR="005B4175">
        <w:rPr>
          <w:b w:val="0"/>
          <w:bCs w:val="0"/>
          <w:color w:val="000000" w:themeColor="text1"/>
          <w:sz w:val="28"/>
          <w:szCs w:val="28"/>
        </w:rPr>
        <w:t>…..</w:t>
      </w:r>
      <w:proofErr w:type="gramEnd"/>
      <w:r w:rsidR="00DA009B">
        <w:rPr>
          <w:b w:val="0"/>
          <w:bCs w:val="0"/>
          <w:color w:val="000000" w:themeColor="text1"/>
          <w:sz w:val="28"/>
          <w:szCs w:val="28"/>
        </w:rPr>
        <w:t>9</w:t>
      </w:r>
    </w:p>
    <w:p w14:paraId="4877EA81" w14:textId="3C7A25AA" w:rsidR="00BE2BF7" w:rsidRDefault="00971715" w:rsidP="00BE2BF7">
      <w:pPr>
        <w:pStyle w:val="Heading1"/>
        <w:rPr>
          <w:b w:val="0"/>
          <w:bCs w:val="0"/>
          <w:color w:val="000000" w:themeColor="text1"/>
          <w:sz w:val="24"/>
          <w:szCs w:val="24"/>
        </w:rPr>
      </w:pPr>
      <w:r>
        <w:rPr>
          <w:b w:val="0"/>
          <w:bCs w:val="0"/>
          <w:color w:val="000000" w:themeColor="text1"/>
          <w:sz w:val="28"/>
          <w:szCs w:val="28"/>
        </w:rPr>
        <w:t xml:space="preserve"> </w:t>
      </w:r>
      <w:r w:rsidR="00BE2BF7" w:rsidRPr="003B095D">
        <w:rPr>
          <w:b w:val="0"/>
          <w:bCs w:val="0"/>
          <w:color w:val="000000" w:themeColor="text1"/>
          <w:sz w:val="24"/>
          <w:szCs w:val="24"/>
        </w:rPr>
        <w:t>3. Proposed Security Governance and Compliance Design for FSB</w:t>
      </w:r>
      <w:r w:rsidR="003B095D">
        <w:rPr>
          <w:b w:val="0"/>
          <w:bCs w:val="0"/>
          <w:color w:val="000000" w:themeColor="text1"/>
          <w:sz w:val="24"/>
          <w:szCs w:val="24"/>
        </w:rPr>
        <w:t>……….</w:t>
      </w:r>
      <w:r w:rsidR="00E77CE9">
        <w:rPr>
          <w:b w:val="0"/>
          <w:bCs w:val="0"/>
          <w:color w:val="000000" w:themeColor="text1"/>
          <w:sz w:val="24"/>
          <w:szCs w:val="24"/>
        </w:rPr>
        <w:t>9</w:t>
      </w:r>
    </w:p>
    <w:p w14:paraId="31CEA7F0" w14:textId="2EE5983E" w:rsidR="00B20AC4" w:rsidRDefault="00B20AC4" w:rsidP="00BE2BF7">
      <w:pPr>
        <w:pStyle w:val="Heading1"/>
        <w:rPr>
          <w:b w:val="0"/>
          <w:bCs w:val="0"/>
          <w:color w:val="000000" w:themeColor="text1"/>
          <w:sz w:val="28"/>
          <w:szCs w:val="28"/>
        </w:rPr>
      </w:pPr>
      <w:r>
        <w:rPr>
          <w:b w:val="0"/>
          <w:bCs w:val="0"/>
          <w:color w:val="000000" w:themeColor="text1"/>
          <w:sz w:val="24"/>
          <w:szCs w:val="24"/>
        </w:rPr>
        <w:t xml:space="preserve">            </w:t>
      </w:r>
      <w:r w:rsidR="008E069B" w:rsidRPr="008E069B">
        <w:rPr>
          <w:b w:val="0"/>
          <w:bCs w:val="0"/>
          <w:color w:val="000000" w:themeColor="text1"/>
          <w:sz w:val="28"/>
          <w:szCs w:val="28"/>
        </w:rPr>
        <w:t>Design Philosophy and Architecture</w:t>
      </w:r>
      <w:r w:rsidR="008E069B">
        <w:rPr>
          <w:b w:val="0"/>
          <w:bCs w:val="0"/>
          <w:color w:val="000000" w:themeColor="text1"/>
          <w:sz w:val="28"/>
          <w:szCs w:val="28"/>
        </w:rPr>
        <w:t>………………………</w:t>
      </w:r>
      <w:r w:rsidR="00122C7A">
        <w:rPr>
          <w:b w:val="0"/>
          <w:bCs w:val="0"/>
          <w:color w:val="000000" w:themeColor="text1"/>
          <w:sz w:val="28"/>
          <w:szCs w:val="28"/>
        </w:rPr>
        <w:t>.</w:t>
      </w:r>
      <w:r w:rsidR="00F55F14">
        <w:rPr>
          <w:b w:val="0"/>
          <w:bCs w:val="0"/>
          <w:color w:val="000000" w:themeColor="text1"/>
          <w:sz w:val="28"/>
          <w:szCs w:val="28"/>
        </w:rPr>
        <w:t>10</w:t>
      </w:r>
    </w:p>
    <w:p w14:paraId="3A57DF42" w14:textId="695E7E72" w:rsidR="00122C7A" w:rsidRDefault="008C6E82" w:rsidP="00BE2BF7">
      <w:pPr>
        <w:pStyle w:val="Heading1"/>
        <w:rPr>
          <w:b w:val="0"/>
          <w:bCs w:val="0"/>
          <w:color w:val="000000" w:themeColor="text1"/>
          <w:sz w:val="24"/>
          <w:szCs w:val="24"/>
        </w:rPr>
      </w:pPr>
      <w:r>
        <w:rPr>
          <w:b w:val="0"/>
          <w:bCs w:val="0"/>
          <w:color w:val="000000" w:themeColor="text1"/>
          <w:sz w:val="28"/>
          <w:szCs w:val="28"/>
        </w:rPr>
        <w:t xml:space="preserve">          </w:t>
      </w:r>
      <w:r w:rsidRPr="008C6E82">
        <w:rPr>
          <w:b w:val="0"/>
          <w:bCs w:val="0"/>
          <w:color w:val="000000" w:themeColor="text1"/>
          <w:sz w:val="24"/>
          <w:szCs w:val="24"/>
        </w:rPr>
        <w:t>Governance, Strategic Planning, and Policy</w:t>
      </w:r>
      <w:r>
        <w:rPr>
          <w:b w:val="0"/>
          <w:bCs w:val="0"/>
          <w:color w:val="000000" w:themeColor="text1"/>
          <w:sz w:val="24"/>
          <w:szCs w:val="24"/>
        </w:rPr>
        <w:t>…………………………</w:t>
      </w:r>
      <w:r w:rsidR="00F55F14">
        <w:rPr>
          <w:b w:val="0"/>
          <w:bCs w:val="0"/>
          <w:color w:val="000000" w:themeColor="text1"/>
          <w:sz w:val="24"/>
          <w:szCs w:val="24"/>
        </w:rPr>
        <w:t>10</w:t>
      </w:r>
    </w:p>
    <w:p w14:paraId="41A5EB09" w14:textId="68060081" w:rsidR="006D6F50" w:rsidRDefault="006D6F50" w:rsidP="00BE2BF7">
      <w:pPr>
        <w:pStyle w:val="Heading1"/>
        <w:rPr>
          <w:b w:val="0"/>
          <w:bCs w:val="0"/>
          <w:color w:val="000000" w:themeColor="text1"/>
          <w:sz w:val="24"/>
          <w:szCs w:val="24"/>
        </w:rPr>
      </w:pPr>
      <w:r>
        <w:rPr>
          <w:b w:val="0"/>
          <w:bCs w:val="0"/>
          <w:color w:val="000000" w:themeColor="text1"/>
          <w:sz w:val="24"/>
          <w:szCs w:val="24"/>
        </w:rPr>
        <w:t xml:space="preserve">            </w:t>
      </w:r>
      <w:r w:rsidRPr="006D6F50">
        <w:rPr>
          <w:b w:val="0"/>
          <w:bCs w:val="0"/>
          <w:color w:val="000000" w:themeColor="text1"/>
          <w:sz w:val="24"/>
          <w:szCs w:val="24"/>
        </w:rPr>
        <w:t>Risk Management</w:t>
      </w:r>
      <w:r>
        <w:rPr>
          <w:b w:val="0"/>
          <w:bCs w:val="0"/>
          <w:color w:val="000000" w:themeColor="text1"/>
          <w:sz w:val="24"/>
          <w:szCs w:val="24"/>
        </w:rPr>
        <w:t>……………………………………………………….</w:t>
      </w:r>
      <w:r w:rsidR="00143F3D">
        <w:rPr>
          <w:b w:val="0"/>
          <w:bCs w:val="0"/>
          <w:color w:val="000000" w:themeColor="text1"/>
          <w:sz w:val="24"/>
          <w:szCs w:val="24"/>
        </w:rPr>
        <w:t>1</w:t>
      </w:r>
      <w:r w:rsidR="00F55F14">
        <w:rPr>
          <w:b w:val="0"/>
          <w:bCs w:val="0"/>
          <w:color w:val="000000" w:themeColor="text1"/>
          <w:sz w:val="24"/>
          <w:szCs w:val="24"/>
        </w:rPr>
        <w:t>4</w:t>
      </w:r>
    </w:p>
    <w:p w14:paraId="75C94E8C" w14:textId="75E8725C" w:rsidR="00933A13" w:rsidRDefault="00933A13" w:rsidP="00BE2BF7">
      <w:pPr>
        <w:pStyle w:val="Heading1"/>
        <w:rPr>
          <w:b w:val="0"/>
          <w:bCs w:val="0"/>
          <w:color w:val="000000" w:themeColor="text1"/>
          <w:sz w:val="24"/>
          <w:szCs w:val="24"/>
        </w:rPr>
      </w:pPr>
      <w:r>
        <w:rPr>
          <w:b w:val="0"/>
          <w:bCs w:val="0"/>
          <w:color w:val="000000" w:themeColor="text1"/>
          <w:sz w:val="24"/>
          <w:szCs w:val="24"/>
        </w:rPr>
        <w:t xml:space="preserve">            </w:t>
      </w:r>
      <w:r w:rsidRPr="008C01D5">
        <w:rPr>
          <w:b w:val="0"/>
          <w:bCs w:val="0"/>
          <w:color w:val="000000" w:themeColor="text1"/>
          <w:sz w:val="24"/>
          <w:szCs w:val="24"/>
        </w:rPr>
        <w:t>Protection Mechanisms and Technical Controls</w:t>
      </w:r>
      <w:r w:rsidR="008C01D5">
        <w:rPr>
          <w:b w:val="0"/>
          <w:bCs w:val="0"/>
          <w:color w:val="000000" w:themeColor="text1"/>
          <w:sz w:val="24"/>
          <w:szCs w:val="24"/>
        </w:rPr>
        <w:t>…………………</w:t>
      </w:r>
      <w:proofErr w:type="gramStart"/>
      <w:r w:rsidR="008C01D5">
        <w:rPr>
          <w:b w:val="0"/>
          <w:bCs w:val="0"/>
          <w:color w:val="000000" w:themeColor="text1"/>
          <w:sz w:val="24"/>
          <w:szCs w:val="24"/>
        </w:rPr>
        <w:t>…..</w:t>
      </w:r>
      <w:proofErr w:type="gramEnd"/>
      <w:r w:rsidR="007D32C8">
        <w:rPr>
          <w:b w:val="0"/>
          <w:bCs w:val="0"/>
          <w:color w:val="000000" w:themeColor="text1"/>
          <w:sz w:val="24"/>
          <w:szCs w:val="24"/>
        </w:rPr>
        <w:t>1</w:t>
      </w:r>
      <w:r w:rsidR="00402D19">
        <w:rPr>
          <w:b w:val="0"/>
          <w:bCs w:val="0"/>
          <w:color w:val="000000" w:themeColor="text1"/>
          <w:sz w:val="24"/>
          <w:szCs w:val="24"/>
        </w:rPr>
        <w:t>6</w:t>
      </w:r>
    </w:p>
    <w:p w14:paraId="3BCC8268" w14:textId="2C052B6D" w:rsidR="00DC56CC" w:rsidRDefault="00DC56CC" w:rsidP="00BE2BF7">
      <w:pPr>
        <w:pStyle w:val="Heading1"/>
        <w:rPr>
          <w:b w:val="0"/>
          <w:bCs w:val="0"/>
          <w:color w:val="000000" w:themeColor="text1"/>
          <w:sz w:val="24"/>
          <w:szCs w:val="24"/>
        </w:rPr>
      </w:pPr>
      <w:r>
        <w:rPr>
          <w:b w:val="0"/>
          <w:bCs w:val="0"/>
          <w:color w:val="000000" w:themeColor="text1"/>
          <w:sz w:val="24"/>
          <w:szCs w:val="24"/>
        </w:rPr>
        <w:t xml:space="preserve">         </w:t>
      </w:r>
      <w:r w:rsidR="00A9170F">
        <w:rPr>
          <w:b w:val="0"/>
          <w:bCs w:val="0"/>
          <w:color w:val="000000" w:themeColor="text1"/>
          <w:sz w:val="24"/>
          <w:szCs w:val="24"/>
        </w:rPr>
        <w:t xml:space="preserve">  </w:t>
      </w:r>
      <w:r w:rsidR="00A9170F" w:rsidRPr="00A9170F">
        <w:rPr>
          <w:b w:val="0"/>
          <w:bCs w:val="0"/>
          <w:color w:val="000000" w:themeColor="text1"/>
          <w:sz w:val="24"/>
          <w:szCs w:val="24"/>
        </w:rPr>
        <w:t>Compliance -Laws, Ethics, and Multi-Jurisdictional Obligations</w:t>
      </w:r>
      <w:r w:rsidR="00A9170F">
        <w:rPr>
          <w:b w:val="0"/>
          <w:bCs w:val="0"/>
          <w:color w:val="000000" w:themeColor="text1"/>
          <w:sz w:val="24"/>
          <w:szCs w:val="24"/>
        </w:rPr>
        <w:t>…</w:t>
      </w:r>
      <w:proofErr w:type="gramStart"/>
      <w:r w:rsidR="00A9170F">
        <w:rPr>
          <w:b w:val="0"/>
          <w:bCs w:val="0"/>
          <w:color w:val="000000" w:themeColor="text1"/>
          <w:sz w:val="24"/>
          <w:szCs w:val="24"/>
        </w:rPr>
        <w:t>…..</w:t>
      </w:r>
      <w:proofErr w:type="gramEnd"/>
      <w:r w:rsidR="00C06158">
        <w:rPr>
          <w:b w:val="0"/>
          <w:bCs w:val="0"/>
          <w:color w:val="000000" w:themeColor="text1"/>
          <w:sz w:val="24"/>
          <w:szCs w:val="24"/>
        </w:rPr>
        <w:t>1</w:t>
      </w:r>
      <w:r w:rsidR="00402D19">
        <w:rPr>
          <w:b w:val="0"/>
          <w:bCs w:val="0"/>
          <w:color w:val="000000" w:themeColor="text1"/>
          <w:sz w:val="24"/>
          <w:szCs w:val="24"/>
        </w:rPr>
        <w:t>7</w:t>
      </w:r>
    </w:p>
    <w:p w14:paraId="3DFB57A6" w14:textId="3EBBF927" w:rsidR="00E24174" w:rsidRDefault="00E24174" w:rsidP="00BE2BF7">
      <w:pPr>
        <w:pStyle w:val="Heading1"/>
        <w:rPr>
          <w:b w:val="0"/>
          <w:bCs w:val="0"/>
          <w:color w:val="000000" w:themeColor="text1"/>
          <w:sz w:val="24"/>
          <w:szCs w:val="24"/>
        </w:rPr>
      </w:pPr>
      <w:r>
        <w:rPr>
          <w:b w:val="0"/>
          <w:bCs w:val="0"/>
          <w:color w:val="000000" w:themeColor="text1"/>
          <w:sz w:val="24"/>
          <w:szCs w:val="24"/>
        </w:rPr>
        <w:t xml:space="preserve">           </w:t>
      </w:r>
      <w:r w:rsidRPr="00E24174">
        <w:rPr>
          <w:b w:val="0"/>
          <w:bCs w:val="0"/>
          <w:color w:val="000000" w:themeColor="text1"/>
          <w:sz w:val="24"/>
          <w:szCs w:val="24"/>
        </w:rPr>
        <w:t>Contingency Planning and Service Level Agreements</w:t>
      </w:r>
      <w:r>
        <w:rPr>
          <w:b w:val="0"/>
          <w:bCs w:val="0"/>
          <w:color w:val="000000" w:themeColor="text1"/>
          <w:sz w:val="24"/>
          <w:szCs w:val="24"/>
        </w:rPr>
        <w:t>……………….</w:t>
      </w:r>
      <w:r w:rsidR="007D5220">
        <w:rPr>
          <w:b w:val="0"/>
          <w:bCs w:val="0"/>
          <w:color w:val="000000" w:themeColor="text1"/>
          <w:sz w:val="24"/>
          <w:szCs w:val="24"/>
        </w:rPr>
        <w:t>1</w:t>
      </w:r>
      <w:r w:rsidR="00402D19">
        <w:rPr>
          <w:b w:val="0"/>
          <w:bCs w:val="0"/>
          <w:color w:val="000000" w:themeColor="text1"/>
          <w:sz w:val="24"/>
          <w:szCs w:val="24"/>
        </w:rPr>
        <w:t>8</w:t>
      </w:r>
    </w:p>
    <w:p w14:paraId="087180B0" w14:textId="471E18F1" w:rsidR="00A9170F" w:rsidRDefault="003464BF" w:rsidP="00BE2BF7">
      <w:pPr>
        <w:pStyle w:val="Heading1"/>
        <w:rPr>
          <w:b w:val="0"/>
          <w:bCs w:val="0"/>
          <w:color w:val="000000" w:themeColor="text1"/>
          <w:sz w:val="22"/>
          <w:szCs w:val="22"/>
        </w:rPr>
      </w:pPr>
      <w:r>
        <w:rPr>
          <w:b w:val="0"/>
          <w:bCs w:val="0"/>
          <w:color w:val="000000" w:themeColor="text1"/>
          <w:sz w:val="24"/>
          <w:szCs w:val="24"/>
        </w:rPr>
        <w:t xml:space="preserve">  </w:t>
      </w:r>
      <w:r w:rsidR="0017270A" w:rsidRPr="006144D7">
        <w:rPr>
          <w:b w:val="0"/>
          <w:bCs w:val="0"/>
          <w:color w:val="000000" w:themeColor="text1"/>
          <w:sz w:val="24"/>
          <w:szCs w:val="24"/>
        </w:rPr>
        <w:t>4.</w:t>
      </w:r>
      <w:r w:rsidR="0017270A">
        <w:rPr>
          <w:b w:val="0"/>
          <w:bCs w:val="0"/>
          <w:sz w:val="24"/>
          <w:szCs w:val="24"/>
        </w:rPr>
        <w:t xml:space="preserve"> </w:t>
      </w:r>
      <w:r w:rsidR="00546A6A" w:rsidRPr="00546A6A">
        <w:rPr>
          <w:b w:val="0"/>
          <w:bCs w:val="0"/>
          <w:color w:val="000000" w:themeColor="text1"/>
          <w:sz w:val="22"/>
          <w:szCs w:val="22"/>
        </w:rPr>
        <w:t xml:space="preserve">Critical Discussion: </w:t>
      </w:r>
      <w:r w:rsidR="0017270A" w:rsidRPr="00546A6A">
        <w:rPr>
          <w:b w:val="0"/>
          <w:bCs w:val="0"/>
          <w:color w:val="000000" w:themeColor="text1"/>
          <w:sz w:val="22"/>
          <w:szCs w:val="22"/>
        </w:rPr>
        <w:t>Why Regulations and Standards Must Keep Evolving</w:t>
      </w:r>
    </w:p>
    <w:p w14:paraId="4D79E32E" w14:textId="64228900" w:rsidR="003E42AB" w:rsidRDefault="003F5143" w:rsidP="003E42AB">
      <w:pPr>
        <w:pStyle w:val="Heading2"/>
        <w:rPr>
          <w:b w:val="0"/>
          <w:bCs w:val="0"/>
          <w:color w:val="000000" w:themeColor="text1"/>
          <w:sz w:val="24"/>
          <w:szCs w:val="24"/>
        </w:rPr>
      </w:pPr>
      <w:r w:rsidRPr="003E42AB">
        <w:rPr>
          <w:b w:val="0"/>
          <w:bCs w:val="0"/>
          <w:color w:val="000000" w:themeColor="text1"/>
          <w:sz w:val="24"/>
          <w:szCs w:val="24"/>
        </w:rPr>
        <w:t xml:space="preserve">             </w:t>
      </w:r>
      <w:r w:rsidR="003E42AB" w:rsidRPr="003E42AB">
        <w:rPr>
          <w:b w:val="0"/>
          <w:bCs w:val="0"/>
          <w:color w:val="000000" w:themeColor="text1"/>
          <w:sz w:val="24"/>
          <w:szCs w:val="24"/>
        </w:rPr>
        <w:t>The Threat Landscape Is an Adversarial System</w:t>
      </w:r>
      <w:r w:rsidR="00A87E74">
        <w:rPr>
          <w:b w:val="0"/>
          <w:bCs w:val="0"/>
          <w:color w:val="000000" w:themeColor="text1"/>
          <w:sz w:val="24"/>
          <w:szCs w:val="24"/>
        </w:rPr>
        <w:t>…………………….1</w:t>
      </w:r>
      <w:r w:rsidR="00CA3025">
        <w:rPr>
          <w:b w:val="0"/>
          <w:bCs w:val="0"/>
          <w:color w:val="000000" w:themeColor="text1"/>
          <w:sz w:val="24"/>
          <w:szCs w:val="24"/>
        </w:rPr>
        <w:t>9</w:t>
      </w:r>
    </w:p>
    <w:p w14:paraId="6149C513" w14:textId="1C4AD2AB" w:rsidR="00823B1B" w:rsidRDefault="00823B1B" w:rsidP="003E42AB">
      <w:pPr>
        <w:pStyle w:val="Heading2"/>
        <w:rPr>
          <w:b w:val="0"/>
          <w:bCs w:val="0"/>
          <w:color w:val="000000" w:themeColor="text1"/>
          <w:sz w:val="24"/>
          <w:szCs w:val="24"/>
        </w:rPr>
      </w:pPr>
      <w:r>
        <w:rPr>
          <w:b w:val="0"/>
          <w:bCs w:val="0"/>
          <w:color w:val="000000" w:themeColor="text1"/>
          <w:sz w:val="24"/>
          <w:szCs w:val="24"/>
        </w:rPr>
        <w:t xml:space="preserve">             </w:t>
      </w:r>
      <w:r w:rsidRPr="00823B1B">
        <w:rPr>
          <w:b w:val="0"/>
          <w:bCs w:val="0"/>
          <w:color w:val="000000" w:themeColor="text1"/>
          <w:sz w:val="24"/>
          <w:szCs w:val="24"/>
        </w:rPr>
        <w:t>Regulatory Learning from Real-World Incidents</w:t>
      </w:r>
      <w:r w:rsidR="00381D58">
        <w:rPr>
          <w:b w:val="0"/>
          <w:bCs w:val="0"/>
          <w:color w:val="000000" w:themeColor="text1"/>
          <w:sz w:val="24"/>
          <w:szCs w:val="24"/>
        </w:rPr>
        <w:t>………………………</w:t>
      </w:r>
      <w:r w:rsidR="00CA3025">
        <w:rPr>
          <w:b w:val="0"/>
          <w:bCs w:val="0"/>
          <w:color w:val="000000" w:themeColor="text1"/>
          <w:sz w:val="24"/>
          <w:szCs w:val="24"/>
        </w:rPr>
        <w:t>20</w:t>
      </w:r>
    </w:p>
    <w:p w14:paraId="3C7CA0CD" w14:textId="2B8583F1" w:rsidR="004D5219" w:rsidRDefault="004D5219" w:rsidP="003E42AB">
      <w:pPr>
        <w:pStyle w:val="Heading2"/>
        <w:rPr>
          <w:b w:val="0"/>
          <w:bCs w:val="0"/>
          <w:color w:val="000000" w:themeColor="text1"/>
          <w:sz w:val="24"/>
          <w:szCs w:val="24"/>
        </w:rPr>
      </w:pPr>
      <w:r>
        <w:rPr>
          <w:b w:val="0"/>
          <w:bCs w:val="0"/>
          <w:color w:val="000000" w:themeColor="text1"/>
          <w:sz w:val="24"/>
          <w:szCs w:val="24"/>
        </w:rPr>
        <w:t xml:space="preserve">             </w:t>
      </w:r>
      <w:r w:rsidRPr="007D412C">
        <w:rPr>
          <w:b w:val="0"/>
          <w:bCs w:val="0"/>
          <w:color w:val="000000" w:themeColor="text1"/>
          <w:sz w:val="24"/>
          <w:szCs w:val="24"/>
        </w:rPr>
        <w:t>Technology Creates New Risks That Standards Must Address</w:t>
      </w:r>
      <w:r w:rsidR="00F05FF3">
        <w:rPr>
          <w:b w:val="0"/>
          <w:bCs w:val="0"/>
          <w:color w:val="000000" w:themeColor="text1"/>
          <w:sz w:val="24"/>
          <w:szCs w:val="24"/>
        </w:rPr>
        <w:t>…….</w:t>
      </w:r>
      <w:r w:rsidR="00CA3025">
        <w:rPr>
          <w:b w:val="0"/>
          <w:bCs w:val="0"/>
          <w:color w:val="000000" w:themeColor="text1"/>
          <w:sz w:val="24"/>
          <w:szCs w:val="24"/>
        </w:rPr>
        <w:t>21</w:t>
      </w:r>
    </w:p>
    <w:p w14:paraId="3EEC72C4" w14:textId="35E472DA" w:rsidR="00F80382" w:rsidRDefault="00F80382" w:rsidP="003E42AB">
      <w:pPr>
        <w:pStyle w:val="Heading2"/>
        <w:rPr>
          <w:b w:val="0"/>
          <w:bCs w:val="0"/>
          <w:color w:val="000000" w:themeColor="text1"/>
          <w:sz w:val="22"/>
          <w:szCs w:val="22"/>
        </w:rPr>
      </w:pPr>
      <w:r>
        <w:rPr>
          <w:b w:val="0"/>
          <w:bCs w:val="0"/>
          <w:color w:val="000000" w:themeColor="text1"/>
          <w:sz w:val="24"/>
          <w:szCs w:val="24"/>
        </w:rPr>
        <w:t xml:space="preserve">              </w:t>
      </w:r>
      <w:r w:rsidRPr="006413C8">
        <w:rPr>
          <w:b w:val="0"/>
          <w:bCs w:val="0"/>
          <w:color w:val="000000" w:themeColor="text1"/>
          <w:sz w:val="22"/>
          <w:szCs w:val="22"/>
        </w:rPr>
        <w:t>Harmonisation, Divergence, and the Value of International Standards</w:t>
      </w:r>
      <w:r w:rsidR="006413C8">
        <w:rPr>
          <w:b w:val="0"/>
          <w:bCs w:val="0"/>
          <w:color w:val="000000" w:themeColor="text1"/>
          <w:sz w:val="22"/>
          <w:szCs w:val="22"/>
        </w:rPr>
        <w:t>……</w:t>
      </w:r>
      <w:r w:rsidR="00CA3025">
        <w:rPr>
          <w:b w:val="0"/>
          <w:bCs w:val="0"/>
          <w:color w:val="000000" w:themeColor="text1"/>
          <w:sz w:val="22"/>
          <w:szCs w:val="22"/>
        </w:rPr>
        <w:t>21</w:t>
      </w:r>
    </w:p>
    <w:p w14:paraId="4B1438A9" w14:textId="19DECAA0" w:rsidR="0052683B" w:rsidRDefault="0052683B" w:rsidP="003E42AB">
      <w:pPr>
        <w:pStyle w:val="Heading2"/>
        <w:rPr>
          <w:b w:val="0"/>
          <w:bCs w:val="0"/>
          <w:color w:val="000000" w:themeColor="text1"/>
          <w:sz w:val="22"/>
          <w:szCs w:val="22"/>
        </w:rPr>
      </w:pPr>
      <w:r>
        <w:rPr>
          <w:b w:val="0"/>
          <w:bCs w:val="0"/>
          <w:color w:val="000000" w:themeColor="text1"/>
          <w:sz w:val="22"/>
          <w:szCs w:val="22"/>
        </w:rPr>
        <w:t xml:space="preserve">               </w:t>
      </w:r>
      <w:r w:rsidRPr="00E45308">
        <w:rPr>
          <w:b w:val="0"/>
          <w:bCs w:val="0"/>
          <w:color w:val="000000" w:themeColor="text1"/>
          <w:sz w:val="22"/>
          <w:szCs w:val="22"/>
        </w:rPr>
        <w:t>The Strategic and Commercial Case for Proactive Compliance</w:t>
      </w:r>
      <w:r w:rsidR="00E45308">
        <w:rPr>
          <w:b w:val="0"/>
          <w:bCs w:val="0"/>
          <w:color w:val="000000" w:themeColor="text1"/>
          <w:sz w:val="22"/>
          <w:szCs w:val="22"/>
        </w:rPr>
        <w:t>…………….</w:t>
      </w:r>
      <w:r w:rsidR="00237068">
        <w:rPr>
          <w:b w:val="0"/>
          <w:bCs w:val="0"/>
          <w:color w:val="000000" w:themeColor="text1"/>
          <w:sz w:val="22"/>
          <w:szCs w:val="22"/>
        </w:rPr>
        <w:t>22</w:t>
      </w:r>
    </w:p>
    <w:p w14:paraId="7D129C47" w14:textId="15CBFB6B" w:rsidR="000057E3" w:rsidRDefault="00E45308" w:rsidP="003E42AB">
      <w:pPr>
        <w:pStyle w:val="Heading2"/>
        <w:rPr>
          <w:b w:val="0"/>
          <w:bCs w:val="0"/>
          <w:color w:val="000000" w:themeColor="text1"/>
          <w:sz w:val="22"/>
          <w:szCs w:val="22"/>
        </w:rPr>
      </w:pPr>
      <w:r>
        <w:rPr>
          <w:b w:val="0"/>
          <w:bCs w:val="0"/>
          <w:color w:val="000000" w:themeColor="text1"/>
          <w:sz w:val="22"/>
          <w:szCs w:val="22"/>
        </w:rPr>
        <w:t xml:space="preserve">   </w:t>
      </w:r>
      <w:r w:rsidR="000057E3">
        <w:rPr>
          <w:b w:val="0"/>
          <w:bCs w:val="0"/>
          <w:color w:val="000000" w:themeColor="text1"/>
          <w:sz w:val="22"/>
          <w:szCs w:val="22"/>
        </w:rPr>
        <w:t>5 Conclusion ………………………………………………………………………………</w:t>
      </w:r>
      <w:r w:rsidR="00E46FA4">
        <w:rPr>
          <w:b w:val="0"/>
          <w:bCs w:val="0"/>
          <w:color w:val="000000" w:themeColor="text1"/>
          <w:sz w:val="22"/>
          <w:szCs w:val="22"/>
        </w:rPr>
        <w:t>…23</w:t>
      </w:r>
    </w:p>
    <w:p w14:paraId="59FF3CDB" w14:textId="10445463" w:rsidR="0075002D" w:rsidRDefault="00DE3A35" w:rsidP="00B62706">
      <w:pPr>
        <w:pStyle w:val="Heading2"/>
        <w:rPr>
          <w:b w:val="0"/>
          <w:bCs w:val="0"/>
          <w:color w:val="000000" w:themeColor="text1"/>
          <w:sz w:val="22"/>
          <w:szCs w:val="22"/>
        </w:rPr>
      </w:pPr>
      <w:r>
        <w:rPr>
          <w:b w:val="0"/>
          <w:bCs w:val="0"/>
          <w:color w:val="000000" w:themeColor="text1"/>
          <w:sz w:val="22"/>
          <w:szCs w:val="22"/>
        </w:rPr>
        <w:t xml:space="preserve">       </w:t>
      </w:r>
      <w:r w:rsidR="009D32A2">
        <w:rPr>
          <w:b w:val="0"/>
          <w:bCs w:val="0"/>
          <w:color w:val="000000" w:themeColor="text1"/>
          <w:sz w:val="22"/>
          <w:szCs w:val="22"/>
        </w:rPr>
        <w:t>Reference</w:t>
      </w:r>
      <w:r w:rsidR="002B123D">
        <w:rPr>
          <w:b w:val="0"/>
          <w:bCs w:val="0"/>
          <w:color w:val="000000" w:themeColor="text1"/>
          <w:sz w:val="22"/>
          <w:szCs w:val="22"/>
        </w:rPr>
        <w:t>s……………………………………………………………………………</w:t>
      </w:r>
      <w:proofErr w:type="gramStart"/>
      <w:r w:rsidR="002B123D">
        <w:rPr>
          <w:b w:val="0"/>
          <w:bCs w:val="0"/>
          <w:color w:val="000000" w:themeColor="text1"/>
          <w:sz w:val="22"/>
          <w:szCs w:val="22"/>
        </w:rPr>
        <w:t>…..</w:t>
      </w:r>
      <w:proofErr w:type="gramEnd"/>
      <w:r w:rsidR="00E46FA4">
        <w:rPr>
          <w:b w:val="0"/>
          <w:bCs w:val="0"/>
          <w:color w:val="000000" w:themeColor="text1"/>
          <w:sz w:val="22"/>
          <w:szCs w:val="22"/>
        </w:rPr>
        <w:t>2</w:t>
      </w:r>
      <w:r w:rsidR="009929D7">
        <w:rPr>
          <w:b w:val="0"/>
          <w:bCs w:val="0"/>
          <w:color w:val="000000" w:themeColor="text1"/>
          <w:sz w:val="22"/>
          <w:szCs w:val="22"/>
        </w:rPr>
        <w:t>4</w:t>
      </w:r>
    </w:p>
    <w:p w14:paraId="1FEC888A" w14:textId="77777777" w:rsidR="0075002D" w:rsidRDefault="0075002D" w:rsidP="00B62706">
      <w:pPr>
        <w:pStyle w:val="Heading2"/>
        <w:rPr>
          <w:b w:val="0"/>
          <w:bCs w:val="0"/>
          <w:color w:val="000000" w:themeColor="text1"/>
          <w:sz w:val="22"/>
          <w:szCs w:val="22"/>
        </w:rPr>
      </w:pPr>
    </w:p>
    <w:p w14:paraId="0E72F66A" w14:textId="77777777" w:rsidR="00147367" w:rsidRDefault="00147367" w:rsidP="00B62706">
      <w:pPr>
        <w:pStyle w:val="Heading2"/>
        <w:rPr>
          <w:color w:val="000000" w:themeColor="text1"/>
        </w:rPr>
      </w:pPr>
    </w:p>
    <w:p w14:paraId="768AE595" w14:textId="77777777" w:rsidR="00147367" w:rsidRDefault="00147367" w:rsidP="00B62706">
      <w:pPr>
        <w:pStyle w:val="Heading2"/>
        <w:rPr>
          <w:color w:val="000000" w:themeColor="text1"/>
        </w:rPr>
      </w:pPr>
    </w:p>
    <w:p w14:paraId="36E95C9A" w14:textId="6B640118" w:rsidR="00642A87" w:rsidRPr="000B2E28" w:rsidRDefault="00000000" w:rsidP="00B62706">
      <w:pPr>
        <w:pStyle w:val="Heading2"/>
        <w:rPr>
          <w:b w:val="0"/>
          <w:bCs w:val="0"/>
          <w:color w:val="000000" w:themeColor="text1"/>
          <w:sz w:val="22"/>
          <w:szCs w:val="22"/>
        </w:rPr>
      </w:pPr>
      <w:r w:rsidRPr="000B2E28">
        <w:rPr>
          <w:color w:val="000000" w:themeColor="text1"/>
        </w:rPr>
        <w:t>1. Introduction</w:t>
      </w:r>
    </w:p>
    <w:p w14:paraId="319249E7" w14:textId="6470568E" w:rsidR="00642A87" w:rsidRDefault="009A1470">
      <w:pPr>
        <w:spacing w:before="80" w:after="160" w:line="360" w:lineRule="auto"/>
        <w:jc w:val="both"/>
      </w:pPr>
      <w:r>
        <w:t>Over the past decade, financial services have changed rapidly, making early 2010s risk frameworks nearly obsolete. Digital, cloud-based banking offers benefits like lower costs, faster development, and wider reach</w:t>
      </w:r>
      <w:r w:rsidR="00587019">
        <w:t>,</w:t>
      </w:r>
      <w:r>
        <w:t xml:space="preserve"> but also expands the threat surface, making security more complex. </w:t>
      </w:r>
      <w:proofErr w:type="spellStart"/>
      <w:r>
        <w:t>FinSure</w:t>
      </w:r>
      <w:proofErr w:type="spellEnd"/>
      <w:r>
        <w:t xml:space="preserve"> Bank (FSB), as a digital-first bank with over 90% of its infrastructure on external cloud platforms, has accumulated risks faster than governance, revealing gaps noticed by regulators and </w:t>
      </w:r>
      <w:r w:rsidR="00587019">
        <w:t>customers [</w:t>
      </w:r>
      <w:r>
        <w:t>1].</w:t>
      </w:r>
    </w:p>
    <w:p w14:paraId="5429E11C" w14:textId="442ED17E" w:rsidR="00642A87" w:rsidRDefault="005F1203">
      <w:pPr>
        <w:spacing w:before="80" w:after="160" w:line="360" w:lineRule="auto"/>
        <w:jc w:val="both"/>
      </w:pPr>
      <w:r>
        <w:t xml:space="preserve">FSB faces multiple pressures: expanding across countries with varied regulations; a BYOD model without a strong policy; and rising mobile banking use raising privacy and security </w:t>
      </w:r>
      <w:proofErr w:type="gramStart"/>
      <w:r>
        <w:t>concerns</w:t>
      </w:r>
      <w:r w:rsidR="00EA2E24">
        <w:t>[</w:t>
      </w:r>
      <w:proofErr w:type="gramEnd"/>
      <w:r w:rsidR="00EA2E24">
        <w:t>1]</w:t>
      </w:r>
    </w:p>
    <w:p w14:paraId="65ADBFDE" w14:textId="0205559E" w:rsidR="00642A87" w:rsidRDefault="00EA2E24">
      <w:pPr>
        <w:spacing w:before="80" w:after="160" w:line="360" w:lineRule="auto"/>
        <w:jc w:val="both"/>
      </w:pPr>
      <w:r>
        <w:t xml:space="preserve">This assessment tackles the vulnerability by </w:t>
      </w:r>
      <w:proofErr w:type="spellStart"/>
      <w:r>
        <w:t>analyzing</w:t>
      </w:r>
      <w:proofErr w:type="spellEnd"/>
      <w:r>
        <w:t xml:space="preserve"> four major information security frameworks — ITIL v4, ISO/IEC 27001, NIST CSF 2.0, and COBIT 2019 — and their benefits for FSB. It focuses on compliance law, governance, security policy, risk management, contingency planning, protection mechanisms, and </w:t>
      </w:r>
      <w:r w:rsidR="00587019">
        <w:t>service-level management, backed by industry research and regulatory practices [1][2]</w:t>
      </w:r>
      <w:r>
        <w:t>.</w:t>
      </w:r>
    </w:p>
    <w:p w14:paraId="55A6998A" w14:textId="77777777" w:rsidR="00642A87" w:rsidRDefault="00642A87">
      <w:pPr>
        <w:spacing w:before="60" w:after="60"/>
      </w:pPr>
    </w:p>
    <w:p w14:paraId="29D7B3CB" w14:textId="77777777" w:rsidR="00EB2545" w:rsidRDefault="00EB2545">
      <w:pPr>
        <w:pStyle w:val="Heading1"/>
      </w:pPr>
    </w:p>
    <w:p w14:paraId="0990EB37" w14:textId="77777777" w:rsidR="00EB2545" w:rsidRDefault="00EB2545">
      <w:pPr>
        <w:pStyle w:val="Heading1"/>
      </w:pPr>
    </w:p>
    <w:p w14:paraId="635A0394" w14:textId="77777777" w:rsidR="00EB2545" w:rsidRDefault="00EB2545">
      <w:pPr>
        <w:pStyle w:val="Heading1"/>
      </w:pPr>
    </w:p>
    <w:p w14:paraId="5FB9303A" w14:textId="77777777" w:rsidR="00EB2545" w:rsidRDefault="00EB2545">
      <w:pPr>
        <w:pStyle w:val="Heading1"/>
      </w:pPr>
    </w:p>
    <w:p w14:paraId="2F9F92F4" w14:textId="77777777" w:rsidR="00147367" w:rsidRDefault="00147367">
      <w:pPr>
        <w:pStyle w:val="Heading1"/>
        <w:rPr>
          <w:color w:val="000000" w:themeColor="text1"/>
        </w:rPr>
      </w:pPr>
    </w:p>
    <w:p w14:paraId="70D45C05" w14:textId="77777777" w:rsidR="00147367" w:rsidRDefault="00147367">
      <w:pPr>
        <w:pStyle w:val="Heading1"/>
        <w:rPr>
          <w:color w:val="000000" w:themeColor="text1"/>
        </w:rPr>
      </w:pPr>
    </w:p>
    <w:p w14:paraId="7A2C450B" w14:textId="77777777" w:rsidR="00147367" w:rsidRDefault="00147367">
      <w:pPr>
        <w:pStyle w:val="Heading1"/>
        <w:rPr>
          <w:color w:val="000000" w:themeColor="text1"/>
        </w:rPr>
      </w:pPr>
    </w:p>
    <w:p w14:paraId="31901EEE" w14:textId="77777777" w:rsidR="00147367" w:rsidRDefault="00147367">
      <w:pPr>
        <w:pStyle w:val="Heading1"/>
        <w:rPr>
          <w:color w:val="000000" w:themeColor="text1"/>
        </w:rPr>
      </w:pPr>
    </w:p>
    <w:p w14:paraId="5F7E9616" w14:textId="77777777" w:rsidR="00147367" w:rsidRDefault="00147367">
      <w:pPr>
        <w:pStyle w:val="Heading1"/>
        <w:rPr>
          <w:color w:val="000000" w:themeColor="text1"/>
        </w:rPr>
      </w:pPr>
    </w:p>
    <w:p w14:paraId="735D2091" w14:textId="00FF5C25" w:rsidR="00642A87" w:rsidRPr="000B2E28" w:rsidRDefault="00000000">
      <w:pPr>
        <w:pStyle w:val="Heading1"/>
        <w:rPr>
          <w:color w:val="000000" w:themeColor="text1"/>
        </w:rPr>
      </w:pPr>
      <w:r w:rsidRPr="000B2E28">
        <w:rPr>
          <w:color w:val="000000" w:themeColor="text1"/>
        </w:rPr>
        <w:t>2. Research into Security Frameworks and Models</w:t>
      </w:r>
    </w:p>
    <w:p w14:paraId="56B747EC" w14:textId="0B19A71E" w:rsidR="00642A87" w:rsidRDefault="00000000">
      <w:pPr>
        <w:spacing w:before="80" w:after="160" w:line="360" w:lineRule="auto"/>
        <w:jc w:val="both"/>
      </w:pPr>
      <w:r>
        <w:t>For FSB, the challenge is not picking one and ignoring the rest. As Figure 1 (the Unified Governance Architecture presented in Section 3) shows, the most effective approach is understanding how these frameworks complement and reinforce one another [15].</w:t>
      </w:r>
    </w:p>
    <w:p w14:paraId="1F38D9BC" w14:textId="4DFC5547" w:rsidR="00AD3CE1" w:rsidRDefault="00481FCA">
      <w:pPr>
        <w:spacing w:before="80" w:after="160" w:line="360" w:lineRule="auto"/>
        <w:jc w:val="both"/>
      </w:pPr>
      <w:r w:rsidRPr="00481FCA">
        <w:rPr>
          <w:noProof/>
        </w:rPr>
        <w:drawing>
          <wp:inline distT="0" distB="0" distL="0" distR="0" wp14:anchorId="64606560" wp14:editId="78220E8F">
            <wp:extent cx="5960110" cy="2783205"/>
            <wp:effectExtent l="0" t="0" r="2540" b="0"/>
            <wp:docPr id="1731901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901969" name=""/>
                    <pic:cNvPicPr/>
                  </pic:nvPicPr>
                  <pic:blipFill>
                    <a:blip r:embed="rId9"/>
                    <a:stretch>
                      <a:fillRect/>
                    </a:stretch>
                  </pic:blipFill>
                  <pic:spPr>
                    <a:xfrm>
                      <a:off x="0" y="0"/>
                      <a:ext cx="5960110" cy="2783205"/>
                    </a:xfrm>
                    <a:prstGeom prst="rect">
                      <a:avLst/>
                    </a:prstGeom>
                  </pic:spPr>
                </pic:pic>
              </a:graphicData>
            </a:graphic>
          </wp:inline>
        </w:drawing>
      </w:r>
    </w:p>
    <w:p w14:paraId="0CEB7BFF" w14:textId="13346448" w:rsidR="00975EBF" w:rsidRDefault="00975EBF">
      <w:pPr>
        <w:spacing w:before="80" w:after="160" w:line="360" w:lineRule="auto"/>
        <w:jc w:val="both"/>
      </w:pPr>
    </w:p>
    <w:p w14:paraId="504EFC47" w14:textId="45B44299" w:rsidR="00642A87" w:rsidRPr="008E3BF2" w:rsidRDefault="00000000">
      <w:pPr>
        <w:pStyle w:val="Heading2"/>
        <w:rPr>
          <w:color w:val="000000" w:themeColor="text1"/>
        </w:rPr>
      </w:pPr>
      <w:r w:rsidRPr="008E3BF2">
        <w:rPr>
          <w:color w:val="000000" w:themeColor="text1"/>
        </w:rPr>
        <w:t>2.1 Information Technology Infrastructure Library</w:t>
      </w:r>
    </w:p>
    <w:p w14:paraId="01311DF1" w14:textId="6BB1E36E" w:rsidR="00642A87" w:rsidRDefault="00000000">
      <w:pPr>
        <w:spacing w:before="80" w:after="160" w:line="360" w:lineRule="auto"/>
        <w:jc w:val="both"/>
      </w:pPr>
      <w:r>
        <w:t xml:space="preserve">ITIL is best understood as a framework for </w:t>
      </w:r>
      <w:r w:rsidR="00CD5086">
        <w:t>ensuring IT services run reliably and align</w:t>
      </w:r>
      <w:r>
        <w:t xml:space="preserve"> with what the business </w:t>
      </w:r>
      <w:proofErr w:type="gramStart"/>
      <w:r>
        <w:t>actually needs</w:t>
      </w:r>
      <w:proofErr w:type="gramEnd"/>
      <w:r>
        <w:t xml:space="preserve">. Its fourth iteration, ITIL v4, introduced the Service Value System (SVS) — a model that encourages organisations to think of IT not as a collection of technical components, but as an integrated system for co-creating value with customers and stakeholders [2]. </w:t>
      </w:r>
      <w:r w:rsidR="00EB425A">
        <w:t xml:space="preserve">Security </w:t>
      </w:r>
      <w:r>
        <w:t>embedded in the value chain will always be treated as a constraint rather than an enabler.</w:t>
      </w:r>
    </w:p>
    <w:p w14:paraId="54565A7A" w14:textId="57B12968" w:rsidR="00642A87" w:rsidRDefault="00973783">
      <w:pPr>
        <w:spacing w:before="80" w:after="160" w:line="360" w:lineRule="auto"/>
        <w:jc w:val="both"/>
      </w:pPr>
      <w:r>
        <w:t xml:space="preserve">For FSB, the most immediately useful aspects of ITIL are its incident, problem, and change management processes. When a security breach occurs — and in the current threat environment, it is a question of when rather than if — having a structured incident management process in place makes a significant practical difference to the speed and quality of the response [26]. ITIL's supplier management guidance is equally critical given FSB's dependence on third-party vendors and cloud providers: it provides a ready-made framework for defining security expectations, measuring performance, and enforcing compliance through formal service review processes. The </w:t>
      </w:r>
      <w:r>
        <w:lastRenderedPageBreak/>
        <w:t>Continual Service Improvement (CSI) loop, meanwhile, ensures that security is never treated as a project with an end date [2].</w:t>
      </w:r>
    </w:p>
    <w:p w14:paraId="0FD9CF71" w14:textId="77777777" w:rsidR="00642A87" w:rsidRDefault="00642A87">
      <w:pPr>
        <w:spacing w:before="60" w:after="60"/>
      </w:pPr>
    </w:p>
    <w:p w14:paraId="31F7EE2E" w14:textId="77777777" w:rsidR="00642A87" w:rsidRDefault="00000000">
      <w:pPr>
        <w:spacing w:before="180" w:after="90"/>
      </w:pPr>
      <w:r>
        <w:rPr>
          <w:b/>
          <w:bCs/>
          <w:color w:val="333333"/>
          <w:sz w:val="23"/>
          <w:szCs w:val="23"/>
        </w:rPr>
        <w:t>Figure 1: ITIL 4 Service Value Chain — Security Touchpoints for FSB</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00"/>
        <w:gridCol w:w="2600"/>
        <w:gridCol w:w="4800"/>
      </w:tblGrid>
      <w:tr w:rsidR="00642A87" w14:paraId="43A7BB50" w14:textId="77777777">
        <w:trPr>
          <w:tblHeader/>
        </w:trPr>
        <w:tc>
          <w:tcPr>
            <w:tcW w:w="19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0F79232B" w14:textId="77777777" w:rsidR="00642A87" w:rsidRDefault="00000000">
            <w:r>
              <w:rPr>
                <w:b/>
                <w:bCs/>
                <w:color w:val="FFFFFF"/>
                <w:sz w:val="19"/>
                <w:szCs w:val="19"/>
              </w:rPr>
              <w:t>ITIL Stage</w:t>
            </w:r>
          </w:p>
        </w:tc>
        <w:tc>
          <w:tcPr>
            <w:tcW w:w="26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546F4E6" w14:textId="77777777" w:rsidR="00642A87" w:rsidRDefault="00000000">
            <w:r>
              <w:rPr>
                <w:b/>
                <w:bCs/>
                <w:color w:val="FFFFFF"/>
                <w:sz w:val="19"/>
                <w:szCs w:val="19"/>
              </w:rPr>
              <w:t>Key Activity</w:t>
            </w:r>
          </w:p>
        </w:tc>
        <w:tc>
          <w:tcPr>
            <w:tcW w:w="48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7E2DF1F2" w14:textId="77777777" w:rsidR="00642A87" w:rsidRDefault="00000000">
            <w:r>
              <w:rPr>
                <w:b/>
                <w:bCs/>
                <w:color w:val="FFFFFF"/>
                <w:sz w:val="19"/>
                <w:szCs w:val="19"/>
              </w:rPr>
              <w:t>Security Relevance for FSB</w:t>
            </w:r>
          </w:p>
        </w:tc>
      </w:tr>
      <w:tr w:rsidR="00642A87" w14:paraId="5B6449D0" w14:textId="77777777">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4C9C335" w14:textId="77777777" w:rsidR="00642A87" w:rsidRDefault="00000000">
            <w:r>
              <w:rPr>
                <w:sz w:val="19"/>
                <w:szCs w:val="19"/>
              </w:rPr>
              <w:t>Plan</w:t>
            </w:r>
          </w:p>
        </w:tc>
        <w:tc>
          <w:tcPr>
            <w:tcW w:w="26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B528540" w14:textId="77777777" w:rsidR="00642A87" w:rsidRDefault="00000000">
            <w:r>
              <w:rPr>
                <w:sz w:val="19"/>
                <w:szCs w:val="19"/>
              </w:rPr>
              <w:t>Strategic direction &amp; governance</w:t>
            </w:r>
          </w:p>
        </w:tc>
        <w:tc>
          <w:tcPr>
            <w:tcW w:w="48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47CE962E" w14:textId="77777777" w:rsidR="00642A87" w:rsidRDefault="00000000">
            <w:r>
              <w:rPr>
                <w:sz w:val="19"/>
                <w:szCs w:val="19"/>
              </w:rPr>
              <w:t>Define security policies, risk appetite, board reporting lines</w:t>
            </w:r>
          </w:p>
        </w:tc>
      </w:tr>
      <w:tr w:rsidR="00642A87" w14:paraId="36DB6120"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1708801" w14:textId="77777777" w:rsidR="00642A87" w:rsidRDefault="00000000">
            <w:r>
              <w:rPr>
                <w:sz w:val="19"/>
                <w:szCs w:val="19"/>
              </w:rPr>
              <w:t>Engage</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451E673A" w14:textId="77777777" w:rsidR="00642A87" w:rsidRDefault="00000000">
            <w:r>
              <w:rPr>
                <w:sz w:val="19"/>
                <w:szCs w:val="19"/>
              </w:rPr>
              <w:t>Stakeholder interaction</w:t>
            </w:r>
          </w:p>
        </w:tc>
        <w:tc>
          <w:tcPr>
            <w:tcW w:w="4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A6B063F" w14:textId="77777777" w:rsidR="00642A87" w:rsidRDefault="00000000">
            <w:r>
              <w:rPr>
                <w:sz w:val="19"/>
                <w:szCs w:val="19"/>
              </w:rPr>
              <w:t>Third-party &amp; contractor security onboarding and vetting</w:t>
            </w:r>
          </w:p>
        </w:tc>
      </w:tr>
      <w:tr w:rsidR="00642A87" w14:paraId="736BB363" w14:textId="77777777">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929D1FC" w14:textId="77777777" w:rsidR="00642A87" w:rsidRDefault="00000000">
            <w:r>
              <w:rPr>
                <w:sz w:val="19"/>
                <w:szCs w:val="19"/>
              </w:rPr>
              <w:t>Design &amp; Transition</w:t>
            </w:r>
          </w:p>
        </w:tc>
        <w:tc>
          <w:tcPr>
            <w:tcW w:w="26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4695D5A" w14:textId="77777777" w:rsidR="00642A87" w:rsidRDefault="00000000">
            <w:r>
              <w:rPr>
                <w:sz w:val="19"/>
                <w:szCs w:val="19"/>
              </w:rPr>
              <w:t>Service design and testing</w:t>
            </w:r>
          </w:p>
        </w:tc>
        <w:tc>
          <w:tcPr>
            <w:tcW w:w="48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92F375D" w14:textId="77777777" w:rsidR="00642A87" w:rsidRDefault="00000000">
            <w:r>
              <w:rPr>
                <w:sz w:val="19"/>
                <w:szCs w:val="19"/>
              </w:rPr>
              <w:t>Secure system architecture, BYOD policy design, cloud controls</w:t>
            </w:r>
          </w:p>
        </w:tc>
      </w:tr>
      <w:tr w:rsidR="00642A87" w14:paraId="26EAB675"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5CDDD8C" w14:textId="77777777" w:rsidR="00642A87" w:rsidRDefault="00000000">
            <w:r>
              <w:rPr>
                <w:sz w:val="19"/>
                <w:szCs w:val="19"/>
              </w:rPr>
              <w:t>Obtain/Build</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45B8EBA5" w14:textId="77777777" w:rsidR="00642A87" w:rsidRDefault="00000000">
            <w:r>
              <w:rPr>
                <w:sz w:val="19"/>
                <w:szCs w:val="19"/>
              </w:rPr>
              <w:t>Sourcing &amp; development</w:t>
            </w:r>
          </w:p>
        </w:tc>
        <w:tc>
          <w:tcPr>
            <w:tcW w:w="4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2350416" w14:textId="77777777" w:rsidR="00642A87" w:rsidRDefault="00000000">
            <w:r>
              <w:rPr>
                <w:sz w:val="19"/>
                <w:szCs w:val="19"/>
              </w:rPr>
              <w:t xml:space="preserve">Secure SDLC, cloud vendor risk assessment, </w:t>
            </w:r>
            <w:proofErr w:type="spellStart"/>
            <w:r>
              <w:rPr>
                <w:sz w:val="19"/>
                <w:szCs w:val="19"/>
              </w:rPr>
              <w:t>IaC</w:t>
            </w:r>
            <w:proofErr w:type="spellEnd"/>
            <w:r>
              <w:rPr>
                <w:sz w:val="19"/>
                <w:szCs w:val="19"/>
              </w:rPr>
              <w:t xml:space="preserve"> scanning</w:t>
            </w:r>
          </w:p>
        </w:tc>
      </w:tr>
      <w:tr w:rsidR="00642A87" w14:paraId="4AE1F78C" w14:textId="77777777">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56660A7" w14:textId="77777777" w:rsidR="00642A87" w:rsidRDefault="00000000">
            <w:r>
              <w:rPr>
                <w:sz w:val="19"/>
                <w:szCs w:val="19"/>
              </w:rPr>
              <w:t xml:space="preserve">Deliver &amp; </w:t>
            </w:r>
            <w:proofErr w:type="gramStart"/>
            <w:r>
              <w:rPr>
                <w:sz w:val="19"/>
                <w:szCs w:val="19"/>
              </w:rPr>
              <w:t>Support</w:t>
            </w:r>
            <w:proofErr w:type="gramEnd"/>
          </w:p>
        </w:tc>
        <w:tc>
          <w:tcPr>
            <w:tcW w:w="26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3969859" w14:textId="77777777" w:rsidR="00642A87" w:rsidRDefault="00000000">
            <w:r>
              <w:rPr>
                <w:sz w:val="19"/>
                <w:szCs w:val="19"/>
              </w:rPr>
              <w:t>Operations &amp; incident management</w:t>
            </w:r>
          </w:p>
        </w:tc>
        <w:tc>
          <w:tcPr>
            <w:tcW w:w="48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35F5238" w14:textId="77777777" w:rsidR="00642A87" w:rsidRDefault="00000000">
            <w:r>
              <w:rPr>
                <w:sz w:val="19"/>
                <w:szCs w:val="19"/>
              </w:rPr>
              <w:t>Incident response, DLP controls, real-time fraud detection</w:t>
            </w:r>
          </w:p>
        </w:tc>
      </w:tr>
      <w:tr w:rsidR="00642A87" w14:paraId="7A0D2226" w14:textId="77777777">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9E2A175" w14:textId="77777777" w:rsidR="00642A87" w:rsidRDefault="00000000">
            <w:r>
              <w:rPr>
                <w:sz w:val="19"/>
                <w:szCs w:val="19"/>
              </w:rPr>
              <w:t>Improve</w:t>
            </w:r>
          </w:p>
        </w:tc>
        <w:tc>
          <w:tcPr>
            <w:tcW w:w="26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658D90C" w14:textId="77777777" w:rsidR="00642A87" w:rsidRDefault="00000000">
            <w:r>
              <w:rPr>
                <w:sz w:val="19"/>
                <w:szCs w:val="19"/>
              </w:rPr>
              <w:t>Continual service improvement</w:t>
            </w:r>
          </w:p>
        </w:tc>
        <w:tc>
          <w:tcPr>
            <w:tcW w:w="48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798B8F80" w14:textId="77777777" w:rsidR="00642A87" w:rsidRDefault="00000000">
            <w:r>
              <w:rPr>
                <w:sz w:val="19"/>
                <w:szCs w:val="19"/>
              </w:rPr>
              <w:t>Security audit cycles, KPI measurement, post-incident reviews</w:t>
            </w:r>
          </w:p>
        </w:tc>
      </w:tr>
    </w:tbl>
    <w:p w14:paraId="64E4075C" w14:textId="77777777" w:rsidR="00642A87" w:rsidRDefault="00000000">
      <w:pPr>
        <w:spacing w:before="30" w:after="160"/>
        <w:jc w:val="center"/>
        <w:rPr>
          <w:i/>
          <w:iCs/>
          <w:color w:val="555555"/>
          <w:sz w:val="19"/>
          <w:szCs w:val="19"/>
        </w:rPr>
      </w:pPr>
      <w:r>
        <w:rPr>
          <w:i/>
          <w:iCs/>
          <w:color w:val="555555"/>
          <w:sz w:val="19"/>
          <w:szCs w:val="19"/>
        </w:rPr>
        <w:t>Figure 1: ITIL 4 Service Value Chain and Security Touchpoints for FSB</w:t>
      </w:r>
    </w:p>
    <w:p w14:paraId="02844C2D" w14:textId="71EC7725" w:rsidR="00BF3B92" w:rsidRDefault="005D0620" w:rsidP="005D0620">
      <w:pPr>
        <w:spacing w:before="30" w:after="160"/>
      </w:pPr>
      <w:r w:rsidRPr="005D0620">
        <w:drawing>
          <wp:inline distT="0" distB="0" distL="0" distR="0" wp14:anchorId="17A3B0EB" wp14:editId="71CB1442">
            <wp:extent cx="5960110" cy="3903980"/>
            <wp:effectExtent l="0" t="0" r="2540" b="1270"/>
            <wp:docPr id="339397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939706" name=""/>
                    <pic:cNvPicPr/>
                  </pic:nvPicPr>
                  <pic:blipFill>
                    <a:blip r:embed="rId10"/>
                    <a:stretch>
                      <a:fillRect/>
                    </a:stretch>
                  </pic:blipFill>
                  <pic:spPr>
                    <a:xfrm>
                      <a:off x="0" y="0"/>
                      <a:ext cx="5960110" cy="3903980"/>
                    </a:xfrm>
                    <a:prstGeom prst="rect">
                      <a:avLst/>
                    </a:prstGeom>
                  </pic:spPr>
                </pic:pic>
              </a:graphicData>
            </a:graphic>
          </wp:inline>
        </w:drawing>
      </w:r>
    </w:p>
    <w:p w14:paraId="70DCA2AA" w14:textId="50FEA213" w:rsidR="00B06895" w:rsidRDefault="00B06895" w:rsidP="005D0620">
      <w:pPr>
        <w:spacing w:before="30" w:after="160"/>
      </w:pPr>
      <w:r>
        <w:t xml:space="preserve">Source from FSB </w:t>
      </w:r>
      <w:r w:rsidR="0093070C">
        <w:t>case study using python to create photo</w:t>
      </w:r>
    </w:p>
    <w:p w14:paraId="1AFB427E" w14:textId="2BF9CF06" w:rsidR="00642A87" w:rsidRDefault="00642A87">
      <w:pPr>
        <w:spacing w:before="60" w:after="60"/>
      </w:pPr>
    </w:p>
    <w:p w14:paraId="0BB586FB" w14:textId="77777777" w:rsidR="005F276C" w:rsidRDefault="005F276C">
      <w:pPr>
        <w:pStyle w:val="Heading2"/>
        <w:rPr>
          <w:color w:val="000000" w:themeColor="text1"/>
        </w:rPr>
      </w:pPr>
    </w:p>
    <w:p w14:paraId="2528BAE7" w14:textId="77777777" w:rsidR="005F276C" w:rsidRDefault="005F276C">
      <w:pPr>
        <w:pStyle w:val="Heading2"/>
        <w:rPr>
          <w:color w:val="000000" w:themeColor="text1"/>
        </w:rPr>
      </w:pPr>
    </w:p>
    <w:p w14:paraId="3432AF18" w14:textId="4E080806" w:rsidR="00642A87" w:rsidRPr="008E3BF2" w:rsidRDefault="00000000">
      <w:pPr>
        <w:pStyle w:val="Heading2"/>
        <w:rPr>
          <w:color w:val="000000" w:themeColor="text1"/>
        </w:rPr>
      </w:pPr>
      <w:r w:rsidRPr="008E3BF2">
        <w:rPr>
          <w:color w:val="000000" w:themeColor="text1"/>
        </w:rPr>
        <w:t>2.2 ISO/IEC 27001 and the ISO 27000 Family</w:t>
      </w:r>
    </w:p>
    <w:p w14:paraId="177404F6" w14:textId="06B7BF2C" w:rsidR="00642A87" w:rsidRDefault="00000000">
      <w:pPr>
        <w:spacing w:before="80" w:after="160" w:line="360" w:lineRule="auto"/>
        <w:jc w:val="both"/>
      </w:pPr>
      <w:r>
        <w:t xml:space="preserve">It is the internationally recognised standard for Information Security Management Systems (ISMS), and it </w:t>
      </w:r>
      <w:r w:rsidR="007C76BA">
        <w:t xml:space="preserve">requires organisations to systematically identify their information risks and </w:t>
      </w:r>
      <w:r>
        <w:t>apply a proportionate, documented set of controls to manage them [4]. The 2022 revision reorganised the Annex A control set from 114 controls across 14 domains to 93 controls across four themes — organisational, people, physical, and technological — a restructuring that better reflects the realities of modern cloud-heavy environments and removes the implicit assumption that a physical perimeter is the primary security boundary.</w:t>
      </w:r>
    </w:p>
    <w:p w14:paraId="58EF11A8" w14:textId="1377D5B9" w:rsidR="00642A87" w:rsidRDefault="00000000">
      <w:pPr>
        <w:spacing w:before="80" w:after="160" w:line="360" w:lineRule="auto"/>
        <w:jc w:val="both"/>
      </w:pPr>
      <w:r>
        <w:t xml:space="preserve">The broader ISO 27000 family </w:t>
      </w:r>
      <w:r w:rsidR="00DB6C6D">
        <w:t>significantly expands coverage</w:t>
      </w:r>
      <w:r>
        <w:t>. ISO 27002 provides detailed implementation guidance for each control. ISO 27005 (updated in 2022) offers a structured, iterative approach to information risk management that integrates naturally with the ISMS. ISO 27701, a privacy extension, maps directly onto GDPR requirements</w:t>
      </w:r>
      <w:r w:rsidR="00DB6C6D">
        <w:t>, making</w:t>
      </w:r>
      <w:r>
        <w:t xml:space="preserve"> it immediately relevant to FSB's obligations across European markets [24</w:t>
      </w:r>
      <w:r w:rsidR="00037CCE">
        <w:t xml:space="preserve">]. </w:t>
      </w:r>
      <w:r w:rsidR="0096785A" w:rsidRPr="0096785A">
        <w:t>Certification signals to regulators and customers that security is independently verified — a meaningful differentiator in financial services where trust is difficult to rebuild once lost.</w:t>
      </w:r>
    </w:p>
    <w:p w14:paraId="512F35EE" w14:textId="426504AB" w:rsidR="00BD4BF3" w:rsidRDefault="00D45028">
      <w:pPr>
        <w:spacing w:before="80" w:after="160" w:line="360" w:lineRule="auto"/>
        <w:jc w:val="both"/>
      </w:pPr>
      <w:r w:rsidRPr="00D45028">
        <w:rPr>
          <w:noProof/>
        </w:rPr>
        <w:drawing>
          <wp:inline distT="0" distB="0" distL="0" distR="0" wp14:anchorId="3870EF29" wp14:editId="46411840">
            <wp:extent cx="5960110" cy="2792095"/>
            <wp:effectExtent l="0" t="0" r="2540" b="8255"/>
            <wp:docPr id="51477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7705" name=""/>
                    <pic:cNvPicPr/>
                  </pic:nvPicPr>
                  <pic:blipFill>
                    <a:blip r:embed="rId11"/>
                    <a:stretch>
                      <a:fillRect/>
                    </a:stretch>
                  </pic:blipFill>
                  <pic:spPr>
                    <a:xfrm>
                      <a:off x="0" y="0"/>
                      <a:ext cx="5960110" cy="2792095"/>
                    </a:xfrm>
                    <a:prstGeom prst="rect">
                      <a:avLst/>
                    </a:prstGeom>
                  </pic:spPr>
                </pic:pic>
              </a:graphicData>
            </a:graphic>
          </wp:inline>
        </w:drawing>
      </w:r>
    </w:p>
    <w:p w14:paraId="7A83C778" w14:textId="53D70691" w:rsidR="00251F36" w:rsidRDefault="00251F36">
      <w:pPr>
        <w:spacing w:before="80" w:after="160" w:line="360" w:lineRule="auto"/>
        <w:jc w:val="both"/>
      </w:pPr>
      <w:r>
        <w:t xml:space="preserve">    </w:t>
      </w:r>
      <w:r w:rsidR="00B7458C">
        <w:t xml:space="preserve">                            </w:t>
      </w:r>
      <w:r>
        <w:t xml:space="preserve">Source from </w:t>
      </w:r>
      <w:r w:rsidR="00C54825">
        <w:t xml:space="preserve">ISO governance process </w:t>
      </w:r>
    </w:p>
    <w:p w14:paraId="70300E86" w14:textId="77777777" w:rsidR="00EA0AC9" w:rsidRDefault="00EA0AC9">
      <w:pPr>
        <w:spacing w:before="80" w:after="160" w:line="360" w:lineRule="auto"/>
        <w:jc w:val="both"/>
      </w:pPr>
    </w:p>
    <w:p w14:paraId="610DF3EA" w14:textId="62E64CEC" w:rsidR="00EA0AC9" w:rsidRDefault="00EA0AC9">
      <w:pPr>
        <w:spacing w:before="80" w:after="160" w:line="360" w:lineRule="auto"/>
        <w:jc w:val="both"/>
      </w:pPr>
      <w:r w:rsidRPr="00EA0AC9">
        <w:lastRenderedPageBreak/>
        <w:drawing>
          <wp:inline distT="0" distB="0" distL="0" distR="0" wp14:anchorId="3821D66C" wp14:editId="0C2A7649">
            <wp:extent cx="5960110" cy="3971290"/>
            <wp:effectExtent l="0" t="0" r="2540" b="0"/>
            <wp:docPr id="14643523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4352342" name=""/>
                    <pic:cNvPicPr/>
                  </pic:nvPicPr>
                  <pic:blipFill>
                    <a:blip r:embed="rId12"/>
                    <a:stretch>
                      <a:fillRect/>
                    </a:stretch>
                  </pic:blipFill>
                  <pic:spPr>
                    <a:xfrm>
                      <a:off x="0" y="0"/>
                      <a:ext cx="5960110" cy="3971290"/>
                    </a:xfrm>
                    <a:prstGeom prst="rect">
                      <a:avLst/>
                    </a:prstGeom>
                  </pic:spPr>
                </pic:pic>
              </a:graphicData>
            </a:graphic>
          </wp:inline>
        </w:drawing>
      </w:r>
    </w:p>
    <w:p w14:paraId="28542349" w14:textId="32E62D80" w:rsidR="00B7458C" w:rsidRDefault="00B7458C">
      <w:pPr>
        <w:spacing w:before="80" w:after="160" w:line="360" w:lineRule="auto"/>
        <w:jc w:val="both"/>
      </w:pPr>
      <w:r>
        <w:t xml:space="preserve">                Source from FSB case study </w:t>
      </w:r>
    </w:p>
    <w:p w14:paraId="66852E06" w14:textId="77777777" w:rsidR="00642A87" w:rsidRPr="00762B8F" w:rsidRDefault="00000000">
      <w:pPr>
        <w:pStyle w:val="Heading2"/>
        <w:rPr>
          <w:color w:val="000000" w:themeColor="text1"/>
        </w:rPr>
      </w:pPr>
      <w:r w:rsidRPr="00762B8F">
        <w:rPr>
          <w:color w:val="000000" w:themeColor="text1"/>
        </w:rPr>
        <w:t>2.3 NIST Cybersecurity Framework (CSF 2.0)</w:t>
      </w:r>
    </w:p>
    <w:p w14:paraId="1E438DC6" w14:textId="41C4B6D2" w:rsidR="00642A87" w:rsidRDefault="00F310E4">
      <w:pPr>
        <w:spacing w:before="80" w:after="160" w:line="360" w:lineRule="auto"/>
        <w:jc w:val="both"/>
      </w:pPr>
      <w:r>
        <w:t>The NIST Cybersecurity Framework was originally designed for critical infrastructure operators in the United States, but its practical flexibility has driven adoption far beyond that initial scope [5]. Unlike ISO 27001, it does not prescribe a specific management system or require certification; instead, it organises cybersecurity activity around six functions — Identify, Protect, Detect, Respond, Recover, and the Govern function added in the 2024 update — that map to the natural lifecycle of managing cybersecurity risk [14]. The addition of Govern is significant: it reflects a growing consensus that cybersecurity cannot be managed sustainably by the technology function alone and that board-level ownership is a prerequisite for genuine resilience.</w:t>
      </w:r>
    </w:p>
    <w:p w14:paraId="20A2A67F" w14:textId="4DBB5048" w:rsidR="00642A87" w:rsidRDefault="00000000">
      <w:pPr>
        <w:spacing w:before="80" w:after="160" w:line="360" w:lineRule="auto"/>
        <w:jc w:val="both"/>
      </w:pPr>
      <w:r>
        <w:t xml:space="preserve">For FSB, the NIST CSF provides an excellent operational lens that complements ISO 27001's management rigour. </w:t>
      </w:r>
      <w:r w:rsidR="00A62D16" w:rsidRPr="00A62D16">
        <w:t xml:space="preserve">NIST provides operational vocabulary and functional structure; ISO 27001 provides the documented management system and audit trail </w:t>
      </w:r>
      <w:r w:rsidR="00451A29">
        <w:t xml:space="preserve">that </w:t>
      </w:r>
      <w:r w:rsidR="00A62D16" w:rsidRPr="00A62D16">
        <w:t>regulators require. Used together, they cover both the operational and governance dimensions of cybersecurity.</w:t>
      </w:r>
    </w:p>
    <w:p w14:paraId="2F11990E" w14:textId="150365D5" w:rsidR="00805278" w:rsidRDefault="00A40666">
      <w:pPr>
        <w:spacing w:before="80" w:after="160" w:line="360" w:lineRule="auto"/>
        <w:jc w:val="both"/>
      </w:pPr>
      <w:r w:rsidRPr="00A40666">
        <w:rPr>
          <w:noProof/>
        </w:rPr>
        <w:lastRenderedPageBreak/>
        <w:drawing>
          <wp:inline distT="0" distB="0" distL="0" distR="0" wp14:anchorId="3E66692E" wp14:editId="79DDEA84">
            <wp:extent cx="5006774" cy="3391194"/>
            <wp:effectExtent l="0" t="0" r="3810" b="0"/>
            <wp:docPr id="8896013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9601320" name=""/>
                    <pic:cNvPicPr/>
                  </pic:nvPicPr>
                  <pic:blipFill>
                    <a:blip r:embed="rId13"/>
                    <a:stretch>
                      <a:fillRect/>
                    </a:stretch>
                  </pic:blipFill>
                  <pic:spPr>
                    <a:xfrm>
                      <a:off x="0" y="0"/>
                      <a:ext cx="5006774" cy="3391194"/>
                    </a:xfrm>
                    <a:prstGeom prst="rect">
                      <a:avLst/>
                    </a:prstGeom>
                  </pic:spPr>
                </pic:pic>
              </a:graphicData>
            </a:graphic>
          </wp:inline>
        </w:drawing>
      </w:r>
    </w:p>
    <w:p w14:paraId="0D7F56C8" w14:textId="2EED159F" w:rsidR="00DD1B15" w:rsidRDefault="00DD1B15">
      <w:pPr>
        <w:spacing w:before="80" w:after="160" w:line="360" w:lineRule="auto"/>
        <w:jc w:val="both"/>
      </w:pPr>
      <w:r>
        <w:t xml:space="preserve">        </w:t>
      </w:r>
      <w:r w:rsidR="005128D3">
        <w:t xml:space="preserve">                  </w:t>
      </w:r>
      <w:r>
        <w:t xml:space="preserve">Source from </w:t>
      </w:r>
      <w:r w:rsidR="005128D3">
        <w:t xml:space="preserve">NIST official website </w:t>
      </w:r>
    </w:p>
    <w:p w14:paraId="22AD8E03" w14:textId="77777777" w:rsidR="00E74553" w:rsidRDefault="00E74553">
      <w:pPr>
        <w:spacing w:before="80" w:after="160" w:line="360" w:lineRule="auto"/>
        <w:jc w:val="both"/>
      </w:pPr>
    </w:p>
    <w:p w14:paraId="33065D10" w14:textId="1EBD4180" w:rsidR="00E74553" w:rsidRDefault="00E74553">
      <w:pPr>
        <w:spacing w:before="80" w:after="160" w:line="360" w:lineRule="auto"/>
        <w:jc w:val="both"/>
      </w:pPr>
      <w:r w:rsidRPr="00E74553">
        <w:drawing>
          <wp:inline distT="0" distB="0" distL="0" distR="0" wp14:anchorId="5D86814C" wp14:editId="446D348D">
            <wp:extent cx="5960110" cy="3721100"/>
            <wp:effectExtent l="0" t="0" r="2540" b="0"/>
            <wp:docPr id="1126166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166649" name=""/>
                    <pic:cNvPicPr/>
                  </pic:nvPicPr>
                  <pic:blipFill>
                    <a:blip r:embed="rId14"/>
                    <a:stretch>
                      <a:fillRect/>
                    </a:stretch>
                  </pic:blipFill>
                  <pic:spPr>
                    <a:xfrm>
                      <a:off x="0" y="0"/>
                      <a:ext cx="5960110" cy="3721100"/>
                    </a:xfrm>
                    <a:prstGeom prst="rect">
                      <a:avLst/>
                    </a:prstGeom>
                  </pic:spPr>
                </pic:pic>
              </a:graphicData>
            </a:graphic>
          </wp:inline>
        </w:drawing>
      </w:r>
    </w:p>
    <w:p w14:paraId="2CB2EFA0" w14:textId="700E3533" w:rsidR="005128D3" w:rsidRDefault="005128D3">
      <w:pPr>
        <w:spacing w:before="80" w:after="160" w:line="360" w:lineRule="auto"/>
        <w:jc w:val="both"/>
      </w:pPr>
      <w:r>
        <w:t xml:space="preserve">                  Source from FSB </w:t>
      </w:r>
      <w:r w:rsidR="005E2BC4">
        <w:t xml:space="preserve">case study </w:t>
      </w:r>
    </w:p>
    <w:p w14:paraId="74721FA0" w14:textId="77777777" w:rsidR="005128D3" w:rsidRDefault="005128D3">
      <w:pPr>
        <w:pStyle w:val="Heading2"/>
        <w:rPr>
          <w:color w:val="000000" w:themeColor="text1"/>
        </w:rPr>
      </w:pPr>
    </w:p>
    <w:p w14:paraId="40365E79" w14:textId="77777777" w:rsidR="005128D3" w:rsidRDefault="005128D3">
      <w:pPr>
        <w:pStyle w:val="Heading2"/>
        <w:rPr>
          <w:color w:val="000000" w:themeColor="text1"/>
        </w:rPr>
      </w:pPr>
    </w:p>
    <w:p w14:paraId="3DDB8B42" w14:textId="77777777" w:rsidR="005128D3" w:rsidRDefault="005128D3">
      <w:pPr>
        <w:pStyle w:val="Heading2"/>
        <w:rPr>
          <w:color w:val="000000" w:themeColor="text1"/>
        </w:rPr>
      </w:pPr>
    </w:p>
    <w:p w14:paraId="1ADA0724" w14:textId="00D31BBB" w:rsidR="00642A87" w:rsidRPr="00762B8F" w:rsidRDefault="00000000">
      <w:pPr>
        <w:pStyle w:val="Heading2"/>
        <w:rPr>
          <w:color w:val="000000" w:themeColor="text1"/>
        </w:rPr>
      </w:pPr>
      <w:r w:rsidRPr="00762B8F">
        <w:rPr>
          <w:color w:val="000000" w:themeColor="text1"/>
        </w:rPr>
        <w:t xml:space="preserve">2.4 COBIT </w:t>
      </w:r>
      <w:r w:rsidR="00E4186D" w:rsidRPr="00762B8F">
        <w:rPr>
          <w:color w:val="000000" w:themeColor="text1"/>
        </w:rPr>
        <w:t>-</w:t>
      </w:r>
      <w:r w:rsidRPr="00762B8F">
        <w:rPr>
          <w:color w:val="000000" w:themeColor="text1"/>
        </w:rPr>
        <w:t xml:space="preserve"> Control Objectives for Information and Related Technologies</w:t>
      </w:r>
    </w:p>
    <w:p w14:paraId="3950C1FA" w14:textId="45639DC9" w:rsidR="00642A87" w:rsidRDefault="00492AA6">
      <w:pPr>
        <w:spacing w:before="80" w:after="160" w:line="360" w:lineRule="auto"/>
        <w:jc w:val="both"/>
      </w:pPr>
      <w:r>
        <w:t>COBIT focuses on IT governance — the structures, processes, and accountabilities by which an organisation's leadership directs, monitors, and evaluates the use of technology [6]. Its Evaluate, Direct, and Monitor (EDM) domain is particularly relevant to FSB: EDM01, which concerns ensuring the governance framework is properly established and maintained, provides a board-level template for formally taking ownership of information security risk [25].</w:t>
      </w:r>
    </w:p>
    <w:p w14:paraId="6A2E5BC0" w14:textId="77777777" w:rsidR="00642A87" w:rsidRDefault="00642A87">
      <w:pPr>
        <w:spacing w:before="60" w:after="60"/>
      </w:pPr>
    </w:p>
    <w:p w14:paraId="0F82BCFB" w14:textId="77777777" w:rsidR="00642A87" w:rsidRPr="005A7948" w:rsidRDefault="00000000">
      <w:pPr>
        <w:pStyle w:val="Heading1"/>
        <w:rPr>
          <w:color w:val="000000" w:themeColor="text1"/>
        </w:rPr>
      </w:pPr>
      <w:r w:rsidRPr="005A7948">
        <w:rPr>
          <w:color w:val="000000" w:themeColor="text1"/>
        </w:rPr>
        <w:t>3. Proposed Security Governance and Compliance Design for FSB</w:t>
      </w:r>
    </w:p>
    <w:p w14:paraId="25988FB3" w14:textId="77777777" w:rsidR="00642A87" w:rsidRPr="005A7948" w:rsidRDefault="00000000">
      <w:pPr>
        <w:pStyle w:val="Heading2"/>
        <w:rPr>
          <w:color w:val="000000" w:themeColor="text1"/>
        </w:rPr>
      </w:pPr>
      <w:r w:rsidRPr="005A7948">
        <w:rPr>
          <w:color w:val="000000" w:themeColor="text1"/>
        </w:rPr>
        <w:t>3.1 Design Philosophy and Architecture</w:t>
      </w:r>
    </w:p>
    <w:p w14:paraId="68CD8770" w14:textId="20ED90BE" w:rsidR="00642A87" w:rsidRDefault="00000000">
      <w:pPr>
        <w:spacing w:before="80" w:after="160" w:line="360" w:lineRule="auto"/>
        <w:jc w:val="both"/>
      </w:pPr>
      <w:r>
        <w:t>The proposed Unified Security Governance Architecture (USGA) addresses that by layering COBIT at the governance level, ISO 27001 as the ISMS core, NIST CSF as the operational framework, and ITIL as the service delivery mechanism [1]. Each layer supports and reinforces the others; none is optional.</w:t>
      </w:r>
    </w:p>
    <w:p w14:paraId="2FD1C37B" w14:textId="669F6E54" w:rsidR="00642A87" w:rsidRDefault="00000000">
      <w:pPr>
        <w:spacing w:before="80" w:after="160" w:line="360" w:lineRule="auto"/>
        <w:jc w:val="both"/>
      </w:pPr>
      <w:r>
        <w:t>those that treated security as a governance discipline from the outset, not as an IT problem to be delegated downward [27].</w:t>
      </w:r>
    </w:p>
    <w:p w14:paraId="208DB97C" w14:textId="379F3E87" w:rsidR="0014271A" w:rsidRDefault="0041028E">
      <w:pPr>
        <w:spacing w:before="80" w:after="160" w:line="360" w:lineRule="auto"/>
        <w:jc w:val="both"/>
      </w:pPr>
      <w:r w:rsidRPr="0041028E">
        <w:rPr>
          <w:noProof/>
        </w:rPr>
        <w:drawing>
          <wp:inline distT="0" distB="0" distL="0" distR="0" wp14:anchorId="732EA406" wp14:editId="57C5C94D">
            <wp:extent cx="5960110" cy="2501265"/>
            <wp:effectExtent l="0" t="0" r="2540" b="0"/>
            <wp:docPr id="1933250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3250688" name=""/>
                    <pic:cNvPicPr/>
                  </pic:nvPicPr>
                  <pic:blipFill>
                    <a:blip r:embed="rId15"/>
                    <a:stretch>
                      <a:fillRect/>
                    </a:stretch>
                  </pic:blipFill>
                  <pic:spPr>
                    <a:xfrm>
                      <a:off x="0" y="0"/>
                      <a:ext cx="5960110" cy="2501265"/>
                    </a:xfrm>
                    <a:prstGeom prst="rect">
                      <a:avLst/>
                    </a:prstGeom>
                  </pic:spPr>
                </pic:pic>
              </a:graphicData>
            </a:graphic>
          </wp:inline>
        </w:drawing>
      </w:r>
    </w:p>
    <w:p w14:paraId="7FE2A8D5" w14:textId="5E5F140E" w:rsidR="00642A87" w:rsidRDefault="00AD48C2">
      <w:pPr>
        <w:spacing w:before="180" w:after="90"/>
      </w:pPr>
      <w:r>
        <w:rPr>
          <w:b/>
          <w:bCs/>
          <w:color w:val="333333"/>
          <w:sz w:val="23"/>
          <w:szCs w:val="23"/>
        </w:rPr>
        <w:t xml:space="preserve">                    </w:t>
      </w:r>
      <w:r w:rsidR="00000000">
        <w:rPr>
          <w:b/>
          <w:bCs/>
          <w:color w:val="333333"/>
          <w:sz w:val="23"/>
          <w:szCs w:val="23"/>
        </w:rPr>
        <w:t>FSB Unified Security Governance Architecture — Framework Mapping</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100"/>
        <w:gridCol w:w="1900"/>
        <w:gridCol w:w="1900"/>
        <w:gridCol w:w="3400"/>
      </w:tblGrid>
      <w:tr w:rsidR="00642A87" w14:paraId="496D4D27" w14:textId="77777777">
        <w:trPr>
          <w:tblHeader/>
        </w:trPr>
        <w:tc>
          <w:tcPr>
            <w:tcW w:w="21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573E2A6" w14:textId="77777777" w:rsidR="00642A87" w:rsidRDefault="00000000">
            <w:r>
              <w:rPr>
                <w:b/>
                <w:bCs/>
                <w:color w:val="FFFFFF"/>
                <w:sz w:val="19"/>
                <w:szCs w:val="19"/>
              </w:rPr>
              <w:lastRenderedPageBreak/>
              <w:t>Governance Domain</w:t>
            </w:r>
          </w:p>
        </w:tc>
        <w:tc>
          <w:tcPr>
            <w:tcW w:w="19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9CACA1B" w14:textId="77777777" w:rsidR="00642A87" w:rsidRDefault="00000000">
            <w:r>
              <w:rPr>
                <w:b/>
                <w:bCs/>
                <w:color w:val="FFFFFF"/>
                <w:sz w:val="19"/>
                <w:szCs w:val="19"/>
              </w:rPr>
              <w:t>Primary Framework</w:t>
            </w:r>
          </w:p>
        </w:tc>
        <w:tc>
          <w:tcPr>
            <w:tcW w:w="19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3B83272" w14:textId="77777777" w:rsidR="00642A87" w:rsidRDefault="00000000">
            <w:r>
              <w:rPr>
                <w:b/>
                <w:bCs/>
                <w:color w:val="FFFFFF"/>
                <w:sz w:val="19"/>
                <w:szCs w:val="19"/>
              </w:rPr>
              <w:t>Supporting Framework</w:t>
            </w:r>
          </w:p>
        </w:tc>
        <w:tc>
          <w:tcPr>
            <w:tcW w:w="34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C740194" w14:textId="77777777" w:rsidR="00642A87" w:rsidRDefault="00000000">
            <w:r>
              <w:rPr>
                <w:b/>
                <w:bCs/>
                <w:color w:val="FFFFFF"/>
                <w:sz w:val="19"/>
                <w:szCs w:val="19"/>
              </w:rPr>
              <w:t>FSB Priority</w:t>
            </w:r>
          </w:p>
        </w:tc>
      </w:tr>
      <w:tr w:rsidR="00642A87" w14:paraId="668F43F7" w14:textId="77777777">
        <w:tc>
          <w:tcPr>
            <w:tcW w:w="2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135A877" w14:textId="77777777" w:rsidR="00642A87" w:rsidRDefault="00000000">
            <w:r>
              <w:rPr>
                <w:sz w:val="19"/>
                <w:szCs w:val="19"/>
              </w:rPr>
              <w:t>Strategic governance</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28C81CD" w14:textId="77777777" w:rsidR="00642A87" w:rsidRDefault="00000000">
            <w:r>
              <w:rPr>
                <w:sz w:val="19"/>
                <w:szCs w:val="19"/>
              </w:rPr>
              <w:t>COBIT 2019</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35C3B29" w14:textId="77777777" w:rsidR="00642A87" w:rsidRDefault="00000000">
            <w:r>
              <w:rPr>
                <w:sz w:val="19"/>
                <w:szCs w:val="19"/>
              </w:rPr>
              <w:t>ISO 27001</w:t>
            </w:r>
          </w:p>
        </w:tc>
        <w:tc>
          <w:tcPr>
            <w:tcW w:w="3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456873E" w14:textId="77777777" w:rsidR="00642A87" w:rsidRDefault="00000000">
            <w:r>
              <w:rPr>
                <w:sz w:val="19"/>
                <w:szCs w:val="19"/>
              </w:rPr>
              <w:t>Board accountability, risk appetite, ISSC</w:t>
            </w:r>
          </w:p>
        </w:tc>
      </w:tr>
      <w:tr w:rsidR="00642A87" w14:paraId="0AC2F961"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212F50E5" w14:textId="77777777" w:rsidR="00642A87" w:rsidRDefault="00000000">
            <w:r>
              <w:rPr>
                <w:sz w:val="19"/>
                <w:szCs w:val="19"/>
              </w:rPr>
              <w:t>Risk management</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2F3F25D4" w14:textId="77777777" w:rsidR="00642A87" w:rsidRDefault="00000000">
            <w:r>
              <w:rPr>
                <w:sz w:val="19"/>
                <w:szCs w:val="19"/>
              </w:rPr>
              <w:t>ISO 27005</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249AF82E" w14:textId="77777777" w:rsidR="00642A87" w:rsidRDefault="00000000">
            <w:r>
              <w:rPr>
                <w:sz w:val="19"/>
                <w:szCs w:val="19"/>
              </w:rPr>
              <w:t>NIST CSF (Identify)</w:t>
            </w:r>
          </w:p>
        </w:tc>
        <w:tc>
          <w:tcPr>
            <w:tcW w:w="3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82FBF18" w14:textId="77777777" w:rsidR="00642A87" w:rsidRDefault="00000000">
            <w:r>
              <w:rPr>
                <w:sz w:val="19"/>
                <w:szCs w:val="19"/>
              </w:rPr>
              <w:t>Cloud, BYOD, third-party, insider threat</w:t>
            </w:r>
          </w:p>
        </w:tc>
      </w:tr>
      <w:tr w:rsidR="00642A87" w14:paraId="7BFA058F" w14:textId="77777777">
        <w:tc>
          <w:tcPr>
            <w:tcW w:w="2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4E5A2CD" w14:textId="77777777" w:rsidR="00642A87" w:rsidRDefault="00000000">
            <w:r>
              <w:rPr>
                <w:sz w:val="19"/>
                <w:szCs w:val="19"/>
              </w:rPr>
              <w:t>Security operations</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28A384E4" w14:textId="77777777" w:rsidR="00642A87" w:rsidRDefault="00000000">
            <w:r>
              <w:rPr>
                <w:sz w:val="19"/>
                <w:szCs w:val="19"/>
              </w:rPr>
              <w:t>NIST CSF</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242DE064" w14:textId="77777777" w:rsidR="00642A87" w:rsidRDefault="00000000">
            <w:r>
              <w:rPr>
                <w:sz w:val="19"/>
                <w:szCs w:val="19"/>
              </w:rPr>
              <w:t>ITIL 4</w:t>
            </w:r>
          </w:p>
        </w:tc>
        <w:tc>
          <w:tcPr>
            <w:tcW w:w="3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F0633B3" w14:textId="77777777" w:rsidR="00642A87" w:rsidRDefault="00000000">
            <w:r>
              <w:rPr>
                <w:sz w:val="19"/>
                <w:szCs w:val="19"/>
              </w:rPr>
              <w:t>Threat detection, incident response, SOC</w:t>
            </w:r>
          </w:p>
        </w:tc>
      </w:tr>
      <w:tr w:rsidR="00642A87" w14:paraId="3A1B7D6C"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41B42D3E" w14:textId="77777777" w:rsidR="00642A87" w:rsidRDefault="00000000">
            <w:r>
              <w:rPr>
                <w:sz w:val="19"/>
                <w:szCs w:val="19"/>
              </w:rPr>
              <w:t>Compliance &amp; audit</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8388BC0" w14:textId="77777777" w:rsidR="00642A87" w:rsidRDefault="00000000">
            <w:r>
              <w:rPr>
                <w:sz w:val="19"/>
                <w:szCs w:val="19"/>
              </w:rPr>
              <w:t>ISO 27001</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C5611A0" w14:textId="77777777" w:rsidR="00642A87" w:rsidRDefault="00000000">
            <w:r>
              <w:rPr>
                <w:sz w:val="19"/>
                <w:szCs w:val="19"/>
              </w:rPr>
              <w:t>COBIT MEA</w:t>
            </w:r>
          </w:p>
        </w:tc>
        <w:tc>
          <w:tcPr>
            <w:tcW w:w="3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CEF0EE7" w14:textId="77777777" w:rsidR="00642A87" w:rsidRDefault="00000000">
            <w:r>
              <w:rPr>
                <w:sz w:val="19"/>
                <w:szCs w:val="19"/>
              </w:rPr>
              <w:t>GDPR, UK GDPR, FCA, PCI DSS</w:t>
            </w:r>
          </w:p>
        </w:tc>
      </w:tr>
      <w:tr w:rsidR="00167362" w14:paraId="6EB3D6F6"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9CF74E6" w14:textId="77777777" w:rsidR="00167362" w:rsidRDefault="00167362">
            <w:pPr>
              <w:rPr>
                <w:sz w:val="19"/>
                <w:szCs w:val="19"/>
              </w:rPr>
            </w:pPr>
          </w:p>
          <w:p w14:paraId="4E755054" w14:textId="77777777" w:rsidR="00167362" w:rsidRDefault="00167362">
            <w:pPr>
              <w:rPr>
                <w:sz w:val="19"/>
                <w:szCs w:val="19"/>
              </w:rPr>
            </w:pP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597751F" w14:textId="77777777" w:rsidR="00167362" w:rsidRDefault="00167362">
            <w:pPr>
              <w:rPr>
                <w:sz w:val="19"/>
                <w:szCs w:val="19"/>
              </w:rPr>
            </w:pP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1E74C822" w14:textId="77777777" w:rsidR="00167362" w:rsidRDefault="00167362">
            <w:pPr>
              <w:rPr>
                <w:sz w:val="19"/>
                <w:szCs w:val="19"/>
              </w:rPr>
            </w:pPr>
          </w:p>
        </w:tc>
        <w:tc>
          <w:tcPr>
            <w:tcW w:w="3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12E77BA" w14:textId="77777777" w:rsidR="00167362" w:rsidRDefault="00167362">
            <w:pPr>
              <w:rPr>
                <w:sz w:val="19"/>
                <w:szCs w:val="19"/>
              </w:rPr>
            </w:pPr>
          </w:p>
        </w:tc>
      </w:tr>
      <w:tr w:rsidR="00642A87" w14:paraId="59C56FBE" w14:textId="77777777">
        <w:tc>
          <w:tcPr>
            <w:tcW w:w="2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4BA77957" w14:textId="77777777" w:rsidR="00642A87" w:rsidRDefault="00000000">
            <w:r>
              <w:rPr>
                <w:sz w:val="19"/>
                <w:szCs w:val="19"/>
              </w:rPr>
              <w:t>Service management</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2E6E807" w14:textId="77777777" w:rsidR="00642A87" w:rsidRDefault="00000000">
            <w:r>
              <w:rPr>
                <w:sz w:val="19"/>
                <w:szCs w:val="19"/>
              </w:rPr>
              <w:t>ITIL 4</w:t>
            </w:r>
          </w:p>
        </w:tc>
        <w:tc>
          <w:tcPr>
            <w:tcW w:w="19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1F604430" w14:textId="77777777" w:rsidR="00642A87" w:rsidRDefault="00000000">
            <w:r>
              <w:rPr>
                <w:sz w:val="19"/>
                <w:szCs w:val="19"/>
              </w:rPr>
              <w:t>COBIT DSS</w:t>
            </w:r>
          </w:p>
        </w:tc>
        <w:tc>
          <w:tcPr>
            <w:tcW w:w="3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4B24B1CA" w14:textId="77777777" w:rsidR="00642A87" w:rsidRDefault="00000000">
            <w:r>
              <w:rPr>
                <w:sz w:val="19"/>
                <w:szCs w:val="19"/>
              </w:rPr>
              <w:t>SLAs, supplier management, vendor review</w:t>
            </w:r>
          </w:p>
        </w:tc>
      </w:tr>
      <w:tr w:rsidR="00642A87" w14:paraId="471F4A60"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65CB24E" w14:textId="77777777" w:rsidR="00642A87" w:rsidRDefault="00000000">
            <w:r>
              <w:rPr>
                <w:sz w:val="19"/>
                <w:szCs w:val="19"/>
              </w:rPr>
              <w:t>Continuity &amp; recovery</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2D310B7E" w14:textId="77777777" w:rsidR="00642A87" w:rsidRDefault="00000000">
            <w:r>
              <w:rPr>
                <w:sz w:val="19"/>
                <w:szCs w:val="19"/>
              </w:rPr>
              <w:t>ISO 22301</w:t>
            </w: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4D929A3E" w14:textId="77777777" w:rsidR="00642A87" w:rsidRDefault="00000000">
            <w:r>
              <w:rPr>
                <w:sz w:val="19"/>
                <w:szCs w:val="19"/>
              </w:rPr>
              <w:t>NIST CSF (Recover)</w:t>
            </w:r>
          </w:p>
        </w:tc>
        <w:tc>
          <w:tcPr>
            <w:tcW w:w="3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C342294" w14:textId="77777777" w:rsidR="00642A87" w:rsidRDefault="00000000">
            <w:r>
              <w:rPr>
                <w:sz w:val="19"/>
                <w:szCs w:val="19"/>
              </w:rPr>
              <w:t>BIA, RTO/RPO, DR testing, tabletop exercises</w:t>
            </w:r>
          </w:p>
        </w:tc>
      </w:tr>
      <w:tr w:rsidR="00167362" w14:paraId="084D1988" w14:textId="77777777">
        <w:tc>
          <w:tcPr>
            <w:tcW w:w="2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1779ACBE" w14:textId="77777777" w:rsidR="00167362" w:rsidRDefault="00167362">
            <w:pPr>
              <w:rPr>
                <w:sz w:val="19"/>
                <w:szCs w:val="19"/>
              </w:rPr>
            </w:pP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1E4A3DB" w14:textId="77777777" w:rsidR="00167362" w:rsidRDefault="00167362">
            <w:pPr>
              <w:rPr>
                <w:sz w:val="19"/>
                <w:szCs w:val="19"/>
              </w:rPr>
            </w:pPr>
          </w:p>
        </w:tc>
        <w:tc>
          <w:tcPr>
            <w:tcW w:w="19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2B6ED031" w14:textId="77777777" w:rsidR="00167362" w:rsidRDefault="00167362">
            <w:pPr>
              <w:rPr>
                <w:sz w:val="19"/>
                <w:szCs w:val="19"/>
              </w:rPr>
            </w:pPr>
          </w:p>
        </w:tc>
        <w:tc>
          <w:tcPr>
            <w:tcW w:w="3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535B427" w14:textId="77777777" w:rsidR="00167362" w:rsidRDefault="00167362">
            <w:pPr>
              <w:rPr>
                <w:sz w:val="19"/>
                <w:szCs w:val="19"/>
              </w:rPr>
            </w:pPr>
          </w:p>
        </w:tc>
      </w:tr>
    </w:tbl>
    <w:p w14:paraId="16753113" w14:textId="77777777" w:rsidR="00642A87" w:rsidRPr="002375A8" w:rsidRDefault="00000000">
      <w:pPr>
        <w:spacing w:before="30" w:after="160"/>
        <w:jc w:val="center"/>
        <w:rPr>
          <w:rFonts w:asciiTheme="minorHAnsi" w:hAnsiTheme="minorHAnsi"/>
          <w:color w:val="555555"/>
          <w:sz w:val="20"/>
          <w:szCs w:val="20"/>
        </w:rPr>
      </w:pPr>
      <w:r w:rsidRPr="002375A8">
        <w:rPr>
          <w:rFonts w:asciiTheme="minorHAnsi" w:hAnsiTheme="minorHAnsi"/>
          <w:color w:val="555555"/>
          <w:sz w:val="20"/>
          <w:szCs w:val="20"/>
        </w:rPr>
        <w:t>Table 1: FSB Unified Security Governance Architecture — Framework Mapping</w:t>
      </w:r>
    </w:p>
    <w:p w14:paraId="099C38F2" w14:textId="77777777" w:rsidR="00AF3795" w:rsidRPr="002375A8" w:rsidRDefault="00AF3795">
      <w:pPr>
        <w:spacing w:before="30" w:after="160"/>
        <w:jc w:val="center"/>
        <w:rPr>
          <w:rFonts w:asciiTheme="minorHAnsi" w:hAnsiTheme="minorHAnsi"/>
          <w:sz w:val="20"/>
          <w:szCs w:val="20"/>
        </w:rPr>
      </w:pPr>
    </w:p>
    <w:p w14:paraId="28E86478" w14:textId="10D93653" w:rsidR="00642A87" w:rsidRDefault="00642A87">
      <w:pPr>
        <w:spacing w:before="60" w:after="60"/>
      </w:pPr>
    </w:p>
    <w:p w14:paraId="76631CC4" w14:textId="77777777" w:rsidR="00642A87" w:rsidRPr="005A7948" w:rsidRDefault="00000000">
      <w:pPr>
        <w:pStyle w:val="Heading2"/>
        <w:rPr>
          <w:color w:val="000000" w:themeColor="text1"/>
        </w:rPr>
      </w:pPr>
      <w:r w:rsidRPr="005A7948">
        <w:rPr>
          <w:color w:val="000000" w:themeColor="text1"/>
        </w:rPr>
        <w:t>3.2 Governance, Strategic Planning, and Policy</w:t>
      </w:r>
    </w:p>
    <w:p w14:paraId="53538EDA" w14:textId="4E3ADB92" w:rsidR="00642A87" w:rsidRDefault="002B30A5">
      <w:pPr>
        <w:spacing w:before="80" w:after="160" w:line="360" w:lineRule="auto"/>
        <w:jc w:val="both"/>
      </w:pPr>
      <w:r>
        <w:t>Governance without accountability is just documentation. For FSB, effective governance involves creating structures where individuals at the top are responsible for security outcomes. This includes an Information Security Steering Committee (ISSC), chaired by a well-resourced CISO and with representatives from the board, legal, operations, and technology, which meets quarterly to review risk, compliance, and threats [6]. The COBIT EDM01 goal emphasizes that governance frameworks—policies, structures, and processes for IT decisions—must be formally evaluated and overseen by leadership [25].</w:t>
      </w:r>
    </w:p>
    <w:p w14:paraId="479C2094" w14:textId="212C393A" w:rsidR="00642A87" w:rsidRDefault="00B832DE">
      <w:pPr>
        <w:spacing w:before="80" w:after="160" w:line="360" w:lineRule="auto"/>
        <w:jc w:val="both"/>
      </w:pPr>
      <w:r>
        <w:t xml:space="preserve">Policy hierarchy is crucial, with a board-approved Information Security Policy at the top outlining the organisation's risk tolerance. Below are domain-specific policies covering BYOD, cloud security, data classification, authentication, incident response, and acceptable use. The BYOD issue is urgent, as unmanaged personal devices connecting to FSB's cloud are uncontrolled entry points. Devices must </w:t>
      </w:r>
      <w:proofErr w:type="spellStart"/>
      <w:r>
        <w:t>enroll</w:t>
      </w:r>
      <w:proofErr w:type="spellEnd"/>
      <w:r>
        <w:t xml:space="preserve"> in MDM, meet security standards like full-disk encryption, current OS patches, lock screens, and remote wipe capabilities.</w:t>
      </w:r>
    </w:p>
    <w:p w14:paraId="740FE50F" w14:textId="5D311E43" w:rsidR="0010019C" w:rsidRDefault="0010019C">
      <w:pPr>
        <w:spacing w:before="80" w:after="160" w:line="360" w:lineRule="auto"/>
        <w:jc w:val="both"/>
      </w:pPr>
      <w:r>
        <w:rPr>
          <w:noProof/>
        </w:rPr>
        <w:lastRenderedPageBreak/>
        <w:drawing>
          <wp:inline distT="0" distB="0" distL="0" distR="0" wp14:anchorId="29A3A401" wp14:editId="374A6759">
            <wp:extent cx="5960110" cy="3937635"/>
            <wp:effectExtent l="0" t="0" r="2540" b="5715"/>
            <wp:docPr id="19339821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960110" cy="3937635"/>
                    </a:xfrm>
                    <a:prstGeom prst="rect">
                      <a:avLst/>
                    </a:prstGeom>
                    <a:noFill/>
                    <a:ln>
                      <a:noFill/>
                    </a:ln>
                  </pic:spPr>
                </pic:pic>
              </a:graphicData>
            </a:graphic>
          </wp:inline>
        </w:drawing>
      </w:r>
    </w:p>
    <w:p w14:paraId="6DC8946A" w14:textId="21C337B5" w:rsidR="00B337B0" w:rsidRDefault="00B337B0">
      <w:pPr>
        <w:spacing w:before="80" w:after="160" w:line="360" w:lineRule="auto"/>
        <w:jc w:val="both"/>
      </w:pPr>
      <w:r>
        <w:t xml:space="preserve">              </w:t>
      </w:r>
      <w:r w:rsidR="00573C76">
        <w:t xml:space="preserve">                        </w:t>
      </w:r>
      <w:r>
        <w:t xml:space="preserve"> Source from FSB </w:t>
      </w:r>
      <w:r w:rsidR="00573C76">
        <w:t xml:space="preserve">case study </w:t>
      </w:r>
    </w:p>
    <w:p w14:paraId="620BC6FD" w14:textId="478919FC" w:rsidR="000722F3" w:rsidRDefault="00343F79">
      <w:pPr>
        <w:spacing w:before="80" w:after="160" w:line="360" w:lineRule="auto"/>
        <w:jc w:val="both"/>
      </w:pPr>
      <w:r w:rsidRPr="00343F79">
        <w:rPr>
          <w:noProof/>
        </w:rPr>
        <w:lastRenderedPageBreak/>
        <w:drawing>
          <wp:inline distT="0" distB="0" distL="0" distR="0" wp14:anchorId="71B6B754" wp14:editId="48754F20">
            <wp:extent cx="5608405" cy="4526280"/>
            <wp:effectExtent l="0" t="0" r="0" b="7620"/>
            <wp:docPr id="12214370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1437047" name=""/>
                    <pic:cNvPicPr/>
                  </pic:nvPicPr>
                  <pic:blipFill>
                    <a:blip r:embed="rId17"/>
                    <a:stretch>
                      <a:fillRect/>
                    </a:stretch>
                  </pic:blipFill>
                  <pic:spPr>
                    <a:xfrm>
                      <a:off x="0" y="0"/>
                      <a:ext cx="5623374" cy="4538361"/>
                    </a:xfrm>
                    <a:prstGeom prst="rect">
                      <a:avLst/>
                    </a:prstGeom>
                  </pic:spPr>
                </pic:pic>
              </a:graphicData>
            </a:graphic>
          </wp:inline>
        </w:drawing>
      </w:r>
    </w:p>
    <w:p w14:paraId="7F00A412" w14:textId="4FEF54D5" w:rsidR="00573C76" w:rsidRDefault="00573C76">
      <w:pPr>
        <w:spacing w:before="80" w:after="160" w:line="360" w:lineRule="auto"/>
        <w:jc w:val="both"/>
      </w:pPr>
      <w:r>
        <w:t xml:space="preserve">                           FSB official </w:t>
      </w:r>
      <w:r w:rsidR="00DB3211">
        <w:t xml:space="preserve">government and hierarchy </w:t>
      </w:r>
    </w:p>
    <w:p w14:paraId="3B40B854" w14:textId="648EB8DF" w:rsidR="008E7AC5" w:rsidRDefault="008E7AC5">
      <w:pPr>
        <w:spacing w:before="80" w:after="160" w:line="360" w:lineRule="auto"/>
        <w:jc w:val="both"/>
      </w:pPr>
      <w:r w:rsidRPr="008E7AC5">
        <w:rPr>
          <w:noProof/>
        </w:rPr>
        <w:lastRenderedPageBreak/>
        <w:drawing>
          <wp:inline distT="0" distB="0" distL="0" distR="0" wp14:anchorId="52572F35" wp14:editId="2DC89EB0">
            <wp:extent cx="5960110" cy="6620510"/>
            <wp:effectExtent l="0" t="0" r="2540" b="8890"/>
            <wp:docPr id="60935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9351317" name=""/>
                    <pic:cNvPicPr/>
                  </pic:nvPicPr>
                  <pic:blipFill>
                    <a:blip r:embed="rId18"/>
                    <a:stretch>
                      <a:fillRect/>
                    </a:stretch>
                  </pic:blipFill>
                  <pic:spPr>
                    <a:xfrm>
                      <a:off x="0" y="0"/>
                      <a:ext cx="5960110" cy="6620510"/>
                    </a:xfrm>
                    <a:prstGeom prst="rect">
                      <a:avLst/>
                    </a:prstGeom>
                  </pic:spPr>
                </pic:pic>
              </a:graphicData>
            </a:graphic>
          </wp:inline>
        </w:drawing>
      </w:r>
    </w:p>
    <w:p w14:paraId="5961E2EA" w14:textId="2411F343" w:rsidR="00AB6104" w:rsidRDefault="00AB6104">
      <w:pPr>
        <w:spacing w:before="80" w:after="160" w:line="360" w:lineRule="auto"/>
        <w:jc w:val="both"/>
      </w:pPr>
      <w:r>
        <w:t xml:space="preserve">                                       FSB official government site </w:t>
      </w:r>
    </w:p>
    <w:p w14:paraId="21F52266" w14:textId="43207B66" w:rsidR="00F152E7" w:rsidRDefault="00E21C03">
      <w:pPr>
        <w:spacing w:before="80" w:after="160" w:line="360" w:lineRule="auto"/>
        <w:jc w:val="both"/>
      </w:pPr>
      <w:r w:rsidRPr="00E21C03">
        <w:lastRenderedPageBreak/>
        <w:drawing>
          <wp:inline distT="0" distB="0" distL="0" distR="0" wp14:anchorId="502ADDE2" wp14:editId="15B4430B">
            <wp:extent cx="5960110" cy="3528695"/>
            <wp:effectExtent l="0" t="0" r="2540" b="0"/>
            <wp:docPr id="20773844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7384490" name=""/>
                    <pic:cNvPicPr/>
                  </pic:nvPicPr>
                  <pic:blipFill>
                    <a:blip r:embed="rId19"/>
                    <a:stretch>
                      <a:fillRect/>
                    </a:stretch>
                  </pic:blipFill>
                  <pic:spPr>
                    <a:xfrm>
                      <a:off x="0" y="0"/>
                      <a:ext cx="5960110" cy="3528695"/>
                    </a:xfrm>
                    <a:prstGeom prst="rect">
                      <a:avLst/>
                    </a:prstGeom>
                  </pic:spPr>
                </pic:pic>
              </a:graphicData>
            </a:graphic>
          </wp:inline>
        </w:drawing>
      </w:r>
    </w:p>
    <w:p w14:paraId="56CCD222" w14:textId="277F3168" w:rsidR="00B7479C" w:rsidRDefault="00B7479C">
      <w:pPr>
        <w:spacing w:before="80" w:after="160" w:line="360" w:lineRule="auto"/>
        <w:jc w:val="both"/>
      </w:pPr>
      <w:r>
        <w:t xml:space="preserve">                Source FSB official site and </w:t>
      </w:r>
      <w:r w:rsidR="00612CC1">
        <w:t>use Python</w:t>
      </w:r>
      <w:r>
        <w:t xml:space="preserve"> to create this screenshot </w:t>
      </w:r>
    </w:p>
    <w:p w14:paraId="4B9AB05F" w14:textId="77777777" w:rsidR="00642A87" w:rsidRPr="009E1BD7" w:rsidRDefault="00000000">
      <w:pPr>
        <w:pStyle w:val="Heading2"/>
        <w:rPr>
          <w:color w:val="000000" w:themeColor="text1"/>
        </w:rPr>
      </w:pPr>
      <w:r w:rsidRPr="009E1BD7">
        <w:rPr>
          <w:color w:val="000000" w:themeColor="text1"/>
        </w:rPr>
        <w:t>3.3 Risk Management</w:t>
      </w:r>
    </w:p>
    <w:p w14:paraId="086D07DA" w14:textId="3AB42728" w:rsidR="00642A87" w:rsidRDefault="00987657">
      <w:pPr>
        <w:spacing w:before="80" w:after="160" w:line="360" w:lineRule="auto"/>
        <w:jc w:val="both"/>
      </w:pPr>
      <w:r>
        <w:t xml:space="preserve">Effective risk management is an ongoing cycle, not a one-time audit. ISO 27005 offers a methodological framework for establishing context, asset management, threat and vulnerability analysis, risk evaluation, treatment, and monitoring [24]. Combined with NIST CSF's Identify function, which handles asset inventory, threat </w:t>
      </w:r>
      <w:proofErr w:type="spellStart"/>
      <w:r>
        <w:t>modeling</w:t>
      </w:r>
      <w:proofErr w:type="spellEnd"/>
      <w:r>
        <w:t>, and vulnerability detection, this creates a comprehensive risk process for FSB with clear ownership and escalation paths. Each risk requires an owner, a treatment plan, a review schedule, and a way to report residual risks to the ISSC [24].</w:t>
      </w:r>
    </w:p>
    <w:p w14:paraId="59D2F9C8" w14:textId="77777777" w:rsidR="00642A87" w:rsidRDefault="00642A87">
      <w:pPr>
        <w:spacing w:before="60" w:after="60"/>
      </w:pPr>
    </w:p>
    <w:p w14:paraId="0DC5415B" w14:textId="77777777" w:rsidR="00642A87" w:rsidRDefault="00000000">
      <w:pPr>
        <w:spacing w:before="180" w:after="90"/>
      </w:pPr>
      <w:r>
        <w:rPr>
          <w:b/>
          <w:bCs/>
          <w:color w:val="333333"/>
          <w:sz w:val="23"/>
          <w:szCs w:val="23"/>
        </w:rPr>
        <w:t>Table 2: FSB Risk Register — Illustrative Top Risks</w:t>
      </w:r>
    </w:p>
    <w:tbl>
      <w:tblPr>
        <w:tblW w:w="93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376"/>
        <w:gridCol w:w="1210"/>
        <w:gridCol w:w="996"/>
        <w:gridCol w:w="1092"/>
        <w:gridCol w:w="3626"/>
      </w:tblGrid>
      <w:tr w:rsidR="00642A87" w14:paraId="3A83A6FC" w14:textId="77777777">
        <w:trPr>
          <w:tblHeader/>
        </w:trPr>
        <w:tc>
          <w:tcPr>
            <w:tcW w:w="24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6368EF69" w14:textId="77777777" w:rsidR="00642A87" w:rsidRDefault="00000000">
            <w:r>
              <w:rPr>
                <w:b/>
                <w:bCs/>
                <w:color w:val="FFFFFF"/>
                <w:sz w:val="19"/>
                <w:szCs w:val="19"/>
              </w:rPr>
              <w:t>Risk</w:t>
            </w:r>
          </w:p>
        </w:tc>
        <w:tc>
          <w:tcPr>
            <w:tcW w:w="11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4BB5878E" w14:textId="77777777" w:rsidR="00642A87" w:rsidRDefault="00000000">
            <w:r>
              <w:rPr>
                <w:b/>
                <w:bCs/>
                <w:color w:val="FFFFFF"/>
                <w:sz w:val="19"/>
                <w:szCs w:val="19"/>
              </w:rPr>
              <w:t>Likelihood</w:t>
            </w:r>
          </w:p>
        </w:tc>
        <w:tc>
          <w:tcPr>
            <w:tcW w:w="10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0E1E2875" w14:textId="77777777" w:rsidR="00642A87" w:rsidRDefault="00000000">
            <w:r>
              <w:rPr>
                <w:b/>
                <w:bCs/>
                <w:color w:val="FFFFFF"/>
                <w:sz w:val="19"/>
                <w:szCs w:val="19"/>
              </w:rPr>
              <w:t>Impact</w:t>
            </w:r>
          </w:p>
        </w:tc>
        <w:tc>
          <w:tcPr>
            <w:tcW w:w="11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3602CA20" w14:textId="77777777" w:rsidR="00642A87" w:rsidRDefault="00000000">
            <w:r>
              <w:rPr>
                <w:b/>
                <w:bCs/>
                <w:color w:val="FFFFFF"/>
                <w:sz w:val="19"/>
                <w:szCs w:val="19"/>
              </w:rPr>
              <w:t>Rating</w:t>
            </w:r>
          </w:p>
        </w:tc>
        <w:tc>
          <w:tcPr>
            <w:tcW w:w="3700" w:type="dxa"/>
            <w:tcBorders>
              <w:top w:val="single" w:sz="1" w:space="0" w:color="1F5C99"/>
              <w:left w:val="single" w:sz="1" w:space="0" w:color="1F5C99"/>
              <w:bottom w:val="single" w:sz="1" w:space="0" w:color="1F5C99"/>
              <w:right w:val="single" w:sz="1" w:space="0" w:color="1F5C99"/>
            </w:tcBorders>
            <w:shd w:val="clear" w:color="auto" w:fill="1F5C99"/>
            <w:tcMar>
              <w:top w:w="90" w:type="dxa"/>
              <w:left w:w="130" w:type="dxa"/>
              <w:bottom w:w="90" w:type="dxa"/>
              <w:right w:w="130" w:type="dxa"/>
            </w:tcMar>
          </w:tcPr>
          <w:p w14:paraId="2410FB41" w14:textId="77777777" w:rsidR="00642A87" w:rsidRDefault="00000000">
            <w:r>
              <w:rPr>
                <w:b/>
                <w:bCs/>
                <w:color w:val="FFFFFF"/>
                <w:sz w:val="19"/>
                <w:szCs w:val="19"/>
              </w:rPr>
              <w:t>Treatment</w:t>
            </w:r>
          </w:p>
        </w:tc>
      </w:tr>
      <w:tr w:rsidR="00642A87" w14:paraId="102868DB" w14:textId="77777777">
        <w:tc>
          <w:tcPr>
            <w:tcW w:w="2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7A9D821" w14:textId="77777777" w:rsidR="00642A87" w:rsidRDefault="00000000">
            <w:r>
              <w:rPr>
                <w:sz w:val="19"/>
                <w:szCs w:val="19"/>
              </w:rPr>
              <w:t>Unauthorised BYOD access</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9D547DF" w14:textId="77777777" w:rsidR="00642A87" w:rsidRDefault="00000000">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63326B5" w14:textId="77777777" w:rsidR="00642A87" w:rsidRDefault="00000000">
            <w:r>
              <w:rPr>
                <w:sz w:val="19"/>
                <w:szCs w:val="19"/>
              </w:rPr>
              <w:t>Critical</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360A86C" w14:textId="77777777" w:rsidR="00642A87" w:rsidRDefault="00000000">
            <w:r>
              <w:rPr>
                <w:sz w:val="19"/>
                <w:szCs w:val="19"/>
              </w:rPr>
              <w:t>Critical</w:t>
            </w:r>
          </w:p>
        </w:tc>
        <w:tc>
          <w:tcPr>
            <w:tcW w:w="37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5E2A19B0" w14:textId="77777777" w:rsidR="00642A87" w:rsidRDefault="00000000">
            <w:r>
              <w:rPr>
                <w:sz w:val="19"/>
                <w:szCs w:val="19"/>
              </w:rPr>
              <w:t>MDM enrolment, NAC, mandatory MFA</w:t>
            </w:r>
          </w:p>
        </w:tc>
      </w:tr>
      <w:tr w:rsidR="00642A87" w14:paraId="54A8EFB5" w14:textId="77777777">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794B4CF5" w14:textId="77777777" w:rsidR="00642A87" w:rsidRDefault="00000000">
            <w:r>
              <w:rPr>
                <w:sz w:val="19"/>
                <w:szCs w:val="19"/>
              </w:rPr>
              <w:t>Third-party / supply chain breach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8D44412" w14:textId="77777777" w:rsidR="00642A87" w:rsidRDefault="00000000">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244441F" w14:textId="77777777" w:rsidR="00642A87" w:rsidRDefault="00000000">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FF65471" w14:textId="77777777" w:rsidR="00642A87" w:rsidRDefault="00000000">
            <w:r>
              <w:rPr>
                <w:sz w:val="19"/>
                <w:szCs w:val="19"/>
              </w:rPr>
              <w:t>High</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8126491" w14:textId="77777777" w:rsidR="00642A87" w:rsidRDefault="00000000">
            <w:r>
              <w:rPr>
                <w:sz w:val="19"/>
                <w:szCs w:val="19"/>
              </w:rPr>
              <w:t>Vendor risk assessments, right to audit, contractual SLAs</w:t>
            </w:r>
          </w:p>
        </w:tc>
      </w:tr>
      <w:tr w:rsidR="00642A87" w14:paraId="432BC60F" w14:textId="77777777">
        <w:tc>
          <w:tcPr>
            <w:tcW w:w="2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000D535" w14:textId="77777777" w:rsidR="00642A87" w:rsidRDefault="00000000">
            <w:r>
              <w:rPr>
                <w:sz w:val="19"/>
                <w:szCs w:val="19"/>
              </w:rPr>
              <w:t>Cloud misconfiguration</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B004604" w14:textId="77777777" w:rsidR="00642A87" w:rsidRDefault="00000000">
            <w:r>
              <w:rPr>
                <w:sz w:val="19"/>
                <w:szCs w:val="19"/>
              </w:rPr>
              <w:t>High</w:t>
            </w:r>
          </w:p>
        </w:tc>
        <w:tc>
          <w:tcPr>
            <w:tcW w:w="10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48AF9B9" w14:textId="77777777" w:rsidR="00642A87" w:rsidRDefault="00000000">
            <w:r>
              <w:rPr>
                <w:sz w:val="19"/>
                <w:szCs w:val="19"/>
              </w:rPr>
              <w:t>High</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29AE1D5" w14:textId="77777777" w:rsidR="00642A87" w:rsidRDefault="00000000">
            <w:r>
              <w:rPr>
                <w:sz w:val="19"/>
                <w:szCs w:val="19"/>
              </w:rPr>
              <w:t>Critical</w:t>
            </w:r>
          </w:p>
        </w:tc>
        <w:tc>
          <w:tcPr>
            <w:tcW w:w="37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AD687FC" w14:textId="77777777" w:rsidR="00642A87" w:rsidRDefault="00000000">
            <w:r>
              <w:rPr>
                <w:sz w:val="19"/>
                <w:szCs w:val="19"/>
              </w:rPr>
              <w:t xml:space="preserve">CSPM tooling, </w:t>
            </w:r>
            <w:proofErr w:type="spellStart"/>
            <w:r>
              <w:rPr>
                <w:sz w:val="19"/>
                <w:szCs w:val="19"/>
              </w:rPr>
              <w:t>IaC</w:t>
            </w:r>
            <w:proofErr w:type="spellEnd"/>
            <w:r>
              <w:rPr>
                <w:sz w:val="19"/>
                <w:szCs w:val="19"/>
              </w:rPr>
              <w:t xml:space="preserve"> scanning, cloud security baseline</w:t>
            </w:r>
          </w:p>
        </w:tc>
      </w:tr>
      <w:tr w:rsidR="00642A87" w14:paraId="0477870B" w14:textId="77777777">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0159FC81" w14:textId="77777777" w:rsidR="00642A87" w:rsidRDefault="00000000">
            <w:r>
              <w:rPr>
                <w:sz w:val="19"/>
                <w:szCs w:val="19"/>
              </w:rPr>
              <w:t>Insider threat / data exfiltration</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7438862D" w14:textId="77777777" w:rsidR="00642A87" w:rsidRDefault="00000000">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78057B9" w14:textId="77777777" w:rsidR="00642A87" w:rsidRDefault="00000000">
            <w:r>
              <w:rPr>
                <w:sz w:val="19"/>
                <w:szCs w:val="19"/>
              </w:rPr>
              <w:t>Critical</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1B21E76" w14:textId="77777777" w:rsidR="00642A87" w:rsidRDefault="00000000">
            <w:r>
              <w:rPr>
                <w:sz w:val="19"/>
                <w:szCs w:val="19"/>
              </w:rPr>
              <w:t>High</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9476EEF" w14:textId="77777777" w:rsidR="00642A87" w:rsidRDefault="00000000">
            <w:r>
              <w:rPr>
                <w:sz w:val="19"/>
                <w:szCs w:val="19"/>
              </w:rPr>
              <w:t>DLP controls, UEBA, privileged access review</w:t>
            </w:r>
          </w:p>
        </w:tc>
      </w:tr>
      <w:tr w:rsidR="00642A87" w14:paraId="53F1743A" w14:textId="77777777">
        <w:tc>
          <w:tcPr>
            <w:tcW w:w="24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788457A8" w14:textId="77777777" w:rsidR="00642A87" w:rsidRDefault="00000000">
            <w:r>
              <w:rPr>
                <w:sz w:val="19"/>
                <w:szCs w:val="19"/>
              </w:rPr>
              <w:t>Ransomware attack</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0823BDBF" w14:textId="77777777" w:rsidR="00642A87" w:rsidRDefault="00000000">
            <w:r>
              <w:rPr>
                <w:sz w:val="19"/>
                <w:szCs w:val="19"/>
              </w:rPr>
              <w:t>Medium</w:t>
            </w:r>
          </w:p>
        </w:tc>
        <w:tc>
          <w:tcPr>
            <w:tcW w:w="10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5E3309A6" w14:textId="77777777" w:rsidR="00642A87" w:rsidRDefault="00000000">
            <w:r>
              <w:rPr>
                <w:sz w:val="19"/>
                <w:szCs w:val="19"/>
              </w:rPr>
              <w:t>Critical</w:t>
            </w:r>
          </w:p>
        </w:tc>
        <w:tc>
          <w:tcPr>
            <w:tcW w:w="11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7060729" w14:textId="77777777" w:rsidR="00642A87" w:rsidRDefault="00000000">
            <w:r>
              <w:rPr>
                <w:sz w:val="19"/>
                <w:szCs w:val="19"/>
              </w:rPr>
              <w:t>High</w:t>
            </w:r>
          </w:p>
        </w:tc>
        <w:tc>
          <w:tcPr>
            <w:tcW w:w="3700" w:type="dxa"/>
            <w:tcBorders>
              <w:top w:val="single" w:sz="1" w:space="0" w:color="CCCCCC"/>
              <w:left w:val="single" w:sz="1" w:space="0" w:color="CCCCCC"/>
              <w:bottom w:val="single" w:sz="1" w:space="0" w:color="CCCCCC"/>
              <w:right w:val="single" w:sz="1" w:space="0" w:color="CCCCCC"/>
            </w:tcBorders>
            <w:shd w:val="clear" w:color="auto" w:fill="EBF3FB"/>
            <w:tcMar>
              <w:top w:w="70" w:type="dxa"/>
              <w:left w:w="130" w:type="dxa"/>
              <w:bottom w:w="70" w:type="dxa"/>
              <w:right w:w="130" w:type="dxa"/>
            </w:tcMar>
          </w:tcPr>
          <w:p w14:paraId="6D4D9246" w14:textId="77777777" w:rsidR="00642A87" w:rsidRDefault="00000000">
            <w:r>
              <w:rPr>
                <w:sz w:val="19"/>
                <w:szCs w:val="19"/>
              </w:rPr>
              <w:t>Endpoint protection, immutable backups, tested IRP</w:t>
            </w:r>
          </w:p>
        </w:tc>
      </w:tr>
      <w:tr w:rsidR="00642A87" w14:paraId="2C611F78" w14:textId="77777777">
        <w:tc>
          <w:tcPr>
            <w:tcW w:w="24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7104A504" w14:textId="77777777" w:rsidR="00642A87" w:rsidRDefault="00000000">
            <w:r>
              <w:rPr>
                <w:sz w:val="19"/>
                <w:szCs w:val="19"/>
              </w:rPr>
              <w:lastRenderedPageBreak/>
              <w:t>GDPR / regulatory non-compliance</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5A3B8363" w14:textId="77777777" w:rsidR="00642A87" w:rsidRDefault="00000000">
            <w:r>
              <w:rPr>
                <w:sz w:val="19"/>
                <w:szCs w:val="19"/>
              </w:rPr>
              <w:t>Low</w:t>
            </w:r>
          </w:p>
        </w:tc>
        <w:tc>
          <w:tcPr>
            <w:tcW w:w="10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382C4D66" w14:textId="77777777" w:rsidR="00642A87" w:rsidRDefault="00000000">
            <w:r>
              <w:rPr>
                <w:sz w:val="19"/>
                <w:szCs w:val="19"/>
              </w:rPr>
              <w:t>Critical</w:t>
            </w:r>
          </w:p>
        </w:tc>
        <w:tc>
          <w:tcPr>
            <w:tcW w:w="11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16A21321" w14:textId="77777777" w:rsidR="00642A87" w:rsidRDefault="00000000">
            <w:r>
              <w:rPr>
                <w:sz w:val="19"/>
                <w:szCs w:val="19"/>
              </w:rPr>
              <w:t>High</w:t>
            </w:r>
          </w:p>
        </w:tc>
        <w:tc>
          <w:tcPr>
            <w:tcW w:w="3700" w:type="dxa"/>
            <w:tcBorders>
              <w:top w:val="single" w:sz="1" w:space="0" w:color="CCCCCC"/>
              <w:left w:val="single" w:sz="1" w:space="0" w:color="CCCCCC"/>
              <w:bottom w:val="single" w:sz="1" w:space="0" w:color="CCCCCC"/>
              <w:right w:val="single" w:sz="1" w:space="0" w:color="CCCCCC"/>
            </w:tcBorders>
            <w:shd w:val="clear" w:color="auto" w:fill="FFFFFF"/>
            <w:tcMar>
              <w:top w:w="70" w:type="dxa"/>
              <w:left w:w="130" w:type="dxa"/>
              <w:bottom w:w="70" w:type="dxa"/>
              <w:right w:w="130" w:type="dxa"/>
            </w:tcMar>
          </w:tcPr>
          <w:p w14:paraId="62C4A0FE" w14:textId="77777777" w:rsidR="00642A87" w:rsidRDefault="00000000">
            <w:r>
              <w:rPr>
                <w:sz w:val="19"/>
                <w:szCs w:val="19"/>
              </w:rPr>
              <w:t>DPO appointment, DPIAs, 72-hour breach notification</w:t>
            </w:r>
          </w:p>
        </w:tc>
      </w:tr>
    </w:tbl>
    <w:p w14:paraId="2501075A" w14:textId="77777777" w:rsidR="00642A87" w:rsidRDefault="00000000">
      <w:pPr>
        <w:spacing w:before="30" w:after="160"/>
        <w:jc w:val="center"/>
      </w:pPr>
      <w:r>
        <w:rPr>
          <w:i/>
          <w:iCs/>
          <w:color w:val="555555"/>
          <w:sz w:val="19"/>
          <w:szCs w:val="19"/>
        </w:rPr>
        <w:t>Table 2: FSB Risk Register — Illustrative Top Risks</w:t>
      </w:r>
    </w:p>
    <w:p w14:paraId="3383C97C" w14:textId="77777777" w:rsidR="00642A87" w:rsidRDefault="00642A87">
      <w:pPr>
        <w:spacing w:before="60" w:after="60"/>
      </w:pPr>
    </w:p>
    <w:p w14:paraId="61D55FF4" w14:textId="77777777" w:rsidR="00642A87" w:rsidRDefault="00000000">
      <w:pPr>
        <w:spacing w:before="60" w:after="40"/>
        <w:jc w:val="center"/>
      </w:pPr>
      <w:r>
        <w:rPr>
          <w:noProof/>
        </w:rPr>
        <w:drawing>
          <wp:inline distT="0" distB="0" distL="0" distR="0" wp14:anchorId="01D10BAA" wp14:editId="7D03A542">
            <wp:extent cx="4152900" cy="297925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0"/>
                    <a:srcRect/>
                    <a:stretch>
                      <a:fillRect/>
                    </a:stretch>
                  </pic:blipFill>
                  <pic:spPr bwMode="auto">
                    <a:xfrm>
                      <a:off x="0" y="0"/>
                      <a:ext cx="4159174" cy="2983755"/>
                    </a:xfrm>
                    <a:prstGeom prst="rect">
                      <a:avLst/>
                    </a:prstGeom>
                  </pic:spPr>
                </pic:pic>
              </a:graphicData>
            </a:graphic>
          </wp:inline>
        </w:drawing>
      </w:r>
    </w:p>
    <w:p w14:paraId="51CEFF89" w14:textId="77777777" w:rsidR="00642A87" w:rsidRPr="00447AC8" w:rsidRDefault="00000000">
      <w:pPr>
        <w:spacing w:before="30" w:after="160"/>
        <w:jc w:val="center"/>
      </w:pPr>
      <w:r w:rsidRPr="00447AC8">
        <w:rPr>
          <w:color w:val="555555"/>
          <w:sz w:val="19"/>
          <w:szCs w:val="19"/>
        </w:rPr>
        <w:t>Figure 3: FSB Risk Heat Map — Likelihood vs Impact Assessment</w:t>
      </w:r>
    </w:p>
    <w:p w14:paraId="0D2E1A31" w14:textId="579C5A9D" w:rsidR="00642A87" w:rsidRDefault="00E31A48">
      <w:pPr>
        <w:spacing w:before="60" w:after="60"/>
      </w:pPr>
      <w:r>
        <w:rPr>
          <w:noProof/>
        </w:rPr>
        <w:drawing>
          <wp:inline distT="0" distB="0" distL="0" distR="0" wp14:anchorId="791C962B" wp14:editId="76DD6727">
            <wp:extent cx="5852160" cy="4140032"/>
            <wp:effectExtent l="0" t="0" r="0" b="0"/>
            <wp:docPr id="9026337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5855988" cy="4142740"/>
                    </a:xfrm>
                    <a:prstGeom prst="rect">
                      <a:avLst/>
                    </a:prstGeom>
                    <a:noFill/>
                    <a:ln>
                      <a:noFill/>
                    </a:ln>
                  </pic:spPr>
                </pic:pic>
              </a:graphicData>
            </a:graphic>
          </wp:inline>
        </w:drawing>
      </w:r>
    </w:p>
    <w:p w14:paraId="3CAF8119" w14:textId="1B74EDC6" w:rsidR="00642A87" w:rsidRDefault="00244F25">
      <w:pPr>
        <w:spacing w:before="80" w:after="160" w:line="360" w:lineRule="auto"/>
        <w:jc w:val="both"/>
      </w:pPr>
      <w:r>
        <w:lastRenderedPageBreak/>
        <w:t>Figure 3 visualises FSB's key risks plotted along the likelihood and impact axes. Unauthorised BYOD access and cloud misconfiguration emerge as the most critical concerns — both high-likelihood and high-impact — confirming they must be prioritised in the treatment plan. The heat map also illustrates an important principle: organisations that focus exclusively on high-likelihood risks miss catastrophic-but-less-frequent threats, such as GDPR non-compliance, which sits in the lower left but carries critical impact should it materialise [9].</w:t>
      </w:r>
    </w:p>
    <w:p w14:paraId="33F877DF" w14:textId="77777777" w:rsidR="00642A87" w:rsidRPr="005A15E2" w:rsidRDefault="00000000">
      <w:pPr>
        <w:pStyle w:val="Heading2"/>
        <w:rPr>
          <w:color w:val="000000" w:themeColor="text1"/>
        </w:rPr>
      </w:pPr>
      <w:r w:rsidRPr="005A15E2">
        <w:rPr>
          <w:color w:val="000000" w:themeColor="text1"/>
        </w:rPr>
        <w:t>3.4 Protection Mechanisms and Technical Controls</w:t>
      </w:r>
    </w:p>
    <w:p w14:paraId="3B80C588" w14:textId="03D38D9E" w:rsidR="002B695B" w:rsidRDefault="00244F25">
      <w:pPr>
        <w:spacing w:before="80" w:after="160" w:line="360" w:lineRule="auto"/>
        <w:jc w:val="both"/>
      </w:pPr>
      <w:r>
        <w:t xml:space="preserve">Technical controls must be layered across every tier of the technology stack: perimeter, network, identity, application, and data. At the perimeter, Next-Generation Firewalls (NGFWs) and Web Application Firewalls (WAFs) provide the first line of defence, while Cloud Access Security Brokers (CASBs) provide FSB with visibility and control over data flowing to and from cloud services [1]. </w:t>
      </w:r>
    </w:p>
    <w:p w14:paraId="5E1B6D0B" w14:textId="0E08FB79" w:rsidR="00642A87" w:rsidRDefault="00E23801">
      <w:pPr>
        <w:spacing w:before="80" w:after="160" w:line="360" w:lineRule="auto"/>
        <w:jc w:val="both"/>
      </w:pPr>
      <w:r>
        <w:t>Network segmentation limits the blast radius of any breach that penetrates the perimeter; Zero Trust Network Access (ZTNA) principles ensure that no user or device is implicitly trusted merely because it has authenticated once [23].</w:t>
      </w:r>
    </w:p>
    <w:p w14:paraId="5D332054" w14:textId="629FF219" w:rsidR="00642A87" w:rsidRDefault="00801FAF">
      <w:pPr>
        <w:spacing w:before="80" w:after="160" w:line="360" w:lineRule="auto"/>
        <w:jc w:val="both"/>
      </w:pPr>
      <w:r>
        <w:t>Identity now defines the perimeter. MFA should be mandatory for all privileged accounts and remote access. PAM tools must manage credentials. Data at rest should use AES-256 encryption, and data in transit should employ TLS 1.3 or higher [18]. A SIEM with UEBA provides real-time detection of anomalies from attackers or insiders before breaches [17] [23].</w:t>
      </w:r>
    </w:p>
    <w:p w14:paraId="0D6C0E7C" w14:textId="77777777" w:rsidR="00642A87" w:rsidRDefault="00000000">
      <w:pPr>
        <w:spacing w:before="60" w:after="40"/>
        <w:jc w:val="center"/>
      </w:pPr>
      <w:r>
        <w:rPr>
          <w:noProof/>
        </w:rPr>
        <w:drawing>
          <wp:inline distT="0" distB="0" distL="0" distR="0" wp14:anchorId="1C528F69" wp14:editId="26546D43">
            <wp:extent cx="4000500" cy="3667125"/>
            <wp:effectExtent l="0" t="0" r="0" b="0"/>
            <wp:docPr id="1721713358" name="Picture 17217133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2"/>
                    <a:srcRect/>
                    <a:stretch>
                      <a:fillRect/>
                    </a:stretch>
                  </pic:blipFill>
                  <pic:spPr bwMode="auto">
                    <a:xfrm>
                      <a:off x="0" y="0"/>
                      <a:ext cx="4000500" cy="3667125"/>
                    </a:xfrm>
                    <a:prstGeom prst="rect">
                      <a:avLst/>
                    </a:prstGeom>
                  </pic:spPr>
                </pic:pic>
              </a:graphicData>
            </a:graphic>
          </wp:inline>
        </w:drawing>
      </w:r>
    </w:p>
    <w:p w14:paraId="057467F8" w14:textId="77777777" w:rsidR="00642A87" w:rsidRPr="00A9068A" w:rsidRDefault="00000000">
      <w:pPr>
        <w:spacing w:before="30" w:after="160"/>
        <w:jc w:val="center"/>
      </w:pPr>
      <w:r w:rsidRPr="00A9068A">
        <w:rPr>
          <w:color w:val="555555"/>
          <w:sz w:val="19"/>
          <w:szCs w:val="19"/>
        </w:rPr>
        <w:t>Figure 4: FSB Security Maturity — Current vs Target State (scale 1–5)</w:t>
      </w:r>
    </w:p>
    <w:p w14:paraId="5DC53C0E" w14:textId="60762367" w:rsidR="00642A87" w:rsidRDefault="00F91C3A">
      <w:pPr>
        <w:spacing w:before="60" w:after="60"/>
      </w:pPr>
      <w:r>
        <w:rPr>
          <w:noProof/>
        </w:rPr>
        <w:lastRenderedPageBreak/>
        <w:drawing>
          <wp:inline distT="0" distB="0" distL="0" distR="0" wp14:anchorId="35B453A5" wp14:editId="119D06DD">
            <wp:extent cx="5960110" cy="3971290"/>
            <wp:effectExtent l="0" t="0" r="2540" b="0"/>
            <wp:docPr id="18111044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960110" cy="3971290"/>
                    </a:xfrm>
                    <a:prstGeom prst="rect">
                      <a:avLst/>
                    </a:prstGeom>
                    <a:noFill/>
                    <a:ln>
                      <a:noFill/>
                    </a:ln>
                  </pic:spPr>
                </pic:pic>
              </a:graphicData>
            </a:graphic>
          </wp:inline>
        </w:drawing>
      </w:r>
    </w:p>
    <w:p w14:paraId="32B23056" w14:textId="2C094B14" w:rsidR="00A9068A" w:rsidRDefault="00A9068A">
      <w:pPr>
        <w:spacing w:before="60" w:after="60"/>
      </w:pPr>
      <w:r>
        <w:t xml:space="preserve">                     </w:t>
      </w:r>
      <w:r w:rsidR="009926A1">
        <w:t>S</w:t>
      </w:r>
      <w:r>
        <w:t>ou</w:t>
      </w:r>
      <w:r w:rsidR="009926A1">
        <w:t xml:space="preserve">rce from FSB official case study </w:t>
      </w:r>
    </w:p>
    <w:p w14:paraId="729DD04E" w14:textId="74BF86A7" w:rsidR="00642A87" w:rsidRDefault="00A13E37">
      <w:pPr>
        <w:spacing w:before="80" w:after="160" w:line="360" w:lineRule="auto"/>
        <w:jc w:val="both"/>
      </w:pPr>
      <w:r>
        <w:t>Figure 4 shows FSB's current security maturity versus the USGA target. Gaps are largest in risk management, incident response, and business continuity, especially given the bank's cloud-first, BYOD profile. The radar chart is a practical tool for the ISSC to monitor progress, set priorities, and communicate improvements to the board in simple terms [20].</w:t>
      </w:r>
    </w:p>
    <w:p w14:paraId="2B4D3DC4" w14:textId="4D6DE6CE" w:rsidR="00642A87" w:rsidRPr="005A15E2" w:rsidRDefault="00000000">
      <w:pPr>
        <w:pStyle w:val="Heading2"/>
        <w:rPr>
          <w:color w:val="000000" w:themeColor="text1"/>
        </w:rPr>
      </w:pPr>
      <w:r w:rsidRPr="005A15E2">
        <w:rPr>
          <w:color w:val="000000" w:themeColor="text1"/>
        </w:rPr>
        <w:t xml:space="preserve">3.5 Compliance </w:t>
      </w:r>
      <w:r w:rsidR="0018323A" w:rsidRPr="005A15E2">
        <w:rPr>
          <w:color w:val="000000" w:themeColor="text1"/>
        </w:rPr>
        <w:t>-</w:t>
      </w:r>
      <w:r w:rsidRPr="005A15E2">
        <w:rPr>
          <w:color w:val="000000" w:themeColor="text1"/>
        </w:rPr>
        <w:t>Laws, Ethics, and Multi</w:t>
      </w:r>
      <w:r w:rsidR="0018323A" w:rsidRPr="005A15E2">
        <w:rPr>
          <w:color w:val="000000" w:themeColor="text1"/>
        </w:rPr>
        <w:t>-</w:t>
      </w:r>
      <w:r w:rsidRPr="005A15E2">
        <w:rPr>
          <w:color w:val="000000" w:themeColor="text1"/>
        </w:rPr>
        <w:t>Jurisdictional Obligations</w:t>
      </w:r>
    </w:p>
    <w:p w14:paraId="4D4764BD" w14:textId="1AB077C2" w:rsidR="00642A87" w:rsidRDefault="000C45A3">
      <w:pPr>
        <w:spacing w:before="80" w:after="160" w:line="360" w:lineRule="auto"/>
        <w:jc w:val="both"/>
      </w:pPr>
      <w:r>
        <w:t>Compliance in multi-jurisdictional finance is complex but must not be just box-ticking. FSB's obligations include GDPR, which applies to processing EU or EEA residents' personal data everywhere due to its expansion, and UK GDPR post-Brexit. This requires a DPO, documented legal bases, data subject rights, DPIAs for high-risk processing, and breach notification procedures within 72 hours [12].</w:t>
      </w:r>
    </w:p>
    <w:p w14:paraId="46F08D03" w14:textId="242D1F8D" w:rsidR="00642A87" w:rsidRDefault="004F54A3">
      <w:pPr>
        <w:spacing w:before="80" w:after="160" w:line="360" w:lineRule="auto"/>
        <w:jc w:val="both"/>
      </w:pPr>
      <w:r>
        <w:t>Financial regulation adds layers. The FCA's resilience framework requires UK firms to identify critical services, set impact tolerances, and prove they can stay within them during severe disruptions [28]. PCI DSS v4.0 secures card payment processing [29]. FSB's fraud detection and credit-scoring algorithms risk discrimination if not fair. Privacy by Design — embedding data minimisation and transparency — is both a regulatory and competitive requirement [7].</w:t>
      </w:r>
    </w:p>
    <w:p w14:paraId="67524B6D" w14:textId="77777777" w:rsidR="004F54A3" w:rsidRDefault="004F54A3">
      <w:pPr>
        <w:pStyle w:val="Heading2"/>
        <w:rPr>
          <w:color w:val="000000" w:themeColor="text1"/>
        </w:rPr>
      </w:pPr>
    </w:p>
    <w:p w14:paraId="24D7D4DF" w14:textId="77777777" w:rsidR="004F54A3" w:rsidRDefault="004F54A3">
      <w:pPr>
        <w:pStyle w:val="Heading2"/>
        <w:rPr>
          <w:color w:val="000000" w:themeColor="text1"/>
        </w:rPr>
      </w:pPr>
    </w:p>
    <w:p w14:paraId="155E8A94" w14:textId="5B2490E7" w:rsidR="00642A87" w:rsidRPr="005A15E2" w:rsidRDefault="00000000">
      <w:pPr>
        <w:pStyle w:val="Heading2"/>
        <w:rPr>
          <w:color w:val="000000" w:themeColor="text1"/>
        </w:rPr>
      </w:pPr>
      <w:r w:rsidRPr="005A15E2">
        <w:rPr>
          <w:color w:val="000000" w:themeColor="text1"/>
        </w:rPr>
        <w:t>3.6 Contingency Planning and Service Level Agreements</w:t>
      </w:r>
    </w:p>
    <w:p w14:paraId="66F7051D" w14:textId="2912F708" w:rsidR="00642A87" w:rsidRDefault="0005756C">
      <w:pPr>
        <w:spacing w:before="80" w:after="160" w:line="360" w:lineRule="auto"/>
        <w:jc w:val="both"/>
      </w:pPr>
      <w:r>
        <w:t>ISO 22301 outlines the BCMS framework. A Business Impact Analysis (BIA) identifies critical processes and their maximum disruption time, from which Recovery Time Objectives (RTOs) and Recovery Point Objectives (RPOs) are set. These inform Disaster Recovery Plans (DRPs) and cloud resilience, including multi-region deployment, automated failover, and immutable backups. The Incident Response Plan (IRP) must be detailed, role-specific, and tested in tabletop exercises at least twice yearly [13][17].</w:t>
      </w:r>
    </w:p>
    <w:p w14:paraId="2D8C0FF7" w14:textId="1752588E" w:rsidR="00642A87" w:rsidRDefault="00000000">
      <w:pPr>
        <w:spacing w:before="80" w:after="160" w:line="360" w:lineRule="auto"/>
        <w:jc w:val="both"/>
      </w:pPr>
      <w:r>
        <w:t xml:space="preserve">SLAs with cloud providers and third-party suppliers are, in effect, security controls. Key clauses must </w:t>
      </w:r>
      <w:proofErr w:type="gramStart"/>
      <w:r>
        <w:t>address:</w:t>
      </w:r>
      <w:proofErr w:type="gramEnd"/>
      <w:r>
        <w:t xml:space="preserve"> availability guarantees with meaningful financial consequences for breach; incident notification timelines that </w:t>
      </w:r>
      <w:r w:rsidR="00C82466">
        <w:t>meet the GDPR's 72-hour window; data sovereignty guarantees; audit rights; data return and deletion procedures upon</w:t>
      </w:r>
      <w:r>
        <w:t xml:space="preserve"> termination; and liability provisions for supplier-caused breaches [2]. ITIL's Supplier Management process provides the ongoing governance structure for monitoring compliance through regular service review meetings and formal escalation processes when SLAs are breached [26].</w:t>
      </w:r>
    </w:p>
    <w:p w14:paraId="714D35D1" w14:textId="77777777" w:rsidR="00642A87" w:rsidRDefault="00642A87">
      <w:pPr>
        <w:spacing w:before="60" w:after="60"/>
      </w:pPr>
    </w:p>
    <w:p w14:paraId="3A1690E2" w14:textId="77777777" w:rsidR="00642A87" w:rsidRPr="009173EF" w:rsidRDefault="00000000">
      <w:pPr>
        <w:pStyle w:val="Heading1"/>
        <w:rPr>
          <w:color w:val="000000" w:themeColor="text1"/>
        </w:rPr>
      </w:pPr>
      <w:r w:rsidRPr="009173EF">
        <w:rPr>
          <w:color w:val="000000" w:themeColor="text1"/>
        </w:rPr>
        <w:t>4. Critical Discussion: Why Regulations and Standards Must Keep Evolving</w:t>
      </w:r>
    </w:p>
    <w:p w14:paraId="0EC0EE9E" w14:textId="77777777" w:rsidR="00642A87" w:rsidRDefault="00000000">
      <w:pPr>
        <w:spacing w:before="80" w:after="160" w:line="360" w:lineRule="auto"/>
        <w:jc w:val="both"/>
      </w:pPr>
      <w:r>
        <w:t>It is worth pausing to ask a question that is sometimes taken for granted in discussions of regulatory compliance: why do standards need to change at all? If ISO 27001 was adequate in 2013, and GDPR was carefully drafted before its enforcement in 2018, why are we already talking about revisions, updates, and new directives? The answer, when examined, reveals something fundamental about the nature of information security as a discipline.</w:t>
      </w:r>
    </w:p>
    <w:p w14:paraId="323D40CC" w14:textId="22870E9C" w:rsidR="00547944" w:rsidRDefault="00574A46">
      <w:pPr>
        <w:spacing w:before="80" w:after="160" w:line="360" w:lineRule="auto"/>
        <w:jc w:val="both"/>
      </w:pPr>
      <w:r w:rsidRPr="00574A46">
        <w:lastRenderedPageBreak/>
        <w:drawing>
          <wp:inline distT="0" distB="0" distL="0" distR="0" wp14:anchorId="32483C48" wp14:editId="259E218B">
            <wp:extent cx="5960110" cy="3903980"/>
            <wp:effectExtent l="0" t="0" r="2540" b="1270"/>
            <wp:docPr id="829934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9934252" name=""/>
                    <pic:cNvPicPr/>
                  </pic:nvPicPr>
                  <pic:blipFill>
                    <a:blip r:embed="rId10"/>
                    <a:stretch>
                      <a:fillRect/>
                    </a:stretch>
                  </pic:blipFill>
                  <pic:spPr>
                    <a:xfrm>
                      <a:off x="0" y="0"/>
                      <a:ext cx="5960110" cy="3903980"/>
                    </a:xfrm>
                    <a:prstGeom prst="rect">
                      <a:avLst/>
                    </a:prstGeom>
                  </pic:spPr>
                </pic:pic>
              </a:graphicData>
            </a:graphic>
          </wp:inline>
        </w:drawing>
      </w:r>
    </w:p>
    <w:p w14:paraId="2AC8629E" w14:textId="400896C9" w:rsidR="009926A1" w:rsidRDefault="009926A1">
      <w:pPr>
        <w:spacing w:before="80" w:after="160" w:line="360" w:lineRule="auto"/>
        <w:jc w:val="both"/>
      </w:pPr>
      <w:r>
        <w:t xml:space="preserve">             </w:t>
      </w:r>
      <w:r w:rsidR="004D4F86">
        <w:t xml:space="preserve">Source from FSB case study </w:t>
      </w:r>
    </w:p>
    <w:p w14:paraId="1A8EE5F0" w14:textId="77777777" w:rsidR="00642A87" w:rsidRPr="009173EF" w:rsidRDefault="00000000">
      <w:pPr>
        <w:pStyle w:val="Heading2"/>
        <w:rPr>
          <w:color w:val="000000" w:themeColor="text1"/>
        </w:rPr>
      </w:pPr>
      <w:r w:rsidRPr="009173EF">
        <w:rPr>
          <w:color w:val="000000" w:themeColor="text1"/>
        </w:rPr>
        <w:t>4.1 The Threat Landscape Is an Adversarial System</w:t>
      </w:r>
    </w:p>
    <w:p w14:paraId="7717E70D" w14:textId="0E990742" w:rsidR="00642A87" w:rsidRDefault="0039655C">
      <w:pPr>
        <w:spacing w:before="80" w:after="160" w:line="360" w:lineRule="auto"/>
        <w:jc w:val="both"/>
      </w:pPr>
      <w:r>
        <w:t xml:space="preserve">Cybersecurity differs from food safety or traffic law because it involves an active adversarial landscape. Attackers—such as nation-states, criminal groups, and opportunists—study and adapt to </w:t>
      </w:r>
      <w:r w:rsidR="00DC4A0E">
        <w:t>defences</w:t>
      </w:r>
      <w:r>
        <w:t>, developing new methods and exploiting vulnerabilities. The rise of AI-powered attacks, like deepfake social engineering, AI phishing, and automated exploits, highlights the increasing complexity, which pre-2023 security frameworks weren't built to handle [27]</w:t>
      </w:r>
      <w:r w:rsidR="00DC4A0E">
        <w:t>.</w:t>
      </w:r>
    </w:p>
    <w:p w14:paraId="6B07C6C5" w14:textId="63DD5AEE" w:rsidR="00642A87" w:rsidRDefault="00000000">
      <w:pPr>
        <w:spacing w:before="80" w:after="160" w:line="360" w:lineRule="auto"/>
        <w:jc w:val="both"/>
      </w:pPr>
      <w:r>
        <w:t xml:space="preserve">For FSB specifically, the proliferation of mobile banking has created an attack surface that barely existed a decade </w:t>
      </w:r>
      <w:proofErr w:type="spellStart"/>
      <w:r>
        <w:t>agoThe</w:t>
      </w:r>
      <w:proofErr w:type="spellEnd"/>
      <w:r>
        <w:t xml:space="preserve"> ISO 27001:2022 revision addressed some of this through new controls on threat intelligence, cloud security, and data masking [4]. But the point is that the standard had to change because the world changed. A map drawn in 2013 is unreliable for navigating a city that has been comprehensively rebuilt since.</w:t>
      </w:r>
    </w:p>
    <w:p w14:paraId="246166E2" w14:textId="77777777" w:rsidR="00642A87" w:rsidRDefault="00000000">
      <w:pPr>
        <w:spacing w:before="60" w:after="40"/>
        <w:jc w:val="center"/>
      </w:pPr>
      <w:r>
        <w:rPr>
          <w:noProof/>
        </w:rPr>
        <w:lastRenderedPageBreak/>
        <w:drawing>
          <wp:inline distT="0" distB="0" distL="0" distR="0" wp14:anchorId="0FF06D13" wp14:editId="15951B31">
            <wp:extent cx="4762500" cy="2695575"/>
            <wp:effectExtent l="0" t="0" r="0" b="0"/>
            <wp:docPr id="2072201189" name="Picture 20722011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4"/>
                    <a:srcRect/>
                    <a:stretch>
                      <a:fillRect/>
                    </a:stretch>
                  </pic:blipFill>
                  <pic:spPr bwMode="auto">
                    <a:xfrm>
                      <a:off x="0" y="0"/>
                      <a:ext cx="4762500" cy="2695575"/>
                    </a:xfrm>
                    <a:prstGeom prst="rect">
                      <a:avLst/>
                    </a:prstGeom>
                  </pic:spPr>
                </pic:pic>
              </a:graphicData>
            </a:graphic>
          </wp:inline>
        </w:drawing>
      </w:r>
    </w:p>
    <w:p w14:paraId="47B4B48F" w14:textId="77777777" w:rsidR="00642A87" w:rsidRPr="008F683D" w:rsidRDefault="00000000">
      <w:pPr>
        <w:spacing w:before="30" w:after="160"/>
        <w:jc w:val="center"/>
      </w:pPr>
      <w:r w:rsidRPr="008F683D">
        <w:rPr>
          <w:color w:val="555555"/>
          <w:sz w:val="19"/>
          <w:szCs w:val="19"/>
        </w:rPr>
        <w:t>Figure 5: Key Regulatory &amp; Standards Events (2013–2024) — Incidents Driving Legislative Change</w:t>
      </w:r>
    </w:p>
    <w:p w14:paraId="7A7F9E39" w14:textId="5BF385A7" w:rsidR="00642A87" w:rsidRDefault="001909B8">
      <w:pPr>
        <w:spacing w:before="60" w:after="60"/>
      </w:pPr>
      <w:r>
        <w:rPr>
          <w:noProof/>
        </w:rPr>
        <w:drawing>
          <wp:inline distT="0" distB="0" distL="0" distR="0" wp14:anchorId="45CEBF57" wp14:editId="7C37F421">
            <wp:extent cx="5960110" cy="3528695"/>
            <wp:effectExtent l="0" t="0" r="2540" b="0"/>
            <wp:docPr id="160831231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960110" cy="3528695"/>
                    </a:xfrm>
                    <a:prstGeom prst="rect">
                      <a:avLst/>
                    </a:prstGeom>
                    <a:noFill/>
                    <a:ln>
                      <a:noFill/>
                    </a:ln>
                  </pic:spPr>
                </pic:pic>
              </a:graphicData>
            </a:graphic>
          </wp:inline>
        </w:drawing>
      </w:r>
    </w:p>
    <w:p w14:paraId="0CE5ED77" w14:textId="77777777" w:rsidR="00642A87" w:rsidRPr="009173EF" w:rsidRDefault="00000000">
      <w:pPr>
        <w:pStyle w:val="Heading2"/>
        <w:rPr>
          <w:color w:val="000000" w:themeColor="text1"/>
        </w:rPr>
      </w:pPr>
      <w:r w:rsidRPr="009173EF">
        <w:rPr>
          <w:color w:val="000000" w:themeColor="text1"/>
        </w:rPr>
        <w:t>4.2 Regulatory Learning from Real-World Incidents</w:t>
      </w:r>
    </w:p>
    <w:p w14:paraId="6BD3B257" w14:textId="2181B612" w:rsidR="00642A87" w:rsidRDefault="003627A0">
      <w:pPr>
        <w:spacing w:before="80" w:after="160" w:line="360" w:lineRule="auto"/>
        <w:jc w:val="both"/>
      </w:pPr>
      <w:r>
        <w:t xml:space="preserve">Major security incidents in the past decade have driven key regulatory changes. Figure 5 links the SolarWinds attack of 2020 to NIS2's supply chain security provisions. The 2019 Capital One cloud misconfiguration revealed financial institutions' governance </w:t>
      </w:r>
      <w:proofErr w:type="gramStart"/>
      <w:r>
        <w:t>lagged behind</w:t>
      </w:r>
      <w:proofErr w:type="gramEnd"/>
      <w:r>
        <w:t xml:space="preserve"> cloud adoption. Enforceable from October 2024, NIS2 increases standards with stricter incident-reporting, top-management accountability, and supply-chain security requirements [10].</w:t>
      </w:r>
    </w:p>
    <w:p w14:paraId="336D91B7" w14:textId="23AE92F0" w:rsidR="00642A87" w:rsidRDefault="00000000">
      <w:pPr>
        <w:spacing w:before="80" w:after="160" w:line="360" w:lineRule="auto"/>
        <w:jc w:val="both"/>
      </w:pPr>
      <w:r>
        <w:t xml:space="preserve">For FSB's compliance function, this pattern </w:t>
      </w:r>
      <w:r w:rsidR="00E57834">
        <w:t>has practical implications</w:t>
      </w:r>
      <w:r>
        <w:t xml:space="preserve">. Regulatory change is not random — it tends to follow a discernible sequence: a significant incident exposes a systemic gap, </w:t>
      </w:r>
      <w:r>
        <w:lastRenderedPageBreak/>
        <w:t>regulatory review follows, updated requirements emerge within 12 to 36 months. Organisations that monitor this pattern can often anticipate and prepare for regulatory changes before they become mandatory. That is proactive compliance; it is also, as the evidence increasingly shows, the cheaper option [20].</w:t>
      </w:r>
    </w:p>
    <w:p w14:paraId="0D7BF8B8" w14:textId="2AC2E9F2" w:rsidR="00642A87" w:rsidRPr="009173EF" w:rsidRDefault="00000000">
      <w:pPr>
        <w:pStyle w:val="Heading2"/>
        <w:rPr>
          <w:color w:val="000000" w:themeColor="text1"/>
        </w:rPr>
      </w:pPr>
      <w:r w:rsidRPr="009173EF">
        <w:rPr>
          <w:color w:val="000000" w:themeColor="text1"/>
        </w:rPr>
        <w:t>4.</w:t>
      </w:r>
      <w:r w:rsidRPr="009173EF">
        <w:rPr>
          <w:b w:val="0"/>
          <w:bCs w:val="0"/>
          <w:color w:val="000000" w:themeColor="text1"/>
        </w:rPr>
        <w:t>3</w:t>
      </w:r>
      <w:r w:rsidR="00071DC8" w:rsidRPr="009173EF">
        <w:rPr>
          <w:b w:val="0"/>
          <w:bCs w:val="0"/>
          <w:color w:val="000000" w:themeColor="text1"/>
        </w:rPr>
        <w:t xml:space="preserve"> </w:t>
      </w:r>
      <w:r w:rsidR="00F23F28" w:rsidRPr="009173EF">
        <w:rPr>
          <w:b w:val="0"/>
          <w:bCs w:val="0"/>
          <w:color w:val="000000" w:themeColor="text1"/>
        </w:rPr>
        <w:t>Technology Creates New Risks That Standards Must Address</w:t>
      </w:r>
    </w:p>
    <w:p w14:paraId="68015926" w14:textId="20DDC12E" w:rsidR="00642A87" w:rsidRDefault="00000000">
      <w:pPr>
        <w:spacing w:before="80" w:after="160" w:line="360" w:lineRule="auto"/>
        <w:jc w:val="both"/>
      </w:pPr>
      <w:r>
        <w:t>Two current examples are particularly salient for FSB.</w:t>
      </w:r>
    </w:p>
    <w:p w14:paraId="16C5EA63" w14:textId="6A1E1CD7" w:rsidR="00642A87" w:rsidRDefault="009A3489">
      <w:pPr>
        <w:spacing w:before="80" w:after="160" w:line="360" w:lineRule="auto"/>
        <w:jc w:val="both"/>
      </w:pPr>
      <w:r>
        <w:t>Quantum computing jeopardizes current public-key cryptography, as powerful quantum computers could break the mathematical problems securing data. NIST's Post-Quantum Cryptography standardisation, with its first approved algorithms in 2024, is a proactive response to this threat. Financial institutions must develop 'crypto-agility' to update algorithms without rebuilding systems. Zero Trust, formalized in NIST SP 800-207, addresses the erosion of traditional perimeter-based security caused by cloud, remote work, and BYOD, recognizing that old control models no longer apply [23]</w:t>
      </w:r>
    </w:p>
    <w:p w14:paraId="41BD9ACD" w14:textId="77777777" w:rsidR="00642A87" w:rsidRPr="006F5CA7" w:rsidRDefault="00000000">
      <w:pPr>
        <w:pStyle w:val="Heading2"/>
        <w:rPr>
          <w:color w:val="000000" w:themeColor="text1"/>
        </w:rPr>
      </w:pPr>
      <w:r w:rsidRPr="006F5CA7">
        <w:rPr>
          <w:color w:val="000000" w:themeColor="text1"/>
        </w:rPr>
        <w:t>4.4 Harmonisation, Divergence, and the Value of International Standards</w:t>
      </w:r>
    </w:p>
    <w:p w14:paraId="21E88537" w14:textId="7B3BF0DB" w:rsidR="00642A87" w:rsidRDefault="00A13097">
      <w:pPr>
        <w:spacing w:before="80" w:after="160" w:line="360" w:lineRule="auto"/>
        <w:jc w:val="both"/>
      </w:pPr>
      <w:r>
        <w:t xml:space="preserve">For multi-jurisdictional organizations like FSB, the growth of national regulations creates a complex compliance matrix. EU GDPR, UK GDPR, and the financial regulations of each country where FSB operates impose different — sometimes conflicting — obligations [7]. International standards like ISO 27001 help harmonize by providing a common baseline aligned with risk management across regimes [4]. However, full harmonization is elusive. The GDPR's adequacy decision framework, which the EU uses to evaluate third countries' data protection, has faced legal challenges through Schrems I and II. The 2023 EU-US Data Privacy Framework is the latest effort to address ongoing tensions [7]. FSB must stay updated since cross-border data flows that are lawful now may require </w:t>
      </w:r>
      <w:proofErr w:type="spellStart"/>
      <w:r>
        <w:t>reevaluation</w:t>
      </w:r>
      <w:proofErr w:type="spellEnd"/>
      <w:r>
        <w:t xml:space="preserve"> later.</w:t>
      </w:r>
    </w:p>
    <w:p w14:paraId="704B412E" w14:textId="77777777" w:rsidR="00642A87" w:rsidRPr="006F5CA7" w:rsidRDefault="00000000">
      <w:pPr>
        <w:pStyle w:val="Heading2"/>
        <w:rPr>
          <w:color w:val="000000" w:themeColor="text1"/>
        </w:rPr>
      </w:pPr>
      <w:r w:rsidRPr="006F5CA7">
        <w:rPr>
          <w:color w:val="000000" w:themeColor="text1"/>
        </w:rPr>
        <w:t xml:space="preserve">4.5 </w:t>
      </w:r>
      <w:bookmarkStart w:id="0" w:name="OLE_LINK2"/>
      <w:r w:rsidRPr="006F5CA7">
        <w:rPr>
          <w:color w:val="000000" w:themeColor="text1"/>
        </w:rPr>
        <w:t>The Strategic and Commercial Case for Proactive Compliance</w:t>
      </w:r>
      <w:bookmarkEnd w:id="0"/>
    </w:p>
    <w:p w14:paraId="12107661" w14:textId="36ED1292" w:rsidR="00642A87" w:rsidRDefault="008547B7">
      <w:pPr>
        <w:spacing w:before="80" w:after="160" w:line="360" w:lineRule="auto"/>
        <w:jc w:val="both"/>
      </w:pPr>
      <w:r>
        <w:t>IBM Security's 2023 Cost of a Data Breach Report found that organisations with fully deployed security AI and automation had breach costs $1.76 million less than those without, and high-security maturity organisations contained breaches 108 days faster than low-maturity ones [9]. Figure 6 shows how governance maturity relates to breach cost and detection time, from no security program to the USGA proposed for FSB.</w:t>
      </w:r>
    </w:p>
    <w:p w14:paraId="1C9A13AC" w14:textId="77777777" w:rsidR="00642A87" w:rsidRDefault="00000000">
      <w:pPr>
        <w:spacing w:before="60" w:after="40"/>
        <w:jc w:val="center"/>
      </w:pPr>
      <w:r>
        <w:rPr>
          <w:noProof/>
        </w:rPr>
        <w:lastRenderedPageBreak/>
        <w:drawing>
          <wp:inline distT="0" distB="0" distL="0" distR="0" wp14:anchorId="1440DD80" wp14:editId="177E41E8">
            <wp:extent cx="4572000" cy="2952750"/>
            <wp:effectExtent l="0" t="0" r="0" b="0"/>
            <wp:docPr id="426253242" name="Picture 4262532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26"/>
                    <a:srcRect/>
                    <a:stretch>
                      <a:fillRect/>
                    </a:stretch>
                  </pic:blipFill>
                  <pic:spPr bwMode="auto">
                    <a:xfrm>
                      <a:off x="0" y="0"/>
                      <a:ext cx="4572000" cy="2952750"/>
                    </a:xfrm>
                    <a:prstGeom prst="rect">
                      <a:avLst/>
                    </a:prstGeom>
                  </pic:spPr>
                </pic:pic>
              </a:graphicData>
            </a:graphic>
          </wp:inline>
        </w:drawing>
      </w:r>
    </w:p>
    <w:p w14:paraId="5DF17C4F" w14:textId="77777777" w:rsidR="00642A87" w:rsidRPr="000E2914" w:rsidRDefault="00000000">
      <w:pPr>
        <w:spacing w:before="30" w:after="160"/>
        <w:jc w:val="center"/>
      </w:pPr>
      <w:r w:rsidRPr="000E2914">
        <w:rPr>
          <w:color w:val="555555"/>
          <w:sz w:val="19"/>
          <w:szCs w:val="19"/>
        </w:rPr>
        <w:t>Figure 6: Security Maturity vs Average Breach Cost &amp; Mean Detection Time (illustrative, based on IBM Security 2023 data)</w:t>
      </w:r>
    </w:p>
    <w:p w14:paraId="143ABFD7" w14:textId="5BCF3861" w:rsidR="00642A87" w:rsidRDefault="00B85256">
      <w:pPr>
        <w:spacing w:before="60" w:after="60"/>
      </w:pPr>
      <w:r>
        <w:rPr>
          <w:noProof/>
        </w:rPr>
        <w:drawing>
          <wp:inline distT="0" distB="0" distL="0" distR="0" wp14:anchorId="2024F2CB" wp14:editId="5BD4F95C">
            <wp:extent cx="5960110" cy="3550285"/>
            <wp:effectExtent l="0" t="0" r="2540" b="0"/>
            <wp:docPr id="20788822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960110" cy="3550285"/>
                    </a:xfrm>
                    <a:prstGeom prst="rect">
                      <a:avLst/>
                    </a:prstGeom>
                    <a:noFill/>
                    <a:ln>
                      <a:noFill/>
                    </a:ln>
                  </pic:spPr>
                </pic:pic>
              </a:graphicData>
            </a:graphic>
          </wp:inline>
        </w:drawing>
      </w:r>
    </w:p>
    <w:p w14:paraId="2CDE461E" w14:textId="77777777" w:rsidR="00642A87" w:rsidRDefault="00000000">
      <w:pPr>
        <w:spacing w:before="80" w:after="160" w:line="360" w:lineRule="auto"/>
        <w:jc w:val="both"/>
      </w:pPr>
      <w:r>
        <w:t>Figure 6 makes a compelling business case. The organisations represented by the rightmost bar — those operating with a fully integrated governance model — experience not only the lowest breach costs but the shortest detection windows. Rapid detection is itself a form of cost control: a breach identified in 110 days causes substantially less damage than one that runs for 280 days before it is discovered. For FSB, this reframes the investment in governance, training, and technical controls not as a compliance cost but as a capital allocation decision with a measurable expected return [27].</w:t>
      </w:r>
    </w:p>
    <w:p w14:paraId="6634AA6A" w14:textId="6583C24C" w:rsidR="00642A87" w:rsidRDefault="00FB71E2">
      <w:pPr>
        <w:spacing w:before="80" w:after="160" w:line="360" w:lineRule="auto"/>
        <w:jc w:val="both"/>
      </w:pPr>
      <w:r>
        <w:lastRenderedPageBreak/>
        <w:t>For FSB, positioning itself as a leader in security and privacy could become a genuine competitive differentiator, particularly as the customer base expands into markets where digital trust is still being established. In the financial sector, the cost of a serious breach, including direct financial losses, regulatory fines, and reputational damage, consistently and significantly exceeds the cost of the controls that would have prevented it [20].</w:t>
      </w:r>
    </w:p>
    <w:p w14:paraId="0D7A8338" w14:textId="77777777" w:rsidR="00642A87" w:rsidRDefault="00642A87">
      <w:pPr>
        <w:spacing w:before="60" w:after="60"/>
      </w:pPr>
    </w:p>
    <w:p w14:paraId="24301272" w14:textId="77777777" w:rsidR="00D13F0E" w:rsidRDefault="00D13F0E">
      <w:pPr>
        <w:pStyle w:val="Heading1"/>
        <w:rPr>
          <w:color w:val="000000" w:themeColor="text1"/>
        </w:rPr>
      </w:pPr>
    </w:p>
    <w:p w14:paraId="3008C599" w14:textId="2C3C665F" w:rsidR="00642A87" w:rsidRPr="006F5CA7" w:rsidRDefault="00000000">
      <w:pPr>
        <w:pStyle w:val="Heading1"/>
        <w:rPr>
          <w:color w:val="000000" w:themeColor="text1"/>
        </w:rPr>
      </w:pPr>
      <w:r w:rsidRPr="006F5CA7">
        <w:rPr>
          <w:color w:val="000000" w:themeColor="text1"/>
        </w:rPr>
        <w:t>5. Conclusion</w:t>
      </w:r>
    </w:p>
    <w:p w14:paraId="5B9158A5" w14:textId="5CEF7DF8" w:rsidR="00642A87" w:rsidRDefault="00FB71E2">
      <w:pPr>
        <w:spacing w:before="80" w:after="160" w:line="360" w:lineRule="auto"/>
        <w:jc w:val="both"/>
      </w:pPr>
      <w:r>
        <w:t>FSB's situation is serious but recoverable, and the path to recovery is clearer than it seems. Its core problem isn't technical but structural: it has expanded its infrastructure and customer base faster than its governance frameworks. Closing this gap needs a deliberate, coherent response, which the proposed Unified Security Governance Architecture aims to provide.</w:t>
      </w:r>
    </w:p>
    <w:p w14:paraId="72029884" w14:textId="48DFF3F2" w:rsidR="00642A87" w:rsidRDefault="00000000">
      <w:pPr>
        <w:spacing w:before="80" w:after="160" w:line="360" w:lineRule="auto"/>
        <w:jc w:val="both"/>
      </w:pPr>
      <w:r>
        <w:t xml:space="preserve">The USGA draws on the complementary strengths of four established frameworks — COBIT 2019 for governance, ISO 27001 for the ISMS core, NIST CSF 2.0 for operational cybersecurity, and ITIL v4 for service delivery — to address FSB's most pressing vulnerabilities: unmanaged BYOD exposure, cloud misconfiguration risk, third-party supply chain vulnerability, insider threat, and fragmented compliance across multiple regulatory jurisdictions. </w:t>
      </w:r>
    </w:p>
    <w:p w14:paraId="68A1F357" w14:textId="5FD6C471" w:rsidR="00642A87" w:rsidRDefault="00F4685F">
      <w:pPr>
        <w:spacing w:before="80" w:after="160" w:line="360" w:lineRule="auto"/>
        <w:jc w:val="both"/>
      </w:pPr>
      <w:r>
        <w:t>This assessment argues that regulatory standards must evolve because information security exists in a constantly changing environment. Threats, technologies, and legal frameworks shift due to uncontrollable forces. Successful organisations see compliance as a baseline, not a ceiling, and govern continuously rather than relying on periodic audits. For the FSB, immediate, decisive action is more cost-effective than delaying, with evidence supporting this approach.</w:t>
      </w:r>
    </w:p>
    <w:p w14:paraId="28014652" w14:textId="77777777" w:rsidR="00642A87" w:rsidRDefault="00642A87">
      <w:pPr>
        <w:spacing w:before="60" w:after="60"/>
      </w:pPr>
    </w:p>
    <w:p w14:paraId="73610F31" w14:textId="77777777" w:rsidR="004C5931" w:rsidRDefault="004C5931">
      <w:pPr>
        <w:pStyle w:val="Heading1"/>
      </w:pPr>
    </w:p>
    <w:p w14:paraId="62D4E4A2" w14:textId="77777777" w:rsidR="004C5931" w:rsidRDefault="004C5931">
      <w:pPr>
        <w:pStyle w:val="Heading1"/>
      </w:pPr>
    </w:p>
    <w:p w14:paraId="5BC7FD01" w14:textId="77777777" w:rsidR="004C5931" w:rsidRDefault="004C5931">
      <w:pPr>
        <w:pStyle w:val="Heading1"/>
      </w:pPr>
    </w:p>
    <w:p w14:paraId="5A7BC96F" w14:textId="77777777" w:rsidR="004C5931" w:rsidRDefault="004C5931">
      <w:pPr>
        <w:pStyle w:val="Heading1"/>
      </w:pPr>
    </w:p>
    <w:p w14:paraId="3CE3619E" w14:textId="77777777" w:rsidR="004C5931" w:rsidRDefault="004C5931">
      <w:pPr>
        <w:pStyle w:val="Heading1"/>
      </w:pPr>
    </w:p>
    <w:p w14:paraId="6E58778A" w14:textId="77777777" w:rsidR="004C5931" w:rsidRDefault="004C5931">
      <w:pPr>
        <w:pStyle w:val="Heading1"/>
      </w:pPr>
    </w:p>
    <w:p w14:paraId="53F378FA" w14:textId="0B028122" w:rsidR="00642A87" w:rsidRPr="006F5CA7" w:rsidRDefault="00000000">
      <w:pPr>
        <w:pStyle w:val="Heading1"/>
        <w:rPr>
          <w:color w:val="000000" w:themeColor="text1"/>
        </w:rPr>
      </w:pPr>
      <w:r w:rsidRPr="006F5CA7">
        <w:rPr>
          <w:color w:val="000000" w:themeColor="text1"/>
        </w:rPr>
        <w:t>References</w:t>
      </w:r>
    </w:p>
    <w:p w14:paraId="3E74E9B5" w14:textId="77777777" w:rsidR="00642A87" w:rsidRDefault="00000000">
      <w:pPr>
        <w:pStyle w:val="ListParagraph"/>
        <w:numPr>
          <w:ilvl w:val="0"/>
          <w:numId w:val="2"/>
        </w:numPr>
        <w:spacing w:before="50" w:after="50"/>
      </w:pPr>
      <w:r>
        <w:rPr>
          <w:sz w:val="19"/>
          <w:szCs w:val="19"/>
        </w:rPr>
        <w:t>K. Scarfone and P. Mell, "Guide to Intrusion Detection and Prevention Systems (IDPS)," NIST Special Publication 800-94, National Institute of Standards and Technology, Gaithersburg, MD, USA, 2007.</w:t>
      </w:r>
    </w:p>
    <w:p w14:paraId="2636AB42" w14:textId="77777777" w:rsidR="00642A87" w:rsidRDefault="00000000">
      <w:pPr>
        <w:pStyle w:val="ListParagraph"/>
        <w:numPr>
          <w:ilvl w:val="0"/>
          <w:numId w:val="2"/>
        </w:numPr>
        <w:spacing w:before="50" w:after="50"/>
      </w:pPr>
      <w:r>
        <w:rPr>
          <w:sz w:val="19"/>
          <w:szCs w:val="19"/>
        </w:rPr>
        <w:t>AXELOS, ITIL Foundation: ITIL 4 Edition. London, UK: The Stationery Office, 2019.</w:t>
      </w:r>
    </w:p>
    <w:p w14:paraId="1A54C90A" w14:textId="77777777" w:rsidR="00642A87" w:rsidRDefault="00000000">
      <w:pPr>
        <w:pStyle w:val="ListParagraph"/>
        <w:numPr>
          <w:ilvl w:val="0"/>
          <w:numId w:val="2"/>
        </w:numPr>
        <w:spacing w:before="50" w:after="50"/>
      </w:pPr>
      <w:r>
        <w:rPr>
          <w:sz w:val="19"/>
          <w:szCs w:val="19"/>
        </w:rPr>
        <w:t xml:space="preserve">A. Bousdekis, D. Apostolou, and G. Mentzas, "A proactive event-driven </w:t>
      </w:r>
      <w:proofErr w:type="gramStart"/>
      <w:r>
        <w:rPr>
          <w:sz w:val="19"/>
          <w:szCs w:val="19"/>
        </w:rPr>
        <w:t>service oriented</w:t>
      </w:r>
      <w:proofErr w:type="gramEnd"/>
      <w:r>
        <w:rPr>
          <w:sz w:val="19"/>
          <w:szCs w:val="19"/>
        </w:rPr>
        <w:t xml:space="preserve"> architecture for real-time enterprise resource planning," Procedia Computer Science, vol. 97, pp. 396–405, 2016.</w:t>
      </w:r>
    </w:p>
    <w:p w14:paraId="41B131BD" w14:textId="77777777" w:rsidR="00642A87" w:rsidRDefault="00000000">
      <w:pPr>
        <w:pStyle w:val="ListParagraph"/>
        <w:numPr>
          <w:ilvl w:val="0"/>
          <w:numId w:val="2"/>
        </w:numPr>
        <w:spacing w:before="50" w:after="50"/>
      </w:pPr>
      <w:r>
        <w:rPr>
          <w:sz w:val="19"/>
          <w:szCs w:val="19"/>
        </w:rPr>
        <w:t>ISO/IEC, Information Security, Cybersecurity and Privacy Protection — Information Security Management Systems — Requirements, ISO/IEC 27001:2022. Geneva, Switzerland: International Organization for Standardization, 2022.</w:t>
      </w:r>
    </w:p>
    <w:p w14:paraId="45CE06D6" w14:textId="77777777" w:rsidR="00642A87" w:rsidRDefault="00000000">
      <w:pPr>
        <w:pStyle w:val="ListParagraph"/>
        <w:numPr>
          <w:ilvl w:val="0"/>
          <w:numId w:val="2"/>
        </w:numPr>
        <w:spacing w:before="50" w:after="50"/>
      </w:pPr>
      <w:r>
        <w:rPr>
          <w:sz w:val="19"/>
          <w:szCs w:val="19"/>
        </w:rPr>
        <w:t>National Institute of Standards and Technology (NIST), "The NIST Cybersecurity Framework (CSF) 2.0," NIST CSWP 29, Gaithersburg, MD, USA, Feb. 2024.</w:t>
      </w:r>
    </w:p>
    <w:p w14:paraId="0BE91E28" w14:textId="77777777" w:rsidR="00642A87" w:rsidRDefault="00000000">
      <w:pPr>
        <w:pStyle w:val="ListParagraph"/>
        <w:numPr>
          <w:ilvl w:val="0"/>
          <w:numId w:val="2"/>
        </w:numPr>
        <w:spacing w:before="50" w:after="50"/>
      </w:pPr>
      <w:r>
        <w:rPr>
          <w:sz w:val="19"/>
          <w:szCs w:val="19"/>
        </w:rPr>
        <w:t>ISACA, COBIT 2019 Framework: Governance and Management Objectives. Rolling Meadows, IL, USA: ISACA, 2018.</w:t>
      </w:r>
    </w:p>
    <w:p w14:paraId="093692EA" w14:textId="77777777" w:rsidR="00642A87" w:rsidRDefault="00000000">
      <w:pPr>
        <w:pStyle w:val="ListParagraph"/>
        <w:numPr>
          <w:ilvl w:val="0"/>
          <w:numId w:val="2"/>
        </w:numPr>
        <w:spacing w:before="50" w:after="50"/>
      </w:pPr>
      <w:r>
        <w:rPr>
          <w:sz w:val="19"/>
          <w:szCs w:val="19"/>
        </w:rPr>
        <w:t>European Parliament and Council, "Regulation (EU) 2016/679 (General Data Protection Regulation)," Official Journal of the European Union, vol. L 119, pp. 1–88, Apr. 2016.</w:t>
      </w:r>
    </w:p>
    <w:p w14:paraId="0DAEDF32" w14:textId="77777777" w:rsidR="00642A87" w:rsidRDefault="00000000">
      <w:pPr>
        <w:pStyle w:val="ListParagraph"/>
        <w:numPr>
          <w:ilvl w:val="0"/>
          <w:numId w:val="2"/>
        </w:numPr>
        <w:spacing w:before="50" w:after="50"/>
      </w:pPr>
      <w:r>
        <w:rPr>
          <w:sz w:val="19"/>
          <w:szCs w:val="19"/>
        </w:rPr>
        <w:t>ISO, Security and Resilience — Business Continuity Management Systems — Requirements, ISO 22301:2019. Geneva, Switzerland: International Organization for Standardization, 2019.</w:t>
      </w:r>
    </w:p>
    <w:p w14:paraId="08B53FE2" w14:textId="77777777" w:rsidR="00642A87" w:rsidRDefault="00000000">
      <w:pPr>
        <w:pStyle w:val="ListParagraph"/>
        <w:numPr>
          <w:ilvl w:val="0"/>
          <w:numId w:val="2"/>
        </w:numPr>
        <w:spacing w:before="50" w:after="50"/>
      </w:pPr>
      <w:r>
        <w:rPr>
          <w:sz w:val="19"/>
          <w:szCs w:val="19"/>
        </w:rPr>
        <w:t>IBM Security, Cost of a Data Breach Report 2023. Armonk, NY, USA: IBM Corporation, 2023. [Online]. Available: https://www.ibm.com/reports/data-breach</w:t>
      </w:r>
    </w:p>
    <w:p w14:paraId="2C6075DA" w14:textId="77777777" w:rsidR="00642A87" w:rsidRDefault="00000000">
      <w:pPr>
        <w:pStyle w:val="ListParagraph"/>
        <w:numPr>
          <w:ilvl w:val="0"/>
          <w:numId w:val="2"/>
        </w:numPr>
        <w:spacing w:before="50" w:after="50"/>
      </w:pPr>
      <w:r>
        <w:rPr>
          <w:sz w:val="19"/>
          <w:szCs w:val="19"/>
        </w:rPr>
        <w:t>European Parliament and Council, "Directive (EU) 2022/2555 (NIS2 Directive)," Official Journal of the European Union, vol. L 333, pp. 80–152, Dec. 2022.</w:t>
      </w:r>
    </w:p>
    <w:p w14:paraId="0B96013E" w14:textId="77777777" w:rsidR="00642A87" w:rsidRDefault="00000000">
      <w:pPr>
        <w:pStyle w:val="ListParagraph"/>
        <w:numPr>
          <w:ilvl w:val="0"/>
          <w:numId w:val="2"/>
        </w:numPr>
        <w:spacing w:before="50" w:after="50"/>
      </w:pPr>
      <w:r>
        <w:rPr>
          <w:sz w:val="19"/>
          <w:szCs w:val="19"/>
        </w:rPr>
        <w:t>European Union Agency for Cybersecurity (ENISA), "NIS2 Directive: A Factsheet," ENISA, Athens, Greece, 2023.</w:t>
      </w:r>
    </w:p>
    <w:p w14:paraId="14BA6139" w14:textId="77777777" w:rsidR="00642A87" w:rsidRDefault="00000000">
      <w:pPr>
        <w:pStyle w:val="ListParagraph"/>
        <w:numPr>
          <w:ilvl w:val="0"/>
          <w:numId w:val="2"/>
        </w:numPr>
        <w:spacing w:before="50" w:after="50"/>
      </w:pPr>
      <w:r>
        <w:rPr>
          <w:sz w:val="19"/>
          <w:szCs w:val="19"/>
        </w:rPr>
        <w:t>European Parliament, "General Data Protection Regulation — Implementation and Enforcement," European Parliamentary Research Service, Brussels, 2023.</w:t>
      </w:r>
    </w:p>
    <w:p w14:paraId="4D3075F0" w14:textId="77777777" w:rsidR="00642A87" w:rsidRDefault="00000000">
      <w:pPr>
        <w:pStyle w:val="ListParagraph"/>
        <w:numPr>
          <w:ilvl w:val="0"/>
          <w:numId w:val="2"/>
        </w:numPr>
        <w:spacing w:before="50" w:after="50"/>
      </w:pPr>
      <w:r>
        <w:rPr>
          <w:sz w:val="19"/>
          <w:szCs w:val="19"/>
        </w:rPr>
        <w:t>ISO, Security and Resilience — Business Continuity Management Systems — Guidance on the Use of ISO 22301, ISO 22313:2020. Geneva, Switzerland: ISO, 2020.</w:t>
      </w:r>
    </w:p>
    <w:p w14:paraId="572954CC" w14:textId="77777777" w:rsidR="00642A87" w:rsidRDefault="00000000">
      <w:pPr>
        <w:pStyle w:val="ListParagraph"/>
        <w:numPr>
          <w:ilvl w:val="0"/>
          <w:numId w:val="2"/>
        </w:numPr>
        <w:spacing w:before="50" w:after="50"/>
      </w:pPr>
      <w:r>
        <w:rPr>
          <w:sz w:val="19"/>
          <w:szCs w:val="19"/>
        </w:rPr>
        <w:t xml:space="preserve">NIST Computer Security Resource </w:t>
      </w:r>
      <w:proofErr w:type="spellStart"/>
      <w:r>
        <w:rPr>
          <w:sz w:val="19"/>
          <w:szCs w:val="19"/>
        </w:rPr>
        <w:t>Center</w:t>
      </w:r>
      <w:proofErr w:type="spellEnd"/>
      <w:r>
        <w:rPr>
          <w:sz w:val="19"/>
          <w:szCs w:val="19"/>
        </w:rPr>
        <w:t>, "Post-Quantum Cryptography Standardization," NIST, Gaithersburg, MD, USA, 2024. [Online]. Available: https://csrc.nist.gov/projects/post-quantum-cryptography</w:t>
      </w:r>
    </w:p>
    <w:p w14:paraId="67A7036D" w14:textId="77777777" w:rsidR="00642A87" w:rsidRDefault="00000000">
      <w:pPr>
        <w:pStyle w:val="ListParagraph"/>
        <w:numPr>
          <w:ilvl w:val="0"/>
          <w:numId w:val="2"/>
        </w:numPr>
        <w:spacing w:before="50" w:after="50"/>
      </w:pPr>
      <w:r>
        <w:rPr>
          <w:sz w:val="19"/>
          <w:szCs w:val="19"/>
        </w:rPr>
        <w:t xml:space="preserve">ORNA, "NIST, ISO, COBIT, ITIL — Which Cyber Framework Rules Them </w:t>
      </w:r>
      <w:proofErr w:type="gramStart"/>
      <w:r>
        <w:rPr>
          <w:sz w:val="19"/>
          <w:szCs w:val="19"/>
        </w:rPr>
        <w:t>All?,</w:t>
      </w:r>
      <w:proofErr w:type="gramEnd"/>
      <w:r>
        <w:rPr>
          <w:sz w:val="19"/>
          <w:szCs w:val="19"/>
        </w:rPr>
        <w:t>" ORNA Pty Ltd, Sydney, Australia, 2022.</w:t>
      </w:r>
    </w:p>
    <w:p w14:paraId="0D3B6D54" w14:textId="77777777" w:rsidR="00642A87" w:rsidRDefault="00000000">
      <w:pPr>
        <w:pStyle w:val="ListParagraph"/>
        <w:numPr>
          <w:ilvl w:val="0"/>
          <w:numId w:val="2"/>
        </w:numPr>
        <w:spacing w:before="50" w:after="50"/>
      </w:pPr>
      <w:r>
        <w:rPr>
          <w:sz w:val="19"/>
          <w:szCs w:val="19"/>
        </w:rPr>
        <w:t>ACSMI, "Cybersecurity Frameworks Compared: NIST CSF, ISO 27001, and COBIT," ACSMI, 2025.</w:t>
      </w:r>
    </w:p>
    <w:p w14:paraId="3BDDE53D" w14:textId="77777777" w:rsidR="00642A87" w:rsidRDefault="00000000">
      <w:pPr>
        <w:pStyle w:val="ListParagraph"/>
        <w:numPr>
          <w:ilvl w:val="0"/>
          <w:numId w:val="2"/>
        </w:numPr>
        <w:spacing w:before="50" w:after="50"/>
      </w:pPr>
      <w:r>
        <w:rPr>
          <w:sz w:val="19"/>
          <w:szCs w:val="19"/>
        </w:rPr>
        <w:t>SANS Institute, "Incident Handler's Handbook," SANS Reading Room, Bethesda, MD, USA, 2021.</w:t>
      </w:r>
    </w:p>
    <w:p w14:paraId="4AB03811" w14:textId="77777777" w:rsidR="00642A87" w:rsidRDefault="00000000">
      <w:pPr>
        <w:pStyle w:val="ListParagraph"/>
        <w:numPr>
          <w:ilvl w:val="0"/>
          <w:numId w:val="2"/>
        </w:numPr>
        <w:spacing w:before="50" w:after="50"/>
      </w:pPr>
      <w:r>
        <w:rPr>
          <w:sz w:val="19"/>
          <w:szCs w:val="19"/>
        </w:rPr>
        <w:t>Microsoft, "Cloud Security Best Practices," Microsoft Documentation, Redmond, WA, USA, 2023.</w:t>
      </w:r>
    </w:p>
    <w:p w14:paraId="6563B505" w14:textId="77777777" w:rsidR="00642A87" w:rsidRDefault="00000000">
      <w:pPr>
        <w:pStyle w:val="ListParagraph"/>
        <w:numPr>
          <w:ilvl w:val="0"/>
          <w:numId w:val="2"/>
        </w:numPr>
        <w:spacing w:before="50" w:after="50"/>
      </w:pPr>
      <w:r>
        <w:rPr>
          <w:sz w:val="19"/>
          <w:szCs w:val="19"/>
        </w:rPr>
        <w:t>Gartner, "IT Service Management and ITIL 4: Market Guide," Gartner Research, Stamford, CT, USA, 2024.</w:t>
      </w:r>
    </w:p>
    <w:p w14:paraId="3D2480A5" w14:textId="77777777" w:rsidR="00642A87" w:rsidRDefault="00000000">
      <w:pPr>
        <w:pStyle w:val="ListParagraph"/>
        <w:numPr>
          <w:ilvl w:val="0"/>
          <w:numId w:val="2"/>
        </w:numPr>
        <w:spacing w:before="50" w:after="50"/>
      </w:pPr>
      <w:r>
        <w:rPr>
          <w:sz w:val="19"/>
          <w:szCs w:val="19"/>
        </w:rPr>
        <w:t>Deloitte, "Operational Resilience in Financial Services: Building Adaptive Capacity," Deloitte Insights, London, UK, 2023.</w:t>
      </w:r>
    </w:p>
    <w:p w14:paraId="3C680F23" w14:textId="77777777" w:rsidR="00642A87" w:rsidRDefault="00000000">
      <w:pPr>
        <w:pStyle w:val="ListParagraph"/>
        <w:numPr>
          <w:ilvl w:val="0"/>
          <w:numId w:val="2"/>
        </w:numPr>
        <w:spacing w:before="50" w:after="50"/>
      </w:pPr>
      <w:r>
        <w:rPr>
          <w:sz w:val="19"/>
          <w:szCs w:val="19"/>
        </w:rPr>
        <w:t>EY, "Cybersecurity Governance and Risk Management: From the Boardroom to the Front Line," Ernst &amp; Young, London, UK, 2024.</w:t>
      </w:r>
    </w:p>
    <w:p w14:paraId="7F197958" w14:textId="77777777" w:rsidR="00642A87" w:rsidRDefault="00000000">
      <w:pPr>
        <w:pStyle w:val="ListParagraph"/>
        <w:numPr>
          <w:ilvl w:val="0"/>
          <w:numId w:val="2"/>
        </w:numPr>
        <w:spacing w:before="50" w:after="50"/>
      </w:pPr>
      <w:r>
        <w:rPr>
          <w:sz w:val="19"/>
          <w:szCs w:val="19"/>
        </w:rPr>
        <w:t>PwC, "Integrating ITIL and ISO 27001 for Financial Institutions," PricewaterhouseCoopers LLP, London, UK, 2023.</w:t>
      </w:r>
    </w:p>
    <w:p w14:paraId="0F5117B0" w14:textId="77777777" w:rsidR="00642A87" w:rsidRDefault="00000000">
      <w:pPr>
        <w:pStyle w:val="ListParagraph"/>
        <w:numPr>
          <w:ilvl w:val="0"/>
          <w:numId w:val="2"/>
        </w:numPr>
        <w:spacing w:before="50" w:after="50"/>
      </w:pPr>
      <w:r>
        <w:rPr>
          <w:sz w:val="19"/>
          <w:szCs w:val="19"/>
        </w:rPr>
        <w:t>NIST, "Security and Privacy Controls for Information Systems and Organizations," Special Publication 800-53 Rev. 5, NIST, Gaithersburg, MD, USA, Sep. 2020.</w:t>
      </w:r>
    </w:p>
    <w:p w14:paraId="35067203" w14:textId="77777777" w:rsidR="00642A87" w:rsidRDefault="00000000">
      <w:pPr>
        <w:pStyle w:val="ListParagraph"/>
        <w:numPr>
          <w:ilvl w:val="0"/>
          <w:numId w:val="2"/>
        </w:numPr>
        <w:spacing w:before="50" w:after="50"/>
      </w:pPr>
      <w:r>
        <w:rPr>
          <w:sz w:val="19"/>
          <w:szCs w:val="19"/>
        </w:rPr>
        <w:t>ISO/IEC, Information Security, Cybersecurity and Privacy Protection — Guidance on Managing Information Security Risks, ISO/IEC 27005:2022. Geneva, Switzerland: ISO, 2022.</w:t>
      </w:r>
    </w:p>
    <w:p w14:paraId="5350A3F9" w14:textId="77777777" w:rsidR="00642A87" w:rsidRDefault="00000000">
      <w:pPr>
        <w:pStyle w:val="ListParagraph"/>
        <w:numPr>
          <w:ilvl w:val="0"/>
          <w:numId w:val="2"/>
        </w:numPr>
        <w:spacing w:before="50" w:after="50"/>
      </w:pPr>
      <w:r>
        <w:rPr>
          <w:sz w:val="19"/>
          <w:szCs w:val="19"/>
        </w:rPr>
        <w:t>ISACA, "COBIT EDM01: Ensured Governance Framework Setting and Maintenance," in COBIT 2019 Design Guide. Rolling Meadows, IL, USA: ISACA, 2019, pp. 44–49.</w:t>
      </w:r>
    </w:p>
    <w:p w14:paraId="57AF5ADA" w14:textId="77777777" w:rsidR="00642A87" w:rsidRDefault="00000000">
      <w:pPr>
        <w:pStyle w:val="ListParagraph"/>
        <w:numPr>
          <w:ilvl w:val="0"/>
          <w:numId w:val="2"/>
        </w:numPr>
        <w:spacing w:before="50" w:after="50"/>
      </w:pPr>
      <w:r>
        <w:rPr>
          <w:sz w:val="19"/>
          <w:szCs w:val="19"/>
        </w:rPr>
        <w:lastRenderedPageBreak/>
        <w:t>AXELOS, ITIL 4: Drive Stakeholder Value. London, UK: The Stationery Office, 2020.</w:t>
      </w:r>
    </w:p>
    <w:p w14:paraId="7D3D3D66" w14:textId="77777777" w:rsidR="00642A87" w:rsidRDefault="00000000">
      <w:pPr>
        <w:pStyle w:val="ListParagraph"/>
        <w:numPr>
          <w:ilvl w:val="0"/>
          <w:numId w:val="2"/>
        </w:numPr>
        <w:spacing w:before="50" w:after="50"/>
      </w:pPr>
      <w:r>
        <w:rPr>
          <w:sz w:val="19"/>
          <w:szCs w:val="19"/>
        </w:rPr>
        <w:t>McKinsey &amp; Company, "Cybersecurity in Banking: A Strategic Imperative for 2024 and Beyond," McKinsey Global Institute, New York, NY, USA, 2024.</w:t>
      </w:r>
    </w:p>
    <w:p w14:paraId="31697AF3" w14:textId="77777777" w:rsidR="00642A87" w:rsidRDefault="00000000">
      <w:pPr>
        <w:pStyle w:val="ListParagraph"/>
        <w:numPr>
          <w:ilvl w:val="0"/>
          <w:numId w:val="2"/>
        </w:numPr>
        <w:spacing w:before="50" w:after="50"/>
      </w:pPr>
      <w:r>
        <w:rPr>
          <w:sz w:val="19"/>
          <w:szCs w:val="19"/>
        </w:rPr>
        <w:t>Financial Conduct Authority (FCA), "Operational Resilience: Building Resilience in Financial Services," FCA Policy Statement PS21/3, London, UK, Mar. 2021.</w:t>
      </w:r>
    </w:p>
    <w:p w14:paraId="369E90B9" w14:textId="77777777" w:rsidR="00642A87" w:rsidRDefault="00000000">
      <w:pPr>
        <w:pStyle w:val="ListParagraph"/>
        <w:numPr>
          <w:ilvl w:val="0"/>
          <w:numId w:val="2"/>
        </w:numPr>
        <w:spacing w:before="50" w:after="50"/>
      </w:pPr>
      <w:r>
        <w:rPr>
          <w:sz w:val="19"/>
          <w:szCs w:val="19"/>
        </w:rPr>
        <w:t>Payment Card Industry Security Standards Council, "Payment Card Industry Data Security Standard (PCI DSS) v4.0," PCI SSC, Wakefield, MA, USA, 2022.</w:t>
      </w:r>
    </w:p>
    <w:p w14:paraId="7C22D7E1" w14:textId="77777777" w:rsidR="00642A87" w:rsidRPr="00CA3CED" w:rsidRDefault="00000000">
      <w:pPr>
        <w:pStyle w:val="ListParagraph"/>
        <w:numPr>
          <w:ilvl w:val="0"/>
          <w:numId w:val="2"/>
        </w:numPr>
        <w:spacing w:before="50" w:after="50"/>
      </w:pPr>
      <w:r>
        <w:rPr>
          <w:sz w:val="19"/>
          <w:szCs w:val="19"/>
        </w:rPr>
        <w:t>B. Schneier, Data and Goliath: The Hidden Battles to Collect Your Data and Control Your World. New York, NY, USA: W. W. Norton &amp; Company, 2015.</w:t>
      </w:r>
    </w:p>
    <w:p w14:paraId="7FD2CB0F" w14:textId="4E2B4E8F" w:rsidR="00CA3CED" w:rsidRDefault="00CA3CED">
      <w:pPr>
        <w:pStyle w:val="ListParagraph"/>
        <w:numPr>
          <w:ilvl w:val="0"/>
          <w:numId w:val="2"/>
        </w:numPr>
        <w:spacing w:before="50" w:after="50"/>
      </w:pPr>
      <w:r w:rsidRPr="00CA3CED">
        <w:t>https://www.infotech.com/research/ss/establish-effective-security-governance-management</w:t>
      </w:r>
      <w:r w:rsidR="00F0325D">
        <w:t>.</w:t>
      </w:r>
    </w:p>
    <w:p w14:paraId="5FC0C84D" w14:textId="77777777" w:rsidR="00642A87" w:rsidRDefault="00642A87">
      <w:pPr>
        <w:spacing w:before="60" w:after="60"/>
      </w:pPr>
    </w:p>
    <w:sectPr w:rsidR="00642A87">
      <w:headerReference w:type="default" r:id="rId28"/>
      <w:footerReference w:type="default" r:id="rId29"/>
      <w:pgSz w:w="11906" w:h="16838"/>
      <w:pgMar w:top="1440" w:right="1260" w:bottom="1440" w:left="126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A50D61" w14:textId="77777777" w:rsidR="00DC388A" w:rsidRDefault="00DC388A">
      <w:r>
        <w:separator/>
      </w:r>
    </w:p>
  </w:endnote>
  <w:endnote w:type="continuationSeparator" w:id="0">
    <w:p w14:paraId="788A19F3" w14:textId="77777777" w:rsidR="00DC388A" w:rsidRDefault="00DC388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958793" w14:textId="77777777" w:rsidR="00642A87" w:rsidRDefault="00000000">
    <w:pPr>
      <w:pBdr>
        <w:top w:val="single" w:sz="4" w:space="6" w:color="1F5C99"/>
      </w:pBdr>
    </w:pPr>
    <w:r>
      <w:rPr>
        <w:color w:val="888780"/>
        <w:sz w:val="18"/>
        <w:szCs w:val="18"/>
      </w:rPr>
      <w:t xml:space="preserve">Page </w:t>
    </w:r>
    <w:r>
      <w:rPr>
        <w:color w:val="888780"/>
        <w:sz w:val="18"/>
        <w:szCs w:val="18"/>
      </w:rPr>
      <w:fldChar w:fldCharType="begin"/>
    </w:r>
    <w:r>
      <w:rPr>
        <w:color w:val="888780"/>
        <w:sz w:val="18"/>
        <w:szCs w:val="18"/>
      </w:rPr>
      <w:instrText>PAGE</w:instrText>
    </w:r>
    <w:r>
      <w:rPr>
        <w:color w:val="888780"/>
        <w:sz w:val="18"/>
        <w:szCs w:val="18"/>
      </w:rPr>
      <w:fldChar w:fldCharType="separate"/>
    </w:r>
    <w:r w:rsidR="00F65196">
      <w:rPr>
        <w:noProof/>
        <w:color w:val="888780"/>
        <w:sz w:val="18"/>
        <w:szCs w:val="18"/>
      </w:rPr>
      <w:t>1</w:t>
    </w:r>
    <w:r>
      <w:rPr>
        <w:color w:val="8887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F2BB5F" w14:textId="77777777" w:rsidR="00DC388A" w:rsidRDefault="00DC388A">
      <w:r>
        <w:separator/>
      </w:r>
    </w:p>
  </w:footnote>
  <w:footnote w:type="continuationSeparator" w:id="0">
    <w:p w14:paraId="1DB6CC6E" w14:textId="77777777" w:rsidR="00DC388A" w:rsidRDefault="00DC388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1200781"/>
      <w:docPartObj>
        <w:docPartGallery w:val="Page Numbers (Top of Page)"/>
        <w:docPartUnique/>
      </w:docPartObj>
    </w:sdtPr>
    <w:sdtEndPr>
      <w:rPr>
        <w:noProof/>
      </w:rPr>
    </w:sdtEndPr>
    <w:sdtContent>
      <w:p w14:paraId="3ADB6A95" w14:textId="5288714B" w:rsidR="00D3479F" w:rsidRDefault="00D3479F">
        <w:pPr>
          <w:pStyle w:val="Header"/>
        </w:pPr>
        <w:r>
          <w:fldChar w:fldCharType="begin"/>
        </w:r>
        <w:r>
          <w:instrText xml:space="preserve"> PAGE   \* MERGEFORMAT </w:instrText>
        </w:r>
        <w:r>
          <w:fldChar w:fldCharType="separate"/>
        </w:r>
        <w:r>
          <w:rPr>
            <w:noProof/>
          </w:rPr>
          <w:t>2</w:t>
        </w:r>
        <w:r>
          <w:rPr>
            <w:noProof/>
          </w:rPr>
          <w:fldChar w:fldCharType="end"/>
        </w:r>
      </w:p>
    </w:sdtContent>
  </w:sdt>
  <w:p w14:paraId="2064E02A" w14:textId="15E63066" w:rsidR="00642A87" w:rsidRDefault="00642A87">
    <w:pPr>
      <w:pBdr>
        <w:bottom w:val="single" w:sz="4" w:space="6" w:color="1F5C99"/>
      </w:pBdr>
      <w:tabs>
        <w:tab w:val="right" w:pos="9026"/>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E705F5"/>
    <w:multiLevelType w:val="hybridMultilevel"/>
    <w:tmpl w:val="686EDE94"/>
    <w:lvl w:ilvl="0" w:tplc="64547A88">
      <w:start w:val="1"/>
      <w:numFmt w:val="bullet"/>
      <w:lvlText w:val="•"/>
      <w:lvlJc w:val="left"/>
      <w:pPr>
        <w:ind w:left="720" w:hanging="360"/>
      </w:pPr>
    </w:lvl>
    <w:lvl w:ilvl="1" w:tplc="42E84A6E">
      <w:numFmt w:val="decimal"/>
      <w:lvlText w:val=""/>
      <w:lvlJc w:val="left"/>
    </w:lvl>
    <w:lvl w:ilvl="2" w:tplc="CCA8CA1A">
      <w:numFmt w:val="decimal"/>
      <w:lvlText w:val=""/>
      <w:lvlJc w:val="left"/>
    </w:lvl>
    <w:lvl w:ilvl="3" w:tplc="D8EEC46C">
      <w:numFmt w:val="decimal"/>
      <w:lvlText w:val=""/>
      <w:lvlJc w:val="left"/>
    </w:lvl>
    <w:lvl w:ilvl="4" w:tplc="007607A4">
      <w:numFmt w:val="decimal"/>
      <w:lvlText w:val=""/>
      <w:lvlJc w:val="left"/>
    </w:lvl>
    <w:lvl w:ilvl="5" w:tplc="76CAB9A0">
      <w:numFmt w:val="decimal"/>
      <w:lvlText w:val=""/>
      <w:lvlJc w:val="left"/>
    </w:lvl>
    <w:lvl w:ilvl="6" w:tplc="C9C6275E">
      <w:numFmt w:val="decimal"/>
      <w:lvlText w:val=""/>
      <w:lvlJc w:val="left"/>
    </w:lvl>
    <w:lvl w:ilvl="7" w:tplc="C27ED2FC">
      <w:numFmt w:val="decimal"/>
      <w:lvlText w:val=""/>
      <w:lvlJc w:val="left"/>
    </w:lvl>
    <w:lvl w:ilvl="8" w:tplc="A0A44F66">
      <w:numFmt w:val="decimal"/>
      <w:lvlText w:val=""/>
      <w:lvlJc w:val="left"/>
    </w:lvl>
  </w:abstractNum>
  <w:abstractNum w:abstractNumId="1" w15:restartNumberingAfterBreak="0">
    <w:nsid w:val="6763153A"/>
    <w:multiLevelType w:val="hybridMultilevel"/>
    <w:tmpl w:val="32FAFD6C"/>
    <w:lvl w:ilvl="0" w:tplc="C2B4F948">
      <w:start w:val="1"/>
      <w:numFmt w:val="bullet"/>
      <w:lvlText w:val="●"/>
      <w:lvlJc w:val="left"/>
      <w:pPr>
        <w:ind w:left="720" w:hanging="360"/>
      </w:pPr>
    </w:lvl>
    <w:lvl w:ilvl="1" w:tplc="E7C4C8EE">
      <w:start w:val="1"/>
      <w:numFmt w:val="bullet"/>
      <w:lvlText w:val="○"/>
      <w:lvlJc w:val="left"/>
      <w:pPr>
        <w:ind w:left="1440" w:hanging="360"/>
      </w:pPr>
    </w:lvl>
    <w:lvl w:ilvl="2" w:tplc="E3F273CE">
      <w:start w:val="1"/>
      <w:numFmt w:val="bullet"/>
      <w:lvlText w:val="■"/>
      <w:lvlJc w:val="left"/>
      <w:pPr>
        <w:ind w:left="2160" w:hanging="360"/>
      </w:pPr>
    </w:lvl>
    <w:lvl w:ilvl="3" w:tplc="3842AD74">
      <w:start w:val="1"/>
      <w:numFmt w:val="bullet"/>
      <w:lvlText w:val="●"/>
      <w:lvlJc w:val="left"/>
      <w:pPr>
        <w:ind w:left="2880" w:hanging="360"/>
      </w:pPr>
    </w:lvl>
    <w:lvl w:ilvl="4" w:tplc="CC9062A0">
      <w:start w:val="1"/>
      <w:numFmt w:val="bullet"/>
      <w:lvlText w:val="○"/>
      <w:lvlJc w:val="left"/>
      <w:pPr>
        <w:ind w:left="3600" w:hanging="360"/>
      </w:pPr>
    </w:lvl>
    <w:lvl w:ilvl="5" w:tplc="E9A05642">
      <w:start w:val="1"/>
      <w:numFmt w:val="bullet"/>
      <w:lvlText w:val="■"/>
      <w:lvlJc w:val="left"/>
      <w:pPr>
        <w:ind w:left="4320" w:hanging="360"/>
      </w:pPr>
    </w:lvl>
    <w:lvl w:ilvl="6" w:tplc="7972AFAE">
      <w:start w:val="1"/>
      <w:numFmt w:val="bullet"/>
      <w:lvlText w:val="●"/>
      <w:lvlJc w:val="left"/>
      <w:pPr>
        <w:ind w:left="5040" w:hanging="360"/>
      </w:pPr>
    </w:lvl>
    <w:lvl w:ilvl="7" w:tplc="46A6B6E8">
      <w:start w:val="1"/>
      <w:numFmt w:val="bullet"/>
      <w:lvlText w:val="●"/>
      <w:lvlJc w:val="left"/>
      <w:pPr>
        <w:ind w:left="5760" w:hanging="360"/>
      </w:pPr>
    </w:lvl>
    <w:lvl w:ilvl="8" w:tplc="9B244734">
      <w:start w:val="1"/>
      <w:numFmt w:val="bullet"/>
      <w:lvlText w:val="●"/>
      <w:lvlJc w:val="left"/>
      <w:pPr>
        <w:ind w:left="6480" w:hanging="360"/>
      </w:pPr>
    </w:lvl>
  </w:abstractNum>
  <w:abstractNum w:abstractNumId="2" w15:restartNumberingAfterBreak="0">
    <w:nsid w:val="6E0635EB"/>
    <w:multiLevelType w:val="hybridMultilevel"/>
    <w:tmpl w:val="737827FE"/>
    <w:lvl w:ilvl="0" w:tplc="BD12F9EA">
      <w:start w:val="1"/>
      <w:numFmt w:val="decimal"/>
      <w:lvlText w:val="[%1]"/>
      <w:lvlJc w:val="left"/>
      <w:pPr>
        <w:ind w:left="820" w:hanging="540"/>
      </w:pPr>
    </w:lvl>
    <w:lvl w:ilvl="1" w:tplc="49EA1418">
      <w:numFmt w:val="decimal"/>
      <w:lvlText w:val=""/>
      <w:lvlJc w:val="left"/>
    </w:lvl>
    <w:lvl w:ilvl="2" w:tplc="5BEA87CC">
      <w:numFmt w:val="decimal"/>
      <w:lvlText w:val=""/>
      <w:lvlJc w:val="left"/>
    </w:lvl>
    <w:lvl w:ilvl="3" w:tplc="09848144">
      <w:numFmt w:val="decimal"/>
      <w:lvlText w:val=""/>
      <w:lvlJc w:val="left"/>
    </w:lvl>
    <w:lvl w:ilvl="4" w:tplc="9F783D94">
      <w:numFmt w:val="decimal"/>
      <w:lvlText w:val=""/>
      <w:lvlJc w:val="left"/>
    </w:lvl>
    <w:lvl w:ilvl="5" w:tplc="D9368924">
      <w:numFmt w:val="decimal"/>
      <w:lvlText w:val=""/>
      <w:lvlJc w:val="left"/>
    </w:lvl>
    <w:lvl w:ilvl="6" w:tplc="9A4AB29C">
      <w:numFmt w:val="decimal"/>
      <w:lvlText w:val=""/>
      <w:lvlJc w:val="left"/>
    </w:lvl>
    <w:lvl w:ilvl="7" w:tplc="B856566A">
      <w:numFmt w:val="decimal"/>
      <w:lvlText w:val=""/>
      <w:lvlJc w:val="left"/>
    </w:lvl>
    <w:lvl w:ilvl="8" w:tplc="A0042046">
      <w:numFmt w:val="decimal"/>
      <w:lvlText w:val=""/>
      <w:lvlJc w:val="left"/>
    </w:lvl>
  </w:abstractNum>
  <w:num w:numId="1" w16cid:durableId="2043281972">
    <w:abstractNumId w:val="1"/>
    <w:lvlOverride w:ilvl="0">
      <w:startOverride w:val="1"/>
    </w:lvlOverride>
  </w:num>
  <w:num w:numId="2" w16cid:durableId="687294399">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42A87"/>
    <w:rsid w:val="000057E3"/>
    <w:rsid w:val="00005F38"/>
    <w:rsid w:val="00037CCE"/>
    <w:rsid w:val="00055A12"/>
    <w:rsid w:val="0005756C"/>
    <w:rsid w:val="00071DC8"/>
    <w:rsid w:val="000722F3"/>
    <w:rsid w:val="00090847"/>
    <w:rsid w:val="000938D6"/>
    <w:rsid w:val="000B2E28"/>
    <w:rsid w:val="000C45A3"/>
    <w:rsid w:val="000E2914"/>
    <w:rsid w:val="000E292F"/>
    <w:rsid w:val="0010019C"/>
    <w:rsid w:val="001028BE"/>
    <w:rsid w:val="00111765"/>
    <w:rsid w:val="00122C7A"/>
    <w:rsid w:val="0014271A"/>
    <w:rsid w:val="00143F3D"/>
    <w:rsid w:val="00147367"/>
    <w:rsid w:val="00163225"/>
    <w:rsid w:val="00167362"/>
    <w:rsid w:val="0017270A"/>
    <w:rsid w:val="0018323A"/>
    <w:rsid w:val="001909B8"/>
    <w:rsid w:val="001C4617"/>
    <w:rsid w:val="001D2DDF"/>
    <w:rsid w:val="002042F7"/>
    <w:rsid w:val="00205C15"/>
    <w:rsid w:val="00236860"/>
    <w:rsid w:val="00237068"/>
    <w:rsid w:val="002375A8"/>
    <w:rsid w:val="00244F25"/>
    <w:rsid w:val="00251F36"/>
    <w:rsid w:val="00283FD2"/>
    <w:rsid w:val="002B09D8"/>
    <w:rsid w:val="002B123D"/>
    <w:rsid w:val="002B30A5"/>
    <w:rsid w:val="002B5DB8"/>
    <w:rsid w:val="002B695B"/>
    <w:rsid w:val="00301D18"/>
    <w:rsid w:val="00343F79"/>
    <w:rsid w:val="003464BF"/>
    <w:rsid w:val="003627A0"/>
    <w:rsid w:val="00381D58"/>
    <w:rsid w:val="0038275F"/>
    <w:rsid w:val="00390F43"/>
    <w:rsid w:val="0039655C"/>
    <w:rsid w:val="003B095D"/>
    <w:rsid w:val="003D2D4F"/>
    <w:rsid w:val="003E42AB"/>
    <w:rsid w:val="003F5143"/>
    <w:rsid w:val="00402D19"/>
    <w:rsid w:val="0041028E"/>
    <w:rsid w:val="0042747C"/>
    <w:rsid w:val="00434DB3"/>
    <w:rsid w:val="004371FA"/>
    <w:rsid w:val="004421B3"/>
    <w:rsid w:val="00447AC8"/>
    <w:rsid w:val="00451A29"/>
    <w:rsid w:val="0045568A"/>
    <w:rsid w:val="00472C15"/>
    <w:rsid w:val="00481FCA"/>
    <w:rsid w:val="00492AA6"/>
    <w:rsid w:val="004A14EC"/>
    <w:rsid w:val="004C5931"/>
    <w:rsid w:val="004D4F86"/>
    <w:rsid w:val="004D5219"/>
    <w:rsid w:val="004D5525"/>
    <w:rsid w:val="004F54A3"/>
    <w:rsid w:val="004F6277"/>
    <w:rsid w:val="005128D3"/>
    <w:rsid w:val="00521DFA"/>
    <w:rsid w:val="00526312"/>
    <w:rsid w:val="0052683B"/>
    <w:rsid w:val="00546A6A"/>
    <w:rsid w:val="00547944"/>
    <w:rsid w:val="00573C76"/>
    <w:rsid w:val="00574A46"/>
    <w:rsid w:val="0058221D"/>
    <w:rsid w:val="00587019"/>
    <w:rsid w:val="005A15E2"/>
    <w:rsid w:val="005A7948"/>
    <w:rsid w:val="005B4175"/>
    <w:rsid w:val="005D0297"/>
    <w:rsid w:val="005D0620"/>
    <w:rsid w:val="005E2BC4"/>
    <w:rsid w:val="005F1203"/>
    <w:rsid w:val="005F276C"/>
    <w:rsid w:val="006106E1"/>
    <w:rsid w:val="00612CC1"/>
    <w:rsid w:val="006144D7"/>
    <w:rsid w:val="0062131A"/>
    <w:rsid w:val="00632FC3"/>
    <w:rsid w:val="006413C8"/>
    <w:rsid w:val="00642A87"/>
    <w:rsid w:val="00644286"/>
    <w:rsid w:val="006514A0"/>
    <w:rsid w:val="00653664"/>
    <w:rsid w:val="006D13A1"/>
    <w:rsid w:val="006D6F50"/>
    <w:rsid w:val="006F5CA7"/>
    <w:rsid w:val="00722309"/>
    <w:rsid w:val="00735BEA"/>
    <w:rsid w:val="00744C51"/>
    <w:rsid w:val="0075002D"/>
    <w:rsid w:val="00762B8F"/>
    <w:rsid w:val="007640DB"/>
    <w:rsid w:val="00765EE0"/>
    <w:rsid w:val="00767497"/>
    <w:rsid w:val="00777914"/>
    <w:rsid w:val="007978E9"/>
    <w:rsid w:val="007C76BA"/>
    <w:rsid w:val="007D32C8"/>
    <w:rsid w:val="007D412C"/>
    <w:rsid w:val="007D5220"/>
    <w:rsid w:val="00801FAF"/>
    <w:rsid w:val="00805278"/>
    <w:rsid w:val="00810396"/>
    <w:rsid w:val="00823B1B"/>
    <w:rsid w:val="008311B7"/>
    <w:rsid w:val="0083689A"/>
    <w:rsid w:val="00843F04"/>
    <w:rsid w:val="008547B7"/>
    <w:rsid w:val="00871C38"/>
    <w:rsid w:val="00884002"/>
    <w:rsid w:val="008C01D5"/>
    <w:rsid w:val="008C6E82"/>
    <w:rsid w:val="008E069B"/>
    <w:rsid w:val="008E3BF2"/>
    <w:rsid w:val="008E7AC5"/>
    <w:rsid w:val="008F58A1"/>
    <w:rsid w:val="008F683D"/>
    <w:rsid w:val="00906DDE"/>
    <w:rsid w:val="009173EF"/>
    <w:rsid w:val="0093070C"/>
    <w:rsid w:val="00933A13"/>
    <w:rsid w:val="00951A6E"/>
    <w:rsid w:val="0095319C"/>
    <w:rsid w:val="00954906"/>
    <w:rsid w:val="0096785A"/>
    <w:rsid w:val="00971715"/>
    <w:rsid w:val="00973783"/>
    <w:rsid w:val="00975EBF"/>
    <w:rsid w:val="00987657"/>
    <w:rsid w:val="009913F2"/>
    <w:rsid w:val="009926A1"/>
    <w:rsid w:val="009929D7"/>
    <w:rsid w:val="009A1470"/>
    <w:rsid w:val="009A3489"/>
    <w:rsid w:val="009D32A2"/>
    <w:rsid w:val="009D3354"/>
    <w:rsid w:val="009E1BD7"/>
    <w:rsid w:val="009F3EF2"/>
    <w:rsid w:val="009F6D5D"/>
    <w:rsid w:val="00A13097"/>
    <w:rsid w:val="00A13E37"/>
    <w:rsid w:val="00A22142"/>
    <w:rsid w:val="00A40666"/>
    <w:rsid w:val="00A44A0F"/>
    <w:rsid w:val="00A62D16"/>
    <w:rsid w:val="00A65734"/>
    <w:rsid w:val="00A66442"/>
    <w:rsid w:val="00A706E4"/>
    <w:rsid w:val="00A80C1D"/>
    <w:rsid w:val="00A87E74"/>
    <w:rsid w:val="00A9068A"/>
    <w:rsid w:val="00A9170F"/>
    <w:rsid w:val="00AB6104"/>
    <w:rsid w:val="00AC0A80"/>
    <w:rsid w:val="00AC402E"/>
    <w:rsid w:val="00AD3CE1"/>
    <w:rsid w:val="00AD48C2"/>
    <w:rsid w:val="00AE53A8"/>
    <w:rsid w:val="00AF3795"/>
    <w:rsid w:val="00B06895"/>
    <w:rsid w:val="00B20AC4"/>
    <w:rsid w:val="00B337B0"/>
    <w:rsid w:val="00B36714"/>
    <w:rsid w:val="00B62706"/>
    <w:rsid w:val="00B7067C"/>
    <w:rsid w:val="00B7458C"/>
    <w:rsid w:val="00B7479C"/>
    <w:rsid w:val="00B832DE"/>
    <w:rsid w:val="00B85256"/>
    <w:rsid w:val="00B85795"/>
    <w:rsid w:val="00B87DAF"/>
    <w:rsid w:val="00BD1D30"/>
    <w:rsid w:val="00BD4BF3"/>
    <w:rsid w:val="00BD59DB"/>
    <w:rsid w:val="00BE2BF7"/>
    <w:rsid w:val="00BF0628"/>
    <w:rsid w:val="00BF3B92"/>
    <w:rsid w:val="00C06158"/>
    <w:rsid w:val="00C06601"/>
    <w:rsid w:val="00C074E6"/>
    <w:rsid w:val="00C14E1D"/>
    <w:rsid w:val="00C54825"/>
    <w:rsid w:val="00C6126E"/>
    <w:rsid w:val="00C810E8"/>
    <w:rsid w:val="00C82466"/>
    <w:rsid w:val="00C83C23"/>
    <w:rsid w:val="00CA3025"/>
    <w:rsid w:val="00CA3CED"/>
    <w:rsid w:val="00CD0B11"/>
    <w:rsid w:val="00CD5086"/>
    <w:rsid w:val="00D13F0E"/>
    <w:rsid w:val="00D343D4"/>
    <w:rsid w:val="00D3479F"/>
    <w:rsid w:val="00D41A93"/>
    <w:rsid w:val="00D45028"/>
    <w:rsid w:val="00D50D1A"/>
    <w:rsid w:val="00DA009B"/>
    <w:rsid w:val="00DB3211"/>
    <w:rsid w:val="00DB6C6D"/>
    <w:rsid w:val="00DC2275"/>
    <w:rsid w:val="00DC388A"/>
    <w:rsid w:val="00DC4A0E"/>
    <w:rsid w:val="00DC56CC"/>
    <w:rsid w:val="00DD1B15"/>
    <w:rsid w:val="00DD79A5"/>
    <w:rsid w:val="00DE3A35"/>
    <w:rsid w:val="00DE5824"/>
    <w:rsid w:val="00DE7A99"/>
    <w:rsid w:val="00E00CB8"/>
    <w:rsid w:val="00E21C03"/>
    <w:rsid w:val="00E23801"/>
    <w:rsid w:val="00E24174"/>
    <w:rsid w:val="00E31A48"/>
    <w:rsid w:val="00E32CF9"/>
    <w:rsid w:val="00E4186D"/>
    <w:rsid w:val="00E45308"/>
    <w:rsid w:val="00E469A3"/>
    <w:rsid w:val="00E46FA4"/>
    <w:rsid w:val="00E54287"/>
    <w:rsid w:val="00E57834"/>
    <w:rsid w:val="00E6791A"/>
    <w:rsid w:val="00E74553"/>
    <w:rsid w:val="00E774D2"/>
    <w:rsid w:val="00E77CE9"/>
    <w:rsid w:val="00E82562"/>
    <w:rsid w:val="00EA0AC9"/>
    <w:rsid w:val="00EA2E24"/>
    <w:rsid w:val="00EB1D20"/>
    <w:rsid w:val="00EB2545"/>
    <w:rsid w:val="00EB425A"/>
    <w:rsid w:val="00F0325D"/>
    <w:rsid w:val="00F05FF3"/>
    <w:rsid w:val="00F12B2F"/>
    <w:rsid w:val="00F152E7"/>
    <w:rsid w:val="00F176BA"/>
    <w:rsid w:val="00F23F28"/>
    <w:rsid w:val="00F27A9B"/>
    <w:rsid w:val="00F310E4"/>
    <w:rsid w:val="00F4685F"/>
    <w:rsid w:val="00F55F14"/>
    <w:rsid w:val="00F65196"/>
    <w:rsid w:val="00F80382"/>
    <w:rsid w:val="00F874D1"/>
    <w:rsid w:val="00F90FD6"/>
    <w:rsid w:val="00F91C3A"/>
    <w:rsid w:val="00FB71E2"/>
    <w:rsid w:val="00FC49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31C65C"/>
  <w15:docId w15:val="{9D931D4A-3514-474F-A7EA-1F8A9BC210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09D8"/>
  </w:style>
  <w:style w:type="paragraph" w:styleId="Heading1">
    <w:name w:val="heading 1"/>
    <w:uiPriority w:val="9"/>
    <w:qFormat/>
    <w:pPr>
      <w:spacing w:before="400" w:after="200"/>
      <w:outlineLvl w:val="0"/>
    </w:pPr>
    <w:rPr>
      <w:b/>
      <w:bCs/>
      <w:color w:val="1F5C99"/>
      <w:sz w:val="30"/>
      <w:szCs w:val="30"/>
    </w:rPr>
  </w:style>
  <w:style w:type="paragraph" w:styleId="Heading2">
    <w:name w:val="heading 2"/>
    <w:link w:val="Heading2Char"/>
    <w:uiPriority w:val="9"/>
    <w:unhideWhenUsed/>
    <w:qFormat/>
    <w:pPr>
      <w:spacing w:before="280" w:after="140"/>
      <w:outlineLvl w:val="1"/>
    </w:pPr>
    <w:rPr>
      <w:b/>
      <w:bCs/>
      <w:color w:val="2E75B6"/>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45028"/>
    <w:pPr>
      <w:tabs>
        <w:tab w:val="center" w:pos="4513"/>
        <w:tab w:val="right" w:pos="9026"/>
      </w:tabs>
    </w:pPr>
  </w:style>
  <w:style w:type="character" w:customStyle="1" w:styleId="HeaderChar">
    <w:name w:val="Header Char"/>
    <w:basedOn w:val="DefaultParagraphFont"/>
    <w:link w:val="Header"/>
    <w:uiPriority w:val="99"/>
    <w:rsid w:val="00D45028"/>
  </w:style>
  <w:style w:type="paragraph" w:styleId="Footer">
    <w:name w:val="footer"/>
    <w:basedOn w:val="Normal"/>
    <w:link w:val="FooterChar"/>
    <w:uiPriority w:val="99"/>
    <w:unhideWhenUsed/>
    <w:rsid w:val="00D45028"/>
    <w:pPr>
      <w:tabs>
        <w:tab w:val="center" w:pos="4513"/>
        <w:tab w:val="right" w:pos="9026"/>
      </w:tabs>
    </w:pPr>
  </w:style>
  <w:style w:type="character" w:customStyle="1" w:styleId="FooterChar">
    <w:name w:val="Footer Char"/>
    <w:basedOn w:val="DefaultParagraphFont"/>
    <w:link w:val="Footer"/>
    <w:uiPriority w:val="99"/>
    <w:rsid w:val="00D45028"/>
  </w:style>
  <w:style w:type="character" w:customStyle="1" w:styleId="Heading2Char">
    <w:name w:val="Heading 2 Char"/>
    <w:basedOn w:val="DefaultParagraphFont"/>
    <w:link w:val="Heading2"/>
    <w:uiPriority w:val="9"/>
    <w:rsid w:val="002B09D8"/>
    <w:rPr>
      <w:b/>
      <w:bCs/>
      <w:color w:val="2E75B6"/>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A6DED8-C3C5-4060-B5AB-436A5E977BA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6309</TotalTime>
  <Pages>25</Pages>
  <Words>4188</Words>
  <Characters>23873</Characters>
  <Application>Microsoft Office Word</Application>
  <DocSecurity>0</DocSecurity>
  <Lines>198</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Muhammad Akteruzzman (2216724)</cp:lastModifiedBy>
  <cp:revision>247</cp:revision>
  <dcterms:created xsi:type="dcterms:W3CDTF">2026-04-08T23:26:00Z</dcterms:created>
  <dcterms:modified xsi:type="dcterms:W3CDTF">2026-04-28T21:44:00Z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e65ba74d-c093-49a9-85db-858122808363</vt:lpwstr>
  </property>
</Properties>
</file>