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1F82ED" w14:textId="77777777" w:rsidR="00570758" w:rsidRDefault="00000000">
      <w:pPr>
        <w:rPr>
          <w:b/>
          <w:bCs/>
          <w:u w:val="single"/>
        </w:rPr>
      </w:pPr>
      <w:r>
        <w:rPr>
          <w:b/>
          <w:bCs/>
          <w:u w:val="single"/>
        </w:rPr>
        <w:t>Quantifying bones, David Hinsull (2103522)</w:t>
      </w:r>
    </w:p>
    <w:p w14:paraId="38EE7492" w14:textId="77777777" w:rsidR="00570758" w:rsidRDefault="00000000">
      <w:r>
        <w:t xml:space="preserve">The quantification of bones is all based on assumptions of an assemblage. The reason we do quantification is to understand the different taxonomies in the assemblage, how they interacted with their environment and how humans interacted with </w:t>
      </w:r>
      <w:bookmarkStart w:id="0" w:name="_Hlk127542061"/>
      <w:bookmarkStart w:id="1" w:name="_Hlk127608399"/>
      <w:r>
        <w:t>animals (O’Connor, 2004)</w:t>
      </w:r>
      <w:bookmarkEnd w:id="0"/>
      <w:r>
        <w:t xml:space="preserve">. </w:t>
      </w:r>
      <w:bookmarkEnd w:id="1"/>
      <w:r>
        <w:t xml:space="preserve">The main theories of the quantification of bones are the Number of Individual Specimens (NISP) and Minimum Number of Individuals (MNI) ( O’Connor, 2004). On the other hand, there is also the idea that there should be more semi-qualitative forms of quantification. </w:t>
      </w:r>
    </w:p>
    <w:p w14:paraId="2EFAE0E7" w14:textId="77777777" w:rsidR="00570758" w:rsidRDefault="00000000">
      <w:r>
        <w:t xml:space="preserve">The Number of Individual specimens otherwise known as the Total Number of Fragments is calculated by looking at an assemblage and counting up the number of bones and attributing them to what species the animal belongs to (O’Connor, 2004). Consequently, this method is only valid if the Number of Individual Specimens are limited and only describes the sample on the bench and not the whole assemblage or the original community </w:t>
      </w:r>
      <w:bookmarkStart w:id="2" w:name="_Hlk127542110"/>
      <w:r>
        <w:t>(Halmhofer,2018)</w:t>
      </w:r>
      <w:bookmarkEnd w:id="2"/>
      <w:r>
        <w:t xml:space="preserve">. This method is often used to gain an understanding of the relative amount of bones in the collection.  NISP is often used alongside the Minimum number of elements and the Minimum number of Individuals (Halmhofer,2018).  </w:t>
      </w:r>
    </w:p>
    <w:p w14:paraId="6992CBEB" w14:textId="77777777" w:rsidR="00570758" w:rsidRDefault="00000000">
      <w:r>
        <w:t>The Minimum Number of Individuals (MNI) is done by separating the skeletal elements into right and left and then using the larger number as an estimate</w:t>
      </w:r>
      <w:bookmarkStart w:id="3" w:name="_Hlk127542151"/>
      <w:r>
        <w:t xml:space="preserve"> (</w:t>
      </w:r>
      <w:proofErr w:type="spellStart"/>
      <w:r>
        <w:t>Lambacher</w:t>
      </w:r>
      <w:proofErr w:type="spellEnd"/>
      <w:r>
        <w:t>, 2016</w:t>
      </w:r>
      <w:bookmarkEnd w:id="3"/>
      <w:r>
        <w:t xml:space="preserve">). However, this method has been seen as not valid and unreliable (O’Connor, 2004). An MNI assemblage cannot be compared to another assemblage because you are unable to combine values (O’Connor, 2004). Another weakness is that it is hard to calculate as bones can look very similar (O’Connor, 2004). For example, if I had two left femurs on a human my MNI would be two as humans cannot have two left femurs. </w:t>
      </w:r>
    </w:p>
    <w:p w14:paraId="3FA5D395" w14:textId="77777777" w:rsidR="00570758" w:rsidRDefault="00000000">
      <w:r>
        <w:t>The Minimum Number of Elements (MNE) is calculated by counting the number of bones you are able to identify. One consequence of this method is that it leaves a lot of description analysis out of an assemblage</w:t>
      </w:r>
      <w:bookmarkStart w:id="4" w:name="_Hlk127542214"/>
      <w:r>
        <w:t xml:space="preserve"> (</w:t>
      </w:r>
      <w:proofErr w:type="spellStart"/>
      <w:r>
        <w:t>Marean</w:t>
      </w:r>
      <w:proofErr w:type="spellEnd"/>
      <w:r>
        <w:t>, 2001)</w:t>
      </w:r>
      <w:bookmarkEnd w:id="4"/>
      <w:r>
        <w:t>. This is usually calculated before the Minimum Number of Individuals</w:t>
      </w:r>
      <w:bookmarkStart w:id="5" w:name="_Hlk127542233"/>
      <w:r>
        <w:t xml:space="preserve"> (</w:t>
      </w:r>
      <w:proofErr w:type="spellStart"/>
      <w:r>
        <w:t>Halmhofer</w:t>
      </w:r>
      <w:proofErr w:type="spellEnd"/>
      <w:r>
        <w:t>, 2018)</w:t>
      </w:r>
      <w:bookmarkEnd w:id="5"/>
      <w:r>
        <w:t>.</w:t>
      </w:r>
    </w:p>
    <w:p w14:paraId="57B2D378" w14:textId="77777777" w:rsidR="00570758" w:rsidRDefault="00000000">
      <w:r>
        <w:t>Another idea is the estimation of killed populations which is calculated as the, “killed population= (the number of right-sided specimens squared+ the number of left-sided specimens squared) divided by two the number of apparent pairs”</w:t>
      </w:r>
      <w:bookmarkStart w:id="6" w:name="_Hlk127542275"/>
      <w:r>
        <w:t xml:space="preserve"> (O’Connor, 2004, page 62). </w:t>
      </w:r>
      <w:bookmarkEnd w:id="6"/>
      <w:r>
        <w:t>However, an issue with this theory is that each assemblage has to be considered separately (O’Connor, 2004).</w:t>
      </w:r>
    </w:p>
    <w:p w14:paraId="0267825B" w14:textId="77777777" w:rsidR="00570758" w:rsidRDefault="00000000">
      <w:r>
        <w:t xml:space="preserve">Another approach that could be considered comes up is O Connor’s theory of semi-qualitative categories such as those used in </w:t>
      </w:r>
      <w:proofErr w:type="spellStart"/>
      <w:r>
        <w:t>Archaeobiology</w:t>
      </w:r>
      <w:proofErr w:type="spellEnd"/>
      <w:r>
        <w:t xml:space="preserve"> (O’Connor, 2004). One advantage of this method is that it helps remove detailed analysis which therefore saves time (O’Connor, 2004). This is done by placing it in each taxon (O’Connor, 2004).  Also, “the ecology of different species our perception of abundance” (O’Connor, 2004, page 66). For example, the amount of Herbivores should always be greater than carnivores of similar body size due to the energy attenuation of the position of the food web (O’Connor, 2004).  </w:t>
      </w:r>
    </w:p>
    <w:p w14:paraId="580095C7" w14:textId="77777777" w:rsidR="00570758" w:rsidRDefault="00000000">
      <w:r>
        <w:t xml:space="preserve">There are many approaches to quantifying bones however, all methods have strengths and criticisms.  From my standpoint, I strongly support, O Connor’s theory that the approach should be semi-quantitative as it makes things easier to understand the data of an assemblage. The need to quantify bones is important because helps us categorize animal remains, understand geographical provenance and how humans have interacted with animals in the past. </w:t>
      </w:r>
    </w:p>
    <w:p w14:paraId="297EE065" w14:textId="77777777" w:rsidR="00570758" w:rsidRDefault="00570758"/>
    <w:p w14:paraId="037338CB" w14:textId="77777777" w:rsidR="00570758" w:rsidRDefault="00570758"/>
    <w:p w14:paraId="76567CC3" w14:textId="77777777" w:rsidR="00570758" w:rsidRDefault="00570758">
      <w:pPr>
        <w:rPr>
          <w:b/>
          <w:bCs/>
          <w:u w:val="single"/>
        </w:rPr>
      </w:pPr>
    </w:p>
    <w:p w14:paraId="6EFD4DCE" w14:textId="77777777" w:rsidR="00570758" w:rsidRDefault="00570758">
      <w:pPr>
        <w:rPr>
          <w:b/>
          <w:bCs/>
          <w:u w:val="single"/>
        </w:rPr>
      </w:pPr>
    </w:p>
    <w:p w14:paraId="069ED98A" w14:textId="77777777" w:rsidR="00570758" w:rsidRDefault="00000000">
      <w:pPr>
        <w:rPr>
          <w:b/>
          <w:bCs/>
          <w:u w:val="single"/>
        </w:rPr>
      </w:pPr>
      <w:r>
        <w:rPr>
          <w:b/>
          <w:bCs/>
          <w:u w:val="single"/>
        </w:rPr>
        <w:lastRenderedPageBreak/>
        <w:t>Reference list</w:t>
      </w:r>
    </w:p>
    <w:p w14:paraId="170C46CC" w14:textId="77777777" w:rsidR="00570758" w:rsidRDefault="00000000">
      <w:proofErr w:type="spellStart"/>
      <w:r>
        <w:t>Abe,.Y</w:t>
      </w:r>
      <w:proofErr w:type="spellEnd"/>
      <w:r>
        <w:t xml:space="preserve">, </w:t>
      </w:r>
      <w:proofErr w:type="spellStart"/>
      <w:r>
        <w:t>Marean,C</w:t>
      </w:r>
      <w:proofErr w:type="spellEnd"/>
      <w:r>
        <w:t xml:space="preserve">., </w:t>
      </w:r>
      <w:proofErr w:type="spellStart"/>
      <w:r>
        <w:t>Nilssen,P</w:t>
      </w:r>
      <w:proofErr w:type="spellEnd"/>
      <w:r>
        <w:t xml:space="preserve">., </w:t>
      </w:r>
      <w:proofErr w:type="spellStart"/>
      <w:r>
        <w:t>Stone,E</w:t>
      </w:r>
      <w:proofErr w:type="spellEnd"/>
      <w:r>
        <w:t>., (2001). Estimating the Minimum Number of Skeletal Elements (MNE) in Zooarchaeology: A Review and a New Image-Analysis GIS Approach. American antiquity.  page: 333-48.</w:t>
      </w:r>
    </w:p>
    <w:p w14:paraId="4D04B469" w14:textId="77777777" w:rsidR="00570758" w:rsidRDefault="00000000">
      <w:proofErr w:type="spellStart"/>
      <w:r>
        <w:t>Bonthorne</w:t>
      </w:r>
      <w:proofErr w:type="spellEnd"/>
      <w:r>
        <w:t>, E., Gerdau-</w:t>
      </w:r>
      <w:proofErr w:type="spellStart"/>
      <w:r>
        <w:t>Radonic</w:t>
      </w:r>
      <w:proofErr w:type="spellEnd"/>
      <w:r>
        <w:t xml:space="preserve">, K., </w:t>
      </w:r>
      <w:proofErr w:type="spellStart"/>
      <w:r>
        <w:t>Lambacher</w:t>
      </w:r>
      <w:proofErr w:type="spellEnd"/>
      <w:r>
        <w:t xml:space="preserve">, N. and Valle de </w:t>
      </w:r>
      <w:proofErr w:type="spellStart"/>
      <w:r>
        <w:t>Tarazaga</w:t>
      </w:r>
      <w:proofErr w:type="spellEnd"/>
      <w:r>
        <w:t xml:space="preserve"> Montero, F.J. (2016). Evaluating three methods to estimate the number of individuals from a commingled context. Journal of Archaeological Science: Reports, 10, pp.674–683. </w:t>
      </w:r>
      <w:proofErr w:type="spellStart"/>
      <w:r>
        <w:t>doi:https</w:t>
      </w:r>
      <w:proofErr w:type="spellEnd"/>
      <w:r>
        <w:t>://doi.org/10.1016/j.jasrep.2016.07.008.</w:t>
      </w:r>
    </w:p>
    <w:p w14:paraId="4889F1BE" w14:textId="77777777" w:rsidR="00570758" w:rsidRDefault="00000000">
      <w:proofErr w:type="spellStart"/>
      <w:r>
        <w:t>Halmhofer</w:t>
      </w:r>
      <w:proofErr w:type="spellEnd"/>
      <w:r>
        <w:t>, S. (2018). Knowledge Feature – Determining MNI (Minimum Number of Individuals). [online] Bones, Stones, and Books. Available at: https://bonesstonesandbooks.com/2018/03/14/knowledge-feature-determining-mni-minimum-number-of-individuals/ [Accessed 14 Feb. 2023].</w:t>
      </w:r>
    </w:p>
    <w:p w14:paraId="6F0BD871" w14:textId="77777777" w:rsidR="00570758" w:rsidRDefault="00000000">
      <w:r>
        <w:t xml:space="preserve">Marshall, F. and </w:t>
      </w:r>
      <w:proofErr w:type="spellStart"/>
      <w:r>
        <w:t>Pilgram</w:t>
      </w:r>
      <w:proofErr w:type="spellEnd"/>
      <w:r>
        <w:t xml:space="preserve">, T. (1993). NISP vs. MNI in Quantification of Body-Part Representation. American Antiquity, 58(2), pp.261–269. </w:t>
      </w:r>
      <w:proofErr w:type="spellStart"/>
      <w:r>
        <w:t>doi:https</w:t>
      </w:r>
      <w:proofErr w:type="spellEnd"/>
      <w:r>
        <w:t>://doi.org/10.2307/281968.</w:t>
      </w:r>
    </w:p>
    <w:p w14:paraId="347B5FC3" w14:textId="77777777" w:rsidR="00570758" w:rsidRDefault="00000000">
      <w:proofErr w:type="spellStart"/>
      <w:r>
        <w:t>O’connor</w:t>
      </w:r>
      <w:proofErr w:type="spellEnd"/>
      <w:r>
        <w:t xml:space="preserve">, T. (2004). The archaeology of animal bones by Terry O’Connor. Stroud,  Gloucestershire: Sutton Publishing, pp.54–68. </w:t>
      </w:r>
    </w:p>
    <w:p w14:paraId="7C15874A" w14:textId="77777777" w:rsidR="00570758" w:rsidRDefault="00570758"/>
    <w:sectPr w:rsidR="0057075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92C1A" w14:textId="77777777" w:rsidR="00677142" w:rsidRDefault="00677142">
      <w:pPr>
        <w:spacing w:after="0"/>
      </w:pPr>
      <w:r>
        <w:separator/>
      </w:r>
    </w:p>
  </w:endnote>
  <w:endnote w:type="continuationSeparator" w:id="0">
    <w:p w14:paraId="15EECA06" w14:textId="77777777" w:rsidR="00677142" w:rsidRDefault="0067714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3D6C1A" w14:textId="77777777" w:rsidR="00677142" w:rsidRDefault="00677142">
      <w:pPr>
        <w:spacing w:after="0"/>
      </w:pPr>
      <w:r>
        <w:rPr>
          <w:color w:val="000000"/>
        </w:rPr>
        <w:separator/>
      </w:r>
    </w:p>
  </w:footnote>
  <w:footnote w:type="continuationSeparator" w:id="0">
    <w:p w14:paraId="26094854" w14:textId="77777777" w:rsidR="00677142" w:rsidRDefault="00677142">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attachedTemplate r:id="rId1"/>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570758"/>
    <w:rsid w:val="00570758"/>
    <w:rsid w:val="00677142"/>
    <w:rsid w:val="00FA0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F7BAF"/>
  <w15:docId w15:val="{D2E17E82-A8EB-4539-AA62-321E5AD1B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pPr>
      <w:spacing w:after="0"/>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694</Words>
  <Characters>3962</Characters>
  <Application>Microsoft Office Word</Application>
  <DocSecurity>0</DocSecurity>
  <Lines>33</Lines>
  <Paragraphs>9</Paragraphs>
  <ScaleCrop>false</ScaleCrop>
  <Company/>
  <LinksUpToDate>false</LinksUpToDate>
  <CharactersWithSpaces>4647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Hinsull (2103522)</dc:creator>
  <dc:description/>
  <cp:lastModifiedBy>David Hinsull (2103522)</cp:lastModifiedBy>
  <cp:revision>2</cp:revision>
  <dcterms:created xsi:type="dcterms:W3CDTF">2023-02-19T12:25:00Z</dcterms:created>
  <dcterms:modified xsi:type="dcterms:W3CDTF">2023-02-19T12:25:00Z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ec1c51b0-8b47-4730-bfe5-9a2679a0c8a5</vt:lpwstr>
  </property>
</Properties>
</file>