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inline distT="0" distB="0" distL="0" distR="0">
            <wp:extent cx="2527300" cy="995045"/>
            <wp:effectExtent l="0" t="0" r="0" b="8255"/>
            <wp:docPr id="1" name="图片 1" descr="C:\Users\lenovo\Documents\Tencent Files\506974776\FileRecv\MobileFile\B4D5F175DD911903C0419C2F40F0EE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lenovo\Documents\Tencent Files\506974776\FileRecv\MobileFile\B4D5F175DD911903C0419C2F40F0EEB6.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764664" cy="1088683"/>
                    </a:xfrm>
                    <a:prstGeom prst="rect">
                      <a:avLst/>
                    </a:prstGeom>
                    <a:noFill/>
                    <a:ln>
                      <a:noFill/>
                    </a:ln>
                  </pic:spPr>
                </pic:pic>
              </a:graphicData>
            </a:graphic>
          </wp:inline>
        </w:drawing>
      </w:r>
    </w:p>
    <w:p/>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center"/>
        <w:rPr>
          <w:rFonts w:ascii="Times New Roman" w:hAnsi="Times New Roman" w:eastAsia="宋体" w:cs="Times New Roman"/>
          <w:b/>
          <w:sz w:val="52"/>
          <w:szCs w:val="52"/>
        </w:rPr>
      </w:pPr>
      <w:r>
        <w:rPr>
          <w:rFonts w:ascii="Cambria" w:hAnsi="Cambria" w:eastAsia="宋体" w:cs="Times New Roman"/>
          <w:b/>
          <w:sz w:val="52"/>
          <w:szCs w:val="52"/>
        </w:rPr>
        <w:t>Assignment 1</w:t>
      </w: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jc w:val="left"/>
        <w:rPr>
          <w:rFonts w:ascii="Calibri" w:hAnsi="Times New Roman" w:eastAsia="宋体" w:cs="Times New Roman"/>
          <w:b/>
          <w:sz w:val="24"/>
          <w:szCs w:val="24"/>
        </w:rPr>
      </w:pPr>
    </w:p>
    <w:p>
      <w:pPr>
        <w:spacing w:line="360" w:lineRule="auto"/>
        <w:ind w:firstLine="2168" w:firstLineChars="900"/>
        <w:rPr>
          <w:rFonts w:ascii="Times New Roman" w:hAnsi="Times New Roman" w:eastAsia="宋体" w:cs="Times New Roman"/>
          <w:b/>
          <w:sz w:val="24"/>
          <w:szCs w:val="24"/>
        </w:rPr>
      </w:pPr>
      <w:r>
        <w:rPr>
          <w:rFonts w:hint="eastAsia" w:ascii="Calibri" w:hAnsi="Times New Roman" w:eastAsia="宋体" w:cs="Times New Roman"/>
          <w:b/>
          <w:sz w:val="24"/>
          <w:szCs w:val="24"/>
        </w:rPr>
        <w:t>Unit Title:</w:t>
      </w:r>
      <w:r>
        <w:rPr>
          <w:rFonts w:hint="eastAsia" w:ascii="Calibri" w:hAnsi="Times New Roman" w:eastAsia="宋体" w:cs="Times New Roman"/>
          <w:b/>
          <w:sz w:val="24"/>
          <w:szCs w:val="21"/>
        </w:rPr>
        <w:t xml:space="preserve"> </w:t>
      </w:r>
      <w:r>
        <w:rPr>
          <w:rFonts w:ascii="Calibri" w:hAnsi="Times New Roman" w:eastAsia="宋体" w:cs="Times New Roman"/>
          <w:b/>
          <w:sz w:val="24"/>
          <w:szCs w:val="21"/>
        </w:rPr>
        <w:t>P</w:t>
      </w:r>
      <w:r>
        <w:rPr>
          <w:rFonts w:hint="eastAsia" w:ascii="Calibri" w:hAnsi="Times New Roman" w:eastAsia="宋体" w:cs="Times New Roman"/>
          <w:b/>
          <w:sz w:val="24"/>
          <w:szCs w:val="21"/>
        </w:rPr>
        <w:t>rofessional</w:t>
      </w:r>
      <w:r>
        <w:rPr>
          <w:rFonts w:ascii="Calibri" w:hAnsi="Times New Roman" w:eastAsia="宋体" w:cs="Times New Roman"/>
          <w:b/>
          <w:sz w:val="24"/>
          <w:szCs w:val="21"/>
        </w:rPr>
        <w:t xml:space="preserve"> D</w:t>
      </w:r>
      <w:r>
        <w:rPr>
          <w:rFonts w:hint="eastAsia" w:ascii="Calibri" w:hAnsi="Times New Roman" w:eastAsia="宋体" w:cs="Times New Roman"/>
          <w:b/>
          <w:sz w:val="24"/>
          <w:szCs w:val="21"/>
        </w:rPr>
        <w:t>evelopment</w:t>
      </w:r>
    </w:p>
    <w:p>
      <w:pPr>
        <w:spacing w:line="360" w:lineRule="auto"/>
        <w:ind w:firstLine="2650" w:firstLineChars="1100"/>
        <w:rPr>
          <w:rFonts w:ascii="Calibri" w:hAnsi="Times New Roman" w:eastAsia="宋体" w:cs="Times New Roman"/>
          <w:b/>
          <w:sz w:val="24"/>
          <w:szCs w:val="24"/>
        </w:rPr>
      </w:pPr>
      <w:r>
        <w:rPr>
          <w:rFonts w:hint="eastAsia" w:ascii="Calibri" w:hAnsi="Times New Roman" w:eastAsia="宋体" w:cs="Times New Roman"/>
          <w:b/>
          <w:sz w:val="24"/>
          <w:szCs w:val="24"/>
        </w:rPr>
        <w:t>Assessor Name:</w:t>
      </w:r>
      <w:r>
        <w:rPr>
          <w:rFonts w:hint="eastAsia" w:ascii="Calibri" w:hAnsi="Times New Roman" w:eastAsia="宋体" w:cs="Times New Roman"/>
          <w:b/>
          <w:sz w:val="24"/>
          <w:szCs w:val="21"/>
        </w:rPr>
        <w:t xml:space="preserve"> </w:t>
      </w:r>
      <w:r>
        <w:rPr>
          <w:rFonts w:ascii="Calibri" w:hAnsi="Times New Roman" w:eastAsia="宋体" w:cs="Times New Roman"/>
          <w:b/>
          <w:sz w:val="24"/>
          <w:szCs w:val="21"/>
        </w:rPr>
        <w:t>Marie Pitson</w:t>
      </w:r>
    </w:p>
    <w:p>
      <w:pPr>
        <w:spacing w:line="360" w:lineRule="auto"/>
        <w:jc w:val="center"/>
        <w:rPr>
          <w:rFonts w:ascii="Calibri" w:hAnsi="Times New Roman" w:eastAsia="宋体" w:cs="Times New Roman"/>
          <w:b/>
          <w:sz w:val="24"/>
          <w:szCs w:val="21"/>
        </w:rPr>
      </w:pPr>
      <w:r>
        <w:rPr>
          <w:rFonts w:ascii="Calibri" w:hAnsi="Times New Roman" w:eastAsia="宋体" w:cs="Times New Roman"/>
          <w:b/>
          <w:sz w:val="24"/>
          <w:szCs w:val="21"/>
        </w:rPr>
        <w:t>Candidate Name: WENXUAN WU</w:t>
      </w:r>
    </w:p>
    <w:p>
      <w:pPr>
        <w:spacing w:line="360" w:lineRule="auto"/>
        <w:jc w:val="center"/>
        <w:rPr>
          <w:rFonts w:ascii="Calibri" w:hAnsi="Times New Roman" w:eastAsia="宋体" w:cs="Times New Roman"/>
          <w:b/>
          <w:sz w:val="24"/>
          <w:szCs w:val="21"/>
        </w:rPr>
      </w:pPr>
      <w:r>
        <w:rPr>
          <w:rFonts w:ascii="Calibri" w:hAnsi="Times New Roman" w:eastAsia="宋体" w:cs="Times New Roman"/>
          <w:b/>
          <w:sz w:val="24"/>
          <w:szCs w:val="21"/>
        </w:rPr>
        <w:t>ID N</w:t>
      </w:r>
      <w:r>
        <w:rPr>
          <w:rFonts w:hint="eastAsia" w:ascii="Calibri" w:hAnsi="Times New Roman" w:eastAsia="宋体" w:cs="Times New Roman"/>
          <w:b/>
          <w:sz w:val="24"/>
          <w:szCs w:val="21"/>
        </w:rPr>
        <w:t>umber</w:t>
      </w:r>
      <w:r>
        <w:rPr>
          <w:rFonts w:ascii="Calibri" w:hAnsi="Times New Roman" w:eastAsia="宋体" w:cs="Times New Roman"/>
          <w:b/>
          <w:sz w:val="24"/>
          <w:szCs w:val="21"/>
        </w:rPr>
        <w:t xml:space="preserve">: </w:t>
      </w:r>
      <w:r>
        <w:rPr>
          <w:rFonts w:hint="eastAsia" w:ascii="Calibri" w:hAnsi="Times New Roman" w:eastAsia="宋体" w:cs="Times New Roman"/>
          <w:b/>
          <w:sz w:val="24"/>
          <w:szCs w:val="21"/>
        </w:rPr>
        <w:t>1905078</w:t>
      </w:r>
    </w:p>
    <w:p>
      <w:pPr>
        <w:spacing w:line="360" w:lineRule="auto"/>
        <w:jc w:val="center"/>
        <w:rPr>
          <w:rFonts w:ascii="Calibri" w:hAnsi="Times New Roman" w:eastAsia="宋体" w:cs="Times New Roman"/>
          <w:b/>
          <w:sz w:val="24"/>
          <w:szCs w:val="21"/>
        </w:rPr>
      </w:pPr>
      <w:r>
        <w:rPr>
          <w:rFonts w:ascii="Calibri" w:hAnsi="Times New Roman" w:eastAsia="宋体" w:cs="Times New Roman"/>
          <w:b/>
          <w:sz w:val="24"/>
          <w:szCs w:val="21"/>
        </w:rPr>
        <w:t>Group Award: BA I</w:t>
      </w:r>
      <w:r>
        <w:rPr>
          <w:rFonts w:hint="eastAsia" w:ascii="Calibri" w:hAnsi="Times New Roman" w:eastAsia="宋体" w:cs="Times New Roman"/>
          <w:b/>
          <w:sz w:val="24"/>
          <w:szCs w:val="21"/>
        </w:rPr>
        <w:t>n</w:t>
      </w:r>
      <w:r>
        <w:rPr>
          <w:rFonts w:ascii="Calibri" w:hAnsi="Times New Roman" w:eastAsia="宋体" w:cs="Times New Roman"/>
          <w:b/>
          <w:sz w:val="24"/>
          <w:szCs w:val="21"/>
        </w:rPr>
        <w:t xml:space="preserve"> </w:t>
      </w:r>
      <w:r>
        <w:rPr>
          <w:rFonts w:hint="eastAsia" w:ascii="Calibri" w:hAnsi="Times New Roman" w:eastAsia="宋体" w:cs="Times New Roman"/>
          <w:b/>
          <w:sz w:val="24"/>
          <w:szCs w:val="21"/>
        </w:rPr>
        <w:t>international</w:t>
      </w:r>
      <w:r>
        <w:rPr>
          <w:rFonts w:ascii="Calibri" w:hAnsi="Times New Roman" w:eastAsia="宋体" w:cs="Times New Roman"/>
          <w:b/>
          <w:sz w:val="24"/>
          <w:szCs w:val="21"/>
        </w:rPr>
        <w:t xml:space="preserve"> B</w:t>
      </w:r>
      <w:r>
        <w:rPr>
          <w:rFonts w:hint="eastAsia" w:ascii="Calibri" w:hAnsi="Times New Roman" w:eastAsia="宋体" w:cs="Times New Roman"/>
          <w:b/>
          <w:sz w:val="24"/>
          <w:szCs w:val="21"/>
        </w:rPr>
        <w:t>usiness</w:t>
      </w:r>
    </w:p>
    <w:p>
      <w:pPr>
        <w:spacing w:line="360" w:lineRule="auto"/>
        <w:jc w:val="center"/>
        <w:rPr>
          <w:rFonts w:hint="default" w:ascii="Calibri" w:hAnsi="Times New Roman" w:eastAsia="宋体" w:cs="Times New Roman"/>
          <w:b/>
          <w:sz w:val="24"/>
          <w:szCs w:val="21"/>
          <w:lang w:val="en-US" w:eastAsia="zh-CN"/>
        </w:rPr>
      </w:pPr>
      <w:r>
        <w:rPr>
          <w:rFonts w:ascii="Calibri" w:hAnsi="Times New Roman" w:eastAsia="宋体" w:cs="Times New Roman"/>
          <w:b/>
          <w:sz w:val="24"/>
          <w:szCs w:val="21"/>
        </w:rPr>
        <w:t xml:space="preserve">Submission Date: </w:t>
      </w:r>
      <w:r>
        <w:rPr>
          <w:rFonts w:hint="eastAsia" w:ascii="Calibri" w:hAnsi="Times New Roman" w:eastAsia="宋体" w:cs="Times New Roman"/>
          <w:b/>
          <w:sz w:val="24"/>
          <w:szCs w:val="21"/>
          <w:lang w:val="en-US" w:eastAsia="zh-CN"/>
        </w:rPr>
        <w:t>31</w:t>
      </w:r>
      <w:r>
        <w:rPr>
          <w:rFonts w:ascii="Calibri" w:hAnsi="Times New Roman" w:eastAsia="宋体" w:cs="Times New Roman"/>
          <w:b/>
          <w:sz w:val="24"/>
          <w:szCs w:val="21"/>
        </w:rPr>
        <w:t>/</w:t>
      </w:r>
      <w:r>
        <w:rPr>
          <w:rFonts w:hint="eastAsia" w:ascii="Calibri" w:hAnsi="Times New Roman" w:eastAsia="宋体" w:cs="Times New Roman"/>
          <w:b/>
          <w:sz w:val="24"/>
          <w:szCs w:val="21"/>
          <w:lang w:val="en-US" w:eastAsia="zh-CN"/>
        </w:rPr>
        <w:t>03</w:t>
      </w:r>
      <w:r>
        <w:rPr>
          <w:rFonts w:ascii="Calibri" w:hAnsi="Times New Roman" w:eastAsia="宋体" w:cs="Times New Roman"/>
          <w:b/>
          <w:sz w:val="24"/>
          <w:szCs w:val="21"/>
        </w:rPr>
        <w:t>/2</w:t>
      </w:r>
      <w:bookmarkStart w:id="1" w:name="_GoBack"/>
      <w:bookmarkEnd w:id="1"/>
      <w:r>
        <w:rPr>
          <w:rFonts w:ascii="Calibri" w:hAnsi="Times New Roman" w:eastAsia="宋体" w:cs="Times New Roman"/>
          <w:b/>
          <w:sz w:val="24"/>
          <w:szCs w:val="21"/>
        </w:rPr>
        <w:t>0</w:t>
      </w:r>
      <w:r>
        <w:rPr>
          <w:rFonts w:hint="eastAsia" w:ascii="Calibri" w:hAnsi="Times New Roman" w:eastAsia="宋体" w:cs="Times New Roman"/>
          <w:b/>
          <w:sz w:val="24"/>
          <w:szCs w:val="21"/>
          <w:lang w:val="en-US" w:eastAsia="zh-CN"/>
        </w:rPr>
        <w:t>20</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r>
        <w:rPr>
          <w:rFonts w:hint="default" w:ascii="Arial" w:hAnsi="Arial" w:cs="Arial"/>
          <w:b/>
          <w:bCs/>
          <w:sz w:val="24"/>
          <w:szCs w:val="24"/>
        </w:rPr>
        <w:t>The Role of Business Management Professionals at the Age of AI</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Over the last few years, artificial intelligence (AI) has grown very fast and become a quite mature technology. It can be used in a lot of industries, not only in labor-intensive sectors, for example, textile and furniture manufacturing, but also in industries which supported by complicated data calculating and algorithm, such as Internet-related sectors, particularly in electronic business. It comes along with the problem of unemployment. According to World Economic Forum’s estimation, 5 million jobs will be replaced by AI by 2020 (Brinded, 2016). However, it doesn’t mean that AI can solve all problems. On the one hand, AI can’t be the core competence solely, in contrast, it must be accorded with strategy and organization in order to deliver better business performance. A survey conducted by BCG shows that 40% enterprises investment greatly on AI whereas gain little benefits, mainly due to their excessive focus on technology rather than strategic planning (Sam et al., 2019). On the other hand, professionals should clearly know why and when should they turn AI for help, and what AI couldn’t do as well as human. For example, a report published by ICAEW points that, accounting firms are using AI “compile, organize, analyze, and report on huge quantities of business and financial data” more and more, however, accountants still need to give their professional judgement on reporting machine analysis according to local regulations and ethics (Beaney, Woods, &amp; Meek, 2019). Therefore, this assignment will discuss 3 skills as below that management professionals should remain in their workplace dominated by AI: critical thinking, communication skills, and creativity.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First of all, professionals in business management should keep critical thinking throughout their work. Paul and Elder (2019) define critical thinking as “the process of analyzing and assessing thinking with a view to improving it” (p. 4), which means various abilities such as finding a specific problem, questioning other people’s statements, investigating background knowledge, formalizing logical judgement, and proposing an alternative idea (Spector, 2019). However, AI has evident drawbacks on above aspects. First, AI may be good at solving fact-based problems, but it’s difficult to understand knowledge and logic behind. For example, Noriko Arai, a mathematician at the National Institute of Informatics of Japan, has designed an AI project named “Todai Robot Project” aimed to pass college entrance exam, and it did score high enough to surpass 80% high school students. Relying on excellent key word identifying skill and strong searching algorithm, it’s easy for “Todai” to solve mathematic, physics, and history questions requiring common knowledge. However, when it comes to deep understanding of the background knowledge, “Todai” didn’t perform in a satisfactory way, for instance, it can’t deduct that nighttime in Europe in winter is longer than in Japan from the phrase “Daytime in Europe in summer is shorter than in Japan because Europe is located at a higher latitude than Japan.” (Murai, A., 2016) Second, although nowadays AI can derive relative reasonable conclusions via algorithms, there is a prerequisite that engineers must provide at least 10 million labeled examples in order to match or outperform human level predications, however, there are not always such large samples for machine training, for example, limited clinical cases of rare disease will increase difficulty of medicine R&amp;D (Chui, et al., 2018). Third, predications made by AI is about correlations not causal relationships (Leetaru, K., 2019), therefore it’s difficult to explain its predictions in human logic. For example, Lenddo, a company which estimates users’ credit scoring based on their smart phone usage, their AI algorithm found a negative correlation between average battery level and creditworthiness. It seems rational that people who always run out battery are more willing to take risks, nevertheless, credit department of bank will not reject a loan application merely because a person’s phone battery level (King, 2016).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Therefore, management professionals should carefully evaluate through critical thinking why they use AI develop business model, when could AI perform better than human, and how to explain machine predications according to different work environment, such as company’s strategy, target customer and organization structure.</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Second, professionals should also improve their communication skills. Guffey and Loewy (2013) suppose that communication is “the transmission of information and meaning from one individual or group to another.”, the process would be successful only if the receiver gets the meaning that the sender intends to convey. However, in order to let AI communicate as well as human, we have still got a long way to go. First, AI technologies are not only channels to transfer people’s idea, but also function as communicators, i.e., the receiver in the process of communication (Guzman &amp; Lewis, 2020). However, intelligent customer service cannot always decode what people show or say. For example, although AI have beaten human at international chess game, the iPhone X’s facial recognition system may not even recognize user’s sleepy, drowsy look on first awakening in the morning (Wilson, Daugherty &amp; Davenport, 2019). Second, apart from the noticeable verbal/facial expression, there is also deep, unconscious culture elements, which play an important role in human’s communication (Bonvillain, 2018). Unfortunately, interplay between human and AI is far from culture level now, and it’s much more complex for AI to be context-awareness unless it was informed the current situation or participants’ preferences manually by computer scientists (Brdiczka, 2019). Also, when it comes to the virtual, ideological concepts, such as humanity and soul, which are obviously a part of human intellect, AI can barely share insightful thoughts as human does (Lalwani, 2016).Third, even if AI can understand 100% what human means, it doesn’t represent that this communication mode can always reach the effects as face-to-face conversation. A classic theory, called media richness, describes to what extent a channel contains the information in original message, and “uncertainty and equivocality are defined as two forces that influence information processing in organizations” (Daft &amp; Lengel, 1986, p. 554). A richer medium, such as face-to-face conversation, provides more cues (verbal and non-verbal language) and immediate feedback, therefore facilitates communication clarity especially when participants don’t have relevant background knowledge (Kahai &amp; Cooper, 2014). As for how would business management professionals affect by AI, Syam and Sharma (2018) takes salesforce for example and categorize them into 3 levels: the first one are those who sell basic and standardized products; the second category is for products/services where profits margin is high while the information of products/service is easily acquired by customer; the last one refers to complex sales where customers have diversified needs yet the information is hard to get or learn soon. They argue that the last type salesforce is less likely replaced by AI, because this kind of job requires deep understanding about the industries and abundant experience of interacting with customers.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Hence, comparing with AI, management professionals should keep their competence on superb communication skills. In external communication with target customers, professionals must know them very well, including sex, race, education, and cultural background, so that they can give customized recommendation. Besides, internal communication is important in improving business performance as well (Warren, 2016). Professionals like marketing managers have to keep employees informed about firm’s brand promotion plans, collect suggestions from all departments of the company on a regular basis, in order to get products/services onto market better.</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Third, creativity is the last but not least characteristic that management professionals should remain in fierce competing business environment. Upon survey from 324 executives worldwide conducted by Forrester Consulting (Forrester Consulting, 2014), 82% of them render a positive relationship between creativity and desired business achievements, however, only 11% of interviewees said their current practices corresponded with the factors that they considered as creative. Oleinik (2019) argues that creativity comprises 3 capacities: using metaphor and transferring them from one context to other; social connections and relationships; and capacities to “go beyond simple extrapolation of current trends in predictions” (p. 6), which could be very difficult for AI due to their limitations on critical thinking and communication skills mentioned above. Therefore, management professionals can also take advantages of human intelligence from 3 aspects below: First, absorb massive knowledge of profession-related and unrelated domains, that could be the soil where new ideas get fertilized (Andrew &amp; Smith, 1996). Second, keep motivated intrinsically, willingness of professionals to input time and resource in creative program could also impact whether creative ideas come up (Muñoz-Pascual &amp; Galende, 2017). Third, formalize strategy panning and management process, because formalization offers an opportunity to organize information transfer and legitimate decisions of organization (Fernhaber &amp; Patel, 2012).</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In conclusion, this assignment discusses the role of the professional in the age of AI and furtherly puts forward 3 key skills that professionals of business management should remain in a workplace dominated by AI, including critical thinking, communication skills, and creativity. Equipped with excellent algorithm and giant database, AI could help human accomplish a lot of work, such as customer service and data analysis, however, there are still fatal drawbacks of this technology, including excessive reliance on data predictions, limited understanding of industry and culture, as well as lack of motivation to create novel ideas. Therefore, professionals still make great contributions to business growth if they keep training themselves on above points.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left"/>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left"/>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left"/>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left"/>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b/>
          <w:bCs/>
          <w:sz w:val="24"/>
          <w:szCs w:val="24"/>
        </w:rPr>
      </w:pPr>
      <w:r>
        <w:rPr>
          <w:rFonts w:hint="default" w:ascii="Arial" w:hAnsi="Arial" w:cs="Arial"/>
          <w:b/>
          <w:bCs/>
          <w:sz w:val="24"/>
          <w:szCs w:val="24"/>
        </w:rPr>
        <w:t>References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Brinded, L. (2016) ‘WEF: Robots, Automation, and AI Will Replace 5 Million Human Jobs by 2020’ [Online] Available: </w:t>
      </w:r>
      <w:r>
        <w:rPr>
          <w:rFonts w:hint="default" w:ascii="Arial" w:hAnsi="Arial" w:cs="Arial"/>
          <w:sz w:val="24"/>
          <w:szCs w:val="24"/>
        </w:rPr>
        <w:fldChar w:fldCharType="begin"/>
      </w:r>
      <w:r>
        <w:rPr>
          <w:rFonts w:hint="default" w:ascii="Arial" w:hAnsi="Arial" w:cs="Arial"/>
          <w:sz w:val="24"/>
          <w:szCs w:val="24"/>
        </w:rPr>
        <w:instrText xml:space="preserve"> HYPERLINK "https://www.businessinsider.com/wef-davos-report-on-robots-replacing-human-jobs-2016-1?r=UK" </w:instrText>
      </w:r>
      <w:r>
        <w:rPr>
          <w:rFonts w:hint="default" w:ascii="Arial" w:hAnsi="Arial" w:cs="Arial"/>
          <w:sz w:val="24"/>
          <w:szCs w:val="24"/>
        </w:rPr>
        <w:fldChar w:fldCharType="separate"/>
      </w:r>
      <w:r>
        <w:rPr>
          <w:rFonts w:hint="default" w:ascii="Arial" w:hAnsi="Arial" w:cs="Arial"/>
          <w:sz w:val="24"/>
          <w:szCs w:val="24"/>
        </w:rPr>
        <w:t>https://www.businessinsider.com/wef-davos-report-on-robots-replacing-human-jobs-2016-1?r=UK</w:t>
      </w:r>
      <w:r>
        <w:rPr>
          <w:rFonts w:hint="default" w:ascii="Arial" w:hAnsi="Arial" w:cs="Arial"/>
          <w:sz w:val="24"/>
          <w:szCs w:val="24"/>
        </w:rPr>
        <w:fldChar w:fldCharType="end"/>
      </w:r>
      <w:r>
        <w:rPr>
          <w:rFonts w:hint="default" w:ascii="Arial" w:hAnsi="Arial" w:cs="Arial"/>
          <w:sz w:val="24"/>
          <w:szCs w:val="24"/>
        </w:rPr>
        <w:t>, Accessed 2020, Mar, 29th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Ransbotham, S., Khodabandeh, S., Fehling, R., LaFountain, B. &amp; Kiron, D. (2019) ‘Winning with AI’ [Online] Available: </w:t>
      </w:r>
      <w:r>
        <w:rPr>
          <w:rFonts w:hint="default" w:ascii="Arial" w:hAnsi="Arial" w:cs="Arial"/>
          <w:sz w:val="24"/>
          <w:szCs w:val="24"/>
        </w:rPr>
        <w:fldChar w:fldCharType="begin"/>
      </w:r>
      <w:r>
        <w:rPr>
          <w:rFonts w:hint="default" w:ascii="Arial" w:hAnsi="Arial" w:cs="Arial"/>
          <w:sz w:val="24"/>
          <w:szCs w:val="24"/>
        </w:rPr>
        <w:instrText xml:space="preserve"> HYPERLINK "https://image-src.bcg.com/Images/Final-Final-Report-Winning-With-AI-R_tcm9-231660.pdf" </w:instrText>
      </w:r>
      <w:r>
        <w:rPr>
          <w:rFonts w:hint="default" w:ascii="Arial" w:hAnsi="Arial" w:cs="Arial"/>
          <w:sz w:val="24"/>
          <w:szCs w:val="24"/>
        </w:rPr>
        <w:fldChar w:fldCharType="separate"/>
      </w:r>
      <w:r>
        <w:rPr>
          <w:rFonts w:hint="default" w:ascii="Arial" w:hAnsi="Arial" w:cs="Arial"/>
          <w:sz w:val="24"/>
          <w:szCs w:val="24"/>
        </w:rPr>
        <w:t>https://image-src.bcg.com/Images/Final-Final-Report-Winning-With-AI-R_tcm9-231660.pdf</w:t>
      </w:r>
      <w:r>
        <w:rPr>
          <w:rFonts w:hint="default" w:ascii="Arial" w:hAnsi="Arial" w:cs="Arial"/>
          <w:sz w:val="24"/>
          <w:szCs w:val="24"/>
        </w:rPr>
        <w:fldChar w:fldCharType="end"/>
      </w:r>
      <w:r>
        <w:rPr>
          <w:rFonts w:hint="default" w:ascii="Arial" w:hAnsi="Arial" w:cs="Arial"/>
          <w:sz w:val="24"/>
          <w:szCs w:val="24"/>
        </w:rPr>
        <w:t xml:space="preserve">, </w:t>
      </w:r>
      <w:bookmarkStart w:id="0" w:name="_Hlk36401199"/>
      <w:r>
        <w:rPr>
          <w:rFonts w:hint="default" w:ascii="Arial" w:hAnsi="Arial" w:cs="Arial"/>
          <w:sz w:val="24"/>
          <w:szCs w:val="24"/>
        </w:rPr>
        <w:t>Accessed 2020, Mar, 29th</w:t>
      </w:r>
      <w:bookmarkEnd w:id="0"/>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Beaney, S. Woods, R. &amp; Meek, V. (2019) ‘AI in Corporate Advisory: Investment, M&amp;A and Transaction Services’ [Online] Available: </w:t>
      </w:r>
      <w:r>
        <w:rPr>
          <w:rFonts w:hint="default" w:ascii="Arial" w:hAnsi="Arial" w:cs="Arial"/>
          <w:sz w:val="24"/>
          <w:szCs w:val="24"/>
        </w:rPr>
        <w:fldChar w:fldCharType="begin"/>
      </w:r>
      <w:r>
        <w:rPr>
          <w:rFonts w:hint="default" w:ascii="Arial" w:hAnsi="Arial" w:cs="Arial"/>
          <w:sz w:val="24"/>
          <w:szCs w:val="24"/>
        </w:rPr>
        <w:instrText xml:space="preserve"> HYPERLINK "https://www.icaew.com/-/media/corporate/files/technical/corporate-finance/ai-in-corporate-advisory.ashx?la=en" </w:instrText>
      </w:r>
      <w:r>
        <w:rPr>
          <w:rFonts w:hint="default" w:ascii="Arial" w:hAnsi="Arial" w:cs="Arial"/>
          <w:sz w:val="24"/>
          <w:szCs w:val="24"/>
        </w:rPr>
        <w:fldChar w:fldCharType="separate"/>
      </w:r>
      <w:r>
        <w:rPr>
          <w:rFonts w:hint="default" w:ascii="Arial" w:hAnsi="Arial" w:cs="Arial"/>
          <w:sz w:val="24"/>
          <w:szCs w:val="24"/>
        </w:rPr>
        <w:t>https://www.icaew.com/-/media/corporate/files/technical/corporate-finance/ai-in-corporate-advisory.ashx?la=en</w:t>
      </w:r>
      <w:r>
        <w:rPr>
          <w:rFonts w:hint="default" w:ascii="Arial" w:hAnsi="Arial" w:cs="Arial"/>
          <w:sz w:val="24"/>
          <w:szCs w:val="24"/>
        </w:rPr>
        <w:fldChar w:fldCharType="end"/>
      </w:r>
      <w:r>
        <w:rPr>
          <w:rFonts w:hint="default" w:ascii="Arial" w:hAnsi="Arial" w:cs="Arial"/>
          <w:sz w:val="24"/>
          <w:szCs w:val="24"/>
        </w:rPr>
        <w:t>, Accessed 2020, Mar, 29th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Paul, R. &amp; Elder, L. (2019), </w:t>
      </w:r>
      <w:r>
        <w:rPr>
          <w:rFonts w:hint="default" w:ascii="Arial" w:hAnsi="Arial" w:cs="Arial"/>
          <w:i/>
          <w:iCs/>
          <w:color w:val="222222"/>
          <w:sz w:val="24"/>
          <w:szCs w:val="24"/>
          <w:shd w:val="clear" w:color="auto" w:fill="FFFFFF"/>
        </w:rPr>
        <w:t>A Guide for Educators to Critical Thinking Competency Standards: Standards, Principles, Performance Indicators, and Outcomes with A Critical Thinking Master Rubric</w:t>
      </w:r>
      <w:r>
        <w:rPr>
          <w:rFonts w:hint="default" w:ascii="Arial" w:hAnsi="Arial" w:cs="Arial"/>
          <w:color w:val="222222"/>
          <w:sz w:val="24"/>
          <w:szCs w:val="24"/>
          <w:shd w:val="clear" w:color="auto" w:fill="FFFFFF"/>
        </w:rPr>
        <w:t xml:space="preserve">, </w:t>
      </w:r>
      <w:r>
        <w:rPr>
          <w:rFonts w:hint="default" w:ascii="Arial" w:hAnsi="Arial" w:cs="Arial"/>
          <w:sz w:val="24"/>
          <w:szCs w:val="24"/>
        </w:rPr>
        <w:t>Maryland: Rowman &amp; Littlefield Publishers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Spector, J. (2019), ‘Complexity, Inquiry Critical Thinking, and Technology: A Holistic and Developmental Approach’, In: Parsons T., Lin L., &amp; Cockerham D. (eds) </w:t>
      </w:r>
      <w:r>
        <w:rPr>
          <w:rFonts w:hint="default" w:ascii="Arial" w:hAnsi="Arial" w:cs="Arial"/>
          <w:i/>
          <w:iCs/>
          <w:sz w:val="24"/>
          <w:szCs w:val="24"/>
        </w:rPr>
        <w:t>Mind, Brain and Technology</w:t>
      </w:r>
      <w:r>
        <w:rPr>
          <w:rFonts w:hint="default" w:ascii="Arial" w:hAnsi="Arial" w:cs="Arial"/>
          <w:sz w:val="24"/>
          <w:szCs w:val="24"/>
        </w:rPr>
        <w:t>, pp. 17–25, Springer, Cham</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Murai, A. (2016) ‘Quest for Artificial Intelligence Highlights Lack of Critical Thinking Skills in Humans’ [Online] Available: </w:t>
      </w:r>
      <w:r>
        <w:rPr>
          <w:rFonts w:hint="default" w:ascii="Arial" w:hAnsi="Arial" w:cs="Arial"/>
          <w:sz w:val="24"/>
          <w:szCs w:val="24"/>
        </w:rPr>
        <w:fldChar w:fldCharType="begin"/>
      </w:r>
      <w:r>
        <w:rPr>
          <w:rFonts w:hint="default" w:ascii="Arial" w:hAnsi="Arial" w:cs="Arial"/>
          <w:sz w:val="24"/>
          <w:szCs w:val="24"/>
        </w:rPr>
        <w:instrText xml:space="preserve"> HYPERLINK "https://www.japantimes.co.jp/news/2016/12/01/business/tech/quest-artificial-intelligence-highlights-lack-critical-thinking-skills-humans/" \l ".XoCTbogzZPZ" </w:instrText>
      </w:r>
      <w:r>
        <w:rPr>
          <w:rFonts w:hint="default" w:ascii="Arial" w:hAnsi="Arial" w:cs="Arial"/>
          <w:sz w:val="24"/>
          <w:szCs w:val="24"/>
        </w:rPr>
        <w:fldChar w:fldCharType="separate"/>
      </w:r>
      <w:r>
        <w:rPr>
          <w:rFonts w:hint="default" w:ascii="Arial" w:hAnsi="Arial" w:cs="Arial"/>
          <w:sz w:val="24"/>
          <w:szCs w:val="24"/>
        </w:rPr>
        <w:t>https://www.japantimes.co.jp/news/2016/12/01/business/tech/quest-artificial-intelligence-highlights-lack-critical-thinking-skills-humans/#.XoCTbogzZPZ</w:t>
      </w:r>
      <w:r>
        <w:rPr>
          <w:rFonts w:hint="default" w:ascii="Arial" w:hAnsi="Arial" w:cs="Arial"/>
          <w:sz w:val="24"/>
          <w:szCs w:val="24"/>
        </w:rPr>
        <w:fldChar w:fldCharType="end"/>
      </w:r>
      <w:r>
        <w:rPr>
          <w:rFonts w:hint="default" w:ascii="Arial" w:hAnsi="Arial" w:cs="Arial"/>
          <w:sz w:val="24"/>
          <w:szCs w:val="24"/>
        </w:rPr>
        <w:t>, Accessed 2020, Mar, 29th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Chui, M., Manyika, J., Miremadi, M., Henke, N., Chung, R., Nel, P. et al. (2018) ‘Notes from the AI Frontier: Applications and Value of Deep Learning’ [Online] Available: </w:t>
      </w:r>
      <w:r>
        <w:rPr>
          <w:rFonts w:hint="default" w:ascii="Arial" w:hAnsi="Arial" w:cs="Arial"/>
          <w:sz w:val="24"/>
          <w:szCs w:val="24"/>
        </w:rPr>
        <w:fldChar w:fldCharType="begin"/>
      </w:r>
      <w:r>
        <w:rPr>
          <w:rFonts w:hint="default" w:ascii="Arial" w:hAnsi="Arial" w:cs="Arial"/>
          <w:sz w:val="24"/>
          <w:szCs w:val="24"/>
        </w:rPr>
        <w:instrText xml:space="preserve"> HYPERLINK "https://www.mckinsey.com/featured-insights/artificial-intelligence/notes-from-the-ai-frontier-applications-and-value-of-deep-learning" </w:instrText>
      </w:r>
      <w:r>
        <w:rPr>
          <w:rFonts w:hint="default" w:ascii="Arial" w:hAnsi="Arial" w:cs="Arial"/>
          <w:sz w:val="24"/>
          <w:szCs w:val="24"/>
        </w:rPr>
        <w:fldChar w:fldCharType="separate"/>
      </w:r>
      <w:r>
        <w:rPr>
          <w:rFonts w:hint="default" w:ascii="Arial" w:hAnsi="Arial" w:cs="Arial"/>
          <w:sz w:val="24"/>
          <w:szCs w:val="24"/>
        </w:rPr>
        <w:t>https://www.mckinsey.com/featured-insights/artificial-intelligence/notes-from-the-ai-frontier-applications-and-value-of-deep-learning</w:t>
      </w:r>
      <w:r>
        <w:rPr>
          <w:rFonts w:hint="default" w:ascii="Arial" w:hAnsi="Arial" w:cs="Arial"/>
          <w:sz w:val="24"/>
          <w:szCs w:val="24"/>
        </w:rPr>
        <w:fldChar w:fldCharType="end"/>
      </w:r>
      <w:r>
        <w:rPr>
          <w:rFonts w:hint="default" w:ascii="Arial" w:hAnsi="Arial" w:cs="Arial"/>
          <w:sz w:val="24"/>
          <w:szCs w:val="24"/>
        </w:rPr>
        <w:t>, Accessed 2020, Mar, 29th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Leetarru, K. (2019) ‘A Reminder That Machine Learning Is About Correlations Not Causation’ [Online] Available: </w:t>
      </w:r>
      <w:r>
        <w:rPr>
          <w:rFonts w:hint="default" w:ascii="Arial" w:hAnsi="Arial" w:cs="Arial"/>
          <w:sz w:val="24"/>
          <w:szCs w:val="24"/>
        </w:rPr>
        <w:fldChar w:fldCharType="begin"/>
      </w:r>
      <w:r>
        <w:rPr>
          <w:rFonts w:hint="default" w:ascii="Arial" w:hAnsi="Arial" w:cs="Arial"/>
          <w:sz w:val="24"/>
          <w:szCs w:val="24"/>
        </w:rPr>
        <w:instrText xml:space="preserve"> HYPERLINK "https://www.forbes.com/sites/kalevleetaru/2019/01/15/a-reminder-that-machine-learning-is-about-correlations-not-causation/" \l "71d41296161a" </w:instrText>
      </w:r>
      <w:r>
        <w:rPr>
          <w:rFonts w:hint="default" w:ascii="Arial" w:hAnsi="Arial" w:cs="Arial"/>
          <w:sz w:val="24"/>
          <w:szCs w:val="24"/>
        </w:rPr>
        <w:fldChar w:fldCharType="separate"/>
      </w:r>
      <w:r>
        <w:rPr>
          <w:rFonts w:hint="default" w:ascii="Arial" w:hAnsi="Arial" w:cs="Arial"/>
          <w:sz w:val="24"/>
          <w:szCs w:val="24"/>
        </w:rPr>
        <w:t>https://www.forbes.com/sites/kalevleetaru/2019/01/15/a-reminder-that-machine-learning-is-about-correlations-not-causation/#71d41296161a</w:t>
      </w:r>
      <w:r>
        <w:rPr>
          <w:rFonts w:hint="default" w:ascii="Arial" w:hAnsi="Arial" w:cs="Arial"/>
          <w:sz w:val="24"/>
          <w:szCs w:val="24"/>
        </w:rPr>
        <w:fldChar w:fldCharType="end"/>
      </w:r>
      <w:r>
        <w:rPr>
          <w:rFonts w:hint="default" w:ascii="Arial" w:hAnsi="Arial" w:cs="Arial"/>
          <w:sz w:val="24"/>
          <w:szCs w:val="24"/>
        </w:rPr>
        <w:t>, Accessed 2020, Mar, 29th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King, H. (2016) ‘This Startup Uses Battery Life to Determine Credit Scores’ [Online] Available: </w:t>
      </w:r>
      <w:r>
        <w:rPr>
          <w:rFonts w:hint="default" w:ascii="Arial" w:hAnsi="Arial" w:cs="Arial"/>
          <w:sz w:val="24"/>
          <w:szCs w:val="24"/>
        </w:rPr>
        <w:fldChar w:fldCharType="begin"/>
      </w:r>
      <w:r>
        <w:rPr>
          <w:rFonts w:hint="default" w:ascii="Arial" w:hAnsi="Arial" w:cs="Arial"/>
          <w:sz w:val="24"/>
          <w:szCs w:val="24"/>
        </w:rPr>
        <w:instrText xml:space="preserve"> HYPERLINK "https://money.cnn.com/2016/08/24/technology/lenddo-smartphone-battery-loan/index.html" </w:instrText>
      </w:r>
      <w:r>
        <w:rPr>
          <w:rFonts w:hint="default" w:ascii="Arial" w:hAnsi="Arial" w:cs="Arial"/>
          <w:sz w:val="24"/>
          <w:szCs w:val="24"/>
        </w:rPr>
        <w:fldChar w:fldCharType="separate"/>
      </w:r>
      <w:r>
        <w:rPr>
          <w:rFonts w:hint="default" w:ascii="Arial" w:hAnsi="Arial" w:cs="Arial"/>
          <w:sz w:val="24"/>
          <w:szCs w:val="24"/>
        </w:rPr>
        <w:t>https://money.cnn.com/2016/08/24/technology/lenddo-smartphone-battery-loan/index.html</w:t>
      </w:r>
      <w:r>
        <w:rPr>
          <w:rFonts w:hint="default" w:ascii="Arial" w:hAnsi="Arial" w:cs="Arial"/>
          <w:sz w:val="24"/>
          <w:szCs w:val="24"/>
        </w:rPr>
        <w:fldChar w:fldCharType="end"/>
      </w:r>
      <w:r>
        <w:rPr>
          <w:rFonts w:hint="default" w:ascii="Arial" w:hAnsi="Arial" w:cs="Arial"/>
          <w:sz w:val="24"/>
          <w:szCs w:val="24"/>
        </w:rPr>
        <w:t>, Accessed 2020, Mar, 29th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Guffey, M. &amp; Loewy, D. (2013), </w:t>
      </w:r>
      <w:r>
        <w:rPr>
          <w:rFonts w:hint="default" w:ascii="Arial" w:hAnsi="Arial" w:cs="Arial"/>
          <w:i/>
          <w:iCs/>
          <w:sz w:val="24"/>
          <w:szCs w:val="24"/>
        </w:rPr>
        <w:t>Essentials of Business Communication</w:t>
      </w:r>
      <w:r>
        <w:rPr>
          <w:rFonts w:hint="default" w:ascii="Arial" w:hAnsi="Arial" w:cs="Arial"/>
          <w:sz w:val="24"/>
          <w:szCs w:val="24"/>
        </w:rPr>
        <w:t>, (Ninth Edition) Mason: South-Western</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Guzman, A. &amp; Lewis, S. (2020), ‘Artificial Intelligence and Communication: A Human–Machine Communication Research Agenda’, </w:t>
      </w:r>
      <w:r>
        <w:rPr>
          <w:rFonts w:hint="default" w:ascii="Arial" w:hAnsi="Arial" w:cs="Arial"/>
          <w:i/>
          <w:iCs/>
          <w:sz w:val="24"/>
          <w:szCs w:val="24"/>
        </w:rPr>
        <w:t>New Media &amp; Society</w:t>
      </w:r>
      <w:r>
        <w:rPr>
          <w:rFonts w:hint="default" w:ascii="Arial" w:hAnsi="Arial" w:cs="Arial"/>
          <w:sz w:val="24"/>
          <w:szCs w:val="24"/>
        </w:rPr>
        <w:t>, 22:1, 70–86</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Wilson, H., Daugherty, P. &amp; Davenport, C. (2019) ‘The Future of AI Will Be About Less Data, Not More’ [Online] Available: </w:t>
      </w:r>
      <w:r>
        <w:rPr>
          <w:rFonts w:hint="default" w:ascii="Arial" w:hAnsi="Arial" w:cs="Arial"/>
          <w:sz w:val="24"/>
          <w:szCs w:val="24"/>
        </w:rPr>
        <w:fldChar w:fldCharType="begin"/>
      </w:r>
      <w:r>
        <w:rPr>
          <w:rFonts w:hint="default" w:ascii="Arial" w:hAnsi="Arial" w:cs="Arial"/>
          <w:sz w:val="24"/>
          <w:szCs w:val="24"/>
        </w:rPr>
        <w:instrText xml:space="preserve"> HYPERLINK "https://hbr.org/2019/01/the-future-of-ai-will-be-about-less-data-not-more" </w:instrText>
      </w:r>
      <w:r>
        <w:rPr>
          <w:rFonts w:hint="default" w:ascii="Arial" w:hAnsi="Arial" w:cs="Arial"/>
          <w:sz w:val="24"/>
          <w:szCs w:val="24"/>
        </w:rPr>
        <w:fldChar w:fldCharType="separate"/>
      </w:r>
      <w:r>
        <w:rPr>
          <w:rFonts w:hint="default" w:ascii="Arial" w:hAnsi="Arial" w:cs="Arial"/>
          <w:sz w:val="24"/>
          <w:szCs w:val="24"/>
        </w:rPr>
        <w:t>https://hbr.org/2019/01/the-future-of-ai-will-be-about-less-data-not-more</w:t>
      </w:r>
      <w:r>
        <w:rPr>
          <w:rFonts w:hint="default" w:ascii="Arial" w:hAnsi="Arial" w:cs="Arial"/>
          <w:sz w:val="24"/>
          <w:szCs w:val="24"/>
        </w:rPr>
        <w:fldChar w:fldCharType="end"/>
      </w:r>
      <w:r>
        <w:rPr>
          <w:rFonts w:hint="default" w:ascii="Arial" w:hAnsi="Arial" w:cs="Arial"/>
          <w:sz w:val="24"/>
          <w:szCs w:val="24"/>
        </w:rPr>
        <w:t>, Accessed 2020, Mar, 30th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Daft, R. &amp; Lengel, R. (1986), ‘Organizational Information Requirements, Media Richness and Structural Design’, </w:t>
      </w:r>
      <w:r>
        <w:rPr>
          <w:rFonts w:hint="default" w:ascii="Arial" w:hAnsi="Arial" w:cs="Arial"/>
          <w:i/>
          <w:iCs/>
          <w:sz w:val="24"/>
          <w:szCs w:val="24"/>
        </w:rPr>
        <w:t>Management Science</w:t>
      </w:r>
      <w:r>
        <w:rPr>
          <w:rFonts w:hint="default" w:ascii="Arial" w:hAnsi="Arial" w:cs="Arial"/>
          <w:sz w:val="24"/>
          <w:szCs w:val="24"/>
        </w:rPr>
        <w:t>, 32:5, pp. 513–644</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Kahai, S. &amp; Cooper, R. (2014), ‘Exploring the Core Concepts of Media Richness Theory: The Impact of Cue Multiplicity and Feedback Immediacy on Decision Quality’, </w:t>
      </w:r>
      <w:r>
        <w:rPr>
          <w:rFonts w:hint="default" w:ascii="Arial" w:hAnsi="Arial" w:cs="Arial"/>
          <w:i/>
          <w:iCs/>
          <w:sz w:val="24"/>
          <w:szCs w:val="24"/>
        </w:rPr>
        <w:t>Journal of Management Information Systems</w:t>
      </w:r>
      <w:r>
        <w:rPr>
          <w:rFonts w:hint="default" w:ascii="Arial" w:hAnsi="Arial" w:cs="Arial"/>
          <w:sz w:val="24"/>
          <w:szCs w:val="24"/>
        </w:rPr>
        <w:t>, 20:1, pp. 263–299</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Syam, N. &amp; Sharma, A. (2018), ‘Waiting for A Sales Renaissance in the Fourth Industrial Revolution: Machine Learning and Artificial Intelligence in Sales Research and Practice’, </w:t>
      </w:r>
      <w:r>
        <w:rPr>
          <w:rFonts w:hint="default" w:ascii="Arial" w:hAnsi="Arial" w:cs="Arial"/>
          <w:i/>
          <w:iCs/>
          <w:sz w:val="24"/>
          <w:szCs w:val="24"/>
        </w:rPr>
        <w:t>Industrial Marketing Management</w:t>
      </w:r>
      <w:r>
        <w:rPr>
          <w:rFonts w:hint="default" w:ascii="Arial" w:hAnsi="Arial" w:cs="Arial"/>
          <w:sz w:val="24"/>
          <w:szCs w:val="24"/>
        </w:rPr>
        <w:t>, 69, pp. 135–146</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Bonvillain, N. (2018), </w:t>
      </w:r>
      <w:r>
        <w:rPr>
          <w:rFonts w:hint="default" w:ascii="Arial" w:hAnsi="Arial" w:cs="Arial"/>
          <w:i/>
          <w:iCs/>
          <w:sz w:val="24"/>
          <w:szCs w:val="24"/>
        </w:rPr>
        <w:t>Language, Culture, and Communication: The Meaning of Messages</w:t>
      </w:r>
      <w:r>
        <w:rPr>
          <w:rFonts w:hint="default" w:ascii="Arial" w:hAnsi="Arial" w:cs="Arial"/>
          <w:sz w:val="24"/>
          <w:szCs w:val="24"/>
        </w:rPr>
        <w:t>, (Eighth Edition) Maryland: Rowman &amp; Littlefield</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Lalwani, M. (2016) ‘The Next Wave of AI is Rooted in Human Culture and History’ [Online] Available: </w:t>
      </w:r>
      <w:r>
        <w:rPr>
          <w:rFonts w:hint="default" w:ascii="Arial" w:hAnsi="Arial" w:cs="Arial"/>
          <w:sz w:val="24"/>
          <w:szCs w:val="24"/>
        </w:rPr>
        <w:fldChar w:fldCharType="begin"/>
      </w:r>
      <w:r>
        <w:rPr>
          <w:rFonts w:hint="default" w:ascii="Arial" w:hAnsi="Arial" w:cs="Arial"/>
          <w:sz w:val="24"/>
          <w:szCs w:val="24"/>
        </w:rPr>
        <w:instrText xml:space="preserve"> HYPERLINK "https://www.engadget.com/2016-08-16-the-next-wave-of-ai-is-rooted-in-human-culture-and-history.html" </w:instrText>
      </w:r>
      <w:r>
        <w:rPr>
          <w:rFonts w:hint="default" w:ascii="Arial" w:hAnsi="Arial" w:cs="Arial"/>
          <w:sz w:val="24"/>
          <w:szCs w:val="24"/>
        </w:rPr>
        <w:fldChar w:fldCharType="separate"/>
      </w:r>
      <w:r>
        <w:rPr>
          <w:rFonts w:hint="default" w:ascii="Arial" w:hAnsi="Arial" w:cs="Arial"/>
          <w:sz w:val="24"/>
          <w:szCs w:val="24"/>
        </w:rPr>
        <w:t>https://www.engadget.com/2016-08-16-the-next-wave-of-ai-is-rooted-in-human-culture-and-history.html</w:t>
      </w:r>
      <w:r>
        <w:rPr>
          <w:rFonts w:hint="default" w:ascii="Arial" w:hAnsi="Arial" w:cs="Arial"/>
          <w:sz w:val="24"/>
          <w:szCs w:val="24"/>
        </w:rPr>
        <w:fldChar w:fldCharType="end"/>
      </w:r>
      <w:r>
        <w:rPr>
          <w:rFonts w:hint="default" w:ascii="Arial" w:hAnsi="Arial" w:cs="Arial"/>
          <w:sz w:val="24"/>
          <w:szCs w:val="24"/>
        </w:rPr>
        <w:t>, Accessed 2020, Mar, 30th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Warren, T. (2016) </w:t>
      </w:r>
      <w:r>
        <w:rPr>
          <w:rFonts w:hint="default" w:ascii="Arial" w:hAnsi="Arial" w:cs="Arial"/>
          <w:i/>
          <w:iCs/>
          <w:sz w:val="24"/>
          <w:szCs w:val="24"/>
        </w:rPr>
        <w:t>Bull's-Eye! The Ultimate How-To Marketing and Sales Guide for CPAs</w:t>
      </w:r>
      <w:r>
        <w:rPr>
          <w:rFonts w:hint="default" w:ascii="Arial" w:hAnsi="Arial" w:cs="Arial"/>
          <w:sz w:val="24"/>
          <w:szCs w:val="24"/>
        </w:rPr>
        <w:t>, New York: American Institute of Certified Public Accountants, Inc.</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Forrester Consulting. (2014) ‘The Creative Dividend How Creativity Impacts Business Results’ [Online] Available: </w:t>
      </w:r>
      <w:r>
        <w:rPr>
          <w:rFonts w:hint="default" w:ascii="Arial" w:hAnsi="Arial" w:cs="Arial"/>
          <w:sz w:val="24"/>
          <w:szCs w:val="24"/>
        </w:rPr>
        <w:fldChar w:fldCharType="begin"/>
      </w:r>
      <w:r>
        <w:rPr>
          <w:rFonts w:hint="default" w:ascii="Arial" w:hAnsi="Arial" w:cs="Arial"/>
          <w:sz w:val="24"/>
          <w:szCs w:val="24"/>
        </w:rPr>
        <w:instrText xml:space="preserve"> HYPERLINK "https://landing.adobe.com/dam/downloads/whitepapers/55563.en.creative-dividends.pdf" </w:instrText>
      </w:r>
      <w:r>
        <w:rPr>
          <w:rFonts w:hint="default" w:ascii="Arial" w:hAnsi="Arial" w:cs="Arial"/>
          <w:sz w:val="24"/>
          <w:szCs w:val="24"/>
        </w:rPr>
        <w:fldChar w:fldCharType="separate"/>
      </w:r>
      <w:r>
        <w:rPr>
          <w:rStyle w:val="9"/>
          <w:rFonts w:hint="default" w:ascii="Arial" w:hAnsi="Arial" w:cs="Arial"/>
          <w:sz w:val="24"/>
          <w:szCs w:val="24"/>
        </w:rPr>
        <w:t>https://landing.adobe.com/dam/downloads/whitepapers/55563.en.creative-dividends.pdf</w:t>
      </w:r>
      <w:r>
        <w:rPr>
          <w:rStyle w:val="9"/>
          <w:rFonts w:hint="default" w:ascii="Arial" w:hAnsi="Arial" w:cs="Arial"/>
          <w:sz w:val="24"/>
          <w:szCs w:val="24"/>
        </w:rPr>
        <w:fldChar w:fldCharType="end"/>
      </w:r>
      <w:r>
        <w:rPr>
          <w:rFonts w:hint="default" w:ascii="Arial" w:hAnsi="Arial" w:cs="Arial"/>
          <w:sz w:val="24"/>
          <w:szCs w:val="24"/>
        </w:rPr>
        <w:t>, Accessed 2020, Mar, 30th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Oleinik, A. (2019). ‘What Are Neural Networks Not Good At? On Artificial Creativity’, </w:t>
      </w:r>
      <w:r>
        <w:rPr>
          <w:rFonts w:hint="default" w:ascii="Arial" w:hAnsi="Arial" w:cs="Arial"/>
          <w:i/>
          <w:iCs/>
          <w:sz w:val="24"/>
          <w:szCs w:val="24"/>
        </w:rPr>
        <w:t>Big Data &amp; Society</w:t>
      </w:r>
      <w:r>
        <w:rPr>
          <w:rFonts w:hint="default" w:ascii="Arial" w:hAnsi="Arial" w:cs="Arial"/>
          <w:sz w:val="24"/>
          <w:szCs w:val="24"/>
        </w:rPr>
        <w:t>, 6:1, pp. 1–13</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Andrew, J. &amp; Smith, D. (1996), ‘In Search of the Marketing Imagination: Factors Affecting the Creativity of Marketing Programs for Mature Products’, </w:t>
      </w:r>
      <w:r>
        <w:rPr>
          <w:rFonts w:hint="default" w:ascii="Arial" w:hAnsi="Arial" w:cs="Arial"/>
          <w:i/>
          <w:iCs/>
          <w:sz w:val="24"/>
          <w:szCs w:val="24"/>
        </w:rPr>
        <w:t>Journal of Marketing Research</w:t>
      </w:r>
      <w:r>
        <w:rPr>
          <w:rFonts w:hint="default" w:ascii="Arial" w:hAnsi="Arial" w:cs="Arial"/>
          <w:sz w:val="24"/>
          <w:szCs w:val="24"/>
        </w:rPr>
        <w:t>, 33:2, 174–187</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rPr>
      </w:pPr>
      <w:r>
        <w:rPr>
          <w:rFonts w:hint="default" w:ascii="Arial" w:hAnsi="Arial" w:cs="Arial"/>
          <w:sz w:val="24"/>
          <w:szCs w:val="24"/>
        </w:rPr>
        <w:t xml:space="preserve">Muñoz-Pascual, L. &amp; Galende, J. (2017), ‘The Impact of Knowledge and Motivation Management on Creativity: Employees of Innovative Spanish Companies’, </w:t>
      </w:r>
      <w:r>
        <w:rPr>
          <w:rFonts w:hint="default" w:ascii="Arial" w:hAnsi="Arial" w:cs="Arial"/>
          <w:i/>
          <w:iCs/>
          <w:sz w:val="24"/>
          <w:szCs w:val="24"/>
        </w:rPr>
        <w:t>Employee Relations</w:t>
      </w:r>
      <w:r>
        <w:rPr>
          <w:rFonts w:hint="default" w:ascii="Arial" w:hAnsi="Arial" w:cs="Arial"/>
          <w:sz w:val="24"/>
          <w:szCs w:val="24"/>
        </w:rPr>
        <w:t>, 39:5, pp. 732–752</w:t>
      </w:r>
    </w:p>
    <w:sectPr>
      <w:footerReference r:id="rId3" w:type="default"/>
      <w:pgSz w:w="11906" w:h="16838"/>
      <w:pgMar w:top="1418" w:right="1797" w:bottom="1418" w:left="179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67708527"/>
      <w:docPartObj>
        <w:docPartGallery w:val="autotext"/>
      </w:docPartObj>
    </w:sdtPr>
    <w:sdtEndPr>
      <w:rPr>
        <w:rFonts w:ascii="Times New Roman" w:hAnsi="Times New Roman" w:cs="Times New Roman"/>
        <w:sz w:val="24"/>
        <w:szCs w:val="24"/>
      </w:rPr>
    </w:sdtEndPr>
    <w:sdtContent>
      <w:sdt>
        <w:sdtPr>
          <w:id w:val="1728636285"/>
          <w:docPartObj>
            <w:docPartGallery w:val="autotext"/>
          </w:docPartObj>
        </w:sdtPr>
        <w:sdtEndPr>
          <w:rPr>
            <w:rFonts w:ascii="Times New Roman" w:hAnsi="Times New Roman" w:cs="Times New Roman"/>
            <w:sz w:val="24"/>
            <w:szCs w:val="24"/>
          </w:rPr>
        </w:sdtEndPr>
        <w:sdtContent>
          <w:p>
            <w:pPr>
              <w:pStyle w:val="3"/>
              <w:jc w:val="center"/>
              <w:rPr>
                <w:rFonts w:ascii="Times New Roman" w:hAnsi="Times New Roman" w:cs="Times New Roman"/>
                <w:sz w:val="24"/>
                <w:szCs w:val="24"/>
              </w:rPr>
            </w:pPr>
            <w:r>
              <w:rPr>
                <w:rFonts w:ascii="Times New Roman" w:hAnsi="Times New Roman" w:cs="Times New Roman"/>
                <w:sz w:val="24"/>
                <w:szCs w:val="24"/>
                <w:lang w:val="zh-CN"/>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PAGE</w:instrText>
            </w:r>
            <w:r>
              <w:rPr>
                <w:rFonts w:ascii="Times New Roman" w:hAnsi="Times New Roman" w:cs="Times New Roman"/>
                <w:sz w:val="24"/>
                <w:szCs w:val="24"/>
              </w:rPr>
              <w:fldChar w:fldCharType="separate"/>
            </w:r>
            <w:r>
              <w:rPr>
                <w:rFonts w:ascii="Times New Roman" w:hAnsi="Times New Roman" w:cs="Times New Roman"/>
                <w:sz w:val="24"/>
                <w:szCs w:val="24"/>
                <w:lang w:val="zh-CN"/>
              </w:rPr>
              <w:t>2</w:t>
            </w:r>
            <w:r>
              <w:rPr>
                <w:rFonts w:ascii="Times New Roman" w:hAnsi="Times New Roman" w:cs="Times New Roman"/>
                <w:sz w:val="24"/>
                <w:szCs w:val="24"/>
              </w:rPr>
              <w:fldChar w:fldCharType="end"/>
            </w:r>
            <w:r>
              <w:rPr>
                <w:rFonts w:ascii="Times New Roman" w:hAnsi="Times New Roman" w:cs="Times New Roman"/>
                <w:sz w:val="24"/>
                <w:szCs w:val="24"/>
                <w:lang w:val="zh-CN"/>
              </w:rPr>
              <w:t xml:space="preserve"> /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NUMPAGES</w:instrText>
            </w:r>
            <w:r>
              <w:rPr>
                <w:rFonts w:ascii="Times New Roman" w:hAnsi="Times New Roman" w:cs="Times New Roman"/>
                <w:sz w:val="24"/>
                <w:szCs w:val="24"/>
              </w:rPr>
              <w:fldChar w:fldCharType="separate"/>
            </w:r>
            <w:r>
              <w:rPr>
                <w:rFonts w:ascii="Times New Roman" w:hAnsi="Times New Roman" w:cs="Times New Roman"/>
                <w:sz w:val="24"/>
                <w:szCs w:val="24"/>
                <w:lang w:val="zh-CN"/>
              </w:rPr>
              <w:t>2</w:t>
            </w:r>
            <w:r>
              <w:rPr>
                <w:rFonts w:ascii="Times New Roman" w:hAnsi="Times New Roman" w:cs="Times New Roman"/>
                <w:sz w:val="24"/>
                <w:szCs w:val="24"/>
              </w:rPr>
              <w:fldChar w:fldCharType="end"/>
            </w:r>
          </w:p>
        </w:sdtContent>
      </w:sdt>
    </w:sdtContent>
  </w:sdt>
  <w:p>
    <w:pPr>
      <w:pStyle w:val="3"/>
      <w:rPr>
        <w:rFonts w:ascii="Times New Roman" w:hAnsi="Times New Roman" w:cs="Times New Roman"/>
        <w:sz w:val="24"/>
        <w:szCs w:val="24"/>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removePersonalInformation/>
  <w:bordersDoNotSurroundHeader w:val="1"/>
  <w:bordersDoNotSurroundFooter w:val="1"/>
  <w:documentProtection w:enforcement="0"/>
  <w:defaultTabStop w:val="420"/>
  <w:autoHyphenation/>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32A"/>
    <w:rsid w:val="0000477F"/>
    <w:rsid w:val="00033BCA"/>
    <w:rsid w:val="00035321"/>
    <w:rsid w:val="000B586F"/>
    <w:rsid w:val="000D101D"/>
    <w:rsid w:val="00185534"/>
    <w:rsid w:val="00197351"/>
    <w:rsid w:val="001A104A"/>
    <w:rsid w:val="001A532A"/>
    <w:rsid w:val="001B0EFB"/>
    <w:rsid w:val="001C4638"/>
    <w:rsid w:val="00223D21"/>
    <w:rsid w:val="00273446"/>
    <w:rsid w:val="00274EAD"/>
    <w:rsid w:val="00365000"/>
    <w:rsid w:val="00381066"/>
    <w:rsid w:val="003941ED"/>
    <w:rsid w:val="003A006E"/>
    <w:rsid w:val="003E713D"/>
    <w:rsid w:val="003F44CA"/>
    <w:rsid w:val="003F6B22"/>
    <w:rsid w:val="004057A7"/>
    <w:rsid w:val="00442EDD"/>
    <w:rsid w:val="00465DDF"/>
    <w:rsid w:val="00492E8F"/>
    <w:rsid w:val="004A105D"/>
    <w:rsid w:val="004F2DDD"/>
    <w:rsid w:val="004F5B84"/>
    <w:rsid w:val="00554CB7"/>
    <w:rsid w:val="005571CD"/>
    <w:rsid w:val="00650D13"/>
    <w:rsid w:val="006565F5"/>
    <w:rsid w:val="00676BE2"/>
    <w:rsid w:val="006C4CCB"/>
    <w:rsid w:val="006E1E9E"/>
    <w:rsid w:val="00750586"/>
    <w:rsid w:val="00766443"/>
    <w:rsid w:val="00770AB3"/>
    <w:rsid w:val="007934EF"/>
    <w:rsid w:val="007A130B"/>
    <w:rsid w:val="007E7484"/>
    <w:rsid w:val="0081703C"/>
    <w:rsid w:val="00860554"/>
    <w:rsid w:val="00883712"/>
    <w:rsid w:val="00897541"/>
    <w:rsid w:val="00907FBF"/>
    <w:rsid w:val="009C2E23"/>
    <w:rsid w:val="00A24BEC"/>
    <w:rsid w:val="00A77127"/>
    <w:rsid w:val="00A7738F"/>
    <w:rsid w:val="00A8319E"/>
    <w:rsid w:val="00A859D0"/>
    <w:rsid w:val="00A96181"/>
    <w:rsid w:val="00AA1322"/>
    <w:rsid w:val="00AA78CB"/>
    <w:rsid w:val="00AC3E71"/>
    <w:rsid w:val="00AD6875"/>
    <w:rsid w:val="00AD7775"/>
    <w:rsid w:val="00AF3309"/>
    <w:rsid w:val="00B67501"/>
    <w:rsid w:val="00BF1DD2"/>
    <w:rsid w:val="00C30D94"/>
    <w:rsid w:val="00C446FD"/>
    <w:rsid w:val="00C73875"/>
    <w:rsid w:val="00C84B84"/>
    <w:rsid w:val="00CA4877"/>
    <w:rsid w:val="00CA5341"/>
    <w:rsid w:val="00D27F13"/>
    <w:rsid w:val="00D40534"/>
    <w:rsid w:val="00D76048"/>
    <w:rsid w:val="00DC2321"/>
    <w:rsid w:val="00E30B83"/>
    <w:rsid w:val="00E56A50"/>
    <w:rsid w:val="00E833F1"/>
    <w:rsid w:val="00ED06A5"/>
    <w:rsid w:val="00ED5EA7"/>
    <w:rsid w:val="00EF12E5"/>
    <w:rsid w:val="00F0378E"/>
    <w:rsid w:val="00F25126"/>
    <w:rsid w:val="00F36AFC"/>
    <w:rsid w:val="00F735AF"/>
    <w:rsid w:val="00F912BA"/>
    <w:rsid w:val="1D615096"/>
    <w:rsid w:val="347C1C7B"/>
    <w:rsid w:val="392C29D8"/>
    <w:rsid w:val="3C895B2B"/>
    <w:rsid w:val="3E8D3624"/>
    <w:rsid w:val="42126F82"/>
    <w:rsid w:val="55C564FD"/>
    <w:rsid w:val="56161FE7"/>
    <w:rsid w:val="60810D5F"/>
    <w:rsid w:val="62D61A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qFormat="1"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7">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2">
    <w:name w:val="endnote text"/>
    <w:basedOn w:val="1"/>
    <w:link w:val="11"/>
    <w:semiHidden/>
    <w:unhideWhenUsed/>
    <w:uiPriority w:val="99"/>
    <w:pPr>
      <w:snapToGrid w:val="0"/>
      <w:jc w:val="left"/>
    </w:pPr>
  </w:style>
  <w:style w:type="paragraph" w:styleId="3">
    <w:name w:val="footer"/>
    <w:basedOn w:val="1"/>
    <w:link w:val="16"/>
    <w:unhideWhenUsed/>
    <w:qFormat/>
    <w:uiPriority w:val="99"/>
    <w:pPr>
      <w:tabs>
        <w:tab w:val="center" w:pos="4153"/>
        <w:tab w:val="right" w:pos="8306"/>
      </w:tabs>
      <w:snapToGrid w:val="0"/>
      <w:jc w:val="left"/>
    </w:pPr>
    <w:rPr>
      <w:sz w:val="18"/>
      <w:szCs w:val="18"/>
    </w:rPr>
  </w:style>
  <w:style w:type="paragraph" w:styleId="4">
    <w:name w:val="header"/>
    <w:basedOn w:val="1"/>
    <w:link w:val="15"/>
    <w:unhideWhenUsed/>
    <w:qFormat/>
    <w:uiPriority w:val="99"/>
    <w:pPr>
      <w:pBdr>
        <w:bottom w:val="single" w:color="auto" w:sz="6" w:space="1"/>
      </w:pBdr>
      <w:tabs>
        <w:tab w:val="center" w:pos="4153"/>
        <w:tab w:val="right" w:pos="8306"/>
      </w:tabs>
      <w:snapToGrid w:val="0"/>
      <w:jc w:val="center"/>
    </w:pPr>
    <w:rPr>
      <w:sz w:val="18"/>
      <w:szCs w:val="18"/>
    </w:rPr>
  </w:style>
  <w:style w:type="paragraph" w:styleId="5">
    <w:name w:val="footnote text"/>
    <w:basedOn w:val="1"/>
    <w:link w:val="12"/>
    <w:semiHidden/>
    <w:unhideWhenUsed/>
    <w:qFormat/>
    <w:uiPriority w:val="99"/>
    <w:pPr>
      <w:snapToGrid w:val="0"/>
      <w:jc w:val="left"/>
    </w:pPr>
    <w:rPr>
      <w:sz w:val="18"/>
      <w:szCs w:val="18"/>
    </w:rPr>
  </w:style>
  <w:style w:type="character" w:styleId="8">
    <w:name w:val="endnote reference"/>
    <w:basedOn w:val="7"/>
    <w:semiHidden/>
    <w:unhideWhenUsed/>
    <w:qFormat/>
    <w:uiPriority w:val="99"/>
    <w:rPr>
      <w:vertAlign w:val="superscript"/>
    </w:rPr>
  </w:style>
  <w:style w:type="character" w:styleId="9">
    <w:name w:val="Hyperlink"/>
    <w:basedOn w:val="7"/>
    <w:unhideWhenUsed/>
    <w:qFormat/>
    <w:uiPriority w:val="99"/>
    <w:rPr>
      <w:color w:val="0563C1" w:themeColor="hyperlink"/>
      <w:u w:val="single"/>
      <w14:textFill>
        <w14:solidFill>
          <w14:schemeClr w14:val="hlink"/>
        </w14:solidFill>
      </w14:textFill>
    </w:rPr>
  </w:style>
  <w:style w:type="character" w:styleId="10">
    <w:name w:val="footnote reference"/>
    <w:basedOn w:val="7"/>
    <w:semiHidden/>
    <w:unhideWhenUsed/>
    <w:qFormat/>
    <w:uiPriority w:val="99"/>
    <w:rPr>
      <w:vertAlign w:val="superscript"/>
    </w:rPr>
  </w:style>
  <w:style w:type="character" w:customStyle="1" w:styleId="11">
    <w:name w:val="尾注文本 字符"/>
    <w:basedOn w:val="7"/>
    <w:link w:val="2"/>
    <w:semiHidden/>
    <w:uiPriority w:val="99"/>
  </w:style>
  <w:style w:type="character" w:customStyle="1" w:styleId="12">
    <w:name w:val="脚注文本 字符"/>
    <w:basedOn w:val="7"/>
    <w:link w:val="5"/>
    <w:semiHidden/>
    <w:uiPriority w:val="99"/>
    <w:rPr>
      <w:sz w:val="18"/>
      <w:szCs w:val="18"/>
    </w:rPr>
  </w:style>
  <w:style w:type="character" w:customStyle="1" w:styleId="13">
    <w:name w:val="Unresolved Mention"/>
    <w:basedOn w:val="7"/>
    <w:semiHidden/>
    <w:unhideWhenUsed/>
    <w:qFormat/>
    <w:uiPriority w:val="99"/>
    <w:rPr>
      <w:color w:val="605E5C"/>
      <w:shd w:val="clear" w:color="auto" w:fill="E1DFDD"/>
    </w:rPr>
  </w:style>
  <w:style w:type="paragraph" w:styleId="14">
    <w:name w:val="List Paragraph"/>
    <w:basedOn w:val="1"/>
    <w:qFormat/>
    <w:uiPriority w:val="34"/>
    <w:pPr>
      <w:ind w:firstLine="420" w:firstLineChars="200"/>
    </w:pPr>
  </w:style>
  <w:style w:type="character" w:customStyle="1" w:styleId="15">
    <w:name w:val="页眉 字符"/>
    <w:basedOn w:val="7"/>
    <w:link w:val="4"/>
    <w:uiPriority w:val="99"/>
    <w:rPr>
      <w:sz w:val="18"/>
      <w:szCs w:val="18"/>
    </w:rPr>
  </w:style>
  <w:style w:type="character" w:customStyle="1" w:styleId="16">
    <w:name w:val="页脚 字符"/>
    <w:basedOn w:val="7"/>
    <w:link w:val="3"/>
    <w:qFormat/>
    <w:uiPriority w:val="99"/>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b:Source>
    <b:Tag>Lia16</b:Tag>
    <b:SourceType>InternetSite</b:SourceType>
    <b:Guid>{FE42CEB4-A269-4486-9504-0738BF2C783F}</b:Guid>
    <b:LCID>en-US</b:LCID>
    <b:Year>2016</b:Year>
    <b:Author>
      <b:Author>
        <b:NameList>
          <b:Person>
            <b:Last>Brinded</b:Last>
            <b:First>Lianna</b:First>
          </b:Person>
        </b:NameList>
      </b:Author>
    </b:Author>
    <b:InternetSiteTitle>Business Insider</b:InternetSiteTitle>
    <b:Month>1</b:Month>
    <b:Day>18</b:Day>
    <b:URL>https://www.businessinsider.com/wef-davos-report-on-robots-replacing-human-jobs-2016-1?r=UK</b:URL>
    <b:RefOrder>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5D7DBA-942D-4BA0-8A6F-11FE044A5E8B}">
  <ds:schemaRefs/>
</ds:datastoreItem>
</file>

<file path=docProps/app.xml><?xml version="1.0" encoding="utf-8"?>
<Properties xmlns="http://schemas.openxmlformats.org/officeDocument/2006/extended-properties" xmlns:vt="http://schemas.openxmlformats.org/officeDocument/2006/docPropsVTypes">
  <Template>Normal</Template>
  <Pages>1</Pages>
  <Words>2426</Words>
  <Characters>13833</Characters>
  <Lines>115</Lines>
  <Paragraphs>32</Paragraphs>
  <TotalTime>1</TotalTime>
  <ScaleCrop>false</ScaleCrop>
  <LinksUpToDate>false</LinksUpToDate>
  <CharactersWithSpaces>16227</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2020-03-30T13:38:00Z</dcterms:created>
  <dcterms:modified xsi:type="dcterms:W3CDTF">2020-03-31T05:13:06Z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