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3683" w14:textId="77777777" w:rsidR="00AB0D6E" w:rsidRPr="00BE26A6" w:rsidRDefault="00AB0D6E" w:rsidP="00AB0D6E">
      <w:pPr>
        <w:jc w:val="center"/>
      </w:pPr>
      <w:r w:rsidRPr="00BE26A6">
        <w:rPr>
          <w:rFonts w:ascii="Times New Roman"/>
          <w:noProof/>
          <w:sz w:val="20"/>
        </w:rPr>
        <w:drawing>
          <wp:inline distT="0" distB="0" distL="0" distR="0" wp14:anchorId="39B2A9D3" wp14:editId="1629E85C">
            <wp:extent cx="1816670" cy="600075"/>
            <wp:effectExtent l="0" t="0" r="0" b="0"/>
            <wp:docPr id="2047325395"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3986104A" w14:textId="77777777"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Student Name: Uttam Devshibhai Vaghamashi</w:t>
      </w:r>
    </w:p>
    <w:p w14:paraId="672BB269" w14:textId="77777777" w:rsidR="00AB0D6E" w:rsidRPr="00BE26A6" w:rsidRDefault="00AB0D6E" w:rsidP="00AB0D6E">
      <w:pPr>
        <w:jc w:val="center"/>
        <w:rPr>
          <w:rFonts w:asciiTheme="minorBidi" w:hAnsiTheme="minorBidi"/>
          <w:b/>
          <w:bCs/>
          <w:sz w:val="28"/>
          <w:szCs w:val="28"/>
        </w:rPr>
      </w:pPr>
    </w:p>
    <w:p w14:paraId="12684395" w14:textId="77777777"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Student ID: 2520138</w:t>
      </w:r>
    </w:p>
    <w:p w14:paraId="44F57203" w14:textId="77777777" w:rsidR="00AB0D6E" w:rsidRPr="00BE26A6" w:rsidRDefault="00AB0D6E" w:rsidP="00AB0D6E">
      <w:pPr>
        <w:jc w:val="center"/>
        <w:rPr>
          <w:rFonts w:asciiTheme="minorBidi" w:hAnsiTheme="minorBidi"/>
          <w:sz w:val="28"/>
          <w:szCs w:val="28"/>
        </w:rPr>
      </w:pPr>
    </w:p>
    <w:p w14:paraId="1723B07D" w14:textId="77777777" w:rsidR="00AB0D6E" w:rsidRPr="00BE26A6" w:rsidRDefault="00AB0D6E" w:rsidP="00AB0D6E">
      <w:pPr>
        <w:jc w:val="center"/>
        <w:rPr>
          <w:rFonts w:asciiTheme="minorBidi" w:hAnsiTheme="minorBidi"/>
          <w:sz w:val="28"/>
          <w:szCs w:val="28"/>
        </w:rPr>
      </w:pPr>
    </w:p>
    <w:p w14:paraId="4F366541" w14:textId="49A6DCBC"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 xml:space="preserve">Module Name: </w:t>
      </w:r>
      <w:r w:rsidRPr="00AB0D6E">
        <w:rPr>
          <w:rFonts w:asciiTheme="minorBidi" w:hAnsiTheme="minorBidi"/>
          <w:b/>
          <w:bCs/>
          <w:sz w:val="28"/>
          <w:szCs w:val="28"/>
        </w:rPr>
        <w:t>Financial Management</w:t>
      </w:r>
    </w:p>
    <w:p w14:paraId="74D75124" w14:textId="77777777" w:rsidR="00AB0D6E" w:rsidRPr="00BE26A6" w:rsidRDefault="00AB0D6E" w:rsidP="00AB0D6E">
      <w:pPr>
        <w:jc w:val="center"/>
        <w:rPr>
          <w:rFonts w:asciiTheme="minorBidi" w:hAnsiTheme="minorBidi"/>
          <w:b/>
          <w:bCs/>
          <w:sz w:val="28"/>
          <w:szCs w:val="28"/>
        </w:rPr>
      </w:pPr>
    </w:p>
    <w:p w14:paraId="0350CCD1" w14:textId="424B9FD3"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 xml:space="preserve">Module Code: </w:t>
      </w:r>
      <w:r w:rsidRPr="00AB0D6E">
        <w:rPr>
          <w:rFonts w:asciiTheme="minorBidi" w:hAnsiTheme="minorBidi"/>
          <w:b/>
          <w:bCs/>
          <w:sz w:val="28"/>
          <w:szCs w:val="28"/>
        </w:rPr>
        <w:t>LCMB7002</w:t>
      </w:r>
    </w:p>
    <w:p w14:paraId="4DCE0F6B" w14:textId="77777777" w:rsidR="00AB0D6E" w:rsidRPr="00BE26A6" w:rsidRDefault="00AB0D6E" w:rsidP="00AB0D6E">
      <w:pPr>
        <w:rPr>
          <w:rFonts w:asciiTheme="minorBidi" w:hAnsiTheme="minorBidi"/>
          <w:b/>
          <w:bCs/>
          <w:sz w:val="28"/>
          <w:szCs w:val="28"/>
        </w:rPr>
      </w:pPr>
    </w:p>
    <w:p w14:paraId="75325D21" w14:textId="1E47DC76"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Lecturer’s Name:</w:t>
      </w:r>
      <w:r>
        <w:rPr>
          <w:rFonts w:asciiTheme="minorBidi" w:hAnsiTheme="minorBidi"/>
          <w:b/>
          <w:bCs/>
          <w:sz w:val="28"/>
          <w:szCs w:val="28"/>
        </w:rPr>
        <w:t xml:space="preserve"> </w:t>
      </w:r>
      <w:r w:rsidR="00C47AAF" w:rsidRPr="00C47AAF">
        <w:rPr>
          <w:rFonts w:asciiTheme="minorBidi" w:hAnsiTheme="minorBidi"/>
          <w:b/>
          <w:bCs/>
          <w:sz w:val="28"/>
          <w:szCs w:val="28"/>
        </w:rPr>
        <w:t xml:space="preserve">Shengfeng Mei </w:t>
      </w:r>
      <w:r w:rsidR="00C47AAF">
        <w:rPr>
          <w:rFonts w:asciiTheme="minorBidi" w:hAnsiTheme="minorBidi"/>
          <w:b/>
          <w:bCs/>
          <w:sz w:val="28"/>
          <w:szCs w:val="28"/>
        </w:rPr>
        <w:t xml:space="preserve">and </w:t>
      </w:r>
      <w:r w:rsidR="00C47AAF" w:rsidRPr="00C47AAF">
        <w:rPr>
          <w:rFonts w:asciiTheme="minorBidi" w:hAnsiTheme="minorBidi"/>
          <w:b/>
          <w:bCs/>
          <w:sz w:val="28"/>
          <w:szCs w:val="28"/>
        </w:rPr>
        <w:t>Patrick Yeboah</w:t>
      </w:r>
    </w:p>
    <w:p w14:paraId="282BA2FE" w14:textId="77777777" w:rsidR="00AB0D6E" w:rsidRPr="00BE26A6" w:rsidRDefault="00AB0D6E" w:rsidP="00AB0D6E">
      <w:pPr>
        <w:jc w:val="center"/>
        <w:rPr>
          <w:rFonts w:asciiTheme="minorBidi" w:hAnsiTheme="minorBidi"/>
          <w:b/>
          <w:bCs/>
          <w:sz w:val="28"/>
          <w:szCs w:val="28"/>
        </w:rPr>
      </w:pPr>
    </w:p>
    <w:p w14:paraId="2D18A23F" w14:textId="77777777" w:rsidR="00AB0D6E" w:rsidRPr="00BE26A6" w:rsidRDefault="00AB0D6E" w:rsidP="00AB0D6E">
      <w:pPr>
        <w:jc w:val="center"/>
        <w:rPr>
          <w:rFonts w:asciiTheme="minorBidi" w:hAnsiTheme="minorBidi"/>
          <w:b/>
          <w:bCs/>
          <w:sz w:val="28"/>
          <w:szCs w:val="28"/>
        </w:rPr>
      </w:pPr>
    </w:p>
    <w:p w14:paraId="251518AA" w14:textId="77777777" w:rsidR="00AB0D6E" w:rsidRPr="00BE26A6" w:rsidRDefault="00AB0D6E" w:rsidP="00AB0D6E">
      <w:pPr>
        <w:rPr>
          <w:rFonts w:asciiTheme="minorBidi" w:hAnsiTheme="minorBidi"/>
          <w:b/>
          <w:bCs/>
          <w:sz w:val="28"/>
          <w:szCs w:val="28"/>
        </w:rPr>
      </w:pPr>
    </w:p>
    <w:p w14:paraId="355FFA11" w14:textId="76F0FB9D"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 xml:space="preserve">Work Count: </w:t>
      </w:r>
      <w:r w:rsidR="004F31D2">
        <w:rPr>
          <w:rFonts w:asciiTheme="minorBidi" w:hAnsiTheme="minorBidi"/>
          <w:b/>
          <w:bCs/>
          <w:sz w:val="28"/>
          <w:szCs w:val="28"/>
        </w:rPr>
        <w:t>7</w:t>
      </w:r>
      <w:r w:rsidR="007B34C2">
        <w:rPr>
          <w:rFonts w:asciiTheme="minorBidi" w:hAnsiTheme="minorBidi"/>
          <w:b/>
          <w:bCs/>
          <w:sz w:val="28"/>
          <w:szCs w:val="28"/>
        </w:rPr>
        <w:t>2</w:t>
      </w:r>
      <w:r w:rsidR="004F31D2">
        <w:rPr>
          <w:rFonts w:asciiTheme="minorBidi" w:hAnsiTheme="minorBidi"/>
          <w:b/>
          <w:bCs/>
          <w:sz w:val="28"/>
          <w:szCs w:val="28"/>
        </w:rPr>
        <w:t>12</w:t>
      </w:r>
    </w:p>
    <w:p w14:paraId="3E091C84" w14:textId="77777777" w:rsidR="00AB0D6E" w:rsidRPr="00BE26A6" w:rsidRDefault="00AB0D6E" w:rsidP="00AB0D6E">
      <w:pPr>
        <w:jc w:val="center"/>
        <w:rPr>
          <w:rFonts w:asciiTheme="minorBidi" w:hAnsiTheme="minorBidi"/>
          <w:b/>
          <w:bCs/>
          <w:sz w:val="28"/>
          <w:szCs w:val="28"/>
        </w:rPr>
      </w:pPr>
    </w:p>
    <w:p w14:paraId="7E97D296" w14:textId="77777777" w:rsidR="00AB0D6E" w:rsidRPr="00BE26A6" w:rsidRDefault="00AB0D6E" w:rsidP="00AB0D6E">
      <w:pPr>
        <w:jc w:val="center"/>
        <w:rPr>
          <w:rFonts w:asciiTheme="minorBidi" w:hAnsiTheme="minorBidi"/>
          <w:b/>
          <w:bCs/>
          <w:sz w:val="28"/>
          <w:szCs w:val="28"/>
        </w:rPr>
      </w:pPr>
    </w:p>
    <w:p w14:paraId="2176AE25" w14:textId="77777777" w:rsidR="00AB0D6E" w:rsidRPr="00BE26A6" w:rsidRDefault="00AB0D6E" w:rsidP="00AB0D6E">
      <w:pPr>
        <w:rPr>
          <w:rFonts w:asciiTheme="minorBidi" w:hAnsiTheme="minorBidi"/>
          <w:b/>
          <w:bCs/>
          <w:sz w:val="28"/>
          <w:szCs w:val="28"/>
        </w:rPr>
      </w:pPr>
    </w:p>
    <w:p w14:paraId="61037969" w14:textId="77777777" w:rsidR="00AB0D6E" w:rsidRPr="00BE26A6" w:rsidRDefault="00AB0D6E" w:rsidP="00AB0D6E">
      <w:pPr>
        <w:jc w:val="center"/>
        <w:rPr>
          <w:rFonts w:asciiTheme="minorBidi" w:hAnsiTheme="minorBidi"/>
          <w:b/>
          <w:bCs/>
          <w:sz w:val="28"/>
          <w:szCs w:val="28"/>
        </w:rPr>
      </w:pPr>
    </w:p>
    <w:p w14:paraId="5D55A548" w14:textId="77777777"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Term 1</w:t>
      </w:r>
    </w:p>
    <w:p w14:paraId="639AAA10" w14:textId="77777777" w:rsidR="00AB0D6E" w:rsidRDefault="00AB0D6E">
      <w:pPr>
        <w:rPr>
          <w:rFonts w:ascii="Arial" w:hAnsi="Arial" w:cs="Arial"/>
        </w:rPr>
      </w:pPr>
    </w:p>
    <w:p w14:paraId="71A6FF8A" w14:textId="77777777" w:rsidR="00AB0D6E" w:rsidRDefault="00AB0D6E">
      <w:pPr>
        <w:rPr>
          <w:rFonts w:ascii="Arial" w:hAnsi="Arial" w:cs="Arial"/>
        </w:rPr>
      </w:pPr>
      <w:r>
        <w:rPr>
          <w:rFonts w:ascii="Arial" w:hAnsi="Arial" w:cs="Arial"/>
        </w:rPr>
        <w:br w:type="page"/>
      </w:r>
    </w:p>
    <w:sdt>
      <w:sdtPr>
        <w:rPr>
          <w:rFonts w:ascii="Arial" w:hAnsi="Arial" w:cs="Arial"/>
        </w:rPr>
        <w:id w:val="1425844212"/>
        <w:docPartObj>
          <w:docPartGallery w:val="Cover Pages"/>
          <w:docPartUnique/>
        </w:docPartObj>
      </w:sdtPr>
      <w:sdtEndPr>
        <w:rPr>
          <w:b/>
          <w:bCs/>
        </w:rPr>
      </w:sdtEndPr>
      <w:sdtContent>
        <w:p w14:paraId="0364F9BB" w14:textId="3F7B20D2" w:rsidR="00753799" w:rsidRPr="00BD3B59" w:rsidRDefault="005150CC">
          <w:pPr>
            <w:rPr>
              <w:rFonts w:ascii="Arial" w:hAnsi="Arial" w:cs="Arial"/>
            </w:rPr>
          </w:pPr>
          <w:r w:rsidRPr="00BD3B59">
            <w:rPr>
              <w:rFonts w:ascii="Arial" w:hAnsi="Arial" w:cs="Arial"/>
              <w:noProof/>
            </w:rPr>
            <mc:AlternateContent>
              <mc:Choice Requires="wps">
                <w:drawing>
                  <wp:anchor distT="0" distB="0" distL="114300" distR="114300" simplePos="0" relativeHeight="251661312" behindDoc="0" locked="0" layoutInCell="1" allowOverlap="1" wp14:anchorId="7E036AFD" wp14:editId="642C79AC">
                    <wp:simplePos x="0" y="0"/>
                    <wp:positionH relativeFrom="page">
                      <wp:align>right</wp:align>
                    </wp:positionH>
                    <wp:positionV relativeFrom="paragraph">
                      <wp:posOffset>-876300</wp:posOffset>
                    </wp:positionV>
                    <wp:extent cx="7753350" cy="4328150"/>
                    <wp:effectExtent l="0" t="0" r="0" b="0"/>
                    <wp:wrapNone/>
                    <wp:docPr id="3" name="Rectangle 3"/>
                    <wp:cNvGraphicFramePr/>
                    <a:graphic xmlns:a="http://schemas.openxmlformats.org/drawingml/2006/main">
                      <a:graphicData uri="http://schemas.microsoft.com/office/word/2010/wordprocessingShape">
                        <wps:wsp>
                          <wps:cNvSpPr/>
                          <wps:spPr>
                            <a:xfrm>
                              <a:off x="0" y="0"/>
                              <a:ext cx="7753350" cy="4328150"/>
                            </a:xfrm>
                            <a:custGeom>
                              <a:avLst/>
                              <a:gdLst>
                                <a:gd name="connsiteX0" fmla="*/ 0 w 7753350"/>
                                <a:gd name="connsiteY0" fmla="*/ 0 h 2933700"/>
                                <a:gd name="connsiteX1" fmla="*/ 7753350 w 7753350"/>
                                <a:gd name="connsiteY1" fmla="*/ 0 h 2933700"/>
                                <a:gd name="connsiteX2" fmla="*/ 7753350 w 7753350"/>
                                <a:gd name="connsiteY2" fmla="*/ 2933700 h 2933700"/>
                                <a:gd name="connsiteX3" fmla="*/ 0 w 7753350"/>
                                <a:gd name="connsiteY3" fmla="*/ 2933700 h 2933700"/>
                                <a:gd name="connsiteX4" fmla="*/ 0 w 7753350"/>
                                <a:gd name="connsiteY4"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0 w 7753350"/>
                                <a:gd name="connsiteY4" fmla="*/ 29337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0 w 7753350"/>
                                <a:gd name="connsiteY4" fmla="*/ 165735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38100 w 7753350"/>
                                <a:gd name="connsiteY4" fmla="*/ 12192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38100 w 7753350"/>
                                <a:gd name="connsiteY4" fmla="*/ 12192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38100 w 7753350"/>
                                <a:gd name="connsiteY4" fmla="*/ 12192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38100 w 7753350"/>
                                <a:gd name="connsiteY4" fmla="*/ 12192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38100 w 7753350"/>
                                <a:gd name="connsiteY4" fmla="*/ 12192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809750 w 7753350"/>
                                <a:gd name="connsiteY3" fmla="*/ 2700316 h 2933700"/>
                                <a:gd name="connsiteX4" fmla="*/ 38100 w 7753350"/>
                                <a:gd name="connsiteY4" fmla="*/ 1219200 h 2933700"/>
                                <a:gd name="connsiteX5" fmla="*/ 0 w 7753350"/>
                                <a:gd name="connsiteY5" fmla="*/ 0 h 2933700"/>
                                <a:gd name="connsiteX0" fmla="*/ 0 w 7753350"/>
                                <a:gd name="connsiteY0" fmla="*/ 0 h 2700316"/>
                                <a:gd name="connsiteX1" fmla="*/ 7753350 w 7753350"/>
                                <a:gd name="connsiteY1" fmla="*/ 0 h 2700316"/>
                                <a:gd name="connsiteX2" fmla="*/ 7677150 w 7753350"/>
                                <a:gd name="connsiteY2" fmla="*/ 2183530 h 2700316"/>
                                <a:gd name="connsiteX3" fmla="*/ 1809750 w 7753350"/>
                                <a:gd name="connsiteY3" fmla="*/ 2700316 h 2700316"/>
                                <a:gd name="connsiteX4" fmla="*/ 38100 w 7753350"/>
                                <a:gd name="connsiteY4" fmla="*/ 1219200 h 2700316"/>
                                <a:gd name="connsiteX5" fmla="*/ 0 w 7753350"/>
                                <a:gd name="connsiteY5" fmla="*/ 0 h 2700316"/>
                                <a:gd name="connsiteX0" fmla="*/ 0 w 7753350"/>
                                <a:gd name="connsiteY0" fmla="*/ 0 h 3035232"/>
                                <a:gd name="connsiteX1" fmla="*/ 7753350 w 7753350"/>
                                <a:gd name="connsiteY1" fmla="*/ 0 h 3035232"/>
                                <a:gd name="connsiteX2" fmla="*/ 7677150 w 7753350"/>
                                <a:gd name="connsiteY2" fmla="*/ 2183530 h 3035232"/>
                                <a:gd name="connsiteX3" fmla="*/ 1809750 w 7753350"/>
                                <a:gd name="connsiteY3" fmla="*/ 3035232 h 3035232"/>
                                <a:gd name="connsiteX4" fmla="*/ 38100 w 7753350"/>
                                <a:gd name="connsiteY4" fmla="*/ 1219200 h 3035232"/>
                                <a:gd name="connsiteX5" fmla="*/ 0 w 7753350"/>
                                <a:gd name="connsiteY5" fmla="*/ 0 h 3035232"/>
                                <a:gd name="connsiteX0" fmla="*/ 0 w 7753350"/>
                                <a:gd name="connsiteY0" fmla="*/ 0 h 3043539"/>
                                <a:gd name="connsiteX1" fmla="*/ 7753350 w 7753350"/>
                                <a:gd name="connsiteY1" fmla="*/ 0 h 3043539"/>
                                <a:gd name="connsiteX2" fmla="*/ 7677150 w 7753350"/>
                                <a:gd name="connsiteY2" fmla="*/ 2183530 h 3043539"/>
                                <a:gd name="connsiteX3" fmla="*/ 1809750 w 7753350"/>
                                <a:gd name="connsiteY3" fmla="*/ 3035232 h 3043539"/>
                                <a:gd name="connsiteX4" fmla="*/ 38100 w 7753350"/>
                                <a:gd name="connsiteY4" fmla="*/ 1219200 h 3043539"/>
                                <a:gd name="connsiteX5" fmla="*/ 0 w 7753350"/>
                                <a:gd name="connsiteY5" fmla="*/ 0 h 3043539"/>
                                <a:gd name="connsiteX0" fmla="*/ 0 w 7753350"/>
                                <a:gd name="connsiteY0" fmla="*/ 0 h 3043539"/>
                                <a:gd name="connsiteX1" fmla="*/ 7753350 w 7753350"/>
                                <a:gd name="connsiteY1" fmla="*/ 0 h 3043539"/>
                                <a:gd name="connsiteX2" fmla="*/ 7677150 w 7753350"/>
                                <a:gd name="connsiteY2" fmla="*/ 2183530 h 3043539"/>
                                <a:gd name="connsiteX3" fmla="*/ 1809750 w 7753350"/>
                                <a:gd name="connsiteY3" fmla="*/ 3035232 h 3043539"/>
                                <a:gd name="connsiteX4" fmla="*/ 38100 w 7753350"/>
                                <a:gd name="connsiteY4" fmla="*/ 1219200 h 3043539"/>
                                <a:gd name="connsiteX5" fmla="*/ 0 w 7753350"/>
                                <a:gd name="connsiteY5" fmla="*/ 0 h 304353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753350" h="3043539">
                                  <a:moveTo>
                                    <a:pt x="0" y="0"/>
                                  </a:moveTo>
                                  <a:lnTo>
                                    <a:pt x="7753350" y="0"/>
                                  </a:lnTo>
                                  <a:lnTo>
                                    <a:pt x="7677150" y="2183530"/>
                                  </a:lnTo>
                                  <a:cubicBezTo>
                                    <a:pt x="6794500" y="1148480"/>
                                    <a:pt x="2730500" y="2829730"/>
                                    <a:pt x="1809750" y="3035232"/>
                                  </a:cubicBezTo>
                                  <a:cubicBezTo>
                                    <a:pt x="1092200" y="3180104"/>
                                    <a:pt x="831850" y="1384300"/>
                                    <a:pt x="38100" y="1219200"/>
                                  </a:cubicBezTo>
                                  <a:lnTo>
                                    <a:pt x="0" y="0"/>
                                  </a:lnTo>
                                  <a:close/>
                                </a:path>
                              </a:pathLst>
                            </a:cu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2E08E" id="Rectangle 3" o:spid="_x0000_s1026" style="position:absolute;margin-left:559.3pt;margin-top:-69pt;width:610.5pt;height:340.8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7753350,3043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" path="m,l7753350,r-76200,2183530c6794500,1148480,2730500,2829730,1809750,3035232,1092200,3180104,831850,1384300,38100,1219200l,xe" fillcolor="#d8d8d8 [2732]" stroked="f" strokeweight="1pt">
                    <v:stroke joinstyle="miter"/>
                    <v:path arrowok="t" o:connecttype="custom" o:connectlocs="0,0;7753350,0;7677150,3105150;1809750,4316337;38100,1733798;0,0" o:connectangles="0,0,0,0,0,0"/>
                    <w10:wrap anchorx="page"/>
                  </v:shape>
                </w:pict>
              </mc:Fallback>
            </mc:AlternateContent>
          </w:r>
        </w:p>
        <w:p w14:paraId="53CD31B5" w14:textId="77777777" w:rsidR="00753799" w:rsidRPr="00BD3B59" w:rsidRDefault="00753799">
          <w:pPr>
            <w:rPr>
              <w:rFonts w:ascii="Arial" w:hAnsi="Arial" w:cs="Arial"/>
              <w:b/>
              <w:bCs/>
            </w:rPr>
          </w:pPr>
          <w:r w:rsidRPr="00BD3B59">
            <w:rPr>
              <w:rFonts w:ascii="Arial" w:hAnsi="Arial" w:cs="Arial"/>
              <w:noProof/>
            </w:rPr>
            <mc:AlternateContent>
              <mc:Choice Requires="wps">
                <w:drawing>
                  <wp:anchor distT="0" distB="0" distL="182880" distR="182880" simplePos="0" relativeHeight="251660288" behindDoc="0" locked="0" layoutInCell="1" allowOverlap="1" wp14:anchorId="1944AECD" wp14:editId="7AF2B6DA">
                    <wp:simplePos x="0" y="0"/>
                    <wp:positionH relativeFrom="margin">
                      <wp:align>right</wp:align>
                    </wp:positionH>
                    <wp:positionV relativeFrom="margin">
                      <wp:posOffset>4229100</wp:posOffset>
                    </wp:positionV>
                    <wp:extent cx="5943600" cy="6720840"/>
                    <wp:effectExtent l="0" t="0" r="0" b="8890"/>
                    <wp:wrapSquare wrapText="bothSides"/>
                    <wp:docPr id="131" name="Text Box 131"/>
                    <wp:cNvGraphicFramePr/>
                    <a:graphic xmlns:a="http://schemas.openxmlformats.org/drawingml/2006/main">
                      <a:graphicData uri="http://schemas.microsoft.com/office/word/2010/wordprocessingShape">
                        <wps:wsp>
                          <wps:cNvSpPr txBox="1"/>
                          <wps:spPr>
                            <a:xfrm>
                              <a:off x="0" y="0"/>
                              <a:ext cx="59436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020F2" w14:textId="77777777" w:rsidR="005859BF" w:rsidRPr="00BD3B59" w:rsidRDefault="00000000" w:rsidP="00753799">
                                <w:pPr>
                                  <w:pStyle w:val="NoSpacing"/>
                                  <w:spacing w:before="40" w:after="560" w:line="216" w:lineRule="auto"/>
                                  <w:rPr>
                                    <w:rFonts w:ascii="Arial" w:hAnsi="Arial" w:cs="Arial"/>
                                    <w:color w:val="156082" w:themeColor="accent1"/>
                                    <w:sz w:val="72"/>
                                    <w:szCs w:val="72"/>
                                    <w:lang w:val="en-GB"/>
                                  </w:rPr>
                                </w:pPr>
                                <w:sdt>
                                  <w:sdtPr>
                                    <w:rPr>
                                      <w:rFonts w:ascii="Arial" w:hAnsi="Arial" w:cs="Arial"/>
                                      <w:color w:val="156082" w:themeColor="accent1"/>
                                      <w:sz w:val="72"/>
                                      <w:szCs w:val="72"/>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859BF" w:rsidRPr="00BD3B59">
                                      <w:rPr>
                                        <w:rFonts w:ascii="Arial" w:hAnsi="Arial" w:cs="Arial"/>
                                        <w:color w:val="156082" w:themeColor="accent1"/>
                                        <w:sz w:val="72"/>
                                        <w:szCs w:val="72"/>
                                        <w:lang w:val="en-GB"/>
                                      </w:rPr>
                                      <w:t>Strategic CFO Challenge: Financial Performance Evaluation, Restructuring Strategy and Investment Appraisal of Tesla Inc.</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1944AECD" id="_x0000_t202" coordsize="21600,21600" o:spt="202" path="m,l,21600r21600,l21600,xe">
                    <v:stroke joinstyle="miter"/>
                    <v:path gradientshapeok="t" o:connecttype="rect"/>
                  </v:shapetype>
                  <v:shape id="Text Box 131" o:spid="_x0000_s1026" type="#_x0000_t202" style="position:absolute;margin-left:416.8pt;margin-top:333pt;width:468pt;height:529.2pt;z-index:251660288;visibility:visible;mso-wrap-style:square;mso-width-percent:0;mso-height-percent:350;mso-wrap-distance-left:14.4pt;mso-wrap-distance-top:0;mso-wrap-distance-right:14.4pt;mso-wrap-distance-bottom:0;mso-position-horizontal:right;mso-position-horizontal-relative:margin;mso-position-vertical:absolute;mso-position-vertical-relative:margin;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" filled="f" stroked="f" strokeweight=".5pt">
                    <v:textbox style="mso-fit-shape-to-text:t" inset="0,0,0,0">
                      <w:txbxContent>
                        <w:p w14:paraId="580020F2" w14:textId="77777777" w:rsidR="005859BF" w:rsidRPr="00BD3B59" w:rsidRDefault="00000000" w:rsidP="00753799">
                          <w:pPr>
                            <w:pStyle w:val="NoSpacing"/>
                            <w:spacing w:before="40" w:after="560" w:line="216" w:lineRule="auto"/>
                            <w:rPr>
                              <w:rFonts w:ascii="Arial" w:hAnsi="Arial" w:cs="Arial"/>
                              <w:color w:val="156082" w:themeColor="accent1"/>
                              <w:sz w:val="72"/>
                              <w:szCs w:val="72"/>
                              <w:lang w:val="en-GB"/>
                            </w:rPr>
                          </w:pPr>
                          <w:sdt>
                            <w:sdtPr>
                              <w:rPr>
                                <w:rFonts w:ascii="Arial" w:hAnsi="Arial" w:cs="Arial"/>
                                <w:color w:val="156082" w:themeColor="accent1"/>
                                <w:sz w:val="72"/>
                                <w:szCs w:val="72"/>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859BF" w:rsidRPr="00BD3B59">
                                <w:rPr>
                                  <w:rFonts w:ascii="Arial" w:hAnsi="Arial" w:cs="Arial"/>
                                  <w:color w:val="156082" w:themeColor="accent1"/>
                                  <w:sz w:val="72"/>
                                  <w:szCs w:val="72"/>
                                  <w:lang w:val="en-GB"/>
                                </w:rPr>
                                <w:t>Strategic CFO Challenge: Financial Performance Evaluation, Restructuring Strategy and Investment Appraisal of Tesla Inc.</w:t>
                              </w:r>
                            </w:sdtContent>
                          </w:sdt>
                        </w:p>
                      </w:txbxContent>
                    </v:textbox>
                    <w10:wrap type="square" anchorx="margin" anchory="margin"/>
                  </v:shape>
                </w:pict>
              </mc:Fallback>
            </mc:AlternateContent>
          </w:r>
          <w:r w:rsidRPr="00BD3B59">
            <w:rPr>
              <w:rFonts w:ascii="Arial" w:hAnsi="Arial" w:cs="Arial"/>
              <w:b/>
              <w:bCs/>
            </w:rPr>
            <w:br w:type="page"/>
          </w:r>
        </w:p>
      </w:sdtContent>
    </w:sdt>
    <w:sdt>
      <w:sdtPr>
        <w:rPr>
          <w:rFonts w:asciiTheme="minorHAnsi" w:eastAsiaTheme="minorHAnsi" w:hAnsiTheme="minorHAnsi" w:cstheme="minorBidi"/>
          <w:color w:val="auto"/>
          <w:kern w:val="2"/>
          <w:sz w:val="24"/>
          <w:szCs w:val="24"/>
          <w14:ligatures w14:val="standardContextual"/>
        </w:rPr>
        <w:id w:val="144483428"/>
        <w:docPartObj>
          <w:docPartGallery w:val="Table of Contents"/>
          <w:docPartUnique/>
        </w:docPartObj>
      </w:sdtPr>
      <w:sdtEndPr>
        <w:rPr>
          <w:b/>
          <w:bCs/>
        </w:rPr>
      </w:sdtEndPr>
      <w:sdtContent>
        <w:p w14:paraId="01F8BE21" w14:textId="77777777" w:rsidR="00416063" w:rsidRPr="00BD3B59" w:rsidRDefault="00416063">
          <w:pPr>
            <w:pStyle w:val="TOCHeading"/>
            <w:rPr>
              <w:rFonts w:ascii="Arial" w:hAnsi="Arial" w:cs="Arial"/>
            </w:rPr>
          </w:pPr>
          <w:r w:rsidRPr="00BD3B59">
            <w:rPr>
              <w:rFonts w:ascii="Arial" w:hAnsi="Arial" w:cs="Arial"/>
            </w:rPr>
            <w:t>Contents</w:t>
          </w:r>
        </w:p>
        <w:p w14:paraId="3EA2B581" w14:textId="3A35FEE2" w:rsidR="00416063" w:rsidRPr="00BD3B59" w:rsidRDefault="00416063">
          <w:pPr>
            <w:pStyle w:val="TOC1"/>
            <w:tabs>
              <w:tab w:val="right" w:leader="dot" w:pos="9350"/>
            </w:tabs>
            <w:rPr>
              <w:rFonts w:ascii="Arial" w:hAnsi="Arial" w:cs="Arial"/>
            </w:rPr>
          </w:pPr>
          <w:r w:rsidRPr="00BD3B59">
            <w:rPr>
              <w:rFonts w:ascii="Arial" w:hAnsi="Arial" w:cs="Arial"/>
            </w:rPr>
            <w:fldChar w:fldCharType="begin"/>
          </w:r>
          <w:r w:rsidRPr="00BD3B59">
            <w:rPr>
              <w:rFonts w:ascii="Arial" w:hAnsi="Arial" w:cs="Arial"/>
            </w:rPr>
            <w:instrText xml:space="preserve"> TOC \o "1-3" \h \z \u </w:instrText>
          </w:r>
          <w:r w:rsidRPr="00BD3B59">
            <w:rPr>
              <w:rFonts w:ascii="Arial" w:hAnsi="Arial" w:cs="Arial"/>
            </w:rPr>
            <w:fldChar w:fldCharType="separate"/>
          </w:r>
          <w:hyperlink w:anchor="_Toc227799614" w:history="1">
            <w:r w:rsidRPr="00BD3B59">
              <w:rPr>
                <w:rStyle w:val="Hyperlink"/>
                <w:rFonts w:ascii="Arial" w:hAnsi="Arial" w:cs="Arial"/>
              </w:rPr>
              <w:t>1.0 Introduction</w:t>
            </w:r>
            <w:r w:rsidRPr="00BD3B59">
              <w:rPr>
                <w:rFonts w:ascii="Arial" w:hAnsi="Arial" w:cs="Arial"/>
                <w:webHidden/>
              </w:rPr>
              <w:tab/>
            </w:r>
            <w:r w:rsidR="009E234D">
              <w:rPr>
                <w:rFonts w:ascii="Arial" w:hAnsi="Arial" w:cs="Arial"/>
                <w:webHidden/>
              </w:rPr>
              <w:t>6</w:t>
            </w:r>
          </w:hyperlink>
        </w:p>
        <w:p w14:paraId="0319F494" w14:textId="0E075C7D" w:rsidR="00416063" w:rsidRPr="00BD3B59" w:rsidRDefault="00416063">
          <w:pPr>
            <w:pStyle w:val="TOC1"/>
            <w:tabs>
              <w:tab w:val="right" w:leader="dot" w:pos="9350"/>
            </w:tabs>
            <w:rPr>
              <w:rFonts w:ascii="Arial" w:hAnsi="Arial" w:cs="Arial"/>
            </w:rPr>
          </w:pPr>
          <w:hyperlink w:anchor="_Toc227799615" w:history="1">
            <w:r w:rsidRPr="00BD3B59">
              <w:rPr>
                <w:rStyle w:val="Hyperlink"/>
                <w:rFonts w:ascii="Arial" w:hAnsi="Arial" w:cs="Arial"/>
              </w:rPr>
              <w:t>2.0 Financial Health Check</w:t>
            </w:r>
            <w:r w:rsidRPr="00BD3B59">
              <w:rPr>
                <w:rFonts w:ascii="Arial" w:hAnsi="Arial" w:cs="Arial"/>
                <w:webHidden/>
              </w:rPr>
              <w:tab/>
            </w:r>
            <w:r w:rsidR="009E234D">
              <w:rPr>
                <w:rFonts w:ascii="Arial" w:hAnsi="Arial" w:cs="Arial"/>
                <w:webHidden/>
              </w:rPr>
              <w:t>6</w:t>
            </w:r>
          </w:hyperlink>
        </w:p>
        <w:p w14:paraId="15C88CAA" w14:textId="6993DDA7" w:rsidR="00416063" w:rsidRPr="00BD3B59" w:rsidRDefault="00416063">
          <w:pPr>
            <w:pStyle w:val="TOC2"/>
            <w:tabs>
              <w:tab w:val="right" w:leader="dot" w:pos="9350"/>
            </w:tabs>
            <w:rPr>
              <w:rFonts w:ascii="Arial" w:hAnsi="Arial" w:cs="Arial"/>
            </w:rPr>
          </w:pPr>
          <w:hyperlink w:anchor="_Toc227799616" w:history="1">
            <w:r w:rsidRPr="00BD3B59">
              <w:rPr>
                <w:rStyle w:val="Hyperlink"/>
                <w:rFonts w:ascii="Arial" w:hAnsi="Arial" w:cs="Arial"/>
              </w:rPr>
              <w:t>2.1 Profitability Analysis</w:t>
            </w:r>
            <w:r w:rsidRPr="00BD3B59">
              <w:rPr>
                <w:rFonts w:ascii="Arial" w:hAnsi="Arial" w:cs="Arial"/>
                <w:webHidden/>
              </w:rPr>
              <w:tab/>
            </w:r>
            <w:r w:rsidR="009E234D">
              <w:rPr>
                <w:rFonts w:ascii="Arial" w:hAnsi="Arial" w:cs="Arial"/>
                <w:webHidden/>
              </w:rPr>
              <w:t>6</w:t>
            </w:r>
          </w:hyperlink>
        </w:p>
        <w:p w14:paraId="49C90065" w14:textId="7BA2CAB7" w:rsidR="00416063" w:rsidRPr="00BD3B59" w:rsidRDefault="00416063">
          <w:pPr>
            <w:pStyle w:val="TOC2"/>
            <w:tabs>
              <w:tab w:val="right" w:leader="dot" w:pos="9350"/>
            </w:tabs>
            <w:rPr>
              <w:rFonts w:ascii="Arial" w:hAnsi="Arial" w:cs="Arial"/>
            </w:rPr>
          </w:pPr>
          <w:hyperlink w:anchor="_Toc227799617" w:history="1">
            <w:r w:rsidRPr="00BD3B59">
              <w:rPr>
                <w:rStyle w:val="Hyperlink"/>
                <w:rFonts w:ascii="Arial" w:hAnsi="Arial" w:cs="Arial"/>
              </w:rPr>
              <w:t>2.2 Liquidity Analysis</w:t>
            </w:r>
            <w:r w:rsidRPr="00BD3B59">
              <w:rPr>
                <w:rFonts w:ascii="Arial" w:hAnsi="Arial" w:cs="Arial"/>
                <w:webHidden/>
              </w:rPr>
              <w:tab/>
            </w:r>
            <w:r w:rsidR="009E234D">
              <w:rPr>
                <w:rFonts w:ascii="Arial" w:hAnsi="Arial" w:cs="Arial"/>
                <w:webHidden/>
              </w:rPr>
              <w:t>8</w:t>
            </w:r>
          </w:hyperlink>
        </w:p>
        <w:p w14:paraId="3F20FABC" w14:textId="6D13AC76" w:rsidR="00416063" w:rsidRPr="00BD3B59" w:rsidRDefault="00416063">
          <w:pPr>
            <w:pStyle w:val="TOC2"/>
            <w:tabs>
              <w:tab w:val="right" w:leader="dot" w:pos="9350"/>
            </w:tabs>
            <w:rPr>
              <w:rFonts w:ascii="Arial" w:hAnsi="Arial" w:cs="Arial"/>
            </w:rPr>
          </w:pPr>
          <w:hyperlink w:anchor="_Toc227799618" w:history="1">
            <w:r w:rsidRPr="00BD3B59">
              <w:rPr>
                <w:rStyle w:val="Hyperlink"/>
                <w:rFonts w:ascii="Arial" w:hAnsi="Arial" w:cs="Arial"/>
              </w:rPr>
              <w:t>2.3 Efficiency Analysis</w:t>
            </w:r>
            <w:r w:rsidRPr="00BD3B59">
              <w:rPr>
                <w:rFonts w:ascii="Arial" w:hAnsi="Arial" w:cs="Arial"/>
                <w:webHidden/>
              </w:rPr>
              <w:tab/>
            </w:r>
            <w:r w:rsidR="009E234D">
              <w:rPr>
                <w:rFonts w:ascii="Arial" w:hAnsi="Arial" w:cs="Arial"/>
                <w:webHidden/>
              </w:rPr>
              <w:t>9</w:t>
            </w:r>
          </w:hyperlink>
        </w:p>
        <w:p w14:paraId="6F3FC22E" w14:textId="7C927D6D" w:rsidR="00416063" w:rsidRPr="00BD3B59" w:rsidRDefault="00416063">
          <w:pPr>
            <w:pStyle w:val="TOC2"/>
            <w:tabs>
              <w:tab w:val="right" w:leader="dot" w:pos="9350"/>
            </w:tabs>
            <w:rPr>
              <w:rFonts w:ascii="Arial" w:hAnsi="Arial" w:cs="Arial"/>
            </w:rPr>
          </w:pPr>
          <w:hyperlink w:anchor="_Toc227799619" w:history="1">
            <w:r w:rsidRPr="00BD3B59">
              <w:rPr>
                <w:rStyle w:val="Hyperlink"/>
                <w:rFonts w:ascii="Arial" w:hAnsi="Arial" w:cs="Arial"/>
              </w:rPr>
              <w:t>2.4 Gearing Analysis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_Toc227799619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9E234D">
              <w:rPr>
                <w:rFonts w:ascii="Arial" w:hAnsi="Arial" w:cs="Arial"/>
                <w:webHidden/>
              </w:rPr>
              <w:t>1</w:t>
            </w:r>
            <w:r w:rsidRPr="00BD3B59">
              <w:rPr>
                <w:rFonts w:ascii="Arial" w:hAnsi="Arial" w:cs="Arial"/>
                <w:webHidden/>
              </w:rPr>
              <w:fldChar w:fldCharType="end"/>
            </w:r>
          </w:hyperlink>
        </w:p>
        <w:p w14:paraId="7C094E47" w14:textId="11AEA060" w:rsidR="00416063" w:rsidRPr="00BD3B59" w:rsidRDefault="00416063">
          <w:pPr>
            <w:pStyle w:val="TOC2"/>
            <w:tabs>
              <w:tab w:val="right" w:leader="dot" w:pos="9350"/>
            </w:tabs>
            <w:rPr>
              <w:rFonts w:ascii="Arial" w:hAnsi="Arial" w:cs="Arial"/>
            </w:rPr>
          </w:pPr>
          <w:hyperlink w:anchor="_Toc227799620" w:history="1">
            <w:r w:rsidRPr="00BD3B59">
              <w:rPr>
                <w:rStyle w:val="Hyperlink"/>
                <w:rFonts w:ascii="Arial" w:hAnsi="Arial" w:cs="Arial"/>
              </w:rPr>
              <w:t>2.5 Investment and Market Ratios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_Toc227799620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9E234D">
              <w:rPr>
                <w:rFonts w:ascii="Arial" w:hAnsi="Arial" w:cs="Arial"/>
                <w:webHidden/>
              </w:rPr>
              <w:t>3</w:t>
            </w:r>
            <w:r w:rsidRPr="00BD3B59">
              <w:rPr>
                <w:rFonts w:ascii="Arial" w:hAnsi="Arial" w:cs="Arial"/>
                <w:webHidden/>
              </w:rPr>
              <w:fldChar w:fldCharType="end"/>
            </w:r>
          </w:hyperlink>
        </w:p>
        <w:p w14:paraId="0C0CE578" w14:textId="26A7B56C" w:rsidR="00416063" w:rsidRPr="00BD3B59" w:rsidRDefault="00416063">
          <w:pPr>
            <w:pStyle w:val="TOC2"/>
            <w:tabs>
              <w:tab w:val="right" w:leader="dot" w:pos="9350"/>
            </w:tabs>
            <w:rPr>
              <w:rFonts w:ascii="Arial" w:hAnsi="Arial" w:cs="Arial"/>
            </w:rPr>
          </w:pPr>
          <w:hyperlink w:anchor="_Toc227799621" w:history="1">
            <w:r w:rsidRPr="00BD3B59">
              <w:rPr>
                <w:rStyle w:val="Hyperlink"/>
                <w:rFonts w:ascii="Arial" w:hAnsi="Arial" w:cs="Arial"/>
              </w:rPr>
              <w:t>2.6 Cash Flow Analysis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_Toc227799621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9E234D">
              <w:rPr>
                <w:rFonts w:ascii="Arial" w:hAnsi="Arial" w:cs="Arial"/>
                <w:webHidden/>
              </w:rPr>
              <w:t>3</w:t>
            </w:r>
            <w:r w:rsidRPr="00BD3B59">
              <w:rPr>
                <w:rFonts w:ascii="Arial" w:hAnsi="Arial" w:cs="Arial"/>
                <w:webHidden/>
              </w:rPr>
              <w:fldChar w:fldCharType="end"/>
            </w:r>
          </w:hyperlink>
        </w:p>
        <w:p w14:paraId="65CBE0D1" w14:textId="766BAD29" w:rsidR="00416063" w:rsidRPr="00BD3B59" w:rsidRDefault="00416063">
          <w:pPr>
            <w:pStyle w:val="TOC2"/>
            <w:tabs>
              <w:tab w:val="right" w:leader="dot" w:pos="9350"/>
            </w:tabs>
            <w:rPr>
              <w:rFonts w:ascii="Arial" w:hAnsi="Arial" w:cs="Arial"/>
            </w:rPr>
          </w:pPr>
          <w:hyperlink w:anchor="_Toc227799622" w:history="1">
            <w:r w:rsidRPr="00BD3B59">
              <w:rPr>
                <w:rStyle w:val="Hyperlink"/>
                <w:rFonts w:ascii="Arial" w:hAnsi="Arial" w:cs="Arial"/>
              </w:rPr>
              <w:t>2.7 Overall Trends, Strengths, Weaknesses and Threats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_Toc227799622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9E234D">
              <w:rPr>
                <w:rFonts w:ascii="Arial" w:hAnsi="Arial" w:cs="Arial"/>
                <w:webHidden/>
              </w:rPr>
              <w:t>4</w:t>
            </w:r>
            <w:r w:rsidRPr="00BD3B59">
              <w:rPr>
                <w:rFonts w:ascii="Arial" w:hAnsi="Arial" w:cs="Arial"/>
                <w:webHidden/>
              </w:rPr>
              <w:fldChar w:fldCharType="end"/>
            </w:r>
          </w:hyperlink>
        </w:p>
        <w:p w14:paraId="597CA2EB" w14:textId="29975E62" w:rsidR="00416063" w:rsidRPr="00BD3B59" w:rsidRDefault="00416063">
          <w:pPr>
            <w:pStyle w:val="TOC1"/>
            <w:tabs>
              <w:tab w:val="right" w:leader="dot" w:pos="9350"/>
            </w:tabs>
            <w:rPr>
              <w:rFonts w:ascii="Arial" w:hAnsi="Arial" w:cs="Arial"/>
            </w:rPr>
          </w:pPr>
          <w:hyperlink w:anchor="_Toc227799623" w:history="1">
            <w:r w:rsidRPr="00BD3B59">
              <w:rPr>
                <w:rStyle w:val="Hyperlink"/>
                <w:rFonts w:ascii="Arial" w:hAnsi="Arial" w:cs="Arial"/>
              </w:rPr>
              <w:t>3.0 Working Capital Management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_Toc227799623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3759B3">
              <w:rPr>
                <w:rFonts w:ascii="Arial" w:hAnsi="Arial" w:cs="Arial"/>
                <w:webHidden/>
              </w:rPr>
              <w:t>6</w:t>
            </w:r>
            <w:r w:rsidRPr="00BD3B59">
              <w:rPr>
                <w:rFonts w:ascii="Arial" w:hAnsi="Arial" w:cs="Arial"/>
                <w:webHidden/>
              </w:rPr>
              <w:fldChar w:fldCharType="end"/>
            </w:r>
          </w:hyperlink>
        </w:p>
        <w:p w14:paraId="1D82E7EA" w14:textId="117778F9" w:rsidR="00416063" w:rsidRPr="00BD3B59" w:rsidRDefault="00416063">
          <w:pPr>
            <w:pStyle w:val="TOC2"/>
            <w:tabs>
              <w:tab w:val="right" w:leader="dot" w:pos="9350"/>
            </w:tabs>
            <w:rPr>
              <w:rFonts w:ascii="Arial" w:hAnsi="Arial" w:cs="Arial"/>
            </w:rPr>
          </w:pPr>
          <w:hyperlink w:anchor="_Toc227799624" w:history="1">
            <w:r w:rsidRPr="00BD3B59">
              <w:rPr>
                <w:rStyle w:val="Hyperlink"/>
                <w:rFonts w:ascii="Arial" w:hAnsi="Arial" w:cs="Arial"/>
              </w:rPr>
              <w:t>3.1 Cash Operating Cycle Assessment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_Toc227799624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3759B3">
              <w:rPr>
                <w:rFonts w:ascii="Arial" w:hAnsi="Arial" w:cs="Arial"/>
                <w:webHidden/>
              </w:rPr>
              <w:t>6</w:t>
            </w:r>
            <w:r w:rsidRPr="00BD3B59">
              <w:rPr>
                <w:rFonts w:ascii="Arial" w:hAnsi="Arial" w:cs="Arial"/>
                <w:webHidden/>
              </w:rPr>
              <w:fldChar w:fldCharType="end"/>
            </w:r>
          </w:hyperlink>
        </w:p>
        <w:p w14:paraId="4207CDFB" w14:textId="5AC5B669" w:rsidR="00416063" w:rsidRPr="00BD3B59" w:rsidRDefault="00416063">
          <w:pPr>
            <w:pStyle w:val="TOC2"/>
            <w:tabs>
              <w:tab w:val="right" w:leader="dot" w:pos="9350"/>
            </w:tabs>
            <w:rPr>
              <w:rFonts w:ascii="Arial" w:hAnsi="Arial" w:cs="Arial"/>
            </w:rPr>
          </w:pPr>
          <w:hyperlink w:anchor="_Toc227799625" w:history="1">
            <w:r w:rsidRPr="00BD3B59">
              <w:rPr>
                <w:rStyle w:val="Hyperlink"/>
                <w:rFonts w:ascii="Arial" w:hAnsi="Arial" w:cs="Arial"/>
              </w:rPr>
              <w:t>3.2 Inventory Control Improvement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_Toc227799625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3759B3">
              <w:rPr>
                <w:rFonts w:ascii="Arial" w:hAnsi="Arial" w:cs="Arial"/>
                <w:webHidden/>
              </w:rPr>
              <w:t>7</w:t>
            </w:r>
            <w:r w:rsidRPr="00BD3B59">
              <w:rPr>
                <w:rFonts w:ascii="Arial" w:hAnsi="Arial" w:cs="Arial"/>
                <w:webHidden/>
              </w:rPr>
              <w:fldChar w:fldCharType="end"/>
            </w:r>
          </w:hyperlink>
        </w:p>
        <w:p w14:paraId="4075E515" w14:textId="39B41790" w:rsidR="00416063" w:rsidRPr="00BD3B59" w:rsidRDefault="00416063">
          <w:pPr>
            <w:pStyle w:val="TOC2"/>
            <w:tabs>
              <w:tab w:val="right" w:leader="dot" w:pos="9350"/>
            </w:tabs>
            <w:rPr>
              <w:rFonts w:ascii="Arial" w:hAnsi="Arial" w:cs="Arial"/>
            </w:rPr>
          </w:pPr>
          <w:hyperlink w:anchor="_Toc227799626" w:history="1">
            <w:r w:rsidRPr="00BD3B59">
              <w:rPr>
                <w:rStyle w:val="Hyperlink"/>
                <w:rFonts w:ascii="Arial" w:hAnsi="Arial" w:cs="Arial"/>
              </w:rPr>
              <w:t>3.3 Faster Debt Collection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_Toc227799626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3759B3">
              <w:rPr>
                <w:rFonts w:ascii="Arial" w:hAnsi="Arial" w:cs="Arial"/>
                <w:webHidden/>
              </w:rPr>
              <w:t>8</w:t>
            </w:r>
            <w:r w:rsidRPr="00BD3B59">
              <w:rPr>
                <w:rFonts w:ascii="Arial" w:hAnsi="Arial" w:cs="Arial"/>
                <w:webHidden/>
              </w:rPr>
              <w:fldChar w:fldCharType="end"/>
            </w:r>
          </w:hyperlink>
        </w:p>
        <w:p w14:paraId="05E23ABD" w14:textId="603DB93B" w:rsidR="00416063" w:rsidRPr="00BD3B59" w:rsidRDefault="00416063">
          <w:pPr>
            <w:pStyle w:val="TOC2"/>
            <w:tabs>
              <w:tab w:val="right" w:leader="dot" w:pos="9350"/>
            </w:tabs>
            <w:rPr>
              <w:rFonts w:ascii="Arial" w:hAnsi="Arial" w:cs="Arial"/>
            </w:rPr>
          </w:pPr>
          <w:hyperlink w:anchor="_Toc227799627" w:history="1">
            <w:r w:rsidRPr="00BD3B59">
              <w:rPr>
                <w:rStyle w:val="Hyperlink"/>
                <w:rFonts w:ascii="Arial" w:hAnsi="Arial" w:cs="Arial"/>
              </w:rPr>
              <w:t>3.4 Supplier Credit Improvement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_Toc227799627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2A388F">
              <w:rPr>
                <w:rFonts w:ascii="Arial" w:hAnsi="Arial" w:cs="Arial"/>
                <w:webHidden/>
              </w:rPr>
              <w:t>9</w:t>
            </w:r>
            <w:r w:rsidRPr="00BD3B59">
              <w:rPr>
                <w:rFonts w:ascii="Arial" w:hAnsi="Arial" w:cs="Arial"/>
                <w:webHidden/>
              </w:rPr>
              <w:fldChar w:fldCharType="end"/>
            </w:r>
          </w:hyperlink>
        </w:p>
        <w:p w14:paraId="52F40B8C" w14:textId="6AC9CDCE" w:rsidR="00416063" w:rsidRPr="00BD3B59" w:rsidRDefault="00416063">
          <w:pPr>
            <w:pStyle w:val="TOC2"/>
            <w:tabs>
              <w:tab w:val="right" w:leader="dot" w:pos="9350"/>
            </w:tabs>
            <w:rPr>
              <w:rFonts w:ascii="Arial" w:hAnsi="Arial" w:cs="Arial"/>
            </w:rPr>
          </w:pPr>
          <w:hyperlink w:anchor="_Toc227799628" w:history="1">
            <w:r w:rsidRPr="00BD3B59">
              <w:rPr>
                <w:rStyle w:val="Hyperlink"/>
                <w:rFonts w:ascii="Arial" w:hAnsi="Arial" w:cs="Arial"/>
              </w:rPr>
              <w:t>3.5 Cash Management Improvement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_Toc227799628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2A388F">
              <w:rPr>
                <w:rFonts w:ascii="Arial" w:hAnsi="Arial" w:cs="Arial"/>
                <w:webHidden/>
              </w:rPr>
              <w:t>9</w:t>
            </w:r>
            <w:r w:rsidRPr="00BD3B59">
              <w:rPr>
                <w:rFonts w:ascii="Arial" w:hAnsi="Arial" w:cs="Arial"/>
                <w:webHidden/>
              </w:rPr>
              <w:fldChar w:fldCharType="end"/>
            </w:r>
          </w:hyperlink>
        </w:p>
        <w:p w14:paraId="776BDE1C" w14:textId="7EA4C71C" w:rsidR="00416063" w:rsidRPr="00BD3B59" w:rsidRDefault="00416063">
          <w:pPr>
            <w:pStyle w:val="TOC2"/>
            <w:tabs>
              <w:tab w:val="right" w:leader="dot" w:pos="9350"/>
            </w:tabs>
            <w:rPr>
              <w:rFonts w:ascii="Arial" w:hAnsi="Arial" w:cs="Arial"/>
            </w:rPr>
          </w:pPr>
          <w:hyperlink w:anchor="_Toc227799629" w:history="1">
            <w:r w:rsidRPr="00BD3B59">
              <w:rPr>
                <w:rStyle w:val="Hyperlink"/>
                <w:rFonts w:ascii="Arial" w:hAnsi="Arial" w:cs="Arial"/>
              </w:rPr>
              <w:t>3.6 Short-Term vs Long-Term Financing Options</w:t>
            </w:r>
            <w:r w:rsidRPr="00BD3B59">
              <w:rPr>
                <w:rFonts w:ascii="Arial" w:hAnsi="Arial" w:cs="Arial"/>
                <w:webHidden/>
              </w:rPr>
              <w:tab/>
            </w:r>
            <w:r w:rsidR="002A388F">
              <w:rPr>
                <w:rFonts w:ascii="Arial" w:hAnsi="Arial" w:cs="Arial"/>
                <w:webHidden/>
              </w:rPr>
              <w:t>20</w:t>
            </w:r>
          </w:hyperlink>
        </w:p>
        <w:p w14:paraId="06916A4C" w14:textId="0EF487E6" w:rsidR="00416063" w:rsidRPr="00BD3B59" w:rsidRDefault="00416063">
          <w:pPr>
            <w:pStyle w:val="TOC1"/>
            <w:tabs>
              <w:tab w:val="right" w:leader="dot" w:pos="9350"/>
            </w:tabs>
            <w:rPr>
              <w:rFonts w:ascii="Arial" w:hAnsi="Arial" w:cs="Arial"/>
            </w:rPr>
          </w:pPr>
          <w:hyperlink w:anchor="_Toc227799631" w:history="1">
            <w:r w:rsidRPr="00BD3B59">
              <w:rPr>
                <w:rStyle w:val="Hyperlink"/>
                <w:rFonts w:ascii="Arial" w:hAnsi="Arial" w:cs="Arial"/>
              </w:rPr>
              <w:t>4.0 Strategic Financial Restructuring Plan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_Toc227799631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2A388F">
              <w:rPr>
                <w:rFonts w:ascii="Arial" w:hAnsi="Arial" w:cs="Arial"/>
                <w:webHidden/>
              </w:rPr>
              <w:t>1</w:t>
            </w:r>
            <w:r w:rsidRPr="00BD3B59">
              <w:rPr>
                <w:rFonts w:ascii="Arial" w:hAnsi="Arial" w:cs="Arial"/>
                <w:webHidden/>
              </w:rPr>
              <w:fldChar w:fldCharType="end"/>
            </w:r>
          </w:hyperlink>
        </w:p>
        <w:p w14:paraId="13A7A228" w14:textId="7AF0BA6D" w:rsidR="00416063" w:rsidRPr="00BD3B59" w:rsidRDefault="00416063">
          <w:pPr>
            <w:pStyle w:val="TOC2"/>
            <w:tabs>
              <w:tab w:val="right" w:leader="dot" w:pos="9350"/>
            </w:tabs>
            <w:rPr>
              <w:rFonts w:ascii="Arial" w:hAnsi="Arial" w:cs="Arial"/>
            </w:rPr>
          </w:pPr>
          <w:hyperlink w:anchor="_Toc227799632" w:history="1">
            <w:r w:rsidRPr="00BD3B59">
              <w:rPr>
                <w:rStyle w:val="Hyperlink"/>
                <w:rFonts w:ascii="Arial" w:hAnsi="Arial" w:cs="Arial"/>
              </w:rPr>
              <w:t>4.1 Strategic Rationale for Restructuring</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_Toc227799632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2A388F">
              <w:rPr>
                <w:rFonts w:ascii="Arial" w:hAnsi="Arial" w:cs="Arial"/>
                <w:webHidden/>
              </w:rPr>
              <w:t>2</w:t>
            </w:r>
            <w:r w:rsidRPr="00BD3B59">
              <w:rPr>
                <w:rFonts w:ascii="Arial" w:hAnsi="Arial" w:cs="Arial"/>
                <w:webHidden/>
              </w:rPr>
              <w:fldChar w:fldCharType="end"/>
            </w:r>
          </w:hyperlink>
        </w:p>
        <w:p w14:paraId="21049164" w14:textId="570A4688" w:rsidR="00416063" w:rsidRPr="00BD3B59" w:rsidRDefault="00416063">
          <w:pPr>
            <w:pStyle w:val="TOC2"/>
            <w:tabs>
              <w:tab w:val="right" w:leader="dot" w:pos="9350"/>
            </w:tabs>
            <w:rPr>
              <w:rFonts w:ascii="Arial" w:hAnsi="Arial" w:cs="Arial"/>
            </w:rPr>
          </w:pPr>
          <w:hyperlink w:anchor="_Toc227799633" w:history="1">
            <w:r w:rsidRPr="00BD3B59">
              <w:rPr>
                <w:rStyle w:val="Hyperlink"/>
                <w:rFonts w:ascii="Arial" w:hAnsi="Arial" w:cs="Arial"/>
              </w:rPr>
              <w:t>4.2 Portfolio Rationalisation and Selective Divestiture</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_Toc227799633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2A388F">
              <w:rPr>
                <w:rFonts w:ascii="Arial" w:hAnsi="Arial" w:cs="Arial"/>
                <w:webHidden/>
              </w:rPr>
              <w:t>2</w:t>
            </w:r>
            <w:r w:rsidRPr="00BD3B59">
              <w:rPr>
                <w:rFonts w:ascii="Arial" w:hAnsi="Arial" w:cs="Arial"/>
                <w:webHidden/>
              </w:rPr>
              <w:fldChar w:fldCharType="end"/>
            </w:r>
          </w:hyperlink>
        </w:p>
        <w:p w14:paraId="474A671B" w14:textId="0ACC5FE8" w:rsidR="00416063" w:rsidRPr="00BD3B59" w:rsidRDefault="00416063">
          <w:pPr>
            <w:pStyle w:val="TOC2"/>
            <w:tabs>
              <w:tab w:val="right" w:leader="dot" w:pos="9350"/>
            </w:tabs>
            <w:rPr>
              <w:rFonts w:ascii="Arial" w:hAnsi="Arial" w:cs="Arial"/>
            </w:rPr>
          </w:pPr>
          <w:hyperlink w:anchor="_Toc227799634" w:history="1">
            <w:r w:rsidRPr="00BD3B59">
              <w:rPr>
                <w:rStyle w:val="Hyperlink"/>
                <w:rFonts w:ascii="Arial" w:hAnsi="Arial" w:cs="Arial"/>
              </w:rPr>
              <w:t>4.3 Strategic Alliances Instead of Large-Scale Merger Activity</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_Toc227799634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2A388F">
              <w:rPr>
                <w:rFonts w:ascii="Arial" w:hAnsi="Arial" w:cs="Arial"/>
                <w:webHidden/>
              </w:rPr>
              <w:t>3</w:t>
            </w:r>
            <w:r w:rsidRPr="00BD3B59">
              <w:rPr>
                <w:rFonts w:ascii="Arial" w:hAnsi="Arial" w:cs="Arial"/>
                <w:webHidden/>
              </w:rPr>
              <w:fldChar w:fldCharType="end"/>
            </w:r>
          </w:hyperlink>
        </w:p>
        <w:p w14:paraId="0C625ABB" w14:textId="5413D046" w:rsidR="00416063" w:rsidRPr="00BD3B59" w:rsidRDefault="00416063">
          <w:pPr>
            <w:pStyle w:val="TOC2"/>
            <w:tabs>
              <w:tab w:val="right" w:leader="dot" w:pos="9350"/>
            </w:tabs>
            <w:rPr>
              <w:rFonts w:ascii="Arial" w:hAnsi="Arial" w:cs="Arial"/>
            </w:rPr>
          </w:pPr>
          <w:hyperlink w:anchor="_Toc227799635" w:history="1">
            <w:r w:rsidRPr="00BD3B59">
              <w:rPr>
                <w:rStyle w:val="Hyperlink"/>
                <w:rFonts w:ascii="Arial" w:hAnsi="Arial" w:cs="Arial"/>
              </w:rPr>
              <w:t>4.4 Capital Structure Reform and Debt Optimisation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_Toc227799635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026046">
              <w:rPr>
                <w:rFonts w:ascii="Arial" w:hAnsi="Arial" w:cs="Arial"/>
                <w:webHidden/>
              </w:rPr>
              <w:t>4</w:t>
            </w:r>
            <w:r w:rsidRPr="00BD3B59">
              <w:rPr>
                <w:rFonts w:ascii="Arial" w:hAnsi="Arial" w:cs="Arial"/>
                <w:webHidden/>
              </w:rPr>
              <w:fldChar w:fldCharType="end"/>
            </w:r>
          </w:hyperlink>
        </w:p>
        <w:p w14:paraId="343F608C" w14:textId="400417EF" w:rsidR="00416063" w:rsidRPr="00BD3B59" w:rsidRDefault="00416063">
          <w:pPr>
            <w:pStyle w:val="TOC2"/>
            <w:tabs>
              <w:tab w:val="right" w:leader="dot" w:pos="9350"/>
            </w:tabs>
            <w:rPr>
              <w:rFonts w:ascii="Arial" w:hAnsi="Arial" w:cs="Arial"/>
            </w:rPr>
          </w:pPr>
          <w:hyperlink w:anchor="_Toc227799636" w:history="1">
            <w:r w:rsidRPr="00BD3B59">
              <w:rPr>
                <w:rStyle w:val="Hyperlink"/>
                <w:rFonts w:ascii="Arial" w:hAnsi="Arial" w:cs="Arial"/>
              </w:rPr>
              <w:t>4.5 Cost Restructuring to Restore Margins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_Toc227799636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026046">
              <w:rPr>
                <w:rFonts w:ascii="Arial" w:hAnsi="Arial" w:cs="Arial"/>
                <w:webHidden/>
              </w:rPr>
              <w:t>4</w:t>
            </w:r>
            <w:r w:rsidRPr="00BD3B59">
              <w:rPr>
                <w:rFonts w:ascii="Arial" w:hAnsi="Arial" w:cs="Arial"/>
                <w:webHidden/>
              </w:rPr>
              <w:fldChar w:fldCharType="end"/>
            </w:r>
          </w:hyperlink>
        </w:p>
        <w:p w14:paraId="7E679F91" w14:textId="226B08E0" w:rsidR="00416063" w:rsidRPr="00BD3B59" w:rsidRDefault="00416063">
          <w:pPr>
            <w:pStyle w:val="TOC2"/>
            <w:tabs>
              <w:tab w:val="right" w:leader="dot" w:pos="9350"/>
            </w:tabs>
            <w:rPr>
              <w:rFonts w:ascii="Arial" w:hAnsi="Arial" w:cs="Arial"/>
            </w:rPr>
          </w:pPr>
          <w:hyperlink w:anchor="_Toc227799637" w:history="1">
            <w:r w:rsidRPr="00BD3B59">
              <w:rPr>
                <w:rStyle w:val="Hyperlink"/>
                <w:rFonts w:ascii="Arial" w:hAnsi="Arial" w:cs="Arial"/>
              </w:rPr>
              <w:t>4.6 Taxation, Currency Risk and Inflation Management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_Toc227799637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4257CF">
              <w:rPr>
                <w:rFonts w:ascii="Arial" w:hAnsi="Arial" w:cs="Arial"/>
                <w:webHidden/>
              </w:rPr>
              <w:t>5</w:t>
            </w:r>
            <w:r w:rsidRPr="00BD3B59">
              <w:rPr>
                <w:rFonts w:ascii="Arial" w:hAnsi="Arial" w:cs="Arial"/>
                <w:webHidden/>
              </w:rPr>
              <w:fldChar w:fldCharType="end"/>
            </w:r>
          </w:hyperlink>
        </w:p>
        <w:p w14:paraId="68616D2B" w14:textId="44A44E77" w:rsidR="00416063" w:rsidRPr="00BD3B59" w:rsidRDefault="00416063">
          <w:pPr>
            <w:pStyle w:val="TOC2"/>
            <w:tabs>
              <w:tab w:val="right" w:leader="dot" w:pos="9350"/>
            </w:tabs>
            <w:rPr>
              <w:rFonts w:ascii="Arial" w:hAnsi="Arial" w:cs="Arial"/>
            </w:rPr>
          </w:pPr>
          <w:hyperlink w:anchor="_Toc227799638" w:history="1">
            <w:r w:rsidRPr="00BD3B59">
              <w:rPr>
                <w:rStyle w:val="Hyperlink"/>
                <w:rFonts w:ascii="Arial" w:hAnsi="Arial" w:cs="Arial"/>
              </w:rPr>
              <w:t>4.7 CSR and Ethical Restructuring</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_Toc227799638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9E2954">
              <w:rPr>
                <w:rFonts w:ascii="Arial" w:hAnsi="Arial" w:cs="Arial"/>
                <w:webHidden/>
              </w:rPr>
              <w:t>6</w:t>
            </w:r>
            <w:r w:rsidRPr="00BD3B59">
              <w:rPr>
                <w:rFonts w:ascii="Arial" w:hAnsi="Arial" w:cs="Arial"/>
                <w:webHidden/>
              </w:rPr>
              <w:fldChar w:fldCharType="end"/>
            </w:r>
          </w:hyperlink>
        </w:p>
        <w:p w14:paraId="7CA5EF3F" w14:textId="681F7133" w:rsidR="00416063" w:rsidRPr="00BD3B59" w:rsidRDefault="00416063">
          <w:pPr>
            <w:pStyle w:val="TOC2"/>
            <w:tabs>
              <w:tab w:val="right" w:leader="dot" w:pos="9350"/>
            </w:tabs>
            <w:rPr>
              <w:rFonts w:ascii="Arial" w:hAnsi="Arial" w:cs="Arial"/>
            </w:rPr>
          </w:pPr>
          <w:hyperlink w:anchor="_Toc227799639" w:history="1">
            <w:r w:rsidRPr="00BD3B59">
              <w:rPr>
                <w:rStyle w:val="Hyperlink"/>
                <w:rFonts w:ascii="Arial" w:hAnsi="Arial" w:cs="Arial"/>
              </w:rPr>
              <w:t>4.8 Recommended Turnaround Strategy</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_Toc227799639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9E2954">
              <w:rPr>
                <w:rFonts w:ascii="Arial" w:hAnsi="Arial" w:cs="Arial"/>
                <w:webHidden/>
              </w:rPr>
              <w:t>6</w:t>
            </w:r>
            <w:r w:rsidRPr="00BD3B59">
              <w:rPr>
                <w:rFonts w:ascii="Arial" w:hAnsi="Arial" w:cs="Arial"/>
                <w:webHidden/>
              </w:rPr>
              <w:fldChar w:fldCharType="end"/>
            </w:r>
          </w:hyperlink>
        </w:p>
        <w:p w14:paraId="04D841EC" w14:textId="14D3DB66" w:rsidR="00416063" w:rsidRPr="00BD3B59" w:rsidRDefault="00416063">
          <w:pPr>
            <w:pStyle w:val="TOC1"/>
            <w:tabs>
              <w:tab w:val="right" w:leader="dot" w:pos="9350"/>
            </w:tabs>
            <w:rPr>
              <w:rFonts w:ascii="Arial" w:hAnsi="Arial" w:cs="Arial"/>
            </w:rPr>
          </w:pPr>
          <w:hyperlink w:anchor="_Toc227799640" w:history="1">
            <w:r w:rsidRPr="00BD3B59">
              <w:rPr>
                <w:rStyle w:val="Hyperlink"/>
                <w:rFonts w:ascii="Arial" w:hAnsi="Arial" w:cs="Arial"/>
              </w:rPr>
              <w:t>5.0 Investment Appraisal and Capital Budgeting</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_Toc227799640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400D81">
              <w:rPr>
                <w:rFonts w:ascii="Arial" w:hAnsi="Arial" w:cs="Arial"/>
                <w:webHidden/>
              </w:rPr>
              <w:t>7</w:t>
            </w:r>
            <w:r w:rsidRPr="00BD3B59">
              <w:rPr>
                <w:rFonts w:ascii="Arial" w:hAnsi="Arial" w:cs="Arial"/>
                <w:webHidden/>
              </w:rPr>
              <w:fldChar w:fldCharType="end"/>
            </w:r>
          </w:hyperlink>
        </w:p>
        <w:p w14:paraId="77659BED" w14:textId="4477698B" w:rsidR="00416063" w:rsidRPr="00BD3B59" w:rsidRDefault="00416063">
          <w:pPr>
            <w:pStyle w:val="TOC2"/>
            <w:tabs>
              <w:tab w:val="right" w:leader="dot" w:pos="9350"/>
            </w:tabs>
            <w:rPr>
              <w:rFonts w:ascii="Arial" w:hAnsi="Arial" w:cs="Arial"/>
            </w:rPr>
          </w:pPr>
          <w:hyperlink w:anchor="_Toc227799641" w:history="1">
            <w:r w:rsidRPr="00BD3B59">
              <w:rPr>
                <w:rStyle w:val="Hyperlink"/>
                <w:rFonts w:ascii="Arial" w:hAnsi="Arial" w:cs="Arial"/>
              </w:rPr>
              <w:t>5.1 Project Data</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_Toc227799641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400D81">
              <w:rPr>
                <w:rFonts w:ascii="Arial" w:hAnsi="Arial" w:cs="Arial"/>
                <w:webHidden/>
              </w:rPr>
              <w:t>7</w:t>
            </w:r>
            <w:r w:rsidRPr="00BD3B59">
              <w:rPr>
                <w:rFonts w:ascii="Arial" w:hAnsi="Arial" w:cs="Arial"/>
                <w:webHidden/>
              </w:rPr>
              <w:fldChar w:fldCharType="end"/>
            </w:r>
          </w:hyperlink>
        </w:p>
        <w:p w14:paraId="101BBED9" w14:textId="6CE6C6D0" w:rsidR="00416063" w:rsidRPr="00BD3B59" w:rsidRDefault="00416063">
          <w:pPr>
            <w:pStyle w:val="TOC2"/>
            <w:tabs>
              <w:tab w:val="right" w:leader="dot" w:pos="9350"/>
            </w:tabs>
            <w:rPr>
              <w:rFonts w:ascii="Arial" w:hAnsi="Arial" w:cs="Arial"/>
            </w:rPr>
          </w:pPr>
          <w:hyperlink w:anchor="_Toc227799642" w:history="1">
            <w:r w:rsidRPr="00BD3B59">
              <w:rPr>
                <w:rStyle w:val="Hyperlink"/>
                <w:rFonts w:ascii="Arial" w:hAnsi="Arial" w:cs="Arial"/>
              </w:rPr>
              <w:t>5.2 Payback Period (PBP)</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_Toc227799642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9B2761">
              <w:rPr>
                <w:rFonts w:ascii="Arial" w:hAnsi="Arial" w:cs="Arial"/>
                <w:webHidden/>
              </w:rPr>
              <w:t>8</w:t>
            </w:r>
            <w:r w:rsidRPr="00BD3B59">
              <w:rPr>
                <w:rFonts w:ascii="Arial" w:hAnsi="Arial" w:cs="Arial"/>
                <w:webHidden/>
              </w:rPr>
              <w:fldChar w:fldCharType="end"/>
            </w:r>
          </w:hyperlink>
        </w:p>
        <w:p w14:paraId="1375461A" w14:textId="22A9D4F4" w:rsidR="00416063" w:rsidRPr="00BD3B59" w:rsidRDefault="00416063">
          <w:pPr>
            <w:pStyle w:val="TOC2"/>
            <w:tabs>
              <w:tab w:val="right" w:leader="dot" w:pos="9350"/>
            </w:tabs>
            <w:rPr>
              <w:rFonts w:ascii="Arial" w:hAnsi="Arial" w:cs="Arial"/>
            </w:rPr>
          </w:pPr>
          <w:hyperlink w:anchor="_Toc227799643" w:history="1">
            <w:r w:rsidRPr="00BD3B59">
              <w:rPr>
                <w:rStyle w:val="Hyperlink"/>
                <w:rFonts w:ascii="Arial" w:hAnsi="Arial" w:cs="Arial"/>
              </w:rPr>
              <w:t>5.3 Accounting Rate of Return (ARR)</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_Toc227799643 \h </w:instrText>
            </w:r>
            <w:r w:rsidRPr="00BD3B59">
              <w:rPr>
                <w:rFonts w:ascii="Arial" w:hAnsi="Arial" w:cs="Arial"/>
                <w:webHidden/>
              </w:rPr>
            </w:r>
            <w:r w:rsidRPr="00BD3B59">
              <w:rPr>
                <w:rFonts w:ascii="Arial" w:hAnsi="Arial" w:cs="Arial"/>
                <w:webHidden/>
              </w:rPr>
              <w:fldChar w:fldCharType="separate"/>
            </w:r>
            <w:r w:rsidR="006F09B0">
              <w:rPr>
                <w:rFonts w:ascii="Arial" w:hAnsi="Arial" w:cs="Arial"/>
                <w:webHidden/>
              </w:rPr>
              <w:t>2</w:t>
            </w:r>
            <w:r w:rsidR="009B2761">
              <w:rPr>
                <w:rFonts w:ascii="Arial" w:hAnsi="Arial" w:cs="Arial"/>
                <w:webHidden/>
              </w:rPr>
              <w:t>9</w:t>
            </w:r>
            <w:r w:rsidRPr="00BD3B59">
              <w:rPr>
                <w:rFonts w:ascii="Arial" w:hAnsi="Arial" w:cs="Arial"/>
                <w:webHidden/>
              </w:rPr>
              <w:fldChar w:fldCharType="end"/>
            </w:r>
          </w:hyperlink>
        </w:p>
        <w:p w14:paraId="150F20ED" w14:textId="6B0C5DD0" w:rsidR="00416063" w:rsidRPr="00BD3B59" w:rsidRDefault="00416063">
          <w:pPr>
            <w:pStyle w:val="TOC2"/>
            <w:tabs>
              <w:tab w:val="right" w:leader="dot" w:pos="9350"/>
            </w:tabs>
            <w:rPr>
              <w:rFonts w:ascii="Arial" w:hAnsi="Arial" w:cs="Arial"/>
            </w:rPr>
          </w:pPr>
          <w:hyperlink w:anchor="_Toc227799644" w:history="1">
            <w:r w:rsidRPr="00BD3B59">
              <w:rPr>
                <w:rStyle w:val="Hyperlink"/>
                <w:rFonts w:ascii="Arial" w:hAnsi="Arial" w:cs="Arial"/>
              </w:rPr>
              <w:t>5.4 Net Present Value (NPV)</w:t>
            </w:r>
            <w:r w:rsidRPr="00BD3B59">
              <w:rPr>
                <w:rFonts w:ascii="Arial" w:hAnsi="Arial" w:cs="Arial"/>
                <w:webHidden/>
              </w:rPr>
              <w:tab/>
            </w:r>
            <w:r w:rsidR="002757BD">
              <w:rPr>
                <w:rFonts w:ascii="Arial" w:hAnsi="Arial" w:cs="Arial"/>
                <w:webHidden/>
              </w:rPr>
              <w:t>30</w:t>
            </w:r>
          </w:hyperlink>
        </w:p>
        <w:p w14:paraId="006ED089" w14:textId="131EA7D5" w:rsidR="00416063" w:rsidRPr="00BD3B59" w:rsidRDefault="00416063">
          <w:pPr>
            <w:pStyle w:val="TOC2"/>
            <w:tabs>
              <w:tab w:val="right" w:leader="dot" w:pos="9350"/>
            </w:tabs>
            <w:rPr>
              <w:rFonts w:ascii="Arial" w:hAnsi="Arial" w:cs="Arial"/>
            </w:rPr>
          </w:pPr>
          <w:hyperlink w:anchor="_Toc227799645" w:history="1">
            <w:r w:rsidRPr="00BD3B59">
              <w:rPr>
                <w:rStyle w:val="Hyperlink"/>
                <w:rFonts w:ascii="Arial" w:hAnsi="Arial" w:cs="Arial"/>
              </w:rPr>
              <w:t>5.5 Profitability Index (PI)</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_Toc227799645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31295E">
              <w:rPr>
                <w:rFonts w:ascii="Arial" w:hAnsi="Arial" w:cs="Arial"/>
                <w:webHidden/>
              </w:rPr>
              <w:t>2</w:t>
            </w:r>
            <w:r w:rsidRPr="00BD3B59">
              <w:rPr>
                <w:rFonts w:ascii="Arial" w:hAnsi="Arial" w:cs="Arial"/>
                <w:webHidden/>
              </w:rPr>
              <w:fldChar w:fldCharType="end"/>
            </w:r>
          </w:hyperlink>
        </w:p>
        <w:p w14:paraId="3642C03B" w14:textId="5AFEBC84" w:rsidR="00416063" w:rsidRPr="00BD3B59" w:rsidRDefault="00416063">
          <w:pPr>
            <w:pStyle w:val="TOC2"/>
            <w:tabs>
              <w:tab w:val="right" w:leader="dot" w:pos="9350"/>
            </w:tabs>
            <w:rPr>
              <w:rFonts w:ascii="Arial" w:hAnsi="Arial" w:cs="Arial"/>
            </w:rPr>
          </w:pPr>
          <w:hyperlink w:anchor="_Toc227799646" w:history="1">
            <w:r w:rsidRPr="00BD3B59">
              <w:rPr>
                <w:rStyle w:val="Hyperlink"/>
                <w:rFonts w:ascii="Arial" w:hAnsi="Arial" w:cs="Arial"/>
              </w:rPr>
              <w:t>5.6 Internal Rate of Return (IRR)</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_Toc227799646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31295E">
              <w:rPr>
                <w:rFonts w:ascii="Arial" w:hAnsi="Arial" w:cs="Arial"/>
                <w:webHidden/>
              </w:rPr>
              <w:t>3</w:t>
            </w:r>
            <w:r w:rsidRPr="00BD3B59">
              <w:rPr>
                <w:rFonts w:ascii="Arial" w:hAnsi="Arial" w:cs="Arial"/>
                <w:webHidden/>
              </w:rPr>
              <w:fldChar w:fldCharType="end"/>
            </w:r>
          </w:hyperlink>
        </w:p>
        <w:p w14:paraId="39D57492" w14:textId="7996EF67" w:rsidR="00416063" w:rsidRPr="00BD3B59" w:rsidRDefault="00416063">
          <w:pPr>
            <w:pStyle w:val="TOC2"/>
            <w:tabs>
              <w:tab w:val="right" w:leader="dot" w:pos="9350"/>
            </w:tabs>
            <w:rPr>
              <w:rFonts w:ascii="Arial" w:hAnsi="Arial" w:cs="Arial"/>
            </w:rPr>
          </w:pPr>
          <w:hyperlink w:anchor="_Toc227799647" w:history="1">
            <w:r w:rsidRPr="00BD3B59">
              <w:rPr>
                <w:rStyle w:val="Hyperlink"/>
                <w:rFonts w:ascii="Arial" w:hAnsi="Arial" w:cs="Arial"/>
              </w:rPr>
              <w:t>5.7 Overall Financial Ranking</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_Toc227799647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B859E8">
              <w:rPr>
                <w:rFonts w:ascii="Arial" w:hAnsi="Arial" w:cs="Arial"/>
                <w:webHidden/>
              </w:rPr>
              <w:t>4</w:t>
            </w:r>
            <w:r w:rsidRPr="00BD3B59">
              <w:rPr>
                <w:rFonts w:ascii="Arial" w:hAnsi="Arial" w:cs="Arial"/>
                <w:webHidden/>
              </w:rPr>
              <w:fldChar w:fldCharType="end"/>
            </w:r>
          </w:hyperlink>
        </w:p>
        <w:p w14:paraId="4CE5E1E0" w14:textId="62946EC4" w:rsidR="00416063" w:rsidRPr="00BD3B59" w:rsidRDefault="00416063">
          <w:pPr>
            <w:pStyle w:val="TOC2"/>
            <w:tabs>
              <w:tab w:val="right" w:leader="dot" w:pos="9350"/>
            </w:tabs>
            <w:rPr>
              <w:rFonts w:ascii="Arial" w:hAnsi="Arial" w:cs="Arial"/>
            </w:rPr>
          </w:pPr>
          <w:hyperlink w:anchor="_Toc227799648" w:history="1">
            <w:r w:rsidRPr="00BD3B59">
              <w:rPr>
                <w:rStyle w:val="Hyperlink"/>
                <w:rFonts w:ascii="Arial" w:hAnsi="Arial" w:cs="Arial"/>
              </w:rPr>
              <w:t>5.8 Project Recommendation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_Toc227799648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B859E8">
              <w:rPr>
                <w:rFonts w:ascii="Arial" w:hAnsi="Arial" w:cs="Arial"/>
                <w:webHidden/>
              </w:rPr>
              <w:t>5</w:t>
            </w:r>
            <w:r w:rsidRPr="00BD3B59">
              <w:rPr>
                <w:rFonts w:ascii="Arial" w:hAnsi="Arial" w:cs="Arial"/>
                <w:webHidden/>
              </w:rPr>
              <w:fldChar w:fldCharType="end"/>
            </w:r>
          </w:hyperlink>
        </w:p>
        <w:p w14:paraId="2A172A3D" w14:textId="140A2E37" w:rsidR="00416063" w:rsidRPr="00BD3B59" w:rsidRDefault="00416063">
          <w:pPr>
            <w:pStyle w:val="TOC2"/>
            <w:tabs>
              <w:tab w:val="right" w:leader="dot" w:pos="9350"/>
            </w:tabs>
            <w:rPr>
              <w:rFonts w:ascii="Arial" w:hAnsi="Arial" w:cs="Arial"/>
            </w:rPr>
          </w:pPr>
          <w:hyperlink w:anchor="_Toc227799649" w:history="1">
            <w:r w:rsidRPr="00BD3B59">
              <w:rPr>
                <w:rStyle w:val="Hyperlink"/>
                <w:rFonts w:ascii="Arial" w:hAnsi="Arial" w:cs="Arial"/>
              </w:rPr>
              <w:t>5.9 Non-Financial Risk Considerations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_Toc227799649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126A96">
              <w:rPr>
                <w:rFonts w:ascii="Arial" w:hAnsi="Arial" w:cs="Arial"/>
                <w:webHidden/>
              </w:rPr>
              <w:t>5</w:t>
            </w:r>
            <w:r w:rsidRPr="00BD3B59">
              <w:rPr>
                <w:rFonts w:ascii="Arial" w:hAnsi="Arial" w:cs="Arial"/>
                <w:webHidden/>
              </w:rPr>
              <w:fldChar w:fldCharType="end"/>
            </w:r>
          </w:hyperlink>
        </w:p>
        <w:p w14:paraId="55BC3429" w14:textId="3A13F41A" w:rsidR="00416063" w:rsidRPr="00BD3B59" w:rsidRDefault="00416063">
          <w:pPr>
            <w:pStyle w:val="TOC2"/>
            <w:tabs>
              <w:tab w:val="right" w:leader="dot" w:pos="9350"/>
            </w:tabs>
            <w:rPr>
              <w:rFonts w:ascii="Arial" w:hAnsi="Arial" w:cs="Arial"/>
            </w:rPr>
          </w:pPr>
          <w:hyperlink w:anchor="_Toc227799650" w:history="1">
            <w:r w:rsidRPr="00BD3B59">
              <w:rPr>
                <w:rStyle w:val="Hyperlink"/>
                <w:rFonts w:ascii="Arial" w:hAnsi="Arial" w:cs="Arial"/>
              </w:rPr>
              <w:t>5.10 Capital Rationing (£100 Million Limit)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_Toc227799650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DC60F6">
              <w:rPr>
                <w:rFonts w:ascii="Arial" w:hAnsi="Arial" w:cs="Arial"/>
                <w:webHidden/>
              </w:rPr>
              <w:t>6</w:t>
            </w:r>
            <w:r w:rsidRPr="00BD3B59">
              <w:rPr>
                <w:rFonts w:ascii="Arial" w:hAnsi="Arial" w:cs="Arial"/>
                <w:webHidden/>
              </w:rPr>
              <w:fldChar w:fldCharType="end"/>
            </w:r>
          </w:hyperlink>
        </w:p>
        <w:p w14:paraId="3029E61B" w14:textId="4BAC4C55" w:rsidR="00416063" w:rsidRPr="00BD3B59" w:rsidRDefault="00416063">
          <w:pPr>
            <w:pStyle w:val="TOC2"/>
            <w:tabs>
              <w:tab w:val="right" w:leader="dot" w:pos="9350"/>
            </w:tabs>
            <w:rPr>
              <w:rFonts w:ascii="Arial" w:hAnsi="Arial" w:cs="Arial"/>
            </w:rPr>
          </w:pPr>
          <w:hyperlink w:anchor="_Toc227799651" w:history="1">
            <w:r w:rsidRPr="00BD3B59">
              <w:rPr>
                <w:rStyle w:val="Hyperlink"/>
                <w:rFonts w:ascii="Arial" w:hAnsi="Arial" w:cs="Arial"/>
              </w:rPr>
              <w:t>5.11 Final CFO Recommendation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_Toc227799651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DC60F6">
              <w:rPr>
                <w:rFonts w:ascii="Arial" w:hAnsi="Arial" w:cs="Arial"/>
                <w:webHidden/>
              </w:rPr>
              <w:t>6</w:t>
            </w:r>
            <w:r w:rsidRPr="00BD3B59">
              <w:rPr>
                <w:rFonts w:ascii="Arial" w:hAnsi="Arial" w:cs="Arial"/>
                <w:webHidden/>
              </w:rPr>
              <w:fldChar w:fldCharType="end"/>
            </w:r>
          </w:hyperlink>
        </w:p>
        <w:p w14:paraId="526D7226" w14:textId="23347EC0" w:rsidR="00416063" w:rsidRPr="00BD3B59" w:rsidRDefault="00416063">
          <w:pPr>
            <w:pStyle w:val="TOC1"/>
            <w:tabs>
              <w:tab w:val="right" w:leader="dot" w:pos="9350"/>
            </w:tabs>
            <w:rPr>
              <w:rFonts w:ascii="Arial" w:hAnsi="Arial" w:cs="Arial"/>
            </w:rPr>
          </w:pPr>
          <w:hyperlink w:anchor="_Toc227799652" w:history="1">
            <w:r w:rsidRPr="00BD3B59">
              <w:rPr>
                <w:rStyle w:val="Hyperlink"/>
                <w:rFonts w:ascii="Arial" w:hAnsi="Arial" w:cs="Arial"/>
              </w:rPr>
              <w:t>6.0 Conclusion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_Toc227799652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933A77">
              <w:rPr>
                <w:rFonts w:ascii="Arial" w:hAnsi="Arial" w:cs="Arial"/>
                <w:webHidden/>
              </w:rPr>
              <w:t>7</w:t>
            </w:r>
            <w:r w:rsidRPr="00BD3B59">
              <w:rPr>
                <w:rFonts w:ascii="Arial" w:hAnsi="Arial" w:cs="Arial"/>
                <w:webHidden/>
              </w:rPr>
              <w:fldChar w:fldCharType="end"/>
            </w:r>
          </w:hyperlink>
        </w:p>
        <w:p w14:paraId="4BC0FB90" w14:textId="5B51DE02" w:rsidR="00416063" w:rsidRPr="00BD3B59" w:rsidRDefault="00416063">
          <w:pPr>
            <w:pStyle w:val="TOC1"/>
            <w:tabs>
              <w:tab w:val="right" w:leader="dot" w:pos="9350"/>
            </w:tabs>
            <w:rPr>
              <w:rFonts w:ascii="Arial" w:hAnsi="Arial" w:cs="Arial"/>
            </w:rPr>
          </w:pPr>
          <w:hyperlink w:anchor="_Toc227799653" w:history="1">
            <w:r w:rsidRPr="00BD3B59">
              <w:rPr>
                <w:rStyle w:val="Hyperlink"/>
                <w:rFonts w:ascii="Arial" w:hAnsi="Arial" w:cs="Arial"/>
              </w:rPr>
              <w:t>References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_Toc227799653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954BF9">
              <w:rPr>
                <w:rFonts w:ascii="Arial" w:hAnsi="Arial" w:cs="Arial"/>
                <w:webHidden/>
              </w:rPr>
              <w:t>8</w:t>
            </w:r>
            <w:r w:rsidRPr="00BD3B59">
              <w:rPr>
                <w:rFonts w:ascii="Arial" w:hAnsi="Arial" w:cs="Arial"/>
                <w:webHidden/>
              </w:rPr>
              <w:fldChar w:fldCharType="end"/>
            </w:r>
          </w:hyperlink>
        </w:p>
        <w:p w14:paraId="457FA266" w14:textId="77777777" w:rsidR="00416063" w:rsidRPr="00BD3B59" w:rsidRDefault="00416063">
          <w:r w:rsidRPr="00BD3B59">
            <w:rPr>
              <w:rFonts w:ascii="Arial" w:hAnsi="Arial" w:cs="Arial"/>
              <w:b/>
              <w:bCs/>
            </w:rPr>
            <w:fldChar w:fldCharType="end"/>
          </w:r>
        </w:p>
      </w:sdtContent>
    </w:sdt>
    <w:p w14:paraId="4C85E9C9" w14:textId="77777777" w:rsidR="00753799" w:rsidRPr="00BD3B59" w:rsidRDefault="00753799" w:rsidP="00D91438">
      <w:pPr>
        <w:spacing w:line="360" w:lineRule="auto"/>
        <w:jc w:val="both"/>
        <w:rPr>
          <w:rFonts w:ascii="Arial" w:hAnsi="Arial" w:cs="Arial"/>
          <w:b/>
          <w:bCs/>
        </w:rPr>
      </w:pPr>
    </w:p>
    <w:p w14:paraId="4866AFD7" w14:textId="77777777" w:rsidR="00753799" w:rsidRPr="00BD3B59" w:rsidRDefault="00753799">
      <w:pPr>
        <w:rPr>
          <w:rFonts w:ascii="Arial" w:hAnsi="Arial" w:cs="Arial"/>
          <w:b/>
          <w:bCs/>
        </w:rPr>
      </w:pPr>
      <w:r w:rsidRPr="00BD3B59">
        <w:rPr>
          <w:rFonts w:ascii="Arial" w:hAnsi="Arial" w:cs="Arial"/>
          <w:b/>
          <w:bCs/>
        </w:rPr>
        <w:br w:type="page"/>
      </w:r>
    </w:p>
    <w:p w14:paraId="2674B38F" w14:textId="77777777" w:rsidR="00AD65EE" w:rsidRPr="00BD3B59" w:rsidRDefault="00D861B3" w:rsidP="00D91438">
      <w:pPr>
        <w:spacing w:line="360" w:lineRule="auto"/>
        <w:jc w:val="both"/>
        <w:rPr>
          <w:rFonts w:ascii="Arial" w:hAnsi="Arial" w:cs="Arial"/>
          <w:b/>
          <w:bCs/>
        </w:rPr>
      </w:pPr>
      <w:r w:rsidRPr="00BD3B59">
        <w:rPr>
          <w:rFonts w:ascii="Arial" w:hAnsi="Arial" w:cs="Arial"/>
          <w:b/>
          <w:bCs/>
        </w:rPr>
        <w:t>List of Figures</w:t>
      </w:r>
    </w:p>
    <w:p w14:paraId="6619305E" w14:textId="1BAE51CB" w:rsidR="00D861B3" w:rsidRPr="00BD3B59" w:rsidRDefault="00D861B3" w:rsidP="00D861B3">
      <w:pPr>
        <w:pStyle w:val="TableofFigures"/>
        <w:tabs>
          <w:tab w:val="right" w:leader="dot" w:pos="9350"/>
        </w:tabs>
        <w:spacing w:line="360" w:lineRule="auto"/>
        <w:jc w:val="both"/>
        <w:rPr>
          <w:rFonts w:ascii="Arial" w:hAnsi="Arial" w:cs="Arial"/>
        </w:rPr>
      </w:pPr>
      <w:r w:rsidRPr="00BD3B59">
        <w:rPr>
          <w:rFonts w:ascii="Arial" w:hAnsi="Arial" w:cs="Arial"/>
          <w:bCs/>
        </w:rPr>
        <w:fldChar w:fldCharType="begin"/>
      </w:r>
      <w:r w:rsidRPr="00BD3B59">
        <w:rPr>
          <w:rFonts w:ascii="Arial" w:hAnsi="Arial" w:cs="Arial"/>
          <w:bCs/>
        </w:rPr>
        <w:instrText xml:space="preserve"> TOC \h \z \c "Figure" </w:instrText>
      </w:r>
      <w:r w:rsidRPr="00BD3B59">
        <w:rPr>
          <w:rFonts w:ascii="Arial" w:hAnsi="Arial" w:cs="Arial"/>
          <w:bCs/>
        </w:rPr>
        <w:fldChar w:fldCharType="separate"/>
      </w:r>
      <w:hyperlink w:anchor="_Toc227799713" w:history="1">
        <w:r w:rsidRPr="00BD3B59">
          <w:rPr>
            <w:rStyle w:val="Hyperlink"/>
            <w:rFonts w:ascii="Arial" w:hAnsi="Arial" w:cs="Arial"/>
          </w:rPr>
          <w:t>Figure 1: Tesla profitability ratios (gross profit margin, net profit margin, ROE and ROCE) peaked during 2022 before declining by 2024, indicating weaker earnings efficiency after rapid expansion.</w:t>
        </w:r>
        <w:r w:rsidRPr="00BD3B59">
          <w:rPr>
            <w:rFonts w:ascii="Arial" w:hAnsi="Arial" w:cs="Arial"/>
            <w:webHidden/>
          </w:rPr>
          <w:tab/>
        </w:r>
        <w:r w:rsidR="008263EE">
          <w:rPr>
            <w:rFonts w:ascii="Arial" w:hAnsi="Arial" w:cs="Arial"/>
            <w:webHidden/>
          </w:rPr>
          <w:t>8</w:t>
        </w:r>
      </w:hyperlink>
    </w:p>
    <w:p w14:paraId="6F61618F" w14:textId="0328AE45" w:rsidR="00D861B3" w:rsidRPr="00BD3B59" w:rsidRDefault="00D861B3" w:rsidP="00D861B3">
      <w:pPr>
        <w:pStyle w:val="TableofFigures"/>
        <w:tabs>
          <w:tab w:val="right" w:leader="dot" w:pos="9350"/>
        </w:tabs>
        <w:spacing w:line="360" w:lineRule="auto"/>
        <w:jc w:val="both"/>
        <w:rPr>
          <w:rFonts w:ascii="Arial" w:hAnsi="Arial" w:cs="Arial"/>
        </w:rPr>
      </w:pPr>
      <w:hyperlink w:anchor="_Toc227799714" w:history="1">
        <w:r w:rsidRPr="00BD3B59">
          <w:rPr>
            <w:rStyle w:val="Hyperlink"/>
            <w:rFonts w:ascii="Arial" w:hAnsi="Arial" w:cs="Arial"/>
          </w:rPr>
          <w:t>Figure 2: Tesla liquidity ratios improved steadily after 2021, showing stronger short-term solvency and greater capacity to meet current obligations by 2024.</w:t>
        </w:r>
        <w:r w:rsidRPr="00BD3B59">
          <w:rPr>
            <w:rFonts w:ascii="Arial" w:hAnsi="Arial" w:cs="Arial"/>
            <w:webHidden/>
          </w:rPr>
          <w:tab/>
        </w:r>
        <w:r w:rsidR="003D4332">
          <w:rPr>
            <w:rFonts w:ascii="Arial" w:hAnsi="Arial" w:cs="Arial"/>
            <w:webHidden/>
          </w:rPr>
          <w:t>9</w:t>
        </w:r>
      </w:hyperlink>
    </w:p>
    <w:p w14:paraId="05E89BDF" w14:textId="3BE593E1" w:rsidR="00D861B3" w:rsidRPr="00BD3B59" w:rsidRDefault="00D861B3" w:rsidP="00D861B3">
      <w:pPr>
        <w:pStyle w:val="TableofFigures"/>
        <w:tabs>
          <w:tab w:val="right" w:leader="dot" w:pos="9350"/>
        </w:tabs>
        <w:spacing w:line="360" w:lineRule="auto"/>
        <w:jc w:val="both"/>
        <w:rPr>
          <w:rFonts w:ascii="Arial" w:hAnsi="Arial" w:cs="Arial"/>
        </w:rPr>
      </w:pPr>
      <w:hyperlink w:anchor="_Toc227799715" w:history="1">
        <w:r w:rsidRPr="00BD3B59">
          <w:rPr>
            <w:rStyle w:val="Hyperlink"/>
            <w:rFonts w:ascii="Arial" w:hAnsi="Arial" w:cs="Arial"/>
          </w:rPr>
          <w:t>Figure 3: Tesla consolidated statements of operations indicate stable revenue in 2023–2025, but declining gross profit, operating income and net income highlight increasing margin pressure and weaker earnings conversion.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_Toc227799715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727E0C">
          <w:rPr>
            <w:rFonts w:ascii="Arial" w:hAnsi="Arial" w:cs="Arial"/>
            <w:webHidden/>
          </w:rPr>
          <w:t>1</w:t>
        </w:r>
        <w:r w:rsidRPr="00BD3B59">
          <w:rPr>
            <w:rFonts w:ascii="Arial" w:hAnsi="Arial" w:cs="Arial"/>
            <w:webHidden/>
          </w:rPr>
          <w:fldChar w:fldCharType="end"/>
        </w:r>
      </w:hyperlink>
    </w:p>
    <w:p w14:paraId="47B0634C" w14:textId="4BB50655" w:rsidR="00D861B3" w:rsidRPr="00BD3B59" w:rsidRDefault="00D861B3" w:rsidP="00D861B3">
      <w:pPr>
        <w:pStyle w:val="TableofFigures"/>
        <w:tabs>
          <w:tab w:val="right" w:leader="dot" w:pos="9350"/>
        </w:tabs>
        <w:spacing w:line="360" w:lineRule="auto"/>
        <w:jc w:val="both"/>
        <w:rPr>
          <w:rFonts w:ascii="Arial" w:hAnsi="Arial" w:cs="Arial"/>
        </w:rPr>
      </w:pPr>
      <w:hyperlink w:anchor="_Toc227799716" w:history="1">
        <w:r w:rsidRPr="00BD3B59">
          <w:rPr>
            <w:rStyle w:val="Hyperlink"/>
            <w:rFonts w:ascii="Arial" w:hAnsi="Arial" w:cs="Arial"/>
          </w:rPr>
          <w:t>Figure 4: Tesla maintained low gearing and strong interest cover throughout the period, confirming a conservative capital structure with limited debt risk.</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_Toc227799716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4E65AA">
          <w:rPr>
            <w:rFonts w:ascii="Arial" w:hAnsi="Arial" w:cs="Arial"/>
            <w:webHidden/>
          </w:rPr>
          <w:t>2</w:t>
        </w:r>
        <w:r w:rsidRPr="00BD3B59">
          <w:rPr>
            <w:rFonts w:ascii="Arial" w:hAnsi="Arial" w:cs="Arial"/>
            <w:webHidden/>
          </w:rPr>
          <w:fldChar w:fldCharType="end"/>
        </w:r>
      </w:hyperlink>
    </w:p>
    <w:p w14:paraId="54DE37AB" w14:textId="5EA22B87" w:rsidR="00D861B3" w:rsidRPr="00BD3B59" w:rsidRDefault="00D861B3" w:rsidP="00D861B3">
      <w:pPr>
        <w:pStyle w:val="TableofFigures"/>
        <w:tabs>
          <w:tab w:val="right" w:leader="dot" w:pos="9350"/>
        </w:tabs>
        <w:spacing w:line="360" w:lineRule="auto"/>
        <w:jc w:val="both"/>
        <w:rPr>
          <w:rFonts w:ascii="Arial" w:hAnsi="Arial" w:cs="Arial"/>
        </w:rPr>
      </w:pPr>
      <w:hyperlink w:anchor="_Toc227799717" w:history="1">
        <w:r w:rsidRPr="00BD3B59">
          <w:rPr>
            <w:rStyle w:val="Hyperlink"/>
            <w:rFonts w:ascii="Arial" w:hAnsi="Arial" w:cs="Arial"/>
          </w:rPr>
          <w:t>Figure 5: Tesla summary of cash flows shows continued strong operating cash generation in 2023–2025, while substantial investing outflows reflect ongoing expansion and capital expenditure commitments.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_Toc227799717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133F1F">
          <w:rPr>
            <w:rFonts w:ascii="Arial" w:hAnsi="Arial" w:cs="Arial"/>
            <w:webHidden/>
          </w:rPr>
          <w:t>4</w:t>
        </w:r>
        <w:r w:rsidRPr="00BD3B59">
          <w:rPr>
            <w:rFonts w:ascii="Arial" w:hAnsi="Arial" w:cs="Arial"/>
            <w:webHidden/>
          </w:rPr>
          <w:fldChar w:fldCharType="end"/>
        </w:r>
      </w:hyperlink>
    </w:p>
    <w:p w14:paraId="6C0A8BE3" w14:textId="77777777" w:rsidR="00AD65EE" w:rsidRPr="00BD3B59" w:rsidRDefault="00D861B3" w:rsidP="00D861B3">
      <w:pPr>
        <w:spacing w:line="360" w:lineRule="auto"/>
        <w:jc w:val="both"/>
        <w:rPr>
          <w:rFonts w:ascii="Arial" w:hAnsi="Arial" w:cs="Arial"/>
          <w:b/>
          <w:bCs/>
        </w:rPr>
      </w:pPr>
      <w:r w:rsidRPr="00BD3B59">
        <w:rPr>
          <w:rFonts w:ascii="Arial" w:hAnsi="Arial" w:cs="Arial"/>
          <w:bCs/>
        </w:rPr>
        <w:fldChar w:fldCharType="end"/>
      </w:r>
      <w:r w:rsidR="00AD65EE" w:rsidRPr="00BD3B59">
        <w:rPr>
          <w:rFonts w:ascii="Arial" w:hAnsi="Arial" w:cs="Arial"/>
          <w:b/>
          <w:bCs/>
        </w:rPr>
        <w:br w:type="page"/>
      </w:r>
    </w:p>
    <w:p w14:paraId="6BA56B77" w14:textId="77777777" w:rsidR="00753799" w:rsidRPr="00BD3B59" w:rsidRDefault="00D861B3" w:rsidP="00D91438">
      <w:pPr>
        <w:spacing w:line="360" w:lineRule="auto"/>
        <w:jc w:val="both"/>
        <w:rPr>
          <w:rFonts w:ascii="Arial" w:hAnsi="Arial" w:cs="Arial"/>
          <w:b/>
          <w:bCs/>
        </w:rPr>
      </w:pPr>
      <w:r w:rsidRPr="00BD3B59">
        <w:rPr>
          <w:rFonts w:ascii="Arial" w:hAnsi="Arial" w:cs="Arial"/>
          <w:b/>
          <w:bCs/>
        </w:rPr>
        <w:t>List of Tables</w:t>
      </w:r>
    </w:p>
    <w:p w14:paraId="44189291" w14:textId="141CCE36"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r w:rsidRPr="00BD3B59">
        <w:rPr>
          <w:rFonts w:ascii="Arial" w:hAnsi="Arial" w:cs="Arial"/>
          <w:bCs/>
        </w:rPr>
        <w:fldChar w:fldCharType="begin"/>
      </w:r>
      <w:r w:rsidRPr="00BD3B59">
        <w:rPr>
          <w:rFonts w:ascii="Arial" w:hAnsi="Arial" w:cs="Arial"/>
          <w:bCs/>
        </w:rPr>
        <w:instrText xml:space="preserve"> TOC \h \z \c "Table" </w:instrText>
      </w:r>
      <w:r w:rsidRPr="00BD3B59">
        <w:rPr>
          <w:rFonts w:ascii="Arial" w:hAnsi="Arial" w:cs="Arial"/>
          <w:bCs/>
        </w:rPr>
        <w:fldChar w:fldCharType="separate"/>
      </w:r>
      <w:hyperlink w:anchor="_Toc227799748" w:history="1">
        <w:r w:rsidRPr="00BD3B59">
          <w:rPr>
            <w:rStyle w:val="Hyperlink"/>
            <w:rFonts w:ascii="Arial" w:hAnsi="Arial" w:cs="Arial"/>
          </w:rPr>
          <w:t>Table 1: Tesla Profitability Ratios (2020–2024)</w:t>
        </w:r>
        <w:r w:rsidRPr="00BD3B59">
          <w:rPr>
            <w:rFonts w:ascii="Arial" w:hAnsi="Arial" w:cs="Arial"/>
            <w:webHidden/>
          </w:rPr>
          <w:tab/>
        </w:r>
        <w:r w:rsidR="00C5332C">
          <w:rPr>
            <w:rFonts w:ascii="Arial" w:hAnsi="Arial" w:cs="Arial"/>
            <w:webHidden/>
          </w:rPr>
          <w:t>7</w:t>
        </w:r>
      </w:hyperlink>
    </w:p>
    <w:p w14:paraId="7DBB9286" w14:textId="0F7FAEF1"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49" w:history="1">
        <w:r w:rsidRPr="00BD3B59">
          <w:rPr>
            <w:rStyle w:val="Hyperlink"/>
            <w:rFonts w:ascii="Arial" w:hAnsi="Arial" w:cs="Arial"/>
          </w:rPr>
          <w:t>Table 2: Tesla Liquidity Ratios (2020–2024)</w:t>
        </w:r>
        <w:r w:rsidRPr="00BD3B59">
          <w:rPr>
            <w:rFonts w:ascii="Arial" w:hAnsi="Arial" w:cs="Arial"/>
            <w:webHidden/>
          </w:rPr>
          <w:tab/>
        </w:r>
        <w:r w:rsidR="000C4C4C">
          <w:rPr>
            <w:rFonts w:ascii="Arial" w:hAnsi="Arial" w:cs="Arial"/>
            <w:webHidden/>
          </w:rPr>
          <w:t>9</w:t>
        </w:r>
      </w:hyperlink>
    </w:p>
    <w:p w14:paraId="1FF11452" w14:textId="01C32BAC"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0" w:history="1">
        <w:r w:rsidRPr="00BD3B59">
          <w:rPr>
            <w:rStyle w:val="Hyperlink"/>
            <w:rFonts w:ascii="Arial" w:hAnsi="Arial" w:cs="Arial"/>
          </w:rPr>
          <w:t>Table 3: Tesla Efficiency Ratios (2020–2024)</w:t>
        </w:r>
        <w:r w:rsidRPr="00BD3B59">
          <w:rPr>
            <w:rFonts w:ascii="Arial" w:hAnsi="Arial" w:cs="Arial"/>
            <w:webHidden/>
          </w:rPr>
          <w:tab/>
        </w:r>
        <w:r w:rsidR="00816E77">
          <w:rPr>
            <w:rFonts w:ascii="Arial" w:hAnsi="Arial" w:cs="Arial"/>
            <w:webHidden/>
          </w:rPr>
          <w:t>10</w:t>
        </w:r>
      </w:hyperlink>
    </w:p>
    <w:p w14:paraId="7EA54828" w14:textId="3E3F8E78"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1" w:history="1">
        <w:r w:rsidRPr="00BD3B59">
          <w:rPr>
            <w:rStyle w:val="Hyperlink"/>
            <w:rFonts w:ascii="Arial" w:hAnsi="Arial" w:cs="Arial"/>
          </w:rPr>
          <w:t>Table 4: Tesla Gearing Ratios (2020–2024)</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_Toc227799751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816E77">
          <w:rPr>
            <w:rFonts w:ascii="Arial" w:hAnsi="Arial" w:cs="Arial"/>
            <w:webHidden/>
          </w:rPr>
          <w:t>2</w:t>
        </w:r>
        <w:r w:rsidRPr="00BD3B59">
          <w:rPr>
            <w:rFonts w:ascii="Arial" w:hAnsi="Arial" w:cs="Arial"/>
            <w:webHidden/>
          </w:rPr>
          <w:fldChar w:fldCharType="end"/>
        </w:r>
      </w:hyperlink>
    </w:p>
    <w:p w14:paraId="25CE137B" w14:textId="79A502DA"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2" w:history="1">
        <w:r w:rsidRPr="00BD3B59">
          <w:rPr>
            <w:rStyle w:val="Hyperlink"/>
            <w:rFonts w:ascii="Arial" w:hAnsi="Arial" w:cs="Arial"/>
          </w:rPr>
          <w:t>Table 5: Tesla Investment Ratios (2020–2024)</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_Toc227799752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2A0A8F">
          <w:rPr>
            <w:rFonts w:ascii="Arial" w:hAnsi="Arial" w:cs="Arial"/>
            <w:webHidden/>
          </w:rPr>
          <w:t>3</w:t>
        </w:r>
        <w:r w:rsidRPr="00BD3B59">
          <w:rPr>
            <w:rFonts w:ascii="Arial" w:hAnsi="Arial" w:cs="Arial"/>
            <w:webHidden/>
          </w:rPr>
          <w:fldChar w:fldCharType="end"/>
        </w:r>
      </w:hyperlink>
    </w:p>
    <w:p w14:paraId="6DCE0D5A" w14:textId="796D4EBE"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3" w:history="1">
        <w:r w:rsidRPr="00BD3B59">
          <w:rPr>
            <w:rStyle w:val="Hyperlink"/>
            <w:rFonts w:ascii="Arial" w:hAnsi="Arial" w:cs="Arial"/>
          </w:rPr>
          <w:t>Table 6: Tesla SWOT-Based Financial Summary (2024)</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_Toc227799753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9F0993">
          <w:rPr>
            <w:rFonts w:ascii="Arial" w:hAnsi="Arial" w:cs="Arial"/>
            <w:webHidden/>
          </w:rPr>
          <w:t>5</w:t>
        </w:r>
        <w:r w:rsidRPr="00BD3B59">
          <w:rPr>
            <w:rFonts w:ascii="Arial" w:hAnsi="Arial" w:cs="Arial"/>
            <w:webHidden/>
          </w:rPr>
          <w:fldChar w:fldCharType="end"/>
        </w:r>
      </w:hyperlink>
    </w:p>
    <w:p w14:paraId="14E33454" w14:textId="1B4311C9"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4" w:history="1">
        <w:r w:rsidRPr="00BD3B59">
          <w:rPr>
            <w:rStyle w:val="Hyperlink"/>
            <w:rFonts w:ascii="Arial" w:hAnsi="Arial" w:cs="Arial"/>
          </w:rPr>
          <w:t>Table 7: Tesla Cash Operating Cycle Trend (2022–2024)</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_Toc227799754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26725F">
          <w:rPr>
            <w:rFonts w:ascii="Arial" w:hAnsi="Arial" w:cs="Arial"/>
            <w:webHidden/>
          </w:rPr>
          <w:t>7</w:t>
        </w:r>
        <w:r w:rsidRPr="00BD3B59">
          <w:rPr>
            <w:rFonts w:ascii="Arial" w:hAnsi="Arial" w:cs="Arial"/>
            <w:webHidden/>
          </w:rPr>
          <w:fldChar w:fldCharType="end"/>
        </w:r>
      </w:hyperlink>
    </w:p>
    <w:p w14:paraId="6B5B2D17" w14:textId="37F29C86"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5" w:history="1">
        <w:r w:rsidRPr="00BD3B59">
          <w:rPr>
            <w:rStyle w:val="Hyperlink"/>
            <w:rFonts w:ascii="Arial" w:hAnsi="Arial" w:cs="Arial"/>
          </w:rPr>
          <w:t>Table 8: Inventory Efficiency Position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_Toc227799755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57500B">
          <w:rPr>
            <w:rFonts w:ascii="Arial" w:hAnsi="Arial" w:cs="Arial"/>
            <w:webHidden/>
          </w:rPr>
          <w:t>8</w:t>
        </w:r>
        <w:r w:rsidRPr="00BD3B59">
          <w:rPr>
            <w:rFonts w:ascii="Arial" w:hAnsi="Arial" w:cs="Arial"/>
            <w:webHidden/>
          </w:rPr>
          <w:fldChar w:fldCharType="end"/>
        </w:r>
      </w:hyperlink>
    </w:p>
    <w:p w14:paraId="23DDBC80" w14:textId="46956330"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6" w:history="1">
        <w:r w:rsidRPr="00BD3B59">
          <w:rPr>
            <w:rStyle w:val="Hyperlink"/>
            <w:rFonts w:ascii="Arial" w:hAnsi="Arial" w:cs="Arial"/>
          </w:rPr>
          <w:t>Table 9: Receivable Efficiency Trend</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_Toc227799756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57500B">
          <w:rPr>
            <w:rFonts w:ascii="Arial" w:hAnsi="Arial" w:cs="Arial"/>
            <w:webHidden/>
          </w:rPr>
          <w:t>8</w:t>
        </w:r>
        <w:r w:rsidRPr="00BD3B59">
          <w:rPr>
            <w:rFonts w:ascii="Arial" w:hAnsi="Arial" w:cs="Arial"/>
            <w:webHidden/>
          </w:rPr>
          <w:fldChar w:fldCharType="end"/>
        </w:r>
      </w:hyperlink>
    </w:p>
    <w:p w14:paraId="0C9538C5" w14:textId="4BB7B915"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7" w:history="1">
        <w:r w:rsidRPr="00BD3B59">
          <w:rPr>
            <w:rStyle w:val="Hyperlink"/>
            <w:rFonts w:ascii="Arial" w:hAnsi="Arial" w:cs="Arial"/>
          </w:rPr>
          <w:t>Table 10: Payables Management Trend</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_Toc227799757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E338CF">
          <w:rPr>
            <w:rFonts w:ascii="Arial" w:hAnsi="Arial" w:cs="Arial"/>
            <w:webHidden/>
          </w:rPr>
          <w:t>9</w:t>
        </w:r>
        <w:r w:rsidRPr="00BD3B59">
          <w:rPr>
            <w:rFonts w:ascii="Arial" w:hAnsi="Arial" w:cs="Arial"/>
            <w:webHidden/>
          </w:rPr>
          <w:fldChar w:fldCharType="end"/>
        </w:r>
      </w:hyperlink>
    </w:p>
    <w:p w14:paraId="53AF8EDE" w14:textId="4C04C5AA"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8" w:history="1">
        <w:r w:rsidRPr="00BD3B59">
          <w:rPr>
            <w:rStyle w:val="Hyperlink"/>
            <w:rFonts w:ascii="Arial" w:hAnsi="Arial" w:cs="Arial"/>
          </w:rPr>
          <w:t>Table 11: Tesla Cash Flow Position</w:t>
        </w:r>
        <w:r w:rsidRPr="00BD3B59">
          <w:rPr>
            <w:rFonts w:ascii="Arial" w:hAnsi="Arial" w:cs="Arial"/>
            <w:webHidden/>
          </w:rPr>
          <w:tab/>
        </w:r>
        <w:r w:rsidR="00E338CF">
          <w:rPr>
            <w:rFonts w:ascii="Arial" w:hAnsi="Arial" w:cs="Arial"/>
            <w:webHidden/>
          </w:rPr>
          <w:t>20</w:t>
        </w:r>
      </w:hyperlink>
    </w:p>
    <w:p w14:paraId="1108C86C" w14:textId="545D2256"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9" w:history="1">
        <w:r w:rsidRPr="00BD3B59">
          <w:rPr>
            <w:rStyle w:val="Hyperlink"/>
            <w:rFonts w:ascii="Arial" w:hAnsi="Arial" w:cs="Arial"/>
          </w:rPr>
          <w:t>Table 12: Financing Options for Tesla</w:t>
        </w:r>
        <w:r w:rsidRPr="00BD3B59">
          <w:rPr>
            <w:rFonts w:ascii="Arial" w:hAnsi="Arial" w:cs="Arial"/>
            <w:webHidden/>
          </w:rPr>
          <w:tab/>
        </w:r>
        <w:r w:rsidR="001E0530">
          <w:rPr>
            <w:rFonts w:ascii="Arial" w:hAnsi="Arial" w:cs="Arial"/>
            <w:webHidden/>
          </w:rPr>
          <w:t>20</w:t>
        </w:r>
      </w:hyperlink>
    </w:p>
    <w:p w14:paraId="18FD8EAF" w14:textId="77777777"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0" w:history="1">
        <w:r w:rsidRPr="00BD3B59">
          <w:rPr>
            <w:rStyle w:val="Hyperlink"/>
            <w:rFonts w:ascii="Arial" w:hAnsi="Arial" w:cs="Arial"/>
          </w:rPr>
          <w:t>Table 13: Tesla Key Financial Warning Indicators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_Toc227799760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22</w:t>
        </w:r>
        <w:r w:rsidRPr="00BD3B59">
          <w:rPr>
            <w:rFonts w:ascii="Arial" w:hAnsi="Arial" w:cs="Arial"/>
            <w:webHidden/>
          </w:rPr>
          <w:fldChar w:fldCharType="end"/>
        </w:r>
      </w:hyperlink>
    </w:p>
    <w:p w14:paraId="525792EF" w14:textId="77777777"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1" w:history="1">
        <w:r w:rsidRPr="00BD3B59">
          <w:rPr>
            <w:rStyle w:val="Hyperlink"/>
            <w:rFonts w:ascii="Arial" w:hAnsi="Arial" w:cs="Arial"/>
          </w:rPr>
          <w:t>Table 14: Divestiture Evaluation Framework</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_Toc227799761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23</w:t>
        </w:r>
        <w:r w:rsidRPr="00BD3B59">
          <w:rPr>
            <w:rFonts w:ascii="Arial" w:hAnsi="Arial" w:cs="Arial"/>
            <w:webHidden/>
          </w:rPr>
          <w:fldChar w:fldCharType="end"/>
        </w:r>
      </w:hyperlink>
    </w:p>
    <w:p w14:paraId="04ACBFFB" w14:textId="77777777"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2" w:history="1">
        <w:r w:rsidRPr="00BD3B59">
          <w:rPr>
            <w:rStyle w:val="Hyperlink"/>
            <w:rFonts w:ascii="Arial" w:hAnsi="Arial" w:cs="Arial"/>
          </w:rPr>
          <w:t>Table 15: Alliance-Based Restructuring Options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_Toc227799762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24</w:t>
        </w:r>
        <w:r w:rsidRPr="00BD3B59">
          <w:rPr>
            <w:rFonts w:ascii="Arial" w:hAnsi="Arial" w:cs="Arial"/>
            <w:webHidden/>
          </w:rPr>
          <w:fldChar w:fldCharType="end"/>
        </w:r>
      </w:hyperlink>
    </w:p>
    <w:p w14:paraId="724DBBE6" w14:textId="0361660B"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3" w:history="1">
        <w:r w:rsidRPr="00BD3B59">
          <w:rPr>
            <w:rStyle w:val="Hyperlink"/>
            <w:rFonts w:ascii="Arial" w:hAnsi="Arial" w:cs="Arial"/>
          </w:rPr>
          <w:t>Table 16: Debt Restructuring Options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_Toc227799763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w:t>
        </w:r>
        <w:r w:rsidR="00B50A6B">
          <w:rPr>
            <w:rFonts w:ascii="Arial" w:hAnsi="Arial" w:cs="Arial"/>
            <w:webHidden/>
          </w:rPr>
          <w:t>4</w:t>
        </w:r>
        <w:r w:rsidRPr="00BD3B59">
          <w:rPr>
            <w:rFonts w:ascii="Arial" w:hAnsi="Arial" w:cs="Arial"/>
            <w:webHidden/>
          </w:rPr>
          <w:fldChar w:fldCharType="end"/>
        </w:r>
      </w:hyperlink>
    </w:p>
    <w:p w14:paraId="2B2E5DD8" w14:textId="77777777"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4" w:history="1">
        <w:r w:rsidRPr="00BD3B59">
          <w:rPr>
            <w:rStyle w:val="Hyperlink"/>
            <w:rFonts w:ascii="Arial" w:hAnsi="Arial" w:cs="Arial"/>
          </w:rPr>
          <w:t>Table 17: Cost Restructuring Priorities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_Toc227799764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25</w:t>
        </w:r>
        <w:r w:rsidRPr="00BD3B59">
          <w:rPr>
            <w:rFonts w:ascii="Arial" w:hAnsi="Arial" w:cs="Arial"/>
            <w:webHidden/>
          </w:rPr>
          <w:fldChar w:fldCharType="end"/>
        </w:r>
      </w:hyperlink>
    </w:p>
    <w:p w14:paraId="2CD2E18A" w14:textId="22A9FC4E"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5" w:history="1">
        <w:r w:rsidRPr="00BD3B59">
          <w:rPr>
            <w:rStyle w:val="Hyperlink"/>
            <w:rFonts w:ascii="Arial" w:hAnsi="Arial" w:cs="Arial"/>
          </w:rPr>
          <w:t>Table 18: Global Financial Risk Controls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_Toc227799765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w:t>
        </w:r>
        <w:r w:rsidR="000B1D9C">
          <w:rPr>
            <w:rFonts w:ascii="Arial" w:hAnsi="Arial" w:cs="Arial"/>
            <w:webHidden/>
          </w:rPr>
          <w:t>5</w:t>
        </w:r>
        <w:r w:rsidRPr="00BD3B59">
          <w:rPr>
            <w:rFonts w:ascii="Arial" w:hAnsi="Arial" w:cs="Arial"/>
            <w:webHidden/>
          </w:rPr>
          <w:fldChar w:fldCharType="end"/>
        </w:r>
      </w:hyperlink>
    </w:p>
    <w:p w14:paraId="31233C35" w14:textId="76F87D1C"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6" w:history="1">
        <w:r w:rsidRPr="00BD3B59">
          <w:rPr>
            <w:rStyle w:val="Hyperlink"/>
            <w:rFonts w:ascii="Arial" w:hAnsi="Arial" w:cs="Arial"/>
          </w:rPr>
          <w:t>Table 19: Ethical Restructuring Principles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_Toc227799766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w:t>
        </w:r>
        <w:r w:rsidR="00C458B4">
          <w:rPr>
            <w:rFonts w:ascii="Arial" w:hAnsi="Arial" w:cs="Arial"/>
            <w:webHidden/>
          </w:rPr>
          <w:t>6</w:t>
        </w:r>
        <w:r w:rsidRPr="00BD3B59">
          <w:rPr>
            <w:rFonts w:ascii="Arial" w:hAnsi="Arial" w:cs="Arial"/>
            <w:webHidden/>
          </w:rPr>
          <w:fldChar w:fldCharType="end"/>
        </w:r>
      </w:hyperlink>
    </w:p>
    <w:p w14:paraId="2FC98543" w14:textId="1B272649"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7" w:history="1">
        <w:r w:rsidRPr="00BD3B59">
          <w:rPr>
            <w:rStyle w:val="Hyperlink"/>
            <w:rFonts w:ascii="Arial" w:hAnsi="Arial" w:cs="Arial"/>
          </w:rPr>
          <w:t>Table 20: Final CFO Restructuring Plan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_Toc227799767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w:t>
        </w:r>
        <w:r w:rsidR="00C458B4">
          <w:rPr>
            <w:rFonts w:ascii="Arial" w:hAnsi="Arial" w:cs="Arial"/>
            <w:webHidden/>
          </w:rPr>
          <w:t>6</w:t>
        </w:r>
        <w:r w:rsidRPr="00BD3B59">
          <w:rPr>
            <w:rFonts w:ascii="Arial" w:hAnsi="Arial" w:cs="Arial"/>
            <w:webHidden/>
          </w:rPr>
          <w:fldChar w:fldCharType="end"/>
        </w:r>
      </w:hyperlink>
    </w:p>
    <w:p w14:paraId="610A242B" w14:textId="7091A626"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8" w:history="1">
        <w:r w:rsidRPr="00BD3B59">
          <w:rPr>
            <w:rStyle w:val="Hyperlink"/>
            <w:rFonts w:ascii="Arial" w:hAnsi="Arial" w:cs="Arial"/>
          </w:rPr>
          <w:t>Table 21: Proposed Investment Projects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_Toc227799768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w:t>
        </w:r>
        <w:r w:rsidR="00F555D6">
          <w:rPr>
            <w:rFonts w:ascii="Arial" w:hAnsi="Arial" w:cs="Arial"/>
            <w:webHidden/>
          </w:rPr>
          <w:t>8</w:t>
        </w:r>
        <w:r w:rsidRPr="00BD3B59">
          <w:rPr>
            <w:rFonts w:ascii="Arial" w:hAnsi="Arial" w:cs="Arial"/>
            <w:webHidden/>
          </w:rPr>
          <w:fldChar w:fldCharType="end"/>
        </w:r>
      </w:hyperlink>
    </w:p>
    <w:p w14:paraId="5D1A74BD" w14:textId="63D7F455"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9" w:history="1">
        <w:r w:rsidRPr="00BD3B59">
          <w:rPr>
            <w:rStyle w:val="Hyperlink"/>
            <w:rFonts w:ascii="Arial" w:hAnsi="Arial" w:cs="Arial"/>
          </w:rPr>
          <w:t>Table 22: Payback Period Calculations</w:t>
        </w:r>
        <w:r w:rsidRPr="00BD3B59">
          <w:rPr>
            <w:rFonts w:ascii="Arial" w:hAnsi="Arial" w:cs="Arial"/>
            <w:webHidden/>
          </w:rPr>
          <w:tab/>
        </w:r>
        <w:r w:rsidR="003C10B8">
          <w:rPr>
            <w:rFonts w:ascii="Arial" w:hAnsi="Arial" w:cs="Arial"/>
            <w:webHidden/>
          </w:rPr>
          <w:t>29</w:t>
        </w:r>
      </w:hyperlink>
    </w:p>
    <w:p w14:paraId="5AFD5ECF" w14:textId="226FB3BB"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0" w:history="1">
        <w:r w:rsidRPr="00BD3B59">
          <w:rPr>
            <w:rStyle w:val="Hyperlink"/>
            <w:rFonts w:ascii="Arial" w:hAnsi="Arial" w:cs="Arial"/>
          </w:rPr>
          <w:t>Table 23: ARR Calculations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_Toc227799770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3C10B8">
          <w:rPr>
            <w:rFonts w:ascii="Arial" w:hAnsi="Arial" w:cs="Arial"/>
            <w:webHidden/>
          </w:rPr>
          <w:t>0</w:t>
        </w:r>
        <w:r w:rsidRPr="00BD3B59">
          <w:rPr>
            <w:rFonts w:ascii="Arial" w:hAnsi="Arial" w:cs="Arial"/>
            <w:webHidden/>
          </w:rPr>
          <w:fldChar w:fldCharType="end"/>
        </w:r>
      </w:hyperlink>
    </w:p>
    <w:p w14:paraId="452B1778" w14:textId="3A952BAE"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1" w:history="1">
        <w:r w:rsidRPr="00BD3B59">
          <w:rPr>
            <w:rStyle w:val="Hyperlink"/>
            <w:rFonts w:ascii="Arial" w:hAnsi="Arial" w:cs="Arial"/>
          </w:rPr>
          <w:t>Table 24: Discount Factors at 10%</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_Toc227799771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04755B">
          <w:rPr>
            <w:rFonts w:ascii="Arial" w:hAnsi="Arial" w:cs="Arial"/>
            <w:webHidden/>
          </w:rPr>
          <w:t>1</w:t>
        </w:r>
        <w:r w:rsidRPr="00BD3B59">
          <w:rPr>
            <w:rFonts w:ascii="Arial" w:hAnsi="Arial" w:cs="Arial"/>
            <w:webHidden/>
          </w:rPr>
          <w:fldChar w:fldCharType="end"/>
        </w:r>
      </w:hyperlink>
    </w:p>
    <w:p w14:paraId="2130427E" w14:textId="73EE2403"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2" w:history="1">
        <w:r w:rsidRPr="00BD3B59">
          <w:rPr>
            <w:rStyle w:val="Hyperlink"/>
            <w:rFonts w:ascii="Arial" w:hAnsi="Arial" w:cs="Arial"/>
          </w:rPr>
          <w:t>Table 25: NPV Results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_Toc227799772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04755B">
          <w:rPr>
            <w:rFonts w:ascii="Arial" w:hAnsi="Arial" w:cs="Arial"/>
            <w:webHidden/>
          </w:rPr>
          <w:t>1</w:t>
        </w:r>
        <w:r w:rsidRPr="00BD3B59">
          <w:rPr>
            <w:rFonts w:ascii="Arial" w:hAnsi="Arial" w:cs="Arial"/>
            <w:webHidden/>
          </w:rPr>
          <w:fldChar w:fldCharType="end"/>
        </w:r>
      </w:hyperlink>
    </w:p>
    <w:p w14:paraId="5373A4D4" w14:textId="277E4B9F"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3" w:history="1">
        <w:r w:rsidRPr="00BD3B59">
          <w:rPr>
            <w:rStyle w:val="Hyperlink"/>
            <w:rFonts w:ascii="Arial" w:hAnsi="Arial" w:cs="Arial"/>
          </w:rPr>
          <w:t>Table 26: Profitability Index Results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_Toc227799773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697A15">
          <w:rPr>
            <w:rFonts w:ascii="Arial" w:hAnsi="Arial" w:cs="Arial"/>
            <w:webHidden/>
          </w:rPr>
          <w:t>2</w:t>
        </w:r>
        <w:r w:rsidRPr="00BD3B59">
          <w:rPr>
            <w:rFonts w:ascii="Arial" w:hAnsi="Arial" w:cs="Arial"/>
            <w:webHidden/>
          </w:rPr>
          <w:fldChar w:fldCharType="end"/>
        </w:r>
      </w:hyperlink>
    </w:p>
    <w:p w14:paraId="168736AE" w14:textId="1A8AA5B4"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4" w:history="1">
        <w:r w:rsidRPr="00BD3B59">
          <w:rPr>
            <w:rStyle w:val="Hyperlink"/>
            <w:rFonts w:ascii="Arial" w:hAnsi="Arial" w:cs="Arial"/>
          </w:rPr>
          <w:t>Table 27: IRR Results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_Toc227799774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697A15">
          <w:rPr>
            <w:rFonts w:ascii="Arial" w:hAnsi="Arial" w:cs="Arial"/>
            <w:webHidden/>
          </w:rPr>
          <w:t>3</w:t>
        </w:r>
        <w:r w:rsidRPr="00BD3B59">
          <w:rPr>
            <w:rFonts w:ascii="Arial" w:hAnsi="Arial" w:cs="Arial"/>
            <w:webHidden/>
          </w:rPr>
          <w:fldChar w:fldCharType="end"/>
        </w:r>
      </w:hyperlink>
    </w:p>
    <w:p w14:paraId="5C4966A2" w14:textId="3C2AD8E7"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5" w:history="1">
        <w:r w:rsidRPr="00BD3B59">
          <w:rPr>
            <w:rStyle w:val="Hyperlink"/>
            <w:rFonts w:ascii="Arial" w:hAnsi="Arial" w:cs="Arial"/>
          </w:rPr>
          <w:t>Table 28: Comparative Ranking of Projects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_Toc227799775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5B4608">
          <w:rPr>
            <w:rFonts w:ascii="Arial" w:hAnsi="Arial" w:cs="Arial"/>
            <w:webHidden/>
          </w:rPr>
          <w:t>4</w:t>
        </w:r>
        <w:r w:rsidRPr="00BD3B59">
          <w:rPr>
            <w:rFonts w:ascii="Arial" w:hAnsi="Arial" w:cs="Arial"/>
            <w:webHidden/>
          </w:rPr>
          <w:fldChar w:fldCharType="end"/>
        </w:r>
      </w:hyperlink>
    </w:p>
    <w:p w14:paraId="06F34240" w14:textId="0A9300AA"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6" w:history="1">
        <w:r w:rsidRPr="00BD3B59">
          <w:rPr>
            <w:rStyle w:val="Hyperlink"/>
            <w:rFonts w:ascii="Arial" w:hAnsi="Arial" w:cs="Arial"/>
          </w:rPr>
          <w:t>Table 29: Non-Financial Decision Factors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_Toc227799776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5B4608">
          <w:rPr>
            <w:rFonts w:ascii="Arial" w:hAnsi="Arial" w:cs="Arial"/>
            <w:webHidden/>
          </w:rPr>
          <w:t>6</w:t>
        </w:r>
        <w:r w:rsidRPr="00BD3B59">
          <w:rPr>
            <w:rFonts w:ascii="Arial" w:hAnsi="Arial" w:cs="Arial"/>
            <w:webHidden/>
          </w:rPr>
          <w:fldChar w:fldCharType="end"/>
        </w:r>
      </w:hyperlink>
    </w:p>
    <w:p w14:paraId="3D414C38" w14:textId="79C1E94C"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7" w:history="1">
        <w:r w:rsidRPr="00BD3B59">
          <w:rPr>
            <w:rStyle w:val="Hyperlink"/>
            <w:rFonts w:ascii="Arial" w:hAnsi="Arial" w:cs="Arial"/>
          </w:rPr>
          <w:t>Table 30: Best Project Combination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_Toc227799777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5B4608">
          <w:rPr>
            <w:rFonts w:ascii="Arial" w:hAnsi="Arial" w:cs="Arial"/>
            <w:webHidden/>
          </w:rPr>
          <w:t>6</w:t>
        </w:r>
        <w:r w:rsidRPr="00BD3B59">
          <w:rPr>
            <w:rFonts w:ascii="Arial" w:hAnsi="Arial" w:cs="Arial"/>
            <w:webHidden/>
          </w:rPr>
          <w:fldChar w:fldCharType="end"/>
        </w:r>
      </w:hyperlink>
    </w:p>
    <w:p w14:paraId="0D15D850" w14:textId="77777777" w:rsidR="00D861B3" w:rsidRPr="00BD3B59" w:rsidRDefault="00D861B3" w:rsidP="00D861B3">
      <w:pPr>
        <w:spacing w:line="276" w:lineRule="auto"/>
        <w:jc w:val="both"/>
        <w:rPr>
          <w:rFonts w:ascii="Arial" w:hAnsi="Arial" w:cs="Arial"/>
          <w:b/>
          <w:bCs/>
        </w:rPr>
      </w:pPr>
      <w:r w:rsidRPr="00BD3B59">
        <w:rPr>
          <w:rFonts w:ascii="Arial" w:hAnsi="Arial" w:cs="Arial"/>
          <w:bCs/>
        </w:rPr>
        <w:fldChar w:fldCharType="end"/>
      </w:r>
    </w:p>
    <w:p w14:paraId="1A1831FB" w14:textId="77777777" w:rsidR="00753799" w:rsidRPr="00BD3B59" w:rsidRDefault="00753799">
      <w:pPr>
        <w:rPr>
          <w:rFonts w:ascii="Arial" w:hAnsi="Arial" w:cs="Arial"/>
          <w:b/>
          <w:bCs/>
        </w:rPr>
      </w:pPr>
      <w:r w:rsidRPr="00BD3B59">
        <w:rPr>
          <w:rFonts w:ascii="Arial" w:hAnsi="Arial" w:cs="Arial"/>
          <w:b/>
          <w:bCs/>
        </w:rPr>
        <w:br w:type="page"/>
      </w:r>
    </w:p>
    <w:p w14:paraId="2D423783" w14:textId="77777777" w:rsidR="00A05AC6" w:rsidRPr="00BD3B59" w:rsidRDefault="00A05AC6" w:rsidP="00AD65EE">
      <w:pPr>
        <w:pStyle w:val="Heading1"/>
      </w:pPr>
      <w:bookmarkStart w:id="0" w:name="_Toc227799614"/>
      <w:r w:rsidRPr="00BD3B59">
        <w:t>1.0 Introduction</w:t>
      </w:r>
      <w:bookmarkEnd w:id="0"/>
    </w:p>
    <w:p w14:paraId="60586173" w14:textId="77777777" w:rsidR="00A05AC6" w:rsidRPr="00BD3B59" w:rsidRDefault="00A05AC6" w:rsidP="00D91438">
      <w:pPr>
        <w:spacing w:line="360" w:lineRule="auto"/>
        <w:jc w:val="both"/>
        <w:rPr>
          <w:rFonts w:ascii="Arial" w:hAnsi="Arial" w:cs="Arial"/>
        </w:rPr>
      </w:pPr>
      <w:r w:rsidRPr="00BD3B59">
        <w:rPr>
          <w:rFonts w:ascii="Arial" w:hAnsi="Arial" w:cs="Arial"/>
        </w:rPr>
        <w:t xml:space="preserve">The global automotive sector is rapidly shifting toward electric mobility due to climate regulation, fuel efficiency pressures and changing consumer preferences. Global EV sales exceeded </w:t>
      </w:r>
      <w:r w:rsidRPr="00BD3B59">
        <w:rPr>
          <w:rFonts w:ascii="Arial" w:hAnsi="Arial" w:cs="Arial"/>
          <w:bCs/>
        </w:rPr>
        <w:t>17 million units in 2024</w:t>
      </w:r>
      <w:r w:rsidRPr="00BD3B59">
        <w:rPr>
          <w:rFonts w:ascii="Arial" w:hAnsi="Arial" w:cs="Arial"/>
        </w:rPr>
        <w:t xml:space="preserve">, accounting for around </w:t>
      </w:r>
      <w:r w:rsidRPr="00BD3B59">
        <w:rPr>
          <w:rFonts w:ascii="Arial" w:hAnsi="Arial" w:cs="Arial"/>
          <w:bCs/>
        </w:rPr>
        <w:t>20% of new car sales worldwide</w:t>
      </w:r>
      <w:r w:rsidRPr="00BD3B59">
        <w:rPr>
          <w:rFonts w:ascii="Arial" w:hAnsi="Arial" w:cs="Arial"/>
        </w:rPr>
        <w:t xml:space="preserve"> (IEA, 2025). Tesla remains a leading market participant through battery innovation, direct sales and global manufacturing scale. In 2024, Tesla reported revenue of approximately </w:t>
      </w:r>
      <w:r w:rsidRPr="00BD3B59">
        <w:rPr>
          <w:rFonts w:ascii="Arial" w:hAnsi="Arial" w:cs="Arial"/>
          <w:bCs/>
        </w:rPr>
        <w:t>US$97.7 billion</w:t>
      </w:r>
      <w:r w:rsidRPr="00BD3B59">
        <w:rPr>
          <w:rFonts w:ascii="Arial" w:hAnsi="Arial" w:cs="Arial"/>
        </w:rPr>
        <w:t xml:space="preserve"> and delivered </w:t>
      </w:r>
      <w:r w:rsidRPr="00BD3B59">
        <w:rPr>
          <w:rFonts w:ascii="Arial" w:hAnsi="Arial" w:cs="Arial"/>
          <w:bCs/>
        </w:rPr>
        <w:t>1.79 million vehicles</w:t>
      </w:r>
      <w:r w:rsidRPr="00BD3B59">
        <w:rPr>
          <w:rFonts w:ascii="Arial" w:hAnsi="Arial" w:cs="Arial"/>
        </w:rPr>
        <w:t>, although profit margins faced pressure from price cuts and rising competition (Tesla, 2025).</w:t>
      </w:r>
    </w:p>
    <w:p w14:paraId="399F4FD8" w14:textId="77777777" w:rsidR="00A05AC6" w:rsidRPr="00BD3B59" w:rsidRDefault="00A05AC6" w:rsidP="00D91438">
      <w:pPr>
        <w:spacing w:line="360" w:lineRule="auto"/>
        <w:jc w:val="both"/>
        <w:rPr>
          <w:rFonts w:ascii="Arial" w:hAnsi="Arial" w:cs="Arial"/>
        </w:rPr>
      </w:pPr>
      <w:r w:rsidRPr="00BD3B59">
        <w:rPr>
          <w:rFonts w:ascii="Arial" w:hAnsi="Arial" w:cs="Arial"/>
        </w:rPr>
        <w:t>This report critically evaluates Tesla’s five-year financial performance using ratio analysis, reviews working capital efficiency, proposes restructuring strategies, and assesses three investment projects using capital budgeting tools such as NPV, IRR and Payback Period. The objective is to determine how Tesla can sustain profitability, liquidity and shareholder value in a more competitive EV market.</w:t>
      </w:r>
    </w:p>
    <w:p w14:paraId="2FC6EDDB" w14:textId="77777777" w:rsidR="00B64335" w:rsidRPr="00BD3B59" w:rsidRDefault="00B64335" w:rsidP="00AD65EE">
      <w:pPr>
        <w:pStyle w:val="Heading1"/>
      </w:pPr>
      <w:bookmarkStart w:id="1" w:name="_Toc227799615"/>
      <w:r w:rsidRPr="00BD3B59">
        <w:t>2.0 Financial Health Check</w:t>
      </w:r>
      <w:bookmarkEnd w:id="1"/>
    </w:p>
    <w:p w14:paraId="7D9FC2F8"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Tesla’s financial performance over the 2020–2024 period reflects two distinct phases: rapid expansion and profitability improvement up to 2022, followed by slowing earnings quality and weaker capital efficiency in 2023–2024. During the five-year period, revenue increased from </w:t>
      </w:r>
      <w:r w:rsidRPr="00BD3B59">
        <w:rPr>
          <w:rFonts w:ascii="Arial" w:hAnsi="Arial" w:cs="Arial"/>
          <w:bCs/>
        </w:rPr>
        <w:t>US$31.5 billion</w:t>
      </w:r>
      <w:r w:rsidRPr="00BD3B59">
        <w:rPr>
          <w:rFonts w:ascii="Arial" w:hAnsi="Arial" w:cs="Arial"/>
        </w:rPr>
        <w:t xml:space="preserve"> in 2020 to </w:t>
      </w:r>
      <w:r w:rsidRPr="00BD3B59">
        <w:rPr>
          <w:rFonts w:ascii="Arial" w:hAnsi="Arial" w:cs="Arial"/>
          <w:bCs/>
        </w:rPr>
        <w:t>US$97.7 billion</w:t>
      </w:r>
      <w:r w:rsidRPr="00BD3B59">
        <w:rPr>
          <w:rFonts w:ascii="Arial" w:hAnsi="Arial" w:cs="Arial"/>
        </w:rPr>
        <w:t xml:space="preserve"> in 2024, demonstrating the company’s ability to scale production and maintain strong market demand. However, despite continued top-line growth, the decline in net income from </w:t>
      </w:r>
      <w:r w:rsidRPr="00BD3B59">
        <w:rPr>
          <w:rFonts w:ascii="Arial" w:hAnsi="Arial" w:cs="Arial"/>
          <w:bCs/>
        </w:rPr>
        <w:t>US$15.0 billion in 2023</w:t>
      </w:r>
      <w:r w:rsidRPr="00BD3B59">
        <w:rPr>
          <w:rFonts w:ascii="Arial" w:hAnsi="Arial" w:cs="Arial"/>
        </w:rPr>
        <w:t xml:space="preserve"> to </w:t>
      </w:r>
      <w:r w:rsidRPr="00BD3B59">
        <w:rPr>
          <w:rFonts w:ascii="Arial" w:hAnsi="Arial" w:cs="Arial"/>
          <w:bCs/>
        </w:rPr>
        <w:t>US$7.1 billion in 2024</w:t>
      </w:r>
      <w:r w:rsidRPr="00BD3B59">
        <w:rPr>
          <w:rFonts w:ascii="Arial" w:hAnsi="Arial" w:cs="Arial"/>
        </w:rPr>
        <w:t xml:space="preserve"> suggests that revenue growth alone was insufficient to sustain shareholder value. This section critically evaluates Tesla’s profitability, liquidity, efficiency, gearing, investment and cash flow performance using ratio analysis derived from the company’s annual reports (Tesla, 2021; Tesla, 2025).</w:t>
      </w:r>
    </w:p>
    <w:p w14:paraId="7507B12E" w14:textId="77777777" w:rsidR="00B64335" w:rsidRPr="00BD3B59" w:rsidRDefault="00B64335" w:rsidP="00AD65EE">
      <w:pPr>
        <w:pStyle w:val="Heading2"/>
      </w:pPr>
      <w:bookmarkStart w:id="2" w:name="_Toc227799616"/>
      <w:r w:rsidRPr="00BD3B59">
        <w:t>2.1 Profitability Analysis</w:t>
      </w:r>
      <w:bookmarkEnd w:id="2"/>
    </w:p>
    <w:p w14:paraId="4325331D"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Profitability ratios indicate whether Tesla’s growth strategy translated into stronger earnings performance. As shown in </w:t>
      </w:r>
      <w:r w:rsidRPr="00BD3B59">
        <w:rPr>
          <w:rFonts w:ascii="Arial" w:hAnsi="Arial" w:cs="Arial"/>
          <w:bCs/>
        </w:rPr>
        <w:t>Table 1</w:t>
      </w:r>
      <w:r w:rsidRPr="00BD3B59">
        <w:rPr>
          <w:rFonts w:ascii="Arial" w:hAnsi="Arial" w:cs="Arial"/>
        </w:rPr>
        <w:t xml:space="preserve"> and </w:t>
      </w:r>
      <w:r w:rsidRPr="00BD3B59">
        <w:rPr>
          <w:rFonts w:ascii="Arial" w:hAnsi="Arial" w:cs="Arial"/>
          <w:bCs/>
        </w:rPr>
        <w:t>Figure 1</w:t>
      </w:r>
      <w:r w:rsidRPr="00BD3B59">
        <w:rPr>
          <w:rFonts w:ascii="Arial" w:hAnsi="Arial" w:cs="Arial"/>
        </w:rPr>
        <w:t xml:space="preserve">, Tesla’s gross profit margin improved from </w:t>
      </w:r>
      <w:r w:rsidRPr="00BD3B59">
        <w:rPr>
          <w:rFonts w:ascii="Arial" w:hAnsi="Arial" w:cs="Arial"/>
          <w:bCs/>
        </w:rPr>
        <w:t>21.0% in 2020</w:t>
      </w:r>
      <w:r w:rsidRPr="00BD3B59">
        <w:rPr>
          <w:rFonts w:ascii="Arial" w:hAnsi="Arial" w:cs="Arial"/>
        </w:rPr>
        <w:t xml:space="preserve"> to </w:t>
      </w:r>
      <w:r w:rsidRPr="00BD3B59">
        <w:rPr>
          <w:rFonts w:ascii="Arial" w:hAnsi="Arial" w:cs="Arial"/>
          <w:bCs/>
        </w:rPr>
        <w:t>25.6% in 2022</w:t>
      </w:r>
      <w:r w:rsidRPr="00BD3B59">
        <w:rPr>
          <w:rFonts w:ascii="Arial" w:hAnsi="Arial" w:cs="Arial"/>
        </w:rPr>
        <w:t xml:space="preserve">, reflecting successful scale economies, production efficiencies and strong pricing power during the post-pandemic EV demand surge. However, this ratio fell sharply to </w:t>
      </w:r>
      <w:r w:rsidRPr="00BD3B59">
        <w:rPr>
          <w:rFonts w:ascii="Arial" w:hAnsi="Arial" w:cs="Arial"/>
          <w:bCs/>
        </w:rPr>
        <w:t>17.9% in 2024</w:t>
      </w:r>
      <w:r w:rsidRPr="00BD3B59">
        <w:rPr>
          <w:rFonts w:ascii="Arial" w:hAnsi="Arial" w:cs="Arial"/>
        </w:rPr>
        <w:t>, indicating that production growth was increasingly supported by price reductions rather than margin preservation.</w:t>
      </w:r>
    </w:p>
    <w:p w14:paraId="0526ADB0"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Similarly, net profit margin increased significantly from </w:t>
      </w:r>
      <w:r w:rsidRPr="00BD3B59">
        <w:rPr>
          <w:rFonts w:ascii="Arial" w:hAnsi="Arial" w:cs="Arial"/>
          <w:bCs/>
        </w:rPr>
        <w:t>2.3% in 2020</w:t>
      </w:r>
      <w:r w:rsidRPr="00BD3B59">
        <w:rPr>
          <w:rFonts w:ascii="Arial" w:hAnsi="Arial" w:cs="Arial"/>
        </w:rPr>
        <w:t xml:space="preserve"> to </w:t>
      </w:r>
      <w:r w:rsidRPr="00BD3B59">
        <w:rPr>
          <w:rFonts w:ascii="Arial" w:hAnsi="Arial" w:cs="Arial"/>
          <w:bCs/>
        </w:rPr>
        <w:t>15.5% in 2023</w:t>
      </w:r>
      <w:r w:rsidRPr="00BD3B59">
        <w:rPr>
          <w:rFonts w:ascii="Arial" w:hAnsi="Arial" w:cs="Arial"/>
        </w:rPr>
        <w:t xml:space="preserve">, before falling to </w:t>
      </w:r>
      <w:r w:rsidRPr="00BD3B59">
        <w:rPr>
          <w:rFonts w:ascii="Arial" w:hAnsi="Arial" w:cs="Arial"/>
          <w:bCs/>
        </w:rPr>
        <w:t>7.3% in 2024</w:t>
      </w:r>
      <w:r w:rsidRPr="00BD3B59">
        <w:rPr>
          <w:rFonts w:ascii="Arial" w:hAnsi="Arial" w:cs="Arial"/>
        </w:rPr>
        <w:t>. This decline is strategically important because Tesla generated almost the same revenue in 2024 as in 2023, yet retained less than half the earnings margin. Such a trend suggests intensifying competition, discount-led sales strategies and rising operating cost pressure. In mature industries, revenue stability with falling margins is often a warning sign that market leadership is becoming more expensive to defend.</w:t>
      </w:r>
    </w:p>
    <w:p w14:paraId="37E1FDB9"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Return on Equity (ROE) rose strongly to </w:t>
      </w:r>
      <w:r w:rsidRPr="00BD3B59">
        <w:rPr>
          <w:rFonts w:ascii="Arial" w:hAnsi="Arial" w:cs="Arial"/>
          <w:bCs/>
        </w:rPr>
        <w:t>33.6% in 2022</w:t>
      </w:r>
      <w:r w:rsidRPr="00BD3B59">
        <w:rPr>
          <w:rFonts w:ascii="Arial" w:hAnsi="Arial" w:cs="Arial"/>
        </w:rPr>
        <w:t xml:space="preserve">, demonstrating efficient use of shareholder funds during Tesla’s peak profitability phase. However, the ratio fell to </w:t>
      </w:r>
      <w:r w:rsidRPr="00BD3B59">
        <w:rPr>
          <w:rFonts w:ascii="Arial" w:hAnsi="Arial" w:cs="Arial"/>
          <w:bCs/>
        </w:rPr>
        <w:t>10.5% in 2024</w:t>
      </w:r>
      <w:r w:rsidRPr="00BD3B59">
        <w:rPr>
          <w:rFonts w:ascii="Arial" w:hAnsi="Arial" w:cs="Arial"/>
        </w:rPr>
        <w:t xml:space="preserve">, indicating materially weaker returns to investors. Return on Capital Employed (ROCE) followed the same pattern, falling from </w:t>
      </w:r>
      <w:r w:rsidRPr="00BD3B59">
        <w:rPr>
          <w:rFonts w:ascii="Arial" w:hAnsi="Arial" w:cs="Arial"/>
          <w:bCs/>
        </w:rPr>
        <w:t>24.2% in 2022</w:t>
      </w:r>
      <w:r w:rsidRPr="00BD3B59">
        <w:rPr>
          <w:rFonts w:ascii="Arial" w:hAnsi="Arial" w:cs="Arial"/>
        </w:rPr>
        <w:t xml:space="preserve"> to </w:t>
      </w:r>
      <w:r w:rsidRPr="00BD3B59">
        <w:rPr>
          <w:rFonts w:ascii="Arial" w:hAnsi="Arial" w:cs="Arial"/>
          <w:bCs/>
        </w:rPr>
        <w:t>8.9% in 2024</w:t>
      </w:r>
      <w:r w:rsidRPr="00BD3B59">
        <w:rPr>
          <w:rFonts w:ascii="Arial" w:hAnsi="Arial" w:cs="Arial"/>
        </w:rPr>
        <w:t>. This suggests Tesla’s expanding capital base was no longer generating equivalent operating returns. For a capital-intensive manufacturer, declining ROCE is particularly concerning because it implies lower productivity from factories, technology assets and invested capital.</w:t>
      </w:r>
    </w:p>
    <w:p w14:paraId="73CF724D" w14:textId="77777777" w:rsidR="00177B86" w:rsidRPr="00BD3B59" w:rsidRDefault="00177B86" w:rsidP="00177B86">
      <w:pPr>
        <w:pStyle w:val="Caption"/>
        <w:keepNext/>
        <w:rPr>
          <w:rFonts w:ascii="Arial" w:hAnsi="Arial" w:cs="Arial"/>
          <w:i w:val="0"/>
          <w:sz w:val="24"/>
          <w:szCs w:val="24"/>
        </w:rPr>
      </w:pPr>
      <w:bookmarkStart w:id="3" w:name="_Toc227799748"/>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w:t>
      </w:r>
      <w:r w:rsidR="00F52EE6" w:rsidRPr="00BD3B59">
        <w:rPr>
          <w:rFonts w:ascii="Arial" w:hAnsi="Arial" w:cs="Arial"/>
          <w:b/>
          <w:i w:val="0"/>
          <w:sz w:val="24"/>
          <w:szCs w:val="24"/>
        </w:rPr>
        <w:fldChar w:fldCharType="end"/>
      </w:r>
      <w:r w:rsidRPr="00BD3B59">
        <w:rPr>
          <w:rFonts w:ascii="Arial" w:hAnsi="Arial" w:cs="Arial"/>
          <w:b/>
          <w:i w:val="0"/>
          <w:sz w:val="24"/>
          <w:szCs w:val="24"/>
        </w:rPr>
        <w:t>: Tesla Profitability Ratios (2020–2024)</w:t>
      </w:r>
      <w:bookmarkEnd w:id="3"/>
      <w:r w:rsidR="005859BF" w:rsidRPr="00BD3B59">
        <w:rPr>
          <w:rFonts w:ascii="Arial" w:hAnsi="Arial" w:cs="Arial"/>
          <w:b/>
          <w:i w:val="0"/>
          <w:sz w:val="24"/>
          <w:szCs w:val="24"/>
        </w:rPr>
        <w:t xml:space="preserve">, Source: </w:t>
      </w:r>
      <w:r w:rsidR="005859BF" w:rsidRPr="00BD3B59">
        <w:rPr>
          <w:rFonts w:ascii="Times New Roman" w:eastAsia="Times New Roman" w:hAnsi="Times New Roman" w:cs="Times New Roman"/>
          <w:i w:val="0"/>
          <w:kern w:val="0"/>
          <w:sz w:val="24"/>
          <w:szCs w:val="24"/>
          <w14:ligatures w14:val="none"/>
        </w:rPr>
        <w:t>Tesla (2025)</w:t>
      </w:r>
    </w:p>
    <w:tbl>
      <w:tblPr>
        <w:tblStyle w:val="PlainTable5"/>
        <w:tblW w:w="9282" w:type="dxa"/>
        <w:tblLook w:val="04A0" w:firstRow="1" w:lastRow="0" w:firstColumn="1" w:lastColumn="0" w:noHBand="0" w:noVBand="1"/>
      </w:tblPr>
      <w:tblGrid>
        <w:gridCol w:w="3906"/>
        <w:gridCol w:w="1076"/>
        <w:gridCol w:w="1075"/>
        <w:gridCol w:w="1075"/>
        <w:gridCol w:w="1075"/>
        <w:gridCol w:w="1075"/>
      </w:tblGrid>
      <w:tr w:rsidR="00B64335" w:rsidRPr="00BD3B59" w14:paraId="3BEAF5B4" w14:textId="77777777" w:rsidTr="00F52EE6">
        <w:trPr>
          <w:cnfStyle w:val="100000000000" w:firstRow="1" w:lastRow="0" w:firstColumn="0" w:lastColumn="0" w:oddVBand="0" w:evenVBand="0" w:oddHBand="0" w:evenHBand="0" w:firstRowFirstColumn="0" w:firstRowLastColumn="0" w:lastRowFirstColumn="0" w:lastRowLastColumn="0"/>
          <w:trHeight w:val="370"/>
        </w:trPr>
        <w:tc>
          <w:tcPr>
            <w:cnfStyle w:val="001000000100" w:firstRow="0" w:lastRow="0" w:firstColumn="1" w:lastColumn="0" w:oddVBand="0" w:evenVBand="0" w:oddHBand="0" w:evenHBand="0" w:firstRowFirstColumn="1" w:firstRowLastColumn="0" w:lastRowFirstColumn="0" w:lastRowLastColumn="0"/>
            <w:tcW w:w="0" w:type="auto"/>
            <w:hideMark/>
          </w:tcPr>
          <w:p w14:paraId="7860FAD7" w14:textId="77777777" w:rsidR="00B64335" w:rsidRPr="00BD3B59" w:rsidRDefault="00B64335" w:rsidP="00D91438">
            <w:pPr>
              <w:spacing w:line="360" w:lineRule="auto"/>
              <w:jc w:val="both"/>
              <w:rPr>
                <w:rFonts w:ascii="Arial" w:hAnsi="Arial" w:cs="Arial"/>
                <w:b/>
                <w:bCs/>
                <w:sz w:val="24"/>
              </w:rPr>
            </w:pPr>
            <w:r w:rsidRPr="00BD3B59">
              <w:rPr>
                <w:rFonts w:ascii="Arial" w:hAnsi="Arial" w:cs="Arial"/>
                <w:sz w:val="24"/>
              </w:rPr>
              <w:t>Ratio</w:t>
            </w:r>
          </w:p>
        </w:tc>
        <w:tc>
          <w:tcPr>
            <w:tcW w:w="0" w:type="auto"/>
            <w:hideMark/>
          </w:tcPr>
          <w:p w14:paraId="3B840883"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2020</w:t>
            </w:r>
          </w:p>
        </w:tc>
        <w:tc>
          <w:tcPr>
            <w:tcW w:w="0" w:type="auto"/>
            <w:hideMark/>
          </w:tcPr>
          <w:p w14:paraId="53474D8D"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2021</w:t>
            </w:r>
          </w:p>
        </w:tc>
        <w:tc>
          <w:tcPr>
            <w:tcW w:w="0" w:type="auto"/>
            <w:hideMark/>
          </w:tcPr>
          <w:p w14:paraId="7176EA65"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2022</w:t>
            </w:r>
          </w:p>
        </w:tc>
        <w:tc>
          <w:tcPr>
            <w:tcW w:w="0" w:type="auto"/>
            <w:hideMark/>
          </w:tcPr>
          <w:p w14:paraId="7A0B0C2A"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2023</w:t>
            </w:r>
          </w:p>
        </w:tc>
        <w:tc>
          <w:tcPr>
            <w:tcW w:w="0" w:type="auto"/>
            <w:hideMark/>
          </w:tcPr>
          <w:p w14:paraId="14DEA19E"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2024</w:t>
            </w:r>
          </w:p>
        </w:tc>
      </w:tr>
      <w:tr w:rsidR="00B64335" w:rsidRPr="00BD3B59" w14:paraId="3A6E982A" w14:textId="77777777" w:rsidTr="00F52EE6">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0" w:type="auto"/>
            <w:hideMark/>
          </w:tcPr>
          <w:p w14:paraId="3FE0C2EC"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Gross Profit Margin (%)</w:t>
            </w:r>
          </w:p>
        </w:tc>
        <w:tc>
          <w:tcPr>
            <w:tcW w:w="0" w:type="auto"/>
            <w:hideMark/>
          </w:tcPr>
          <w:p w14:paraId="2CA2AAFB"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21.0</w:t>
            </w:r>
          </w:p>
        </w:tc>
        <w:tc>
          <w:tcPr>
            <w:tcW w:w="0" w:type="auto"/>
            <w:hideMark/>
          </w:tcPr>
          <w:p w14:paraId="77863174"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25.3</w:t>
            </w:r>
          </w:p>
        </w:tc>
        <w:tc>
          <w:tcPr>
            <w:tcW w:w="0" w:type="auto"/>
            <w:hideMark/>
          </w:tcPr>
          <w:p w14:paraId="722419E9"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25.6</w:t>
            </w:r>
          </w:p>
        </w:tc>
        <w:tc>
          <w:tcPr>
            <w:tcW w:w="0" w:type="auto"/>
            <w:hideMark/>
          </w:tcPr>
          <w:p w14:paraId="6E02F9B3"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18.3</w:t>
            </w:r>
          </w:p>
        </w:tc>
        <w:tc>
          <w:tcPr>
            <w:tcW w:w="0" w:type="auto"/>
            <w:hideMark/>
          </w:tcPr>
          <w:p w14:paraId="03324430"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17.9</w:t>
            </w:r>
          </w:p>
        </w:tc>
      </w:tr>
      <w:tr w:rsidR="00B64335" w:rsidRPr="00BD3B59" w14:paraId="193869A6" w14:textId="77777777" w:rsidTr="00F52EE6">
        <w:trPr>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3FD05BFA"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Net Profit Margin (%)</w:t>
            </w:r>
          </w:p>
        </w:tc>
        <w:tc>
          <w:tcPr>
            <w:tcW w:w="0" w:type="auto"/>
            <w:hideMark/>
          </w:tcPr>
          <w:p w14:paraId="376552B3"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2.3</w:t>
            </w:r>
          </w:p>
        </w:tc>
        <w:tc>
          <w:tcPr>
            <w:tcW w:w="0" w:type="auto"/>
            <w:hideMark/>
          </w:tcPr>
          <w:p w14:paraId="45225E71"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10.3</w:t>
            </w:r>
          </w:p>
        </w:tc>
        <w:tc>
          <w:tcPr>
            <w:tcW w:w="0" w:type="auto"/>
            <w:hideMark/>
          </w:tcPr>
          <w:p w14:paraId="528DDE7B"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15.4</w:t>
            </w:r>
          </w:p>
        </w:tc>
        <w:tc>
          <w:tcPr>
            <w:tcW w:w="0" w:type="auto"/>
            <w:hideMark/>
          </w:tcPr>
          <w:p w14:paraId="279CEED3"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15.5</w:t>
            </w:r>
          </w:p>
        </w:tc>
        <w:tc>
          <w:tcPr>
            <w:tcW w:w="0" w:type="auto"/>
            <w:hideMark/>
          </w:tcPr>
          <w:p w14:paraId="4A82DBD5"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7.3</w:t>
            </w:r>
          </w:p>
        </w:tc>
      </w:tr>
      <w:tr w:rsidR="00B64335" w:rsidRPr="00BD3B59" w14:paraId="3D0F8E15" w14:textId="77777777" w:rsidTr="00F52EE6">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2439D508"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ROE (%)</w:t>
            </w:r>
          </w:p>
        </w:tc>
        <w:tc>
          <w:tcPr>
            <w:tcW w:w="0" w:type="auto"/>
            <w:hideMark/>
          </w:tcPr>
          <w:p w14:paraId="59AE5192"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0F7C3AB0"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21.1</w:t>
            </w:r>
          </w:p>
        </w:tc>
        <w:tc>
          <w:tcPr>
            <w:tcW w:w="0" w:type="auto"/>
            <w:hideMark/>
          </w:tcPr>
          <w:p w14:paraId="2BE433F3"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33.6</w:t>
            </w:r>
          </w:p>
        </w:tc>
        <w:tc>
          <w:tcPr>
            <w:tcW w:w="0" w:type="auto"/>
            <w:hideMark/>
          </w:tcPr>
          <w:p w14:paraId="6CA9CC17"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28.0</w:t>
            </w:r>
          </w:p>
        </w:tc>
        <w:tc>
          <w:tcPr>
            <w:tcW w:w="0" w:type="auto"/>
            <w:hideMark/>
          </w:tcPr>
          <w:p w14:paraId="49076DE4"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10.5</w:t>
            </w:r>
          </w:p>
        </w:tc>
      </w:tr>
      <w:tr w:rsidR="00B64335" w:rsidRPr="00BD3B59" w14:paraId="69A9212B" w14:textId="77777777" w:rsidTr="00F52EE6">
        <w:trPr>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18CA95B2"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ROCE (%)</w:t>
            </w:r>
          </w:p>
        </w:tc>
        <w:tc>
          <w:tcPr>
            <w:tcW w:w="0" w:type="auto"/>
            <w:hideMark/>
          </w:tcPr>
          <w:p w14:paraId="2EDD8DE1"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5.3</w:t>
            </w:r>
          </w:p>
        </w:tc>
        <w:tc>
          <w:tcPr>
            <w:tcW w:w="0" w:type="auto"/>
            <w:hideMark/>
          </w:tcPr>
          <w:p w14:paraId="0498BDC5"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13.3</w:t>
            </w:r>
          </w:p>
        </w:tc>
        <w:tc>
          <w:tcPr>
            <w:tcW w:w="0" w:type="auto"/>
            <w:hideMark/>
          </w:tcPr>
          <w:p w14:paraId="72B4D78D"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24.2</w:t>
            </w:r>
          </w:p>
        </w:tc>
        <w:tc>
          <w:tcPr>
            <w:tcW w:w="0" w:type="auto"/>
            <w:hideMark/>
          </w:tcPr>
          <w:p w14:paraId="1EBE23C7"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13.7</w:t>
            </w:r>
          </w:p>
        </w:tc>
        <w:tc>
          <w:tcPr>
            <w:tcW w:w="0" w:type="auto"/>
            <w:hideMark/>
          </w:tcPr>
          <w:p w14:paraId="7F6F3DF7"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8.9</w:t>
            </w:r>
          </w:p>
        </w:tc>
      </w:tr>
    </w:tbl>
    <w:p w14:paraId="186A52F4" w14:textId="77777777" w:rsidR="00F52EE6" w:rsidRPr="00BD3B59" w:rsidRDefault="00B64335" w:rsidP="00F52EE6">
      <w:pPr>
        <w:keepNext/>
        <w:spacing w:line="360" w:lineRule="auto"/>
        <w:jc w:val="both"/>
      </w:pPr>
      <w:r w:rsidRPr="00BD3B59">
        <w:rPr>
          <w:rFonts w:ascii="Arial" w:hAnsi="Arial" w:cs="Arial"/>
          <w:noProof/>
        </w:rPr>
        <w:drawing>
          <wp:inline distT="0" distB="0" distL="0" distR="0" wp14:anchorId="0CE8E776" wp14:editId="5E043FC8">
            <wp:extent cx="5943600" cy="3025775"/>
            <wp:effectExtent l="0" t="0" r="0" b="317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FD166F" w14:textId="77777777" w:rsidR="00B64335" w:rsidRPr="00BD3B59" w:rsidRDefault="00F52EE6" w:rsidP="00F52EE6">
      <w:pPr>
        <w:pStyle w:val="Caption"/>
        <w:spacing w:line="360" w:lineRule="auto"/>
        <w:jc w:val="both"/>
        <w:rPr>
          <w:rFonts w:ascii="Arial" w:hAnsi="Arial" w:cs="Arial"/>
          <w:b/>
          <w:bCs/>
          <w:i w:val="0"/>
          <w:sz w:val="36"/>
          <w:szCs w:val="24"/>
        </w:rPr>
      </w:pPr>
      <w:bookmarkStart w:id="4" w:name="_Toc227799713"/>
      <w:r w:rsidRPr="00BD3B59">
        <w:rPr>
          <w:rFonts w:ascii="Arial" w:hAnsi="Arial" w:cs="Arial"/>
          <w:b/>
          <w:i w:val="0"/>
          <w:sz w:val="24"/>
        </w:rPr>
        <w:t xml:space="preserve">Figure </w:t>
      </w:r>
      <w:r w:rsidRPr="00BD3B59">
        <w:rPr>
          <w:rFonts w:ascii="Arial" w:hAnsi="Arial" w:cs="Arial"/>
          <w:b/>
          <w:i w:val="0"/>
          <w:sz w:val="24"/>
        </w:rPr>
        <w:fldChar w:fldCharType="begin"/>
      </w:r>
      <w:r w:rsidRPr="00BD3B59">
        <w:rPr>
          <w:rFonts w:ascii="Arial" w:hAnsi="Arial" w:cs="Arial"/>
          <w:b/>
          <w:i w:val="0"/>
          <w:sz w:val="24"/>
        </w:rPr>
        <w:instrText xml:space="preserve"> SEQ Figure \* ARABIC </w:instrText>
      </w:r>
      <w:r w:rsidRPr="00BD3B59">
        <w:rPr>
          <w:rFonts w:ascii="Arial" w:hAnsi="Arial" w:cs="Arial"/>
          <w:b/>
          <w:i w:val="0"/>
          <w:sz w:val="24"/>
        </w:rPr>
        <w:fldChar w:fldCharType="separate"/>
      </w:r>
      <w:r w:rsidRPr="00BD3B59">
        <w:rPr>
          <w:rFonts w:ascii="Arial" w:hAnsi="Arial" w:cs="Arial"/>
          <w:b/>
          <w:i w:val="0"/>
          <w:sz w:val="24"/>
        </w:rPr>
        <w:t>1</w:t>
      </w:r>
      <w:r w:rsidRPr="00BD3B59">
        <w:rPr>
          <w:rFonts w:ascii="Arial" w:hAnsi="Arial" w:cs="Arial"/>
          <w:b/>
          <w:i w:val="0"/>
          <w:sz w:val="24"/>
        </w:rPr>
        <w:fldChar w:fldCharType="end"/>
      </w:r>
      <w:r w:rsidRPr="00BD3B59">
        <w:rPr>
          <w:rFonts w:ascii="Arial" w:hAnsi="Arial" w:cs="Arial"/>
          <w:b/>
          <w:i w:val="0"/>
          <w:sz w:val="24"/>
        </w:rPr>
        <w:t>: Tesla profitability ratios (gross profit margin, net profit margin, ROE and ROCE) peaked during 2022 before declining by 2024, indicating weaker earnings efficiency after rapid expansion.</w:t>
      </w:r>
      <w:bookmarkEnd w:id="4"/>
    </w:p>
    <w:p w14:paraId="25527838" w14:textId="77777777" w:rsidR="00B64335" w:rsidRPr="00BD3B59" w:rsidRDefault="00B64335" w:rsidP="00D91438">
      <w:pPr>
        <w:spacing w:line="360" w:lineRule="auto"/>
        <w:jc w:val="both"/>
        <w:rPr>
          <w:rFonts w:ascii="Arial" w:hAnsi="Arial" w:cs="Arial"/>
        </w:rPr>
      </w:pPr>
      <w:r w:rsidRPr="00BD3B59">
        <w:rPr>
          <w:rStyle w:val="Strong"/>
          <w:rFonts w:ascii="Arial" w:hAnsi="Arial" w:cs="Arial"/>
        </w:rPr>
        <w:t>Source:</w:t>
      </w:r>
      <w:r w:rsidRPr="00BD3B59">
        <w:rPr>
          <w:rFonts w:ascii="Arial" w:hAnsi="Arial" w:cs="Arial"/>
        </w:rPr>
        <w:t xml:space="preserve"> Author’s calculations based on Tesla Annual Reports (2021–2025).</w:t>
      </w:r>
    </w:p>
    <w:p w14:paraId="67DAB24A" w14:textId="77777777" w:rsidR="00B64335" w:rsidRPr="00BD3B59" w:rsidRDefault="00B64335" w:rsidP="00AD65EE">
      <w:pPr>
        <w:pStyle w:val="Heading2"/>
      </w:pPr>
      <w:bookmarkStart w:id="5" w:name="_Toc227799617"/>
      <w:r w:rsidRPr="00BD3B59">
        <w:t>2.2 Liquidity Analysis</w:t>
      </w:r>
      <w:bookmarkEnd w:id="5"/>
    </w:p>
    <w:p w14:paraId="4BF6B8B1"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Tesla’s liquidity position remained comparatively strong throughout the review period. The current ratio improved from </w:t>
      </w:r>
      <w:r w:rsidRPr="00BD3B59">
        <w:rPr>
          <w:rFonts w:ascii="Arial" w:hAnsi="Arial" w:cs="Arial"/>
          <w:bCs/>
        </w:rPr>
        <w:t>1.38 in 2021</w:t>
      </w:r>
      <w:r w:rsidRPr="00BD3B59">
        <w:rPr>
          <w:rFonts w:ascii="Arial" w:hAnsi="Arial" w:cs="Arial"/>
        </w:rPr>
        <w:t xml:space="preserve"> to </w:t>
      </w:r>
      <w:r w:rsidRPr="00BD3B59">
        <w:rPr>
          <w:rFonts w:ascii="Arial" w:hAnsi="Arial" w:cs="Arial"/>
          <w:bCs/>
        </w:rPr>
        <w:t>2.03 in 2024</w:t>
      </w:r>
      <w:r w:rsidRPr="00BD3B59">
        <w:rPr>
          <w:rFonts w:ascii="Arial" w:hAnsi="Arial" w:cs="Arial"/>
        </w:rPr>
        <w:t xml:space="preserve">, while the quick ratio rose from </w:t>
      </w:r>
      <w:r w:rsidRPr="00BD3B59">
        <w:rPr>
          <w:rFonts w:ascii="Arial" w:hAnsi="Arial" w:cs="Arial"/>
          <w:bCs/>
        </w:rPr>
        <w:t>1.05 in 2022</w:t>
      </w:r>
      <w:r w:rsidRPr="00BD3B59">
        <w:rPr>
          <w:rFonts w:ascii="Arial" w:hAnsi="Arial" w:cs="Arial"/>
        </w:rPr>
        <w:t xml:space="preserve"> to </w:t>
      </w:r>
      <w:r w:rsidRPr="00BD3B59">
        <w:rPr>
          <w:rFonts w:ascii="Arial" w:hAnsi="Arial" w:cs="Arial"/>
          <w:bCs/>
        </w:rPr>
        <w:t>1.61 in 2024</w:t>
      </w:r>
      <w:r w:rsidRPr="00BD3B59">
        <w:rPr>
          <w:rFonts w:ascii="Arial" w:hAnsi="Arial" w:cs="Arial"/>
        </w:rPr>
        <w:t>. This indicates that Tesla had sufficient short-term assets to meet immediate liabilities without relying excessively on external finance (Tesla, 2025).</w:t>
      </w:r>
    </w:p>
    <w:p w14:paraId="53184926" w14:textId="77777777" w:rsidR="00B64335" w:rsidRPr="00BD3B59" w:rsidRDefault="00B64335" w:rsidP="00D91438">
      <w:pPr>
        <w:spacing w:line="360" w:lineRule="auto"/>
        <w:jc w:val="both"/>
        <w:rPr>
          <w:rFonts w:ascii="Arial" w:hAnsi="Arial" w:cs="Arial"/>
        </w:rPr>
      </w:pPr>
      <w:r w:rsidRPr="00BD3B59">
        <w:rPr>
          <w:rFonts w:ascii="Arial" w:hAnsi="Arial" w:cs="Arial"/>
        </w:rPr>
        <w:t>From a risk perspective, this is a major strength. Strong liquidity gives Tesla flexibility to manage cyclical demand shifts, raw material price volatility and future investment commitments. It also reduces refinancing pressure during periods of higher interest rates. However, rising liquidity alongside falling profitability may indicate that capital is being held in lower-yielding assets rather than deployed efficiently into high-return projects. Therefore, while Tesla’s solvency position improved, this does not automatically imply stronger overall financial performance.</w:t>
      </w:r>
    </w:p>
    <w:p w14:paraId="65BB1164" w14:textId="77777777" w:rsidR="00AD65EE" w:rsidRPr="00BD3B59" w:rsidRDefault="00AD65EE" w:rsidP="00D91438">
      <w:pPr>
        <w:spacing w:line="360" w:lineRule="auto"/>
        <w:jc w:val="both"/>
        <w:rPr>
          <w:rFonts w:ascii="Arial" w:hAnsi="Arial" w:cs="Arial"/>
        </w:rPr>
      </w:pPr>
    </w:p>
    <w:p w14:paraId="54971A52" w14:textId="77777777" w:rsidR="00177B86" w:rsidRPr="00BD3B59" w:rsidRDefault="00177B86" w:rsidP="00177B86">
      <w:pPr>
        <w:pStyle w:val="Caption"/>
        <w:keepNext/>
        <w:rPr>
          <w:rFonts w:ascii="Arial" w:hAnsi="Arial" w:cs="Arial"/>
          <w:b/>
          <w:i w:val="0"/>
          <w:sz w:val="24"/>
          <w:szCs w:val="24"/>
        </w:rPr>
      </w:pPr>
      <w:bookmarkStart w:id="6" w:name="_Toc227799749"/>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2</w:t>
      </w:r>
      <w:r w:rsidR="00F52EE6" w:rsidRPr="00BD3B59">
        <w:rPr>
          <w:rFonts w:ascii="Arial" w:hAnsi="Arial" w:cs="Arial"/>
          <w:b/>
          <w:i w:val="0"/>
          <w:sz w:val="24"/>
          <w:szCs w:val="24"/>
        </w:rPr>
        <w:fldChar w:fldCharType="end"/>
      </w:r>
      <w:r w:rsidRPr="00BD3B59">
        <w:rPr>
          <w:rFonts w:ascii="Arial" w:hAnsi="Arial" w:cs="Arial"/>
          <w:b/>
          <w:i w:val="0"/>
          <w:sz w:val="24"/>
          <w:szCs w:val="24"/>
        </w:rPr>
        <w:t>: Tesla Liquidity Ratios (2020–2024)</w:t>
      </w:r>
      <w:bookmarkEnd w:id="6"/>
    </w:p>
    <w:tbl>
      <w:tblPr>
        <w:tblStyle w:val="PlainTable5"/>
        <w:tblW w:w="9020" w:type="dxa"/>
        <w:tblLook w:val="04A0" w:firstRow="1" w:lastRow="0" w:firstColumn="1" w:lastColumn="0" w:noHBand="0" w:noVBand="1"/>
      </w:tblPr>
      <w:tblGrid>
        <w:gridCol w:w="2750"/>
        <w:gridCol w:w="1254"/>
        <w:gridCol w:w="1254"/>
        <w:gridCol w:w="1254"/>
        <w:gridCol w:w="1254"/>
        <w:gridCol w:w="1254"/>
      </w:tblGrid>
      <w:tr w:rsidR="00B64335" w:rsidRPr="00BD3B59" w14:paraId="76BC4E0A" w14:textId="77777777" w:rsidTr="00F52EE6">
        <w:trPr>
          <w:cnfStyle w:val="100000000000" w:firstRow="1" w:lastRow="0" w:firstColumn="0" w:lastColumn="0" w:oddVBand="0" w:evenVBand="0" w:oddHBand="0" w:evenHBand="0" w:firstRowFirstColumn="0" w:firstRowLastColumn="0" w:lastRowFirstColumn="0" w:lastRowLastColumn="0"/>
          <w:trHeight w:val="441"/>
        </w:trPr>
        <w:tc>
          <w:tcPr>
            <w:cnfStyle w:val="001000000100" w:firstRow="0" w:lastRow="0" w:firstColumn="1" w:lastColumn="0" w:oddVBand="0" w:evenVBand="0" w:oddHBand="0" w:evenHBand="0" w:firstRowFirstColumn="1" w:firstRowLastColumn="0" w:lastRowFirstColumn="0" w:lastRowLastColumn="0"/>
            <w:tcW w:w="0" w:type="auto"/>
            <w:hideMark/>
          </w:tcPr>
          <w:p w14:paraId="43D99255" w14:textId="77777777" w:rsidR="00B64335" w:rsidRPr="00BD3B59" w:rsidRDefault="00B64335" w:rsidP="00D91438">
            <w:pPr>
              <w:spacing w:line="360" w:lineRule="auto"/>
              <w:jc w:val="both"/>
              <w:rPr>
                <w:rFonts w:ascii="Arial" w:hAnsi="Arial" w:cs="Arial"/>
                <w:b/>
                <w:bCs/>
                <w:sz w:val="24"/>
              </w:rPr>
            </w:pPr>
            <w:r w:rsidRPr="00BD3B59">
              <w:rPr>
                <w:rFonts w:ascii="Arial" w:hAnsi="Arial" w:cs="Arial"/>
                <w:sz w:val="24"/>
              </w:rPr>
              <w:t>Ratio</w:t>
            </w:r>
          </w:p>
        </w:tc>
        <w:tc>
          <w:tcPr>
            <w:tcW w:w="0" w:type="auto"/>
            <w:hideMark/>
          </w:tcPr>
          <w:p w14:paraId="0CCF98DB"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2020</w:t>
            </w:r>
          </w:p>
        </w:tc>
        <w:tc>
          <w:tcPr>
            <w:tcW w:w="0" w:type="auto"/>
            <w:hideMark/>
          </w:tcPr>
          <w:p w14:paraId="1327B219"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2021</w:t>
            </w:r>
          </w:p>
        </w:tc>
        <w:tc>
          <w:tcPr>
            <w:tcW w:w="0" w:type="auto"/>
            <w:hideMark/>
          </w:tcPr>
          <w:p w14:paraId="74E826D2"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2022</w:t>
            </w:r>
          </w:p>
        </w:tc>
        <w:tc>
          <w:tcPr>
            <w:tcW w:w="0" w:type="auto"/>
            <w:hideMark/>
          </w:tcPr>
          <w:p w14:paraId="092639E8"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2023</w:t>
            </w:r>
          </w:p>
        </w:tc>
        <w:tc>
          <w:tcPr>
            <w:tcW w:w="0" w:type="auto"/>
            <w:hideMark/>
          </w:tcPr>
          <w:p w14:paraId="1A883740"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2024</w:t>
            </w:r>
          </w:p>
        </w:tc>
      </w:tr>
      <w:tr w:rsidR="00B64335" w:rsidRPr="00BD3B59" w14:paraId="2C188909" w14:textId="77777777" w:rsidTr="00F52EE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hideMark/>
          </w:tcPr>
          <w:p w14:paraId="310AD3E3"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Current Ratio</w:t>
            </w:r>
          </w:p>
        </w:tc>
        <w:tc>
          <w:tcPr>
            <w:tcW w:w="0" w:type="auto"/>
            <w:hideMark/>
          </w:tcPr>
          <w:p w14:paraId="076F87DB"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1.88</w:t>
            </w:r>
          </w:p>
        </w:tc>
        <w:tc>
          <w:tcPr>
            <w:tcW w:w="0" w:type="auto"/>
            <w:hideMark/>
          </w:tcPr>
          <w:p w14:paraId="5CBB8E9C"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1.38</w:t>
            </w:r>
          </w:p>
        </w:tc>
        <w:tc>
          <w:tcPr>
            <w:tcW w:w="0" w:type="auto"/>
            <w:hideMark/>
          </w:tcPr>
          <w:p w14:paraId="225ADD67"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1.53</w:t>
            </w:r>
          </w:p>
        </w:tc>
        <w:tc>
          <w:tcPr>
            <w:tcW w:w="0" w:type="auto"/>
            <w:hideMark/>
          </w:tcPr>
          <w:p w14:paraId="12EC6D05"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1.73</w:t>
            </w:r>
          </w:p>
        </w:tc>
        <w:tc>
          <w:tcPr>
            <w:tcW w:w="0" w:type="auto"/>
            <w:hideMark/>
          </w:tcPr>
          <w:p w14:paraId="131F1FED"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2.03</w:t>
            </w:r>
          </w:p>
        </w:tc>
      </w:tr>
      <w:tr w:rsidR="00B64335" w:rsidRPr="00BD3B59" w14:paraId="746346D3" w14:textId="77777777" w:rsidTr="00F52EE6">
        <w:trPr>
          <w:trHeight w:val="441"/>
        </w:trPr>
        <w:tc>
          <w:tcPr>
            <w:cnfStyle w:val="001000000000" w:firstRow="0" w:lastRow="0" w:firstColumn="1" w:lastColumn="0" w:oddVBand="0" w:evenVBand="0" w:oddHBand="0" w:evenHBand="0" w:firstRowFirstColumn="0" w:firstRowLastColumn="0" w:lastRowFirstColumn="0" w:lastRowLastColumn="0"/>
            <w:tcW w:w="0" w:type="auto"/>
            <w:hideMark/>
          </w:tcPr>
          <w:p w14:paraId="444DF21D"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Quick Ratio</w:t>
            </w:r>
          </w:p>
        </w:tc>
        <w:tc>
          <w:tcPr>
            <w:tcW w:w="0" w:type="auto"/>
            <w:hideMark/>
          </w:tcPr>
          <w:p w14:paraId="7D4E2630"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1.59</w:t>
            </w:r>
          </w:p>
        </w:tc>
        <w:tc>
          <w:tcPr>
            <w:tcW w:w="0" w:type="auto"/>
            <w:hideMark/>
          </w:tcPr>
          <w:p w14:paraId="3A1BEF9B"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1.09</w:t>
            </w:r>
          </w:p>
        </w:tc>
        <w:tc>
          <w:tcPr>
            <w:tcW w:w="0" w:type="auto"/>
            <w:hideMark/>
          </w:tcPr>
          <w:p w14:paraId="5CC3E400"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1.05</w:t>
            </w:r>
          </w:p>
        </w:tc>
        <w:tc>
          <w:tcPr>
            <w:tcW w:w="0" w:type="auto"/>
            <w:hideMark/>
          </w:tcPr>
          <w:p w14:paraId="620EB3E8"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1.25</w:t>
            </w:r>
          </w:p>
        </w:tc>
        <w:tc>
          <w:tcPr>
            <w:tcW w:w="0" w:type="auto"/>
            <w:hideMark/>
          </w:tcPr>
          <w:p w14:paraId="6918B84D"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1.61</w:t>
            </w:r>
          </w:p>
        </w:tc>
      </w:tr>
    </w:tbl>
    <w:p w14:paraId="1FA0F93A" w14:textId="77777777" w:rsidR="00177B86" w:rsidRPr="00BD3B59" w:rsidRDefault="00177B86" w:rsidP="00D91438">
      <w:pPr>
        <w:spacing w:line="360" w:lineRule="auto"/>
        <w:jc w:val="both"/>
        <w:rPr>
          <w:rStyle w:val="Strong"/>
          <w:rFonts w:ascii="Arial" w:hAnsi="Arial" w:cs="Arial"/>
        </w:rPr>
      </w:pPr>
    </w:p>
    <w:p w14:paraId="7D85E12F" w14:textId="77777777" w:rsidR="00F52EE6" w:rsidRPr="00BD3B59" w:rsidRDefault="00B64335" w:rsidP="00F52EE6">
      <w:pPr>
        <w:keepNext/>
        <w:spacing w:line="360" w:lineRule="auto"/>
        <w:jc w:val="both"/>
      </w:pPr>
      <w:r w:rsidRPr="00BD3B59">
        <w:rPr>
          <w:rFonts w:ascii="Arial" w:hAnsi="Arial" w:cs="Arial"/>
          <w:noProof/>
        </w:rPr>
        <w:drawing>
          <wp:inline distT="0" distB="0" distL="0" distR="0" wp14:anchorId="49602B56" wp14:editId="096B5F28">
            <wp:extent cx="5734050" cy="3279776"/>
            <wp:effectExtent l="0" t="0" r="0" b="158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1CD458" w14:textId="77777777" w:rsidR="00896D12" w:rsidRPr="00BD3B59" w:rsidRDefault="00F52EE6" w:rsidP="00F52EE6">
      <w:pPr>
        <w:pStyle w:val="Caption"/>
        <w:jc w:val="both"/>
        <w:rPr>
          <w:rFonts w:ascii="Arial" w:hAnsi="Arial" w:cs="Arial"/>
          <w:b/>
          <w:bCs/>
          <w:i w:val="0"/>
          <w:sz w:val="36"/>
          <w:szCs w:val="24"/>
        </w:rPr>
      </w:pPr>
      <w:bookmarkStart w:id="7" w:name="_Toc227799714"/>
      <w:r w:rsidRPr="00BD3B59">
        <w:rPr>
          <w:rFonts w:ascii="Arial" w:hAnsi="Arial" w:cs="Arial"/>
          <w:b/>
          <w:i w:val="0"/>
          <w:sz w:val="24"/>
        </w:rPr>
        <w:t xml:space="preserve">Figure </w:t>
      </w:r>
      <w:r w:rsidRPr="00BD3B59">
        <w:rPr>
          <w:rFonts w:ascii="Arial" w:hAnsi="Arial" w:cs="Arial"/>
          <w:b/>
          <w:i w:val="0"/>
          <w:sz w:val="24"/>
        </w:rPr>
        <w:fldChar w:fldCharType="begin"/>
      </w:r>
      <w:r w:rsidRPr="00BD3B59">
        <w:rPr>
          <w:rFonts w:ascii="Arial" w:hAnsi="Arial" w:cs="Arial"/>
          <w:b/>
          <w:i w:val="0"/>
          <w:sz w:val="24"/>
        </w:rPr>
        <w:instrText xml:space="preserve"> SEQ Figure \* ARABIC </w:instrText>
      </w:r>
      <w:r w:rsidRPr="00BD3B59">
        <w:rPr>
          <w:rFonts w:ascii="Arial" w:hAnsi="Arial" w:cs="Arial"/>
          <w:b/>
          <w:i w:val="0"/>
          <w:sz w:val="24"/>
        </w:rPr>
        <w:fldChar w:fldCharType="separate"/>
      </w:r>
      <w:r w:rsidRPr="00BD3B59">
        <w:rPr>
          <w:rFonts w:ascii="Arial" w:hAnsi="Arial" w:cs="Arial"/>
          <w:b/>
          <w:i w:val="0"/>
          <w:sz w:val="24"/>
        </w:rPr>
        <w:t>2</w:t>
      </w:r>
      <w:r w:rsidRPr="00BD3B59">
        <w:rPr>
          <w:rFonts w:ascii="Arial" w:hAnsi="Arial" w:cs="Arial"/>
          <w:b/>
          <w:i w:val="0"/>
          <w:sz w:val="24"/>
        </w:rPr>
        <w:fldChar w:fldCharType="end"/>
      </w:r>
      <w:r w:rsidRPr="00BD3B59">
        <w:rPr>
          <w:rFonts w:ascii="Arial" w:hAnsi="Arial" w:cs="Arial"/>
          <w:b/>
          <w:i w:val="0"/>
          <w:sz w:val="24"/>
        </w:rPr>
        <w:t>: Tesla liquidity ratios improved steadily after 2021, showing stronger short-term solvency and greater capacity to meet current obligations by 2024.</w:t>
      </w:r>
      <w:bookmarkEnd w:id="7"/>
    </w:p>
    <w:p w14:paraId="310AE8A5" w14:textId="77777777" w:rsidR="00B64335" w:rsidRPr="00BD3B59" w:rsidRDefault="00B64335" w:rsidP="00D91438">
      <w:pPr>
        <w:spacing w:line="360" w:lineRule="auto"/>
        <w:jc w:val="both"/>
        <w:rPr>
          <w:rFonts w:ascii="Arial" w:hAnsi="Arial" w:cs="Arial"/>
          <w:b/>
          <w:bCs/>
        </w:rPr>
      </w:pPr>
      <w:r w:rsidRPr="00BD3B59">
        <w:rPr>
          <w:rStyle w:val="Strong"/>
          <w:rFonts w:ascii="Arial" w:hAnsi="Arial" w:cs="Arial"/>
        </w:rPr>
        <w:t>Source:</w:t>
      </w:r>
      <w:r w:rsidRPr="00BD3B59">
        <w:rPr>
          <w:rFonts w:ascii="Arial" w:hAnsi="Arial" w:cs="Arial"/>
        </w:rPr>
        <w:t xml:space="preserve"> Author’s calculations based on Tesla Annual Reports (2021–2025).</w:t>
      </w:r>
    </w:p>
    <w:p w14:paraId="0A8BD005" w14:textId="77777777" w:rsidR="00B64335" w:rsidRPr="00BD3B59" w:rsidRDefault="00B64335" w:rsidP="00177B86">
      <w:pPr>
        <w:pStyle w:val="Heading2"/>
      </w:pPr>
      <w:bookmarkStart w:id="8" w:name="_Toc227799618"/>
      <w:r w:rsidRPr="00BD3B59">
        <w:t>2.3 Efficiency Analysis</w:t>
      </w:r>
      <w:bookmarkEnd w:id="8"/>
    </w:p>
    <w:p w14:paraId="30B80DA2"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Efficiency ratios show whether Tesla converted operational assets into sales effectively. Asset turnover improved from </w:t>
      </w:r>
      <w:r w:rsidRPr="00BD3B59">
        <w:rPr>
          <w:rFonts w:ascii="Arial" w:hAnsi="Arial" w:cs="Arial"/>
          <w:bCs/>
        </w:rPr>
        <w:t>0.73 times in 2020</w:t>
      </w:r>
      <w:r w:rsidRPr="00BD3B59">
        <w:rPr>
          <w:rFonts w:ascii="Arial" w:hAnsi="Arial" w:cs="Arial"/>
        </w:rPr>
        <w:t xml:space="preserve"> to </w:t>
      </w:r>
      <w:r w:rsidRPr="00BD3B59">
        <w:rPr>
          <w:rFonts w:ascii="Arial" w:hAnsi="Arial" w:cs="Arial"/>
          <w:bCs/>
        </w:rPr>
        <w:t>1.13 times in 2022</w:t>
      </w:r>
      <w:r w:rsidRPr="00BD3B59">
        <w:rPr>
          <w:rFonts w:ascii="Arial" w:hAnsi="Arial" w:cs="Arial"/>
        </w:rPr>
        <w:t xml:space="preserve">, reflecting successful utilisation of production capacity during Tesla’s high-growth phase. However, the ratio declined to </w:t>
      </w:r>
      <w:r w:rsidRPr="00BD3B59">
        <w:rPr>
          <w:rFonts w:ascii="Arial" w:hAnsi="Arial" w:cs="Arial"/>
          <w:bCs/>
        </w:rPr>
        <w:t>0.85 times in 2024</w:t>
      </w:r>
      <w:r w:rsidRPr="00BD3B59">
        <w:rPr>
          <w:rFonts w:ascii="Arial" w:hAnsi="Arial" w:cs="Arial"/>
        </w:rPr>
        <w:t>, indicating that the enlarged asset base was generating proportionally lower revenue.</w:t>
      </w:r>
    </w:p>
    <w:p w14:paraId="1FEFD413" w14:textId="77777777" w:rsidR="00896D12" w:rsidRPr="00BD3B59" w:rsidRDefault="00B64335" w:rsidP="00D91438">
      <w:pPr>
        <w:spacing w:line="360" w:lineRule="auto"/>
        <w:jc w:val="both"/>
        <w:rPr>
          <w:rFonts w:ascii="Arial" w:hAnsi="Arial" w:cs="Arial"/>
        </w:rPr>
      </w:pPr>
      <w:r w:rsidRPr="00BD3B59">
        <w:rPr>
          <w:rFonts w:ascii="Arial" w:hAnsi="Arial" w:cs="Arial"/>
        </w:rPr>
        <w:t xml:space="preserve">Inventory days also worsened from </w:t>
      </w:r>
      <w:r w:rsidRPr="00BD3B59">
        <w:rPr>
          <w:rFonts w:ascii="Arial" w:hAnsi="Arial" w:cs="Arial"/>
          <w:bCs/>
        </w:rPr>
        <w:t>56.1 days in 2022</w:t>
      </w:r>
      <w:r w:rsidRPr="00BD3B59">
        <w:rPr>
          <w:rFonts w:ascii="Arial" w:hAnsi="Arial" w:cs="Arial"/>
        </w:rPr>
        <w:t xml:space="preserve"> to </w:t>
      </w:r>
      <w:r w:rsidRPr="00BD3B59">
        <w:rPr>
          <w:rFonts w:ascii="Arial" w:hAnsi="Arial" w:cs="Arial"/>
          <w:bCs/>
        </w:rPr>
        <w:t>58.1 days in 2024</w:t>
      </w:r>
      <w:r w:rsidRPr="00BD3B59">
        <w:rPr>
          <w:rFonts w:ascii="Arial" w:hAnsi="Arial" w:cs="Arial"/>
        </w:rPr>
        <w:t xml:space="preserve">, while receivable days increased from </w:t>
      </w:r>
      <w:r w:rsidRPr="00BD3B59">
        <w:rPr>
          <w:rFonts w:ascii="Arial" w:hAnsi="Arial" w:cs="Arial"/>
          <w:bCs/>
        </w:rPr>
        <w:t>10.9</w:t>
      </w:r>
      <w:r w:rsidRPr="00BD3B59">
        <w:rPr>
          <w:rFonts w:ascii="Arial" w:hAnsi="Arial" w:cs="Arial"/>
        </w:rPr>
        <w:t xml:space="preserve"> to </w:t>
      </w:r>
      <w:r w:rsidRPr="00BD3B59">
        <w:rPr>
          <w:rFonts w:ascii="Arial" w:hAnsi="Arial" w:cs="Arial"/>
          <w:bCs/>
        </w:rPr>
        <w:t>14.8 days</w:t>
      </w:r>
      <w:r w:rsidRPr="00BD3B59">
        <w:rPr>
          <w:rFonts w:ascii="Arial" w:hAnsi="Arial" w:cs="Arial"/>
        </w:rPr>
        <w:t xml:space="preserve"> over the same period. Although these values are not critically weak, they suggest some deterioration in operational discipline. Rising inventory days may imply slower vehicle turnover or production ahead of demand, while longer receivable periods can weaken short-term cash conversion.</w:t>
      </w:r>
      <w:r w:rsidR="00896D12" w:rsidRPr="00BD3B59">
        <w:rPr>
          <w:rFonts w:ascii="Arial" w:hAnsi="Arial" w:cs="Arial"/>
        </w:rPr>
        <w:t xml:space="preserve"> </w:t>
      </w:r>
      <w:r w:rsidRPr="00BD3B59">
        <w:rPr>
          <w:rFonts w:ascii="Arial" w:hAnsi="Arial" w:cs="Arial"/>
        </w:rPr>
        <w:t>The broader implication is that Tesla’s expansion in factories, infrastructure and logistics may have outpaced revenue productivity. In growth businesses this is common, but if sustained, it can reduce returns and place pressure on future margins.</w:t>
      </w:r>
      <w:r w:rsidR="00896D12" w:rsidRPr="00BD3B59">
        <w:rPr>
          <w:rFonts w:ascii="Arial" w:hAnsi="Arial" w:cs="Arial"/>
        </w:rPr>
        <w:t xml:space="preserve"> </w:t>
      </w:r>
    </w:p>
    <w:p w14:paraId="4EA796AC" w14:textId="77777777" w:rsidR="00B64335" w:rsidRPr="00BD3B59" w:rsidRDefault="00896D12" w:rsidP="00D91438">
      <w:pPr>
        <w:spacing w:line="360" w:lineRule="auto"/>
        <w:jc w:val="both"/>
        <w:rPr>
          <w:rFonts w:ascii="Arial" w:hAnsi="Arial" w:cs="Arial"/>
        </w:rPr>
      </w:pPr>
      <w:r w:rsidRPr="00BD3B59">
        <w:rPr>
          <w:rFonts w:ascii="Arial" w:hAnsi="Arial" w:cs="Arial"/>
        </w:rPr>
        <w:t xml:space="preserve">Between 2023 and 2025, Tesla’s revenue remained broadly strong at </w:t>
      </w:r>
      <w:r w:rsidRPr="00BD3B59">
        <w:rPr>
          <w:rStyle w:val="Strong"/>
          <w:rFonts w:ascii="Arial" w:hAnsi="Arial" w:cs="Arial"/>
          <w:b w:val="0"/>
        </w:rPr>
        <w:t>US$96.8 billion (2023)</w:t>
      </w:r>
      <w:r w:rsidRPr="00BD3B59">
        <w:rPr>
          <w:rFonts w:ascii="Arial" w:hAnsi="Arial" w:cs="Arial"/>
        </w:rPr>
        <w:t xml:space="preserve">, </w:t>
      </w:r>
      <w:r w:rsidRPr="00BD3B59">
        <w:rPr>
          <w:rStyle w:val="Strong"/>
          <w:rFonts w:ascii="Arial" w:hAnsi="Arial" w:cs="Arial"/>
          <w:b w:val="0"/>
        </w:rPr>
        <w:t>US$97.7 billion (2024)</w:t>
      </w:r>
      <w:r w:rsidRPr="00BD3B59">
        <w:rPr>
          <w:rFonts w:ascii="Arial" w:hAnsi="Arial" w:cs="Arial"/>
          <w:b/>
        </w:rPr>
        <w:t xml:space="preserve"> </w:t>
      </w:r>
      <w:r w:rsidRPr="00BD3B59">
        <w:rPr>
          <w:rFonts w:ascii="Arial" w:hAnsi="Arial" w:cs="Arial"/>
        </w:rPr>
        <w:t xml:space="preserve">and </w:t>
      </w:r>
      <w:r w:rsidRPr="00BD3B59">
        <w:rPr>
          <w:rStyle w:val="Strong"/>
          <w:rFonts w:ascii="Arial" w:hAnsi="Arial" w:cs="Arial"/>
          <w:b w:val="0"/>
        </w:rPr>
        <w:t>US$94.8 billion (2025)</w:t>
      </w:r>
      <w:r w:rsidRPr="00BD3B59">
        <w:rPr>
          <w:rFonts w:ascii="Arial" w:hAnsi="Arial" w:cs="Arial"/>
        </w:rPr>
        <w:t xml:space="preserve">, showing resilient sales demand. However, net income declined sharply from </w:t>
      </w:r>
      <w:r w:rsidRPr="00BD3B59">
        <w:rPr>
          <w:rStyle w:val="Strong"/>
          <w:rFonts w:ascii="Arial" w:hAnsi="Arial" w:cs="Arial"/>
          <w:b w:val="0"/>
        </w:rPr>
        <w:t>US$15.0 billion in 2023</w:t>
      </w:r>
      <w:r w:rsidRPr="00BD3B59">
        <w:rPr>
          <w:rFonts w:ascii="Arial" w:hAnsi="Arial" w:cs="Arial"/>
        </w:rPr>
        <w:t xml:space="preserve"> to </w:t>
      </w:r>
      <w:r w:rsidRPr="00BD3B59">
        <w:rPr>
          <w:rStyle w:val="Strong"/>
          <w:rFonts w:ascii="Arial" w:hAnsi="Arial" w:cs="Arial"/>
          <w:b w:val="0"/>
        </w:rPr>
        <w:t>US$7.2 billion in 2024</w:t>
      </w:r>
      <w:r w:rsidRPr="00BD3B59">
        <w:rPr>
          <w:rFonts w:ascii="Arial" w:hAnsi="Arial" w:cs="Arial"/>
          <w:b/>
        </w:rPr>
        <w:t xml:space="preserve"> </w:t>
      </w:r>
      <w:r w:rsidRPr="00BD3B59">
        <w:rPr>
          <w:rFonts w:ascii="Arial" w:hAnsi="Arial" w:cs="Arial"/>
        </w:rPr>
        <w:t xml:space="preserve">and </w:t>
      </w:r>
      <w:r w:rsidRPr="00BD3B59">
        <w:rPr>
          <w:rStyle w:val="Strong"/>
          <w:rFonts w:ascii="Arial" w:hAnsi="Arial" w:cs="Arial"/>
          <w:b w:val="0"/>
        </w:rPr>
        <w:t>US$3.9 billion in 2025</w:t>
      </w:r>
      <w:r w:rsidRPr="00BD3B59">
        <w:rPr>
          <w:rFonts w:ascii="Arial" w:hAnsi="Arial" w:cs="Arial"/>
        </w:rPr>
        <w:t>, suggesting that revenue stability did not translate into sustained profitability. Rising operating expenses, including research and development and selling costs, reduced operating leverage. This trend implies Tesla’s future performance depends less on revenue growth and more on restoring pricing power, cost discipline and margin efficiency.</w:t>
      </w:r>
    </w:p>
    <w:p w14:paraId="0E4C200D" w14:textId="77777777" w:rsidR="00177B86" w:rsidRPr="00BD3B59" w:rsidRDefault="00177B86" w:rsidP="00177B86">
      <w:pPr>
        <w:pStyle w:val="Caption"/>
        <w:keepNext/>
        <w:rPr>
          <w:rFonts w:ascii="Arial" w:hAnsi="Arial" w:cs="Arial"/>
          <w:b/>
          <w:i w:val="0"/>
          <w:sz w:val="24"/>
          <w:szCs w:val="24"/>
        </w:rPr>
      </w:pPr>
      <w:bookmarkStart w:id="9" w:name="_Toc227799750"/>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3</w:t>
      </w:r>
      <w:r w:rsidR="00F52EE6" w:rsidRPr="00BD3B59">
        <w:rPr>
          <w:rFonts w:ascii="Arial" w:hAnsi="Arial" w:cs="Arial"/>
          <w:b/>
          <w:i w:val="0"/>
          <w:sz w:val="24"/>
          <w:szCs w:val="24"/>
        </w:rPr>
        <w:fldChar w:fldCharType="end"/>
      </w:r>
      <w:r w:rsidRPr="00BD3B59">
        <w:rPr>
          <w:rFonts w:ascii="Arial" w:hAnsi="Arial" w:cs="Arial"/>
          <w:b/>
          <w:i w:val="0"/>
          <w:sz w:val="24"/>
          <w:szCs w:val="24"/>
        </w:rPr>
        <w:t>: Tesla Efficiency Ratios (2020–2024)</w:t>
      </w:r>
      <w:bookmarkEnd w:id="9"/>
    </w:p>
    <w:tbl>
      <w:tblPr>
        <w:tblStyle w:val="PlainTable5"/>
        <w:tblW w:w="9394" w:type="dxa"/>
        <w:tblLook w:val="04A0" w:firstRow="1" w:lastRow="0" w:firstColumn="1" w:lastColumn="0" w:noHBand="0" w:noVBand="1"/>
      </w:tblPr>
      <w:tblGrid>
        <w:gridCol w:w="3285"/>
        <w:gridCol w:w="1221"/>
        <w:gridCol w:w="1222"/>
        <w:gridCol w:w="1222"/>
        <w:gridCol w:w="1222"/>
        <w:gridCol w:w="1222"/>
      </w:tblGrid>
      <w:tr w:rsidR="00B64335" w:rsidRPr="00BD3B59" w14:paraId="3672D072" w14:textId="77777777" w:rsidTr="00F52EE6">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0" w:type="auto"/>
            <w:hideMark/>
          </w:tcPr>
          <w:p w14:paraId="197644DA" w14:textId="77777777" w:rsidR="00B64335" w:rsidRPr="00BD3B59" w:rsidRDefault="00B64335" w:rsidP="00D91438">
            <w:pPr>
              <w:spacing w:after="160" w:line="360" w:lineRule="auto"/>
              <w:jc w:val="both"/>
              <w:rPr>
                <w:rFonts w:ascii="Arial" w:hAnsi="Arial" w:cs="Arial"/>
                <w:b/>
                <w:bCs/>
                <w:sz w:val="24"/>
              </w:rPr>
            </w:pPr>
            <w:r w:rsidRPr="00BD3B59">
              <w:rPr>
                <w:rFonts w:ascii="Arial" w:hAnsi="Arial" w:cs="Arial"/>
                <w:sz w:val="24"/>
              </w:rPr>
              <w:t>Ratio</w:t>
            </w:r>
          </w:p>
        </w:tc>
        <w:tc>
          <w:tcPr>
            <w:tcW w:w="0" w:type="auto"/>
            <w:hideMark/>
          </w:tcPr>
          <w:p w14:paraId="693C2686" w14:textId="77777777" w:rsidR="00B64335" w:rsidRPr="00BD3B59" w:rsidRDefault="00B64335"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2020</w:t>
            </w:r>
          </w:p>
        </w:tc>
        <w:tc>
          <w:tcPr>
            <w:tcW w:w="0" w:type="auto"/>
            <w:hideMark/>
          </w:tcPr>
          <w:p w14:paraId="439EDFE3" w14:textId="77777777" w:rsidR="00B64335" w:rsidRPr="00BD3B59" w:rsidRDefault="00B64335"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2021</w:t>
            </w:r>
          </w:p>
        </w:tc>
        <w:tc>
          <w:tcPr>
            <w:tcW w:w="0" w:type="auto"/>
            <w:hideMark/>
          </w:tcPr>
          <w:p w14:paraId="40FFCEF2" w14:textId="77777777" w:rsidR="00B64335" w:rsidRPr="00BD3B59" w:rsidRDefault="00B64335"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2022</w:t>
            </w:r>
          </w:p>
        </w:tc>
        <w:tc>
          <w:tcPr>
            <w:tcW w:w="0" w:type="auto"/>
            <w:hideMark/>
          </w:tcPr>
          <w:p w14:paraId="30B2FEB2" w14:textId="77777777" w:rsidR="00B64335" w:rsidRPr="00BD3B59" w:rsidRDefault="00B64335"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2023</w:t>
            </w:r>
          </w:p>
        </w:tc>
        <w:tc>
          <w:tcPr>
            <w:tcW w:w="0" w:type="auto"/>
            <w:hideMark/>
          </w:tcPr>
          <w:p w14:paraId="5DE1B1E7" w14:textId="77777777" w:rsidR="00B64335" w:rsidRPr="00BD3B59" w:rsidRDefault="00B64335"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2024</w:t>
            </w:r>
          </w:p>
        </w:tc>
      </w:tr>
      <w:tr w:rsidR="00B64335" w:rsidRPr="00BD3B59" w14:paraId="73434690" w14:textId="77777777" w:rsidTr="00F52EE6">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14:paraId="6DB383F9" w14:textId="77777777" w:rsidR="00B64335" w:rsidRPr="00BD3B59" w:rsidRDefault="00B64335" w:rsidP="00D91438">
            <w:pPr>
              <w:spacing w:after="160" w:line="360" w:lineRule="auto"/>
              <w:jc w:val="both"/>
              <w:rPr>
                <w:rFonts w:ascii="Arial" w:hAnsi="Arial" w:cs="Arial"/>
                <w:sz w:val="24"/>
              </w:rPr>
            </w:pPr>
            <w:r w:rsidRPr="00BD3B59">
              <w:rPr>
                <w:rFonts w:ascii="Arial" w:hAnsi="Arial" w:cs="Arial"/>
                <w:sz w:val="24"/>
              </w:rPr>
              <w:t>Inventory Days</w:t>
            </w:r>
          </w:p>
        </w:tc>
        <w:tc>
          <w:tcPr>
            <w:tcW w:w="0" w:type="auto"/>
            <w:hideMark/>
          </w:tcPr>
          <w:p w14:paraId="1ADACA24"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56.3</w:t>
            </w:r>
          </w:p>
        </w:tc>
        <w:tc>
          <w:tcPr>
            <w:tcW w:w="0" w:type="auto"/>
            <w:hideMark/>
          </w:tcPr>
          <w:p w14:paraId="56898318"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59.3</w:t>
            </w:r>
          </w:p>
        </w:tc>
        <w:tc>
          <w:tcPr>
            <w:tcW w:w="0" w:type="auto"/>
            <w:hideMark/>
          </w:tcPr>
          <w:p w14:paraId="74771C83"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56.1</w:t>
            </w:r>
          </w:p>
        </w:tc>
        <w:tc>
          <w:tcPr>
            <w:tcW w:w="0" w:type="auto"/>
            <w:hideMark/>
          </w:tcPr>
          <w:p w14:paraId="188DC3E8"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61.6</w:t>
            </w:r>
          </w:p>
        </w:tc>
        <w:tc>
          <w:tcPr>
            <w:tcW w:w="0" w:type="auto"/>
            <w:hideMark/>
          </w:tcPr>
          <w:p w14:paraId="11A14791"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58.1</w:t>
            </w:r>
          </w:p>
        </w:tc>
      </w:tr>
      <w:tr w:rsidR="00B64335" w:rsidRPr="00BD3B59" w14:paraId="2DE03A52" w14:textId="77777777" w:rsidTr="00F52EE6">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6F6E7B0" w14:textId="77777777" w:rsidR="00B64335" w:rsidRPr="00BD3B59" w:rsidRDefault="00B64335" w:rsidP="00D91438">
            <w:pPr>
              <w:spacing w:after="160" w:line="360" w:lineRule="auto"/>
              <w:jc w:val="both"/>
              <w:rPr>
                <w:rFonts w:ascii="Arial" w:hAnsi="Arial" w:cs="Arial"/>
                <w:sz w:val="24"/>
              </w:rPr>
            </w:pPr>
            <w:r w:rsidRPr="00BD3B59">
              <w:rPr>
                <w:rFonts w:ascii="Arial" w:hAnsi="Arial" w:cs="Arial"/>
                <w:sz w:val="24"/>
              </w:rPr>
              <w:t>Receivable Days</w:t>
            </w:r>
          </w:p>
        </w:tc>
        <w:tc>
          <w:tcPr>
            <w:tcW w:w="0" w:type="auto"/>
            <w:hideMark/>
          </w:tcPr>
          <w:p w14:paraId="792341FF" w14:textId="77777777" w:rsidR="00B64335" w:rsidRPr="00BD3B59" w:rsidRDefault="00B64335"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18.6</w:t>
            </w:r>
          </w:p>
        </w:tc>
        <w:tc>
          <w:tcPr>
            <w:tcW w:w="0" w:type="auto"/>
            <w:hideMark/>
          </w:tcPr>
          <w:p w14:paraId="58A7C59A" w14:textId="77777777" w:rsidR="00B64335" w:rsidRPr="00BD3B59" w:rsidRDefault="00B64335"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12.9</w:t>
            </w:r>
          </w:p>
        </w:tc>
        <w:tc>
          <w:tcPr>
            <w:tcW w:w="0" w:type="auto"/>
            <w:hideMark/>
          </w:tcPr>
          <w:p w14:paraId="3754896D" w14:textId="77777777" w:rsidR="00B64335" w:rsidRPr="00BD3B59" w:rsidRDefault="00B64335"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10.9</w:t>
            </w:r>
          </w:p>
        </w:tc>
        <w:tc>
          <w:tcPr>
            <w:tcW w:w="0" w:type="auto"/>
            <w:hideMark/>
          </w:tcPr>
          <w:p w14:paraId="4128E454" w14:textId="77777777" w:rsidR="00B64335" w:rsidRPr="00BD3B59" w:rsidRDefault="00B64335"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12.2</w:t>
            </w:r>
          </w:p>
        </w:tc>
        <w:tc>
          <w:tcPr>
            <w:tcW w:w="0" w:type="auto"/>
            <w:hideMark/>
          </w:tcPr>
          <w:p w14:paraId="58CC3A2A" w14:textId="77777777" w:rsidR="00B64335" w:rsidRPr="00BD3B59" w:rsidRDefault="00B64335"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14.8</w:t>
            </w:r>
          </w:p>
        </w:tc>
      </w:tr>
      <w:tr w:rsidR="00B64335" w:rsidRPr="00BD3B59" w14:paraId="2820005F" w14:textId="77777777" w:rsidTr="00F52EE6">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14:paraId="0E2A2632" w14:textId="77777777" w:rsidR="00B64335" w:rsidRPr="00BD3B59" w:rsidRDefault="00B64335" w:rsidP="00D91438">
            <w:pPr>
              <w:spacing w:after="160" w:line="360" w:lineRule="auto"/>
              <w:jc w:val="both"/>
              <w:rPr>
                <w:rFonts w:ascii="Arial" w:hAnsi="Arial" w:cs="Arial"/>
                <w:sz w:val="24"/>
              </w:rPr>
            </w:pPr>
            <w:r w:rsidRPr="00BD3B59">
              <w:rPr>
                <w:rFonts w:ascii="Arial" w:hAnsi="Arial" w:cs="Arial"/>
                <w:sz w:val="24"/>
              </w:rPr>
              <w:t>Asset Turnover</w:t>
            </w:r>
          </w:p>
        </w:tc>
        <w:tc>
          <w:tcPr>
            <w:tcW w:w="0" w:type="auto"/>
            <w:hideMark/>
          </w:tcPr>
          <w:p w14:paraId="02080DCE"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0.73</w:t>
            </w:r>
          </w:p>
        </w:tc>
        <w:tc>
          <w:tcPr>
            <w:tcW w:w="0" w:type="auto"/>
            <w:hideMark/>
          </w:tcPr>
          <w:p w14:paraId="0A064FD0"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0.94</w:t>
            </w:r>
          </w:p>
        </w:tc>
        <w:tc>
          <w:tcPr>
            <w:tcW w:w="0" w:type="auto"/>
            <w:hideMark/>
          </w:tcPr>
          <w:p w14:paraId="2F3085FA"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1.13</w:t>
            </w:r>
          </w:p>
        </w:tc>
        <w:tc>
          <w:tcPr>
            <w:tcW w:w="0" w:type="auto"/>
            <w:hideMark/>
          </w:tcPr>
          <w:p w14:paraId="7390A71E"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1.02</w:t>
            </w:r>
          </w:p>
        </w:tc>
        <w:tc>
          <w:tcPr>
            <w:tcW w:w="0" w:type="auto"/>
            <w:hideMark/>
          </w:tcPr>
          <w:p w14:paraId="0F681CA8"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0.85</w:t>
            </w:r>
          </w:p>
        </w:tc>
      </w:tr>
    </w:tbl>
    <w:p w14:paraId="6EBAFDD9" w14:textId="77777777" w:rsidR="00F52EE6" w:rsidRPr="00BD3B59" w:rsidRDefault="00B64335" w:rsidP="00F52EE6">
      <w:pPr>
        <w:keepNext/>
        <w:spacing w:line="360" w:lineRule="auto"/>
        <w:jc w:val="both"/>
      </w:pPr>
      <w:r w:rsidRPr="00BD3B59">
        <w:rPr>
          <w:rStyle w:val="Strong"/>
          <w:rFonts w:ascii="Arial" w:hAnsi="Arial" w:cs="Arial"/>
          <w:noProof/>
        </w:rPr>
        <w:drawing>
          <wp:inline distT="0" distB="0" distL="0" distR="0" wp14:anchorId="1B50A8F8" wp14:editId="006EF097">
            <wp:extent cx="5660920" cy="568764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674480" cy="5701264"/>
                    </a:xfrm>
                    <a:prstGeom prst="rect">
                      <a:avLst/>
                    </a:prstGeom>
                    <a:noFill/>
                    <a:ln>
                      <a:noFill/>
                    </a:ln>
                    <a:extLst>
                      <a:ext uri="{53640926-AAD7-44D8-BBD7-CCE9431645EC}">
                        <a14:shadowObscured xmlns:a14="http://schemas.microsoft.com/office/drawing/2010/main"/>
                      </a:ext>
                    </a:extLst>
                  </pic:spPr>
                </pic:pic>
              </a:graphicData>
            </a:graphic>
          </wp:inline>
        </w:drawing>
      </w:r>
    </w:p>
    <w:p w14:paraId="16A956A9" w14:textId="77777777" w:rsidR="00B64335" w:rsidRPr="00BD3B59" w:rsidRDefault="00F52EE6" w:rsidP="00F52EE6">
      <w:pPr>
        <w:pStyle w:val="Caption"/>
        <w:spacing w:line="360" w:lineRule="auto"/>
        <w:jc w:val="both"/>
        <w:rPr>
          <w:rStyle w:val="Strong"/>
          <w:rFonts w:ascii="Arial" w:hAnsi="Arial" w:cs="Arial"/>
          <w:b w:val="0"/>
          <w:i w:val="0"/>
          <w:sz w:val="36"/>
          <w:szCs w:val="24"/>
        </w:rPr>
      </w:pPr>
      <w:bookmarkStart w:id="10" w:name="_Toc227799715"/>
      <w:r w:rsidRPr="00BD3B59">
        <w:rPr>
          <w:rFonts w:ascii="Arial" w:hAnsi="Arial" w:cs="Arial"/>
          <w:b/>
          <w:i w:val="0"/>
          <w:sz w:val="24"/>
        </w:rPr>
        <w:t xml:space="preserve">Figure </w:t>
      </w:r>
      <w:r w:rsidRPr="00BD3B59">
        <w:rPr>
          <w:rFonts w:ascii="Arial" w:hAnsi="Arial" w:cs="Arial"/>
          <w:b/>
          <w:i w:val="0"/>
          <w:sz w:val="24"/>
        </w:rPr>
        <w:fldChar w:fldCharType="begin"/>
      </w:r>
      <w:r w:rsidRPr="00BD3B59">
        <w:rPr>
          <w:rFonts w:ascii="Arial" w:hAnsi="Arial" w:cs="Arial"/>
          <w:b/>
          <w:i w:val="0"/>
          <w:sz w:val="24"/>
        </w:rPr>
        <w:instrText xml:space="preserve"> SEQ Figure \* ARABIC </w:instrText>
      </w:r>
      <w:r w:rsidRPr="00BD3B59">
        <w:rPr>
          <w:rFonts w:ascii="Arial" w:hAnsi="Arial" w:cs="Arial"/>
          <w:b/>
          <w:i w:val="0"/>
          <w:sz w:val="24"/>
        </w:rPr>
        <w:fldChar w:fldCharType="separate"/>
      </w:r>
      <w:r w:rsidRPr="00BD3B59">
        <w:rPr>
          <w:rFonts w:ascii="Arial" w:hAnsi="Arial" w:cs="Arial"/>
          <w:b/>
          <w:i w:val="0"/>
          <w:sz w:val="24"/>
        </w:rPr>
        <w:t>3</w:t>
      </w:r>
      <w:r w:rsidRPr="00BD3B59">
        <w:rPr>
          <w:rFonts w:ascii="Arial" w:hAnsi="Arial" w:cs="Arial"/>
          <w:b/>
          <w:i w:val="0"/>
          <w:sz w:val="24"/>
        </w:rPr>
        <w:fldChar w:fldCharType="end"/>
      </w:r>
      <w:r w:rsidRPr="00BD3B59">
        <w:rPr>
          <w:rFonts w:ascii="Arial" w:hAnsi="Arial" w:cs="Arial"/>
          <w:b/>
          <w:i w:val="0"/>
          <w:sz w:val="24"/>
        </w:rPr>
        <w:t>: Tesla consolidated statements of operations indicate stable revenue in 2023–2025, but declining gross profit, operating income and net income highlight increasing margin pressure and weaker earnings conversion.</w:t>
      </w:r>
      <w:bookmarkEnd w:id="10"/>
    </w:p>
    <w:p w14:paraId="796E495D" w14:textId="77777777" w:rsidR="00896D12" w:rsidRPr="00BD3B59" w:rsidRDefault="00896D12" w:rsidP="00D91438">
      <w:pPr>
        <w:spacing w:line="360" w:lineRule="auto"/>
        <w:jc w:val="both"/>
        <w:rPr>
          <w:rFonts w:ascii="Arial" w:hAnsi="Arial" w:cs="Arial"/>
          <w:b/>
          <w:bCs/>
        </w:rPr>
      </w:pPr>
      <w:r w:rsidRPr="00BD3B59">
        <w:rPr>
          <w:rStyle w:val="Strong"/>
          <w:rFonts w:ascii="Arial" w:hAnsi="Arial" w:cs="Arial"/>
        </w:rPr>
        <w:t>Source:</w:t>
      </w:r>
      <w:r w:rsidRPr="00BD3B59">
        <w:rPr>
          <w:rFonts w:ascii="Arial" w:hAnsi="Arial" w:cs="Arial"/>
        </w:rPr>
        <w:t xml:space="preserve"> Tesla Annual Report (2025).</w:t>
      </w:r>
      <w:r w:rsidRPr="00BD3B59">
        <w:rPr>
          <w:rFonts w:ascii="Arial" w:hAnsi="Arial" w:cs="Arial"/>
          <w:b/>
          <w:bCs/>
        </w:rPr>
        <w:t xml:space="preserve"> </w:t>
      </w:r>
    </w:p>
    <w:p w14:paraId="170168ED" w14:textId="77777777" w:rsidR="00B64335" w:rsidRPr="00BD3B59" w:rsidRDefault="00B64335" w:rsidP="00177B86">
      <w:pPr>
        <w:pStyle w:val="Heading2"/>
      </w:pPr>
      <w:bookmarkStart w:id="11" w:name="_Toc227799619"/>
      <w:r w:rsidRPr="00BD3B59">
        <w:t>2.4 Gearing Analysis</w:t>
      </w:r>
      <w:bookmarkEnd w:id="11"/>
    </w:p>
    <w:p w14:paraId="2C23148E"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Tesla’s gearing profile is one of its strongest financial characteristics. Debt-to-equity declined significantly from </w:t>
      </w:r>
      <w:r w:rsidRPr="00BD3B59">
        <w:rPr>
          <w:rFonts w:ascii="Arial" w:hAnsi="Arial" w:cs="Arial"/>
          <w:bCs/>
        </w:rPr>
        <w:t>0.53 in 2020</w:t>
      </w:r>
      <w:r w:rsidRPr="00BD3B59">
        <w:rPr>
          <w:rFonts w:ascii="Arial" w:hAnsi="Arial" w:cs="Arial"/>
        </w:rPr>
        <w:t xml:space="preserve"> to </w:t>
      </w:r>
      <w:r w:rsidRPr="00BD3B59">
        <w:rPr>
          <w:rFonts w:ascii="Arial" w:hAnsi="Arial" w:cs="Arial"/>
          <w:bCs/>
        </w:rPr>
        <w:t>0.11 in 2024</w:t>
      </w:r>
      <w:r w:rsidRPr="00BD3B59">
        <w:rPr>
          <w:rFonts w:ascii="Arial" w:hAnsi="Arial" w:cs="Arial"/>
        </w:rPr>
        <w:t>, confirming that Tesla relied less on external borrowing and strengthened its equity-funded position. This is strategically valuable because it reduces exposure to rising borrowing costs and gives management future debt capacity if required.</w:t>
      </w:r>
    </w:p>
    <w:p w14:paraId="58D857DD"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Interest cover rose from </w:t>
      </w:r>
      <w:r w:rsidRPr="00BD3B59">
        <w:rPr>
          <w:rFonts w:ascii="Arial" w:hAnsi="Arial" w:cs="Arial"/>
          <w:bCs/>
        </w:rPr>
        <w:t>2.7 times in 2020</w:t>
      </w:r>
      <w:r w:rsidRPr="00BD3B59">
        <w:rPr>
          <w:rFonts w:ascii="Arial" w:hAnsi="Arial" w:cs="Arial"/>
        </w:rPr>
        <w:t xml:space="preserve"> to </w:t>
      </w:r>
      <w:r w:rsidRPr="00BD3B59">
        <w:rPr>
          <w:rFonts w:ascii="Arial" w:hAnsi="Arial" w:cs="Arial"/>
          <w:bCs/>
        </w:rPr>
        <w:t>71.5 times in 2022</w:t>
      </w:r>
      <w:r w:rsidRPr="00BD3B59">
        <w:rPr>
          <w:rFonts w:ascii="Arial" w:hAnsi="Arial" w:cs="Arial"/>
        </w:rPr>
        <w:t xml:space="preserve">, before falling to </w:t>
      </w:r>
      <w:r w:rsidRPr="00BD3B59">
        <w:rPr>
          <w:rFonts w:ascii="Arial" w:hAnsi="Arial" w:cs="Arial"/>
          <w:bCs/>
        </w:rPr>
        <w:t>20.2 times in 2024</w:t>
      </w:r>
      <w:r w:rsidRPr="00BD3B59">
        <w:rPr>
          <w:rFonts w:ascii="Arial" w:hAnsi="Arial" w:cs="Arial"/>
        </w:rPr>
        <w:t>. Although lower than the peak years, the 2024 ratio still indicates comfortable ability to service finance costs from operating profit.</w:t>
      </w:r>
    </w:p>
    <w:p w14:paraId="3027CA3F" w14:textId="77777777" w:rsidR="00177B86" w:rsidRPr="00BD3B59" w:rsidRDefault="00177B86" w:rsidP="00177B86">
      <w:pPr>
        <w:pStyle w:val="Caption"/>
        <w:keepNext/>
        <w:rPr>
          <w:rFonts w:ascii="Arial" w:hAnsi="Arial" w:cs="Arial"/>
          <w:b/>
          <w:i w:val="0"/>
          <w:sz w:val="24"/>
          <w:szCs w:val="24"/>
        </w:rPr>
      </w:pPr>
      <w:bookmarkStart w:id="12" w:name="_Toc227799751"/>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4</w:t>
      </w:r>
      <w:r w:rsidR="00F52EE6" w:rsidRPr="00BD3B59">
        <w:rPr>
          <w:rFonts w:ascii="Arial" w:hAnsi="Arial" w:cs="Arial"/>
          <w:b/>
          <w:i w:val="0"/>
          <w:sz w:val="24"/>
          <w:szCs w:val="24"/>
        </w:rPr>
        <w:fldChar w:fldCharType="end"/>
      </w:r>
      <w:r w:rsidRPr="00BD3B59">
        <w:rPr>
          <w:rFonts w:ascii="Arial" w:hAnsi="Arial" w:cs="Arial"/>
          <w:b/>
          <w:i w:val="0"/>
          <w:sz w:val="24"/>
          <w:szCs w:val="24"/>
        </w:rPr>
        <w:t>: Tesla Gearing Ratios (2020–2024)</w:t>
      </w:r>
      <w:bookmarkEnd w:id="12"/>
    </w:p>
    <w:tbl>
      <w:tblPr>
        <w:tblStyle w:val="PlainTable5"/>
        <w:tblW w:w="9187" w:type="dxa"/>
        <w:tblLook w:val="04A0" w:firstRow="1" w:lastRow="0" w:firstColumn="1" w:lastColumn="0" w:noHBand="0" w:noVBand="1"/>
      </w:tblPr>
      <w:tblGrid>
        <w:gridCol w:w="2922"/>
        <w:gridCol w:w="1253"/>
        <w:gridCol w:w="1253"/>
        <w:gridCol w:w="1253"/>
        <w:gridCol w:w="1253"/>
        <w:gridCol w:w="1253"/>
      </w:tblGrid>
      <w:tr w:rsidR="00B64335" w:rsidRPr="00BD3B59" w14:paraId="556D4CEB" w14:textId="77777777" w:rsidTr="00F52EE6">
        <w:trPr>
          <w:cnfStyle w:val="100000000000" w:firstRow="1" w:lastRow="0" w:firstColumn="0" w:lastColumn="0" w:oddVBand="0" w:evenVBand="0" w:oddHBand="0" w:evenHBand="0" w:firstRowFirstColumn="0" w:firstRowLastColumn="0" w:lastRowFirstColumn="0" w:lastRowLastColumn="0"/>
          <w:trHeight w:val="442"/>
        </w:trPr>
        <w:tc>
          <w:tcPr>
            <w:cnfStyle w:val="001000000100" w:firstRow="0" w:lastRow="0" w:firstColumn="1" w:lastColumn="0" w:oddVBand="0" w:evenVBand="0" w:oddHBand="0" w:evenHBand="0" w:firstRowFirstColumn="1" w:firstRowLastColumn="0" w:lastRowFirstColumn="0" w:lastRowLastColumn="0"/>
            <w:tcW w:w="0" w:type="auto"/>
            <w:hideMark/>
          </w:tcPr>
          <w:p w14:paraId="0186AA08" w14:textId="77777777" w:rsidR="00B64335" w:rsidRPr="00BD3B59" w:rsidRDefault="00B64335" w:rsidP="00D91438">
            <w:pPr>
              <w:spacing w:line="360" w:lineRule="auto"/>
              <w:jc w:val="both"/>
              <w:rPr>
                <w:rFonts w:ascii="Arial" w:hAnsi="Arial" w:cs="Arial"/>
                <w:b/>
                <w:bCs/>
                <w:sz w:val="24"/>
              </w:rPr>
            </w:pPr>
            <w:r w:rsidRPr="00BD3B59">
              <w:rPr>
                <w:rFonts w:ascii="Arial" w:hAnsi="Arial" w:cs="Arial"/>
                <w:sz w:val="24"/>
              </w:rPr>
              <w:t>Ratio</w:t>
            </w:r>
          </w:p>
        </w:tc>
        <w:tc>
          <w:tcPr>
            <w:tcW w:w="0" w:type="auto"/>
            <w:hideMark/>
          </w:tcPr>
          <w:p w14:paraId="2635B1E6"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2020</w:t>
            </w:r>
          </w:p>
        </w:tc>
        <w:tc>
          <w:tcPr>
            <w:tcW w:w="0" w:type="auto"/>
            <w:hideMark/>
          </w:tcPr>
          <w:p w14:paraId="74F698D9"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2021</w:t>
            </w:r>
          </w:p>
        </w:tc>
        <w:tc>
          <w:tcPr>
            <w:tcW w:w="0" w:type="auto"/>
            <w:hideMark/>
          </w:tcPr>
          <w:p w14:paraId="3352AF70"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2022</w:t>
            </w:r>
          </w:p>
        </w:tc>
        <w:tc>
          <w:tcPr>
            <w:tcW w:w="0" w:type="auto"/>
            <w:hideMark/>
          </w:tcPr>
          <w:p w14:paraId="06211B75"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2023</w:t>
            </w:r>
          </w:p>
        </w:tc>
        <w:tc>
          <w:tcPr>
            <w:tcW w:w="0" w:type="auto"/>
            <w:hideMark/>
          </w:tcPr>
          <w:p w14:paraId="3F26FAB8"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2024</w:t>
            </w:r>
          </w:p>
        </w:tc>
      </w:tr>
      <w:tr w:rsidR="00B64335" w:rsidRPr="00BD3B59" w14:paraId="2660AA3A" w14:textId="77777777" w:rsidTr="00F52EE6">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5D2CB8AC"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Debt-to-Equity</w:t>
            </w:r>
          </w:p>
        </w:tc>
        <w:tc>
          <w:tcPr>
            <w:tcW w:w="0" w:type="auto"/>
            <w:hideMark/>
          </w:tcPr>
          <w:p w14:paraId="17B58E81"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0.53</w:t>
            </w:r>
          </w:p>
        </w:tc>
        <w:tc>
          <w:tcPr>
            <w:tcW w:w="0" w:type="auto"/>
            <w:hideMark/>
          </w:tcPr>
          <w:p w14:paraId="2B28B38C"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0.23</w:t>
            </w:r>
          </w:p>
        </w:tc>
        <w:tc>
          <w:tcPr>
            <w:tcW w:w="0" w:type="auto"/>
            <w:hideMark/>
          </w:tcPr>
          <w:p w14:paraId="537CBCAD"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0.07</w:t>
            </w:r>
          </w:p>
        </w:tc>
        <w:tc>
          <w:tcPr>
            <w:tcW w:w="0" w:type="auto"/>
            <w:hideMark/>
          </w:tcPr>
          <w:p w14:paraId="735F293D"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0.08</w:t>
            </w:r>
          </w:p>
        </w:tc>
        <w:tc>
          <w:tcPr>
            <w:tcW w:w="0" w:type="auto"/>
            <w:hideMark/>
          </w:tcPr>
          <w:p w14:paraId="24BDF4AF"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0.11</w:t>
            </w:r>
          </w:p>
        </w:tc>
      </w:tr>
      <w:tr w:rsidR="00B64335" w:rsidRPr="00BD3B59" w14:paraId="6CB20CA2" w14:textId="77777777" w:rsidTr="00F52EE6">
        <w:trPr>
          <w:trHeight w:val="442"/>
        </w:trPr>
        <w:tc>
          <w:tcPr>
            <w:cnfStyle w:val="001000000000" w:firstRow="0" w:lastRow="0" w:firstColumn="1" w:lastColumn="0" w:oddVBand="0" w:evenVBand="0" w:oddHBand="0" w:evenHBand="0" w:firstRowFirstColumn="0" w:firstRowLastColumn="0" w:lastRowFirstColumn="0" w:lastRowLastColumn="0"/>
            <w:tcW w:w="0" w:type="auto"/>
            <w:hideMark/>
          </w:tcPr>
          <w:p w14:paraId="656F45F0"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Interest Cover</w:t>
            </w:r>
          </w:p>
        </w:tc>
        <w:tc>
          <w:tcPr>
            <w:tcW w:w="0" w:type="auto"/>
            <w:hideMark/>
          </w:tcPr>
          <w:p w14:paraId="78DB0457"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2.7</w:t>
            </w:r>
          </w:p>
        </w:tc>
        <w:tc>
          <w:tcPr>
            <w:tcW w:w="0" w:type="auto"/>
            <w:hideMark/>
          </w:tcPr>
          <w:p w14:paraId="05427CFD"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17.6</w:t>
            </w:r>
          </w:p>
        </w:tc>
        <w:tc>
          <w:tcPr>
            <w:tcW w:w="0" w:type="auto"/>
            <w:hideMark/>
          </w:tcPr>
          <w:p w14:paraId="62C1A14B"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71.5</w:t>
            </w:r>
          </w:p>
        </w:tc>
        <w:tc>
          <w:tcPr>
            <w:tcW w:w="0" w:type="auto"/>
            <w:hideMark/>
          </w:tcPr>
          <w:p w14:paraId="39559A9B"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57.0</w:t>
            </w:r>
          </w:p>
        </w:tc>
        <w:tc>
          <w:tcPr>
            <w:tcW w:w="0" w:type="auto"/>
            <w:hideMark/>
          </w:tcPr>
          <w:p w14:paraId="2418F66A"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20.2</w:t>
            </w:r>
          </w:p>
        </w:tc>
      </w:tr>
    </w:tbl>
    <w:p w14:paraId="059B91AD" w14:textId="77777777" w:rsidR="00177B86" w:rsidRPr="00BD3B59" w:rsidRDefault="00177B86" w:rsidP="00D91438">
      <w:pPr>
        <w:spacing w:line="360" w:lineRule="auto"/>
        <w:jc w:val="both"/>
        <w:rPr>
          <w:rFonts w:ascii="Arial" w:hAnsi="Arial" w:cs="Arial"/>
          <w:b/>
          <w:bCs/>
        </w:rPr>
      </w:pPr>
    </w:p>
    <w:p w14:paraId="3C303FD6" w14:textId="77777777" w:rsidR="00F52EE6" w:rsidRPr="00BD3B59" w:rsidRDefault="00B64335" w:rsidP="00F52EE6">
      <w:pPr>
        <w:keepNext/>
        <w:spacing w:line="360" w:lineRule="auto"/>
        <w:jc w:val="both"/>
      </w:pPr>
      <w:r w:rsidRPr="00BD3B59">
        <w:rPr>
          <w:rFonts w:ascii="Arial" w:hAnsi="Arial" w:cs="Arial"/>
          <w:noProof/>
        </w:rPr>
        <w:drawing>
          <wp:inline distT="0" distB="0" distL="0" distR="0" wp14:anchorId="0FBC1B32" wp14:editId="3E6BFDB8">
            <wp:extent cx="5813571" cy="3263317"/>
            <wp:effectExtent l="0" t="0" r="15875" b="1333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0DD21B" w14:textId="77777777" w:rsidR="00B64335" w:rsidRPr="00BD3B59" w:rsidRDefault="00F52EE6" w:rsidP="00F52EE6">
      <w:pPr>
        <w:pStyle w:val="Caption"/>
        <w:spacing w:line="360" w:lineRule="auto"/>
        <w:jc w:val="both"/>
        <w:rPr>
          <w:rFonts w:ascii="Arial" w:hAnsi="Arial" w:cs="Arial"/>
          <w:b/>
          <w:bCs/>
          <w:i w:val="0"/>
          <w:sz w:val="36"/>
          <w:szCs w:val="24"/>
        </w:rPr>
      </w:pPr>
      <w:bookmarkStart w:id="13" w:name="_Toc227799716"/>
      <w:r w:rsidRPr="00BD3B59">
        <w:rPr>
          <w:rFonts w:ascii="Arial" w:hAnsi="Arial" w:cs="Arial"/>
          <w:b/>
          <w:i w:val="0"/>
          <w:sz w:val="24"/>
        </w:rPr>
        <w:t xml:space="preserve">Figure </w:t>
      </w:r>
      <w:r w:rsidRPr="00BD3B59">
        <w:rPr>
          <w:rFonts w:ascii="Arial" w:hAnsi="Arial" w:cs="Arial"/>
          <w:b/>
          <w:i w:val="0"/>
          <w:sz w:val="24"/>
        </w:rPr>
        <w:fldChar w:fldCharType="begin"/>
      </w:r>
      <w:r w:rsidRPr="00BD3B59">
        <w:rPr>
          <w:rFonts w:ascii="Arial" w:hAnsi="Arial" w:cs="Arial"/>
          <w:b/>
          <w:i w:val="0"/>
          <w:sz w:val="24"/>
        </w:rPr>
        <w:instrText xml:space="preserve"> SEQ Figure \* ARABIC </w:instrText>
      </w:r>
      <w:r w:rsidRPr="00BD3B59">
        <w:rPr>
          <w:rFonts w:ascii="Arial" w:hAnsi="Arial" w:cs="Arial"/>
          <w:b/>
          <w:i w:val="0"/>
          <w:sz w:val="24"/>
        </w:rPr>
        <w:fldChar w:fldCharType="separate"/>
      </w:r>
      <w:r w:rsidRPr="00BD3B59">
        <w:rPr>
          <w:rFonts w:ascii="Arial" w:hAnsi="Arial" w:cs="Arial"/>
          <w:b/>
          <w:i w:val="0"/>
          <w:sz w:val="24"/>
        </w:rPr>
        <w:t>4</w:t>
      </w:r>
      <w:r w:rsidRPr="00BD3B59">
        <w:rPr>
          <w:rFonts w:ascii="Arial" w:hAnsi="Arial" w:cs="Arial"/>
          <w:b/>
          <w:i w:val="0"/>
          <w:sz w:val="24"/>
        </w:rPr>
        <w:fldChar w:fldCharType="end"/>
      </w:r>
      <w:r w:rsidRPr="00BD3B59">
        <w:rPr>
          <w:rFonts w:ascii="Arial" w:hAnsi="Arial" w:cs="Arial"/>
          <w:b/>
          <w:i w:val="0"/>
          <w:sz w:val="24"/>
        </w:rPr>
        <w:t>: Tesla maintained low gearing and strong interest cover throughout the period, confirming a conservative capital structure with limited debt risk.</w:t>
      </w:r>
      <w:bookmarkEnd w:id="13"/>
    </w:p>
    <w:p w14:paraId="074215BA" w14:textId="77777777" w:rsidR="00896D12" w:rsidRDefault="00896D12" w:rsidP="00D91438">
      <w:pPr>
        <w:spacing w:line="360" w:lineRule="auto"/>
        <w:jc w:val="both"/>
        <w:rPr>
          <w:rFonts w:ascii="Arial" w:hAnsi="Arial" w:cs="Arial"/>
          <w:b/>
          <w:bCs/>
        </w:rPr>
      </w:pPr>
      <w:r w:rsidRPr="00BD3B59">
        <w:rPr>
          <w:rStyle w:val="Strong"/>
          <w:rFonts w:ascii="Arial" w:hAnsi="Arial" w:cs="Arial"/>
        </w:rPr>
        <w:t>Source:</w:t>
      </w:r>
      <w:r w:rsidRPr="00BD3B59">
        <w:rPr>
          <w:rFonts w:ascii="Arial" w:hAnsi="Arial" w:cs="Arial"/>
        </w:rPr>
        <w:t xml:space="preserve"> Author’s calculations based on Tesla Annual Reports (2021–2025).</w:t>
      </w:r>
      <w:r w:rsidRPr="00BD3B59">
        <w:rPr>
          <w:rFonts w:ascii="Arial" w:hAnsi="Arial" w:cs="Arial"/>
          <w:b/>
          <w:bCs/>
        </w:rPr>
        <w:t xml:space="preserve"> </w:t>
      </w:r>
    </w:p>
    <w:p w14:paraId="648BB9B7" w14:textId="77777777" w:rsidR="00C75885" w:rsidRPr="00BD3B59" w:rsidRDefault="00C75885" w:rsidP="00D91438">
      <w:pPr>
        <w:spacing w:line="360" w:lineRule="auto"/>
        <w:jc w:val="both"/>
        <w:rPr>
          <w:rFonts w:ascii="Arial" w:hAnsi="Arial" w:cs="Arial"/>
          <w:b/>
          <w:bCs/>
        </w:rPr>
      </w:pPr>
    </w:p>
    <w:p w14:paraId="0D4831BA" w14:textId="77777777" w:rsidR="00B64335" w:rsidRPr="00BD3B59" w:rsidRDefault="00B64335" w:rsidP="00177B86">
      <w:pPr>
        <w:pStyle w:val="Heading2"/>
      </w:pPr>
      <w:bookmarkStart w:id="14" w:name="_Toc227799620"/>
      <w:r w:rsidRPr="00BD3B59">
        <w:t>2.5 Investment and Market Ratios</w:t>
      </w:r>
      <w:bookmarkEnd w:id="14"/>
    </w:p>
    <w:p w14:paraId="25A8660B"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Tesla’s diluted EPS increased from </w:t>
      </w:r>
      <w:r w:rsidRPr="00BD3B59">
        <w:rPr>
          <w:rFonts w:ascii="Arial" w:hAnsi="Arial" w:cs="Arial"/>
          <w:bCs/>
        </w:rPr>
        <w:t>US$0.21 in 2020</w:t>
      </w:r>
      <w:r w:rsidRPr="00BD3B59">
        <w:rPr>
          <w:rFonts w:ascii="Arial" w:hAnsi="Arial" w:cs="Arial"/>
        </w:rPr>
        <w:t xml:space="preserve"> to </w:t>
      </w:r>
      <w:r w:rsidRPr="00BD3B59">
        <w:rPr>
          <w:rFonts w:ascii="Arial" w:hAnsi="Arial" w:cs="Arial"/>
          <w:bCs/>
        </w:rPr>
        <w:t>US$4.30 in 2023</w:t>
      </w:r>
      <w:r w:rsidRPr="00BD3B59">
        <w:rPr>
          <w:rFonts w:ascii="Arial" w:hAnsi="Arial" w:cs="Arial"/>
        </w:rPr>
        <w:t xml:space="preserve">, before declining sharply to </w:t>
      </w:r>
      <w:r w:rsidRPr="00BD3B59">
        <w:rPr>
          <w:rFonts w:ascii="Arial" w:hAnsi="Arial" w:cs="Arial"/>
          <w:bCs/>
        </w:rPr>
        <w:t>US$2.04 in 2024</w:t>
      </w:r>
      <w:r w:rsidRPr="00BD3B59">
        <w:rPr>
          <w:rFonts w:ascii="Arial" w:hAnsi="Arial" w:cs="Arial"/>
        </w:rPr>
        <w:t>. This fall aligns with lower profitability and weaker returns to shareholders.</w:t>
      </w:r>
    </w:p>
    <w:p w14:paraId="485F73AF" w14:textId="77777777" w:rsidR="00B64335" w:rsidRPr="00BD3B59" w:rsidRDefault="00B64335" w:rsidP="00D91438">
      <w:pPr>
        <w:spacing w:line="360" w:lineRule="auto"/>
        <w:jc w:val="both"/>
        <w:rPr>
          <w:rFonts w:ascii="Arial" w:hAnsi="Arial" w:cs="Arial"/>
        </w:rPr>
      </w:pPr>
      <w:r w:rsidRPr="00BD3B59">
        <w:rPr>
          <w:rFonts w:ascii="Arial" w:hAnsi="Arial" w:cs="Arial"/>
        </w:rPr>
        <w:t>Despite this, Tesla’s P/E ratio remained comparatively high, showing that investors continued to price the company on future growth expectations rather than only current earnings. While this market confidence is positive, it also creates valuation risk. If earnings continue to weaken, investors may reassess Tesla’s premium valuation more aggressively.</w:t>
      </w:r>
    </w:p>
    <w:p w14:paraId="10E5E98D" w14:textId="77777777" w:rsidR="00177B86" w:rsidRPr="00BD3B59" w:rsidRDefault="00177B86" w:rsidP="00177B86">
      <w:pPr>
        <w:pStyle w:val="Caption"/>
        <w:keepNext/>
        <w:rPr>
          <w:rFonts w:ascii="Arial" w:hAnsi="Arial" w:cs="Arial"/>
          <w:b/>
          <w:i w:val="0"/>
          <w:sz w:val="24"/>
          <w:szCs w:val="24"/>
        </w:rPr>
      </w:pPr>
      <w:bookmarkStart w:id="15" w:name="_Toc227799752"/>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5</w:t>
      </w:r>
      <w:r w:rsidR="00F52EE6" w:rsidRPr="00BD3B59">
        <w:rPr>
          <w:rFonts w:ascii="Arial" w:hAnsi="Arial" w:cs="Arial"/>
          <w:b/>
          <w:i w:val="0"/>
          <w:sz w:val="24"/>
          <w:szCs w:val="24"/>
        </w:rPr>
        <w:fldChar w:fldCharType="end"/>
      </w:r>
      <w:r w:rsidRPr="00BD3B59">
        <w:rPr>
          <w:rFonts w:ascii="Arial" w:hAnsi="Arial" w:cs="Arial"/>
          <w:b/>
          <w:i w:val="0"/>
          <w:sz w:val="24"/>
          <w:szCs w:val="24"/>
        </w:rPr>
        <w:t>: Tesla Investment Ratios (2020–2024)</w:t>
      </w:r>
      <w:bookmarkEnd w:id="15"/>
    </w:p>
    <w:tbl>
      <w:tblPr>
        <w:tblStyle w:val="PlainTable5"/>
        <w:tblW w:w="9482" w:type="dxa"/>
        <w:tblLook w:val="04A0" w:firstRow="1" w:lastRow="0" w:firstColumn="1" w:lastColumn="0" w:noHBand="0" w:noVBand="1"/>
      </w:tblPr>
      <w:tblGrid>
        <w:gridCol w:w="1954"/>
        <w:gridCol w:w="1192"/>
        <w:gridCol w:w="1192"/>
        <w:gridCol w:w="1955"/>
        <w:gridCol w:w="1192"/>
        <w:gridCol w:w="1997"/>
      </w:tblGrid>
      <w:tr w:rsidR="00B64335" w:rsidRPr="00BD3B59" w14:paraId="14904092" w14:textId="77777777" w:rsidTr="00F52EE6">
        <w:trPr>
          <w:cnfStyle w:val="100000000000" w:firstRow="1" w:lastRow="0" w:firstColumn="0" w:lastColumn="0" w:oddVBand="0" w:evenVBand="0" w:oddHBand="0" w:evenHBand="0" w:firstRowFirstColumn="0" w:firstRowLastColumn="0" w:lastRowFirstColumn="0" w:lastRowLastColumn="0"/>
          <w:trHeight w:val="442"/>
        </w:trPr>
        <w:tc>
          <w:tcPr>
            <w:cnfStyle w:val="001000000100" w:firstRow="0" w:lastRow="0" w:firstColumn="1" w:lastColumn="0" w:oddVBand="0" w:evenVBand="0" w:oddHBand="0" w:evenHBand="0" w:firstRowFirstColumn="1" w:firstRowLastColumn="0" w:lastRowFirstColumn="0" w:lastRowLastColumn="0"/>
            <w:tcW w:w="0" w:type="auto"/>
            <w:hideMark/>
          </w:tcPr>
          <w:p w14:paraId="5F3D8C0E" w14:textId="77777777" w:rsidR="00B64335" w:rsidRPr="00BD3B59" w:rsidRDefault="00B64335" w:rsidP="00D91438">
            <w:pPr>
              <w:spacing w:line="360" w:lineRule="auto"/>
              <w:jc w:val="both"/>
              <w:rPr>
                <w:rFonts w:ascii="Arial" w:hAnsi="Arial" w:cs="Arial"/>
                <w:b/>
                <w:bCs/>
                <w:sz w:val="24"/>
              </w:rPr>
            </w:pPr>
            <w:r w:rsidRPr="00BD3B59">
              <w:rPr>
                <w:rFonts w:ascii="Arial" w:hAnsi="Arial" w:cs="Arial"/>
                <w:sz w:val="24"/>
              </w:rPr>
              <w:t>Ratio</w:t>
            </w:r>
          </w:p>
        </w:tc>
        <w:tc>
          <w:tcPr>
            <w:tcW w:w="0" w:type="auto"/>
            <w:hideMark/>
          </w:tcPr>
          <w:p w14:paraId="5732DA03"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2020</w:t>
            </w:r>
          </w:p>
        </w:tc>
        <w:tc>
          <w:tcPr>
            <w:tcW w:w="0" w:type="auto"/>
            <w:hideMark/>
          </w:tcPr>
          <w:p w14:paraId="54E298A1"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2021</w:t>
            </w:r>
          </w:p>
        </w:tc>
        <w:tc>
          <w:tcPr>
            <w:tcW w:w="0" w:type="auto"/>
            <w:hideMark/>
          </w:tcPr>
          <w:p w14:paraId="140635C7"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2022</w:t>
            </w:r>
          </w:p>
        </w:tc>
        <w:tc>
          <w:tcPr>
            <w:tcW w:w="0" w:type="auto"/>
            <w:hideMark/>
          </w:tcPr>
          <w:p w14:paraId="4D49CC3D"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2023</w:t>
            </w:r>
          </w:p>
        </w:tc>
        <w:tc>
          <w:tcPr>
            <w:tcW w:w="0" w:type="auto"/>
            <w:hideMark/>
          </w:tcPr>
          <w:p w14:paraId="232D1BCD"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2024</w:t>
            </w:r>
          </w:p>
        </w:tc>
      </w:tr>
      <w:tr w:rsidR="00B64335" w:rsidRPr="00BD3B59" w14:paraId="715A10C6" w14:textId="77777777" w:rsidTr="00F52EE6">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7D09E43F"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EPS ($)</w:t>
            </w:r>
          </w:p>
        </w:tc>
        <w:tc>
          <w:tcPr>
            <w:tcW w:w="0" w:type="auto"/>
            <w:hideMark/>
          </w:tcPr>
          <w:p w14:paraId="7F864277"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0.21</w:t>
            </w:r>
          </w:p>
        </w:tc>
        <w:tc>
          <w:tcPr>
            <w:tcW w:w="0" w:type="auto"/>
            <w:hideMark/>
          </w:tcPr>
          <w:p w14:paraId="5CB0B98D"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1.63</w:t>
            </w:r>
          </w:p>
        </w:tc>
        <w:tc>
          <w:tcPr>
            <w:tcW w:w="0" w:type="auto"/>
            <w:hideMark/>
          </w:tcPr>
          <w:p w14:paraId="02CB4CD7"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3.62</w:t>
            </w:r>
          </w:p>
        </w:tc>
        <w:tc>
          <w:tcPr>
            <w:tcW w:w="0" w:type="auto"/>
            <w:hideMark/>
          </w:tcPr>
          <w:p w14:paraId="4C4F75D3"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4.30</w:t>
            </w:r>
          </w:p>
        </w:tc>
        <w:tc>
          <w:tcPr>
            <w:tcW w:w="0" w:type="auto"/>
            <w:hideMark/>
          </w:tcPr>
          <w:p w14:paraId="1F67EF75"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2.04</w:t>
            </w:r>
          </w:p>
        </w:tc>
      </w:tr>
      <w:tr w:rsidR="00B64335" w:rsidRPr="00BD3B59" w14:paraId="3BB798F7" w14:textId="77777777" w:rsidTr="00F52EE6">
        <w:trPr>
          <w:trHeight w:val="442"/>
        </w:trPr>
        <w:tc>
          <w:tcPr>
            <w:cnfStyle w:val="001000000000" w:firstRow="0" w:lastRow="0" w:firstColumn="1" w:lastColumn="0" w:oddVBand="0" w:evenVBand="0" w:oddHBand="0" w:evenHBand="0" w:firstRowFirstColumn="0" w:firstRowLastColumn="0" w:lastRowFirstColumn="0" w:lastRowLastColumn="0"/>
            <w:tcW w:w="0" w:type="auto"/>
            <w:hideMark/>
          </w:tcPr>
          <w:p w14:paraId="274281C1"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P/E Ratio</w:t>
            </w:r>
          </w:p>
        </w:tc>
        <w:tc>
          <w:tcPr>
            <w:tcW w:w="0" w:type="auto"/>
            <w:hideMark/>
          </w:tcPr>
          <w:p w14:paraId="3D788C79"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High</w:t>
            </w:r>
          </w:p>
        </w:tc>
        <w:tc>
          <w:tcPr>
            <w:tcW w:w="0" w:type="auto"/>
            <w:hideMark/>
          </w:tcPr>
          <w:p w14:paraId="54B1E31C"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High</w:t>
            </w:r>
          </w:p>
        </w:tc>
        <w:tc>
          <w:tcPr>
            <w:tcW w:w="0" w:type="auto"/>
            <w:hideMark/>
          </w:tcPr>
          <w:p w14:paraId="47628B41"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Moderate</w:t>
            </w:r>
          </w:p>
        </w:tc>
        <w:tc>
          <w:tcPr>
            <w:tcW w:w="0" w:type="auto"/>
            <w:hideMark/>
          </w:tcPr>
          <w:p w14:paraId="2A850D8A"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High</w:t>
            </w:r>
          </w:p>
        </w:tc>
        <w:tc>
          <w:tcPr>
            <w:tcW w:w="0" w:type="auto"/>
            <w:hideMark/>
          </w:tcPr>
          <w:p w14:paraId="4D652134"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Very High</w:t>
            </w:r>
          </w:p>
        </w:tc>
      </w:tr>
    </w:tbl>
    <w:p w14:paraId="0D7403BD" w14:textId="77777777" w:rsidR="00F52EE6" w:rsidRPr="00BD3B59" w:rsidRDefault="00F52EE6" w:rsidP="00F52EE6"/>
    <w:p w14:paraId="36C0327E" w14:textId="77777777" w:rsidR="00B64335" w:rsidRPr="00BD3B59" w:rsidRDefault="00B64335" w:rsidP="00177B86">
      <w:pPr>
        <w:pStyle w:val="Heading2"/>
      </w:pPr>
      <w:bookmarkStart w:id="16" w:name="_Toc227799621"/>
      <w:r w:rsidRPr="00BD3B59">
        <w:t>2.6 Cash Flow Analysis</w:t>
      </w:r>
      <w:bookmarkEnd w:id="16"/>
    </w:p>
    <w:p w14:paraId="065DD488"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Tesla generated positive operating cash flow throughout the five-year period, and the operating cash flow ratio improved from </w:t>
      </w:r>
      <w:r w:rsidRPr="00BD3B59">
        <w:rPr>
          <w:rFonts w:ascii="Arial" w:hAnsi="Arial" w:cs="Arial"/>
          <w:bCs/>
        </w:rPr>
        <w:t>0.42 in 2020</w:t>
      </w:r>
      <w:r w:rsidRPr="00BD3B59">
        <w:rPr>
          <w:rFonts w:ascii="Arial" w:hAnsi="Arial" w:cs="Arial"/>
        </w:rPr>
        <w:t xml:space="preserve"> to </w:t>
      </w:r>
      <w:r w:rsidRPr="00BD3B59">
        <w:rPr>
          <w:rFonts w:ascii="Arial" w:hAnsi="Arial" w:cs="Arial"/>
          <w:bCs/>
        </w:rPr>
        <w:t>0.52 in 2024</w:t>
      </w:r>
      <w:r w:rsidRPr="00BD3B59">
        <w:rPr>
          <w:rFonts w:ascii="Arial" w:hAnsi="Arial" w:cs="Arial"/>
        </w:rPr>
        <w:t>. This demonstrates that the company continued to convert operations into cash despite earnings volatility.</w:t>
      </w:r>
      <w:r w:rsidR="00896D12" w:rsidRPr="00BD3B59">
        <w:rPr>
          <w:rFonts w:ascii="Arial" w:hAnsi="Arial" w:cs="Arial"/>
        </w:rPr>
        <w:t xml:space="preserve"> </w:t>
      </w:r>
      <w:r w:rsidRPr="00BD3B59">
        <w:rPr>
          <w:rFonts w:ascii="Arial" w:hAnsi="Arial" w:cs="Arial"/>
        </w:rPr>
        <w:t>However, the ratio remained below 1.0 across the period, meaning current liabilities were not fully covered by annual operating cash generation alone. Therefore, while cash generation was healthy, Tesla’s liquidity strength also depended on accumulated cash reserves and investment balances rather than only recurring operating inflows.</w:t>
      </w:r>
    </w:p>
    <w:p w14:paraId="58AF2731" w14:textId="77777777" w:rsidR="00896D12" w:rsidRPr="00BD3B59" w:rsidRDefault="00896D12" w:rsidP="00D91438">
      <w:pPr>
        <w:spacing w:line="360" w:lineRule="auto"/>
        <w:jc w:val="both"/>
        <w:rPr>
          <w:rFonts w:ascii="Arial" w:hAnsi="Arial" w:cs="Arial"/>
        </w:rPr>
      </w:pPr>
      <w:r w:rsidRPr="00BD3B59">
        <w:rPr>
          <w:rFonts w:ascii="Arial" w:hAnsi="Arial" w:cs="Arial"/>
        </w:rPr>
        <w:t xml:space="preserve">Tesla generated operating cash flows of </w:t>
      </w:r>
      <w:r w:rsidRPr="00BD3B59">
        <w:rPr>
          <w:rStyle w:val="Strong"/>
          <w:rFonts w:ascii="Arial" w:hAnsi="Arial" w:cs="Arial"/>
          <w:b w:val="0"/>
        </w:rPr>
        <w:t>US$13.3 billion in 2023</w:t>
      </w:r>
      <w:r w:rsidRPr="00BD3B59">
        <w:rPr>
          <w:rFonts w:ascii="Arial" w:hAnsi="Arial" w:cs="Arial"/>
        </w:rPr>
        <w:t xml:space="preserve">, rising to </w:t>
      </w:r>
      <w:r w:rsidRPr="00BD3B59">
        <w:rPr>
          <w:rStyle w:val="Strong"/>
          <w:rFonts w:ascii="Arial" w:hAnsi="Arial" w:cs="Arial"/>
          <w:b w:val="0"/>
        </w:rPr>
        <w:t>US$14.9 billion in 2024</w:t>
      </w:r>
      <w:r w:rsidRPr="00BD3B59">
        <w:rPr>
          <w:rFonts w:ascii="Arial" w:hAnsi="Arial" w:cs="Arial"/>
          <w:b/>
        </w:rPr>
        <w:t xml:space="preserve"> </w:t>
      </w:r>
      <w:r w:rsidRPr="00BD3B59">
        <w:rPr>
          <w:rFonts w:ascii="Arial" w:hAnsi="Arial" w:cs="Arial"/>
        </w:rPr>
        <w:t xml:space="preserve">and remaining strong at </w:t>
      </w:r>
      <w:r w:rsidRPr="00BD3B59">
        <w:rPr>
          <w:rStyle w:val="Strong"/>
          <w:rFonts w:ascii="Arial" w:hAnsi="Arial" w:cs="Arial"/>
          <w:b w:val="0"/>
        </w:rPr>
        <w:t>US$14.7 billion in 2025</w:t>
      </w:r>
      <w:r w:rsidRPr="00BD3B59">
        <w:rPr>
          <w:rFonts w:ascii="Arial" w:hAnsi="Arial" w:cs="Arial"/>
        </w:rPr>
        <w:t xml:space="preserve">, indicating resilient internal cash creation despite earnings volatility as it represents in figure 5. However, large negative investing cash flows, reaching </w:t>
      </w:r>
      <w:r w:rsidRPr="00BD3B59">
        <w:rPr>
          <w:rStyle w:val="Strong"/>
          <w:rFonts w:ascii="Arial" w:hAnsi="Arial" w:cs="Arial"/>
          <w:b w:val="0"/>
        </w:rPr>
        <w:t>US$18.8 billion in 2024</w:t>
      </w:r>
      <w:r w:rsidRPr="00BD3B59">
        <w:rPr>
          <w:rFonts w:ascii="Arial" w:hAnsi="Arial" w:cs="Arial"/>
        </w:rPr>
        <w:t>, suggest significant expenditure on factories, technology and strategic assets. This reflects a growth-oriented capital allocation model rather than a cash-conservative strategy. Although financing inflows remained positive, reliance on external funding declined, implying stronger self-financing capacity and improved financial independence.</w:t>
      </w:r>
    </w:p>
    <w:p w14:paraId="527F6F12" w14:textId="77777777" w:rsidR="00F52EE6" w:rsidRPr="00BD3B59" w:rsidRDefault="00896D12" w:rsidP="00F52EE6">
      <w:pPr>
        <w:keepNext/>
        <w:spacing w:line="360" w:lineRule="auto"/>
        <w:jc w:val="both"/>
      </w:pPr>
      <w:r w:rsidRPr="00BD3B59">
        <w:rPr>
          <w:rFonts w:ascii="Arial" w:hAnsi="Arial" w:cs="Arial"/>
          <w:noProof/>
        </w:rPr>
        <w:drawing>
          <wp:inline distT="0" distB="0" distL="0" distR="0" wp14:anchorId="1E9D2931" wp14:editId="0E41FA3F">
            <wp:extent cx="6065765" cy="12983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17566" cy="1330833"/>
                    </a:xfrm>
                    <a:prstGeom prst="rect">
                      <a:avLst/>
                    </a:prstGeom>
                    <a:noFill/>
                  </pic:spPr>
                </pic:pic>
              </a:graphicData>
            </a:graphic>
          </wp:inline>
        </w:drawing>
      </w:r>
    </w:p>
    <w:p w14:paraId="7DD4F16F" w14:textId="77777777" w:rsidR="00896D12" w:rsidRPr="00BD3B59" w:rsidRDefault="00F52EE6" w:rsidP="00F52EE6">
      <w:pPr>
        <w:pStyle w:val="Caption"/>
        <w:spacing w:line="360" w:lineRule="auto"/>
        <w:jc w:val="both"/>
        <w:rPr>
          <w:rFonts w:ascii="Arial" w:hAnsi="Arial" w:cs="Arial"/>
          <w:b/>
          <w:i w:val="0"/>
          <w:sz w:val="36"/>
          <w:szCs w:val="24"/>
        </w:rPr>
      </w:pPr>
      <w:bookmarkStart w:id="17" w:name="_Toc227799717"/>
      <w:r w:rsidRPr="00BD3B59">
        <w:rPr>
          <w:rFonts w:ascii="Arial" w:hAnsi="Arial" w:cs="Arial"/>
          <w:b/>
          <w:i w:val="0"/>
          <w:sz w:val="24"/>
        </w:rPr>
        <w:t xml:space="preserve">Figure </w:t>
      </w:r>
      <w:r w:rsidRPr="00BD3B59">
        <w:rPr>
          <w:rFonts w:ascii="Arial" w:hAnsi="Arial" w:cs="Arial"/>
          <w:b/>
          <w:i w:val="0"/>
          <w:sz w:val="24"/>
        </w:rPr>
        <w:fldChar w:fldCharType="begin"/>
      </w:r>
      <w:r w:rsidRPr="00BD3B59">
        <w:rPr>
          <w:rFonts w:ascii="Arial" w:hAnsi="Arial" w:cs="Arial"/>
          <w:b/>
          <w:i w:val="0"/>
          <w:sz w:val="24"/>
        </w:rPr>
        <w:instrText xml:space="preserve"> SEQ Figure \* ARABIC </w:instrText>
      </w:r>
      <w:r w:rsidRPr="00BD3B59">
        <w:rPr>
          <w:rFonts w:ascii="Arial" w:hAnsi="Arial" w:cs="Arial"/>
          <w:b/>
          <w:i w:val="0"/>
          <w:sz w:val="24"/>
        </w:rPr>
        <w:fldChar w:fldCharType="separate"/>
      </w:r>
      <w:r w:rsidRPr="00BD3B59">
        <w:rPr>
          <w:rFonts w:ascii="Arial" w:hAnsi="Arial" w:cs="Arial"/>
          <w:b/>
          <w:i w:val="0"/>
          <w:sz w:val="24"/>
        </w:rPr>
        <w:t>5</w:t>
      </w:r>
      <w:r w:rsidRPr="00BD3B59">
        <w:rPr>
          <w:rFonts w:ascii="Arial" w:hAnsi="Arial" w:cs="Arial"/>
          <w:b/>
          <w:i w:val="0"/>
          <w:sz w:val="24"/>
        </w:rPr>
        <w:fldChar w:fldCharType="end"/>
      </w:r>
      <w:r w:rsidRPr="00BD3B59">
        <w:rPr>
          <w:rFonts w:ascii="Arial" w:hAnsi="Arial" w:cs="Arial"/>
          <w:b/>
          <w:i w:val="0"/>
          <w:sz w:val="24"/>
        </w:rPr>
        <w:t>: Tesla summary of cash flows shows continued strong operating cash generation in 2023–2025, while substantial investing outflows reflect ongoing expansion and capital expenditure commitments.</w:t>
      </w:r>
      <w:bookmarkEnd w:id="17"/>
    </w:p>
    <w:p w14:paraId="6D3F1EBD" w14:textId="77777777" w:rsidR="00896D12" w:rsidRPr="00BD3B59" w:rsidRDefault="00896D12" w:rsidP="00D91438">
      <w:pPr>
        <w:spacing w:line="360" w:lineRule="auto"/>
        <w:jc w:val="both"/>
        <w:rPr>
          <w:rFonts w:ascii="Arial" w:hAnsi="Arial" w:cs="Arial"/>
        </w:rPr>
      </w:pPr>
      <w:r w:rsidRPr="00BD3B59">
        <w:rPr>
          <w:rStyle w:val="Strong"/>
          <w:rFonts w:ascii="Arial" w:hAnsi="Arial" w:cs="Arial"/>
        </w:rPr>
        <w:t>Source:</w:t>
      </w:r>
      <w:r w:rsidRPr="00BD3B59">
        <w:rPr>
          <w:rFonts w:ascii="Arial" w:hAnsi="Arial" w:cs="Arial"/>
        </w:rPr>
        <w:t xml:space="preserve"> Tesla Annual Report (2025).</w:t>
      </w:r>
    </w:p>
    <w:p w14:paraId="298B3CC3" w14:textId="77777777" w:rsidR="00896D12" w:rsidRPr="00BD3B59" w:rsidRDefault="00896D12" w:rsidP="00777C6F">
      <w:pPr>
        <w:pStyle w:val="Heading2"/>
      </w:pPr>
      <w:bookmarkStart w:id="18" w:name="_Toc227799622"/>
      <w:r w:rsidRPr="00BD3B59">
        <w:t>2.7 Overall Trends, Strengths, Weaknesses and Threats</w:t>
      </w:r>
      <w:bookmarkEnd w:id="18"/>
    </w:p>
    <w:p w14:paraId="5DA6C14E" w14:textId="77777777" w:rsidR="00896D12" w:rsidRPr="00BD3B59" w:rsidRDefault="00896D12" w:rsidP="00D91438">
      <w:pPr>
        <w:spacing w:line="360" w:lineRule="auto"/>
        <w:jc w:val="both"/>
        <w:rPr>
          <w:rFonts w:ascii="Arial" w:hAnsi="Arial" w:cs="Arial"/>
        </w:rPr>
      </w:pPr>
      <w:r w:rsidRPr="00BD3B59">
        <w:rPr>
          <w:rFonts w:ascii="Arial" w:hAnsi="Arial" w:cs="Arial"/>
        </w:rPr>
        <w:t xml:space="preserve">Tesla’s five-year financial position suggests that the company remains fundamentally strong, but the quality of performance has weakened since its 2022 peak. Revenue expanded significantly from </w:t>
      </w:r>
      <w:r w:rsidRPr="00BD3B59">
        <w:rPr>
          <w:rFonts w:ascii="Arial" w:hAnsi="Arial" w:cs="Arial"/>
          <w:bCs/>
        </w:rPr>
        <w:t>US$31.5 billion in 2020</w:t>
      </w:r>
      <w:r w:rsidRPr="00BD3B59">
        <w:rPr>
          <w:rFonts w:ascii="Arial" w:hAnsi="Arial" w:cs="Arial"/>
        </w:rPr>
        <w:t xml:space="preserve"> to </w:t>
      </w:r>
      <w:r w:rsidRPr="00BD3B59">
        <w:rPr>
          <w:rFonts w:ascii="Arial" w:hAnsi="Arial" w:cs="Arial"/>
          <w:bCs/>
        </w:rPr>
        <w:t>US$97.7 billion in 2024</w:t>
      </w:r>
      <w:r w:rsidRPr="00BD3B59">
        <w:rPr>
          <w:rFonts w:ascii="Arial" w:hAnsi="Arial" w:cs="Arial"/>
        </w:rPr>
        <w:t xml:space="preserve">, confirming continued market scale and brand strength. However, stronger sales were not matched by sustained profitability, as net income declined from </w:t>
      </w:r>
      <w:r w:rsidRPr="00BD3B59">
        <w:rPr>
          <w:rFonts w:ascii="Arial" w:hAnsi="Arial" w:cs="Arial"/>
          <w:bCs/>
        </w:rPr>
        <w:t>US$15.0 billion in 2023</w:t>
      </w:r>
      <w:r w:rsidRPr="00BD3B59">
        <w:rPr>
          <w:rFonts w:ascii="Arial" w:hAnsi="Arial" w:cs="Arial"/>
        </w:rPr>
        <w:t xml:space="preserve"> to </w:t>
      </w:r>
      <w:r w:rsidRPr="00BD3B59">
        <w:rPr>
          <w:rFonts w:ascii="Arial" w:hAnsi="Arial" w:cs="Arial"/>
          <w:bCs/>
        </w:rPr>
        <w:t>US$7.1 billion in 2024</w:t>
      </w:r>
      <w:r w:rsidRPr="00BD3B59">
        <w:rPr>
          <w:rFonts w:ascii="Arial" w:hAnsi="Arial" w:cs="Arial"/>
        </w:rPr>
        <w:t>. This indicates that Tesla’s recent growth model relied increasingly on price reductions and market share defence rather than high-margin expansion (Tesla, 2025).</w:t>
      </w:r>
    </w:p>
    <w:p w14:paraId="6152BD94" w14:textId="77777777" w:rsidR="00896D12" w:rsidRPr="00BD3B59" w:rsidRDefault="00896D12" w:rsidP="00D91438">
      <w:pPr>
        <w:spacing w:line="360" w:lineRule="auto"/>
        <w:jc w:val="both"/>
        <w:rPr>
          <w:rFonts w:ascii="Arial" w:hAnsi="Arial" w:cs="Arial"/>
        </w:rPr>
      </w:pPr>
      <w:r w:rsidRPr="00BD3B59">
        <w:rPr>
          <w:rFonts w:ascii="Arial" w:hAnsi="Arial" w:cs="Arial"/>
        </w:rPr>
        <w:t xml:space="preserve">The company’s strongest financial advantages remain its conservative balance sheet, improving liquidity and positive operating cash generation. Debt-to-equity stood at only </w:t>
      </w:r>
      <w:r w:rsidRPr="00BD3B59">
        <w:rPr>
          <w:rFonts w:ascii="Arial" w:hAnsi="Arial" w:cs="Arial"/>
          <w:bCs/>
        </w:rPr>
        <w:t>0.11 times</w:t>
      </w:r>
      <w:r w:rsidRPr="00BD3B59">
        <w:rPr>
          <w:rFonts w:ascii="Arial" w:hAnsi="Arial" w:cs="Arial"/>
        </w:rPr>
        <w:t xml:space="preserve"> in 2024, while the current ratio improved to </w:t>
      </w:r>
      <w:r w:rsidRPr="00BD3B59">
        <w:rPr>
          <w:rFonts w:ascii="Arial" w:hAnsi="Arial" w:cs="Arial"/>
          <w:bCs/>
        </w:rPr>
        <w:t>2.03 times</w:t>
      </w:r>
      <w:r w:rsidRPr="00BD3B59">
        <w:rPr>
          <w:rFonts w:ascii="Arial" w:hAnsi="Arial" w:cs="Arial"/>
        </w:rPr>
        <w:t>, suggesting strong solvency and limited refinancing pressure. These indicators provide Tesla with flexibility to invest in innovation, battery capacity and global expansion without immediate financing stress. In addition, positive operating cash flow demonstrates that the business continues to generate internal funds despite weaker earnings performance.</w:t>
      </w:r>
    </w:p>
    <w:p w14:paraId="3E3FB45A" w14:textId="77777777" w:rsidR="00896D12" w:rsidRPr="00BD3B59" w:rsidRDefault="00896D12" w:rsidP="00D91438">
      <w:pPr>
        <w:spacing w:line="360" w:lineRule="auto"/>
        <w:jc w:val="both"/>
        <w:rPr>
          <w:rFonts w:ascii="Arial" w:hAnsi="Arial" w:cs="Arial"/>
        </w:rPr>
      </w:pPr>
      <w:r w:rsidRPr="00BD3B59">
        <w:rPr>
          <w:rFonts w:ascii="Arial" w:hAnsi="Arial" w:cs="Arial"/>
        </w:rPr>
        <w:t xml:space="preserve">However, several weaknesses are evident. Gross profit margin fell from </w:t>
      </w:r>
      <w:r w:rsidRPr="00BD3B59">
        <w:rPr>
          <w:rFonts w:ascii="Arial" w:hAnsi="Arial" w:cs="Arial"/>
          <w:bCs/>
        </w:rPr>
        <w:t>25.6% in 2022</w:t>
      </w:r>
      <w:r w:rsidRPr="00BD3B59">
        <w:rPr>
          <w:rFonts w:ascii="Arial" w:hAnsi="Arial" w:cs="Arial"/>
        </w:rPr>
        <w:t xml:space="preserve"> to </w:t>
      </w:r>
      <w:r w:rsidRPr="00BD3B59">
        <w:rPr>
          <w:rFonts w:ascii="Arial" w:hAnsi="Arial" w:cs="Arial"/>
          <w:bCs/>
        </w:rPr>
        <w:t>17.9% in 2024</w:t>
      </w:r>
      <w:r w:rsidRPr="00BD3B59">
        <w:rPr>
          <w:rFonts w:ascii="Arial" w:hAnsi="Arial" w:cs="Arial"/>
        </w:rPr>
        <w:t xml:space="preserve">, while ROE declined sharply from </w:t>
      </w:r>
      <w:r w:rsidRPr="00BD3B59">
        <w:rPr>
          <w:rFonts w:ascii="Arial" w:hAnsi="Arial" w:cs="Arial"/>
          <w:bCs/>
        </w:rPr>
        <w:t>33.6%</w:t>
      </w:r>
      <w:r w:rsidRPr="00BD3B59">
        <w:rPr>
          <w:rFonts w:ascii="Arial" w:hAnsi="Arial" w:cs="Arial"/>
        </w:rPr>
        <w:t xml:space="preserve"> to </w:t>
      </w:r>
      <w:r w:rsidRPr="00BD3B59">
        <w:rPr>
          <w:rFonts w:ascii="Arial" w:hAnsi="Arial" w:cs="Arial"/>
          <w:bCs/>
        </w:rPr>
        <w:t>10.5%</w:t>
      </w:r>
      <w:r w:rsidRPr="00BD3B59">
        <w:rPr>
          <w:rFonts w:ascii="Arial" w:hAnsi="Arial" w:cs="Arial"/>
        </w:rPr>
        <w:t xml:space="preserve"> over the same period. Asset turnover also reduced to </w:t>
      </w:r>
      <w:r w:rsidRPr="00BD3B59">
        <w:rPr>
          <w:rFonts w:ascii="Arial" w:hAnsi="Arial" w:cs="Arial"/>
          <w:bCs/>
        </w:rPr>
        <w:t>0.85 times</w:t>
      </w:r>
      <w:r w:rsidRPr="00BD3B59">
        <w:rPr>
          <w:rFonts w:ascii="Arial" w:hAnsi="Arial" w:cs="Arial"/>
        </w:rPr>
        <w:t>, implying that Tesla’s expanding asset base is being utilised less efficiently. These trends suggest that scale growth alone is no longer sufficient to preserve shareholder returns.</w:t>
      </w:r>
    </w:p>
    <w:p w14:paraId="2CF6B584" w14:textId="77777777" w:rsidR="00896D12" w:rsidRPr="00BD3B59" w:rsidRDefault="00896D12" w:rsidP="00D91438">
      <w:pPr>
        <w:spacing w:line="360" w:lineRule="auto"/>
        <w:jc w:val="both"/>
        <w:rPr>
          <w:rFonts w:ascii="Arial" w:hAnsi="Arial" w:cs="Arial"/>
        </w:rPr>
      </w:pPr>
      <w:r w:rsidRPr="00BD3B59">
        <w:rPr>
          <w:rFonts w:ascii="Arial" w:hAnsi="Arial" w:cs="Arial"/>
        </w:rPr>
        <w:t>The principal external threat is intensifying global EV competition, particularly from lower-cost Chinese manufacturers and increasingly competitive legacy automotive firms. If pricing pressure continues while demand growth moderates, Tesla may sustain revenue volume but face further earnings compression. Therefore, Tesla’s next strategic phase should prioritise margin recovery, disciplined capital allocation and stronger utilisation of existing productive assets rather than relying primarily on volume expansion. Table 6 highlights that Tesla’s balance sheet remains robust, but future success will depend on converting market scale into stronger margins and higher returns rather than simply increasing unit sales.</w:t>
      </w:r>
    </w:p>
    <w:p w14:paraId="0F9E541C" w14:textId="77777777" w:rsidR="00777C6F" w:rsidRPr="00BD3B59" w:rsidRDefault="00777C6F" w:rsidP="00777C6F">
      <w:pPr>
        <w:pStyle w:val="Caption"/>
        <w:keepNext/>
        <w:rPr>
          <w:rFonts w:ascii="Arial" w:hAnsi="Arial" w:cs="Arial"/>
          <w:b/>
          <w:i w:val="0"/>
          <w:sz w:val="24"/>
          <w:szCs w:val="24"/>
        </w:rPr>
      </w:pPr>
      <w:bookmarkStart w:id="19" w:name="_Toc227799753"/>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6</w:t>
      </w:r>
      <w:r w:rsidR="00F52EE6" w:rsidRPr="00BD3B59">
        <w:rPr>
          <w:rFonts w:ascii="Arial" w:hAnsi="Arial" w:cs="Arial"/>
          <w:b/>
          <w:i w:val="0"/>
          <w:sz w:val="24"/>
          <w:szCs w:val="24"/>
        </w:rPr>
        <w:fldChar w:fldCharType="end"/>
      </w:r>
      <w:r w:rsidRPr="00BD3B59">
        <w:rPr>
          <w:rFonts w:ascii="Arial" w:hAnsi="Arial" w:cs="Arial"/>
          <w:b/>
          <w:i w:val="0"/>
          <w:sz w:val="24"/>
          <w:szCs w:val="24"/>
        </w:rPr>
        <w:t>: Tesla SWOT-Based Financial Summary (2024)</w:t>
      </w:r>
      <w:bookmarkEnd w:id="19"/>
    </w:p>
    <w:tbl>
      <w:tblPr>
        <w:tblStyle w:val="PlainTable5"/>
        <w:tblW w:w="0" w:type="auto"/>
        <w:tblLook w:val="04A0" w:firstRow="1" w:lastRow="0" w:firstColumn="1" w:lastColumn="0" w:noHBand="0" w:noVBand="1"/>
      </w:tblPr>
      <w:tblGrid>
        <w:gridCol w:w="1644"/>
        <w:gridCol w:w="3986"/>
        <w:gridCol w:w="3730"/>
      </w:tblGrid>
      <w:tr w:rsidR="00896D12" w:rsidRPr="00BD3B59" w14:paraId="4E1DBF1B" w14:textId="77777777" w:rsidTr="00F52E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80D70C4" w14:textId="77777777" w:rsidR="00896D12" w:rsidRPr="00BD3B59" w:rsidRDefault="00896D12" w:rsidP="00D91438">
            <w:pPr>
              <w:spacing w:after="160" w:line="360" w:lineRule="auto"/>
              <w:jc w:val="both"/>
              <w:rPr>
                <w:rFonts w:ascii="Arial" w:hAnsi="Arial" w:cs="Arial"/>
                <w:b/>
                <w:bCs/>
                <w:sz w:val="24"/>
              </w:rPr>
            </w:pPr>
            <w:r w:rsidRPr="00BD3B59">
              <w:rPr>
                <w:rFonts w:ascii="Arial" w:hAnsi="Arial" w:cs="Arial"/>
                <w:sz w:val="24"/>
              </w:rPr>
              <w:t>Category</w:t>
            </w:r>
          </w:p>
        </w:tc>
        <w:tc>
          <w:tcPr>
            <w:tcW w:w="0" w:type="auto"/>
            <w:hideMark/>
          </w:tcPr>
          <w:p w14:paraId="46ABEAB1" w14:textId="77777777" w:rsidR="00896D12" w:rsidRPr="00BD3B59" w:rsidRDefault="00896D12"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Key Evidence</w:t>
            </w:r>
          </w:p>
        </w:tc>
        <w:tc>
          <w:tcPr>
            <w:tcW w:w="0" w:type="auto"/>
            <w:hideMark/>
          </w:tcPr>
          <w:p w14:paraId="4C5759D3" w14:textId="77777777" w:rsidR="00896D12" w:rsidRPr="00BD3B59" w:rsidRDefault="00896D12"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Strategic Implication</w:t>
            </w:r>
          </w:p>
        </w:tc>
      </w:tr>
      <w:tr w:rsidR="00896D12" w:rsidRPr="00BD3B59" w14:paraId="2A753DB8"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394546" w14:textId="77777777" w:rsidR="00896D12" w:rsidRPr="00BD3B59" w:rsidRDefault="00896D12" w:rsidP="00D91438">
            <w:pPr>
              <w:spacing w:after="160" w:line="360" w:lineRule="auto"/>
              <w:jc w:val="both"/>
              <w:rPr>
                <w:rFonts w:ascii="Arial" w:hAnsi="Arial" w:cs="Arial"/>
                <w:sz w:val="24"/>
              </w:rPr>
            </w:pPr>
            <w:r w:rsidRPr="00BD3B59">
              <w:rPr>
                <w:rFonts w:ascii="Arial" w:hAnsi="Arial" w:cs="Arial"/>
                <w:sz w:val="24"/>
              </w:rPr>
              <w:t>Strengths</w:t>
            </w:r>
          </w:p>
        </w:tc>
        <w:tc>
          <w:tcPr>
            <w:tcW w:w="0" w:type="auto"/>
            <w:hideMark/>
          </w:tcPr>
          <w:p w14:paraId="3E237FCC" w14:textId="77777777" w:rsidR="00896D12" w:rsidRPr="00BD3B59" w:rsidRDefault="00896D12"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 xml:space="preserve">Current Ratio </w:t>
            </w:r>
            <w:r w:rsidRPr="00BD3B59">
              <w:rPr>
                <w:rFonts w:ascii="Arial" w:hAnsi="Arial" w:cs="Arial"/>
                <w:bCs/>
              </w:rPr>
              <w:t>2.03x</w:t>
            </w:r>
            <w:r w:rsidRPr="00BD3B59">
              <w:rPr>
                <w:rFonts w:ascii="Arial" w:hAnsi="Arial" w:cs="Arial"/>
              </w:rPr>
              <w:t xml:space="preserve">; Debt-to-Equity </w:t>
            </w:r>
            <w:r w:rsidRPr="00BD3B59">
              <w:rPr>
                <w:rFonts w:ascii="Arial" w:hAnsi="Arial" w:cs="Arial"/>
                <w:bCs/>
              </w:rPr>
              <w:t>0.11x</w:t>
            </w:r>
            <w:r w:rsidRPr="00BD3B59">
              <w:rPr>
                <w:rFonts w:ascii="Arial" w:hAnsi="Arial" w:cs="Arial"/>
              </w:rPr>
              <w:t>; Positive operating cash flow</w:t>
            </w:r>
          </w:p>
        </w:tc>
        <w:tc>
          <w:tcPr>
            <w:tcW w:w="0" w:type="auto"/>
            <w:hideMark/>
          </w:tcPr>
          <w:p w14:paraId="72EA8821" w14:textId="77777777" w:rsidR="00896D12" w:rsidRPr="00BD3B59" w:rsidRDefault="00896D12"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Strong liquidity and low financial risk support future investment capacity</w:t>
            </w:r>
          </w:p>
        </w:tc>
      </w:tr>
      <w:tr w:rsidR="00896D12" w:rsidRPr="00BD3B59" w14:paraId="249F076E"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6ECD8CB0" w14:textId="77777777" w:rsidR="00896D12" w:rsidRPr="00BD3B59" w:rsidRDefault="00896D12" w:rsidP="00D91438">
            <w:pPr>
              <w:spacing w:after="160" w:line="360" w:lineRule="auto"/>
              <w:jc w:val="both"/>
              <w:rPr>
                <w:rFonts w:ascii="Arial" w:hAnsi="Arial" w:cs="Arial"/>
                <w:sz w:val="24"/>
              </w:rPr>
            </w:pPr>
            <w:r w:rsidRPr="00BD3B59">
              <w:rPr>
                <w:rFonts w:ascii="Arial" w:hAnsi="Arial" w:cs="Arial"/>
                <w:sz w:val="24"/>
              </w:rPr>
              <w:t>Weaknesses</w:t>
            </w:r>
          </w:p>
        </w:tc>
        <w:tc>
          <w:tcPr>
            <w:tcW w:w="0" w:type="auto"/>
            <w:hideMark/>
          </w:tcPr>
          <w:p w14:paraId="5E9B3BC3" w14:textId="77777777" w:rsidR="00896D12" w:rsidRPr="00BD3B59" w:rsidRDefault="00896D12"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 xml:space="preserve">Gross Margin </w:t>
            </w:r>
            <w:r w:rsidRPr="00BD3B59">
              <w:rPr>
                <w:rFonts w:ascii="Arial" w:hAnsi="Arial" w:cs="Arial"/>
                <w:bCs/>
              </w:rPr>
              <w:t>17.9%</w:t>
            </w:r>
            <w:r w:rsidRPr="00BD3B59">
              <w:rPr>
                <w:rFonts w:ascii="Arial" w:hAnsi="Arial" w:cs="Arial"/>
              </w:rPr>
              <w:t xml:space="preserve">; ROE </w:t>
            </w:r>
            <w:r w:rsidRPr="00BD3B59">
              <w:rPr>
                <w:rFonts w:ascii="Arial" w:hAnsi="Arial" w:cs="Arial"/>
                <w:bCs/>
              </w:rPr>
              <w:t>10.5%</w:t>
            </w:r>
            <w:r w:rsidRPr="00BD3B59">
              <w:rPr>
                <w:rFonts w:ascii="Arial" w:hAnsi="Arial" w:cs="Arial"/>
              </w:rPr>
              <w:t xml:space="preserve">; Asset Turnover </w:t>
            </w:r>
            <w:r w:rsidRPr="00BD3B59">
              <w:rPr>
                <w:rFonts w:ascii="Arial" w:hAnsi="Arial" w:cs="Arial"/>
                <w:bCs/>
              </w:rPr>
              <w:t>0.85x</w:t>
            </w:r>
          </w:p>
        </w:tc>
        <w:tc>
          <w:tcPr>
            <w:tcW w:w="0" w:type="auto"/>
            <w:hideMark/>
          </w:tcPr>
          <w:p w14:paraId="0450A38D" w14:textId="77777777" w:rsidR="00896D12" w:rsidRPr="00BD3B59" w:rsidRDefault="00896D12"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Lower profitability and weaker efficiency reduce value creation</w:t>
            </w:r>
          </w:p>
        </w:tc>
      </w:tr>
      <w:tr w:rsidR="00896D12" w:rsidRPr="00BD3B59" w14:paraId="21F1ECCE"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ECCB13" w14:textId="77777777" w:rsidR="00896D12" w:rsidRPr="00BD3B59" w:rsidRDefault="00896D12" w:rsidP="00D91438">
            <w:pPr>
              <w:spacing w:after="160" w:line="360" w:lineRule="auto"/>
              <w:jc w:val="both"/>
              <w:rPr>
                <w:rFonts w:ascii="Arial" w:hAnsi="Arial" w:cs="Arial"/>
                <w:sz w:val="24"/>
              </w:rPr>
            </w:pPr>
            <w:r w:rsidRPr="00BD3B59">
              <w:rPr>
                <w:rFonts w:ascii="Arial" w:hAnsi="Arial" w:cs="Arial"/>
                <w:sz w:val="24"/>
              </w:rPr>
              <w:t>Opportunities</w:t>
            </w:r>
          </w:p>
        </w:tc>
        <w:tc>
          <w:tcPr>
            <w:tcW w:w="0" w:type="auto"/>
            <w:hideMark/>
          </w:tcPr>
          <w:p w14:paraId="2E374FA7" w14:textId="77777777" w:rsidR="00896D12" w:rsidRPr="00BD3B59" w:rsidRDefault="00896D12"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Energy storage growth, AI/autonomous technology, global expansion</w:t>
            </w:r>
          </w:p>
        </w:tc>
        <w:tc>
          <w:tcPr>
            <w:tcW w:w="0" w:type="auto"/>
            <w:hideMark/>
          </w:tcPr>
          <w:p w14:paraId="1AF7728B" w14:textId="77777777" w:rsidR="00896D12" w:rsidRPr="00BD3B59" w:rsidRDefault="00896D12"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New revenue streams may diversify earnings base</w:t>
            </w:r>
          </w:p>
        </w:tc>
      </w:tr>
      <w:tr w:rsidR="00896D12" w:rsidRPr="00BD3B59" w14:paraId="797BFD85"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5916580D" w14:textId="77777777" w:rsidR="00896D12" w:rsidRPr="00BD3B59" w:rsidRDefault="00896D12" w:rsidP="00D91438">
            <w:pPr>
              <w:spacing w:after="160" w:line="360" w:lineRule="auto"/>
              <w:jc w:val="both"/>
              <w:rPr>
                <w:rFonts w:ascii="Arial" w:hAnsi="Arial" w:cs="Arial"/>
                <w:sz w:val="24"/>
              </w:rPr>
            </w:pPr>
            <w:r w:rsidRPr="00BD3B59">
              <w:rPr>
                <w:rFonts w:ascii="Arial" w:hAnsi="Arial" w:cs="Arial"/>
                <w:sz w:val="24"/>
              </w:rPr>
              <w:t>Threats</w:t>
            </w:r>
          </w:p>
        </w:tc>
        <w:tc>
          <w:tcPr>
            <w:tcW w:w="0" w:type="auto"/>
            <w:hideMark/>
          </w:tcPr>
          <w:p w14:paraId="493CD3EC" w14:textId="77777777" w:rsidR="00896D12" w:rsidRPr="00BD3B59" w:rsidRDefault="00896D12"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EV price wars, slower market demand, rising competition</w:t>
            </w:r>
          </w:p>
        </w:tc>
        <w:tc>
          <w:tcPr>
            <w:tcW w:w="0" w:type="auto"/>
            <w:hideMark/>
          </w:tcPr>
          <w:p w14:paraId="3D9ADF79" w14:textId="77777777" w:rsidR="00896D12" w:rsidRPr="00BD3B59" w:rsidRDefault="00896D12"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Revenue may remain high while margins continue to decline</w:t>
            </w:r>
          </w:p>
        </w:tc>
      </w:tr>
    </w:tbl>
    <w:p w14:paraId="24B9CBFB" w14:textId="77777777" w:rsidR="00896D12" w:rsidRPr="00BD3B59" w:rsidRDefault="00896D12" w:rsidP="00D91438">
      <w:pPr>
        <w:spacing w:line="360" w:lineRule="auto"/>
        <w:jc w:val="both"/>
        <w:rPr>
          <w:rFonts w:ascii="Arial" w:hAnsi="Arial" w:cs="Arial"/>
        </w:rPr>
      </w:pPr>
    </w:p>
    <w:p w14:paraId="06D32EFC" w14:textId="77777777" w:rsidR="00777C6F" w:rsidRDefault="00777C6F" w:rsidP="00D91438">
      <w:pPr>
        <w:spacing w:line="360" w:lineRule="auto"/>
        <w:jc w:val="both"/>
        <w:rPr>
          <w:rFonts w:ascii="Arial" w:hAnsi="Arial" w:cs="Arial"/>
          <w:b/>
          <w:bCs/>
        </w:rPr>
      </w:pPr>
    </w:p>
    <w:p w14:paraId="66E3C1BA" w14:textId="77777777" w:rsidR="007E0A28" w:rsidRPr="00BD3B59" w:rsidRDefault="007E0A28" w:rsidP="00D91438">
      <w:pPr>
        <w:spacing w:line="360" w:lineRule="auto"/>
        <w:jc w:val="both"/>
        <w:rPr>
          <w:rFonts w:ascii="Arial" w:hAnsi="Arial" w:cs="Arial"/>
          <w:b/>
          <w:bCs/>
        </w:rPr>
      </w:pPr>
    </w:p>
    <w:p w14:paraId="6EBE2201" w14:textId="77777777" w:rsidR="0011195C" w:rsidRPr="00BD3B59" w:rsidRDefault="0011195C" w:rsidP="00777C6F">
      <w:pPr>
        <w:pStyle w:val="Heading1"/>
      </w:pPr>
      <w:bookmarkStart w:id="20" w:name="_Toc227799623"/>
      <w:r w:rsidRPr="00BD3B59">
        <w:t>3.0 Working Capital Management</w:t>
      </w:r>
      <w:bookmarkEnd w:id="20"/>
    </w:p>
    <w:p w14:paraId="0F2B83DE" w14:textId="33E45940" w:rsidR="0011195C" w:rsidRPr="00BD3B59" w:rsidRDefault="0011195C" w:rsidP="00D91438">
      <w:pPr>
        <w:spacing w:line="360" w:lineRule="auto"/>
        <w:jc w:val="both"/>
        <w:rPr>
          <w:rFonts w:ascii="Arial" w:hAnsi="Arial" w:cs="Arial"/>
        </w:rPr>
      </w:pPr>
      <w:r w:rsidRPr="00BD3B59">
        <w:rPr>
          <w:rFonts w:ascii="Arial" w:hAnsi="Arial" w:cs="Arial"/>
        </w:rPr>
        <w:t xml:space="preserve">Working capital management is a critical determinant of Tesla’s financial resilience because the company operates in a highly capital-intensive industry </w:t>
      </w:r>
      <w:r w:rsidR="00E067BA" w:rsidRPr="00BD3B59">
        <w:rPr>
          <w:rFonts w:ascii="Arial" w:hAnsi="Arial" w:cs="Arial"/>
        </w:rPr>
        <w:t>characterized</w:t>
      </w:r>
      <w:r w:rsidRPr="00BD3B59">
        <w:rPr>
          <w:rFonts w:ascii="Arial" w:hAnsi="Arial" w:cs="Arial"/>
        </w:rPr>
        <w:t xml:space="preserve"> by volatile raw material prices, large production commitments and rapidly changing consumer demand. Although Tesla maintained a strong liquidity position in 2024, efficient working capital management remains essential because declining profitability means less margin for operational inefficiency. In corporate finance terms, firms with stronger control over inventory, receivables and payables generally require less external funding and generate stronger shareholder returns (Gitman et al., 2015). For Tesla, this issue has become more important as net income fell from </w:t>
      </w:r>
      <w:r w:rsidRPr="00BD3B59">
        <w:rPr>
          <w:rFonts w:ascii="Arial" w:hAnsi="Arial" w:cs="Arial"/>
          <w:bCs/>
        </w:rPr>
        <w:t>US$15.0 billion in 2023</w:t>
      </w:r>
      <w:r w:rsidRPr="00BD3B59">
        <w:rPr>
          <w:rFonts w:ascii="Arial" w:hAnsi="Arial" w:cs="Arial"/>
        </w:rPr>
        <w:t xml:space="preserve"> to </w:t>
      </w:r>
      <w:r w:rsidRPr="00BD3B59">
        <w:rPr>
          <w:rFonts w:ascii="Arial" w:hAnsi="Arial" w:cs="Arial"/>
          <w:bCs/>
        </w:rPr>
        <w:t>US$7.1 billion in 2024</w:t>
      </w:r>
      <w:r w:rsidRPr="00BD3B59">
        <w:rPr>
          <w:rFonts w:ascii="Arial" w:hAnsi="Arial" w:cs="Arial"/>
        </w:rPr>
        <w:t xml:space="preserve">, despite revenue remaining close to </w:t>
      </w:r>
      <w:r w:rsidRPr="00BD3B59">
        <w:rPr>
          <w:rFonts w:ascii="Arial" w:hAnsi="Arial" w:cs="Arial"/>
          <w:bCs/>
        </w:rPr>
        <w:t>US$98 billion</w:t>
      </w:r>
      <w:r w:rsidRPr="00BD3B59">
        <w:rPr>
          <w:rFonts w:ascii="Arial" w:hAnsi="Arial" w:cs="Arial"/>
        </w:rPr>
        <w:t xml:space="preserve"> (Tesla, 2025). This indicates that future performance must rely not only on sales growth, but also on tighter internal cash management.</w:t>
      </w:r>
    </w:p>
    <w:p w14:paraId="136E86BC"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Tesla reported </w:t>
      </w:r>
      <w:r w:rsidRPr="00BD3B59">
        <w:rPr>
          <w:rFonts w:ascii="Arial" w:hAnsi="Arial" w:cs="Arial"/>
          <w:bCs/>
        </w:rPr>
        <w:t>current assets of US$58.4 billion</w:t>
      </w:r>
      <w:r w:rsidRPr="00BD3B59">
        <w:rPr>
          <w:rFonts w:ascii="Arial" w:hAnsi="Arial" w:cs="Arial"/>
        </w:rPr>
        <w:t xml:space="preserve"> and </w:t>
      </w:r>
      <w:r w:rsidRPr="00BD3B59">
        <w:rPr>
          <w:rFonts w:ascii="Arial" w:hAnsi="Arial" w:cs="Arial"/>
          <w:bCs/>
        </w:rPr>
        <w:t>current liabilities of US$28.8 billion</w:t>
      </w:r>
      <w:r w:rsidRPr="00BD3B59">
        <w:rPr>
          <w:rFonts w:ascii="Arial" w:hAnsi="Arial" w:cs="Arial"/>
        </w:rPr>
        <w:t xml:space="preserve"> in 2024, producing a current ratio of </w:t>
      </w:r>
      <w:r w:rsidRPr="00BD3B59">
        <w:rPr>
          <w:rFonts w:ascii="Arial" w:hAnsi="Arial" w:cs="Arial"/>
          <w:bCs/>
        </w:rPr>
        <w:t>2.03 times</w:t>
      </w:r>
      <w:r w:rsidRPr="00BD3B59">
        <w:rPr>
          <w:rFonts w:ascii="Arial" w:hAnsi="Arial" w:cs="Arial"/>
        </w:rPr>
        <w:t>, which confirms a strong short-term solvency position (Tesla, 2025). However, strong liquidity ratios alone do not guarantee efficiency. Excess working capital tied in inventory or slow receivable collection can weaken returns on capital employed. Therefore, the quality and speed of working capital turnover are as important as</w:t>
      </w:r>
      <w:r w:rsidR="00F00FD9" w:rsidRPr="00BD3B59">
        <w:rPr>
          <w:rFonts w:ascii="Arial" w:hAnsi="Arial" w:cs="Arial"/>
        </w:rPr>
        <w:t xml:space="preserve"> the level of liquid resources.</w:t>
      </w:r>
    </w:p>
    <w:p w14:paraId="12339EC9" w14:textId="77777777" w:rsidR="0011195C" w:rsidRPr="00BD3B59" w:rsidRDefault="0011195C" w:rsidP="00F00FD9">
      <w:pPr>
        <w:pStyle w:val="Heading2"/>
      </w:pPr>
      <w:bookmarkStart w:id="21" w:name="_Toc227799624"/>
      <w:r w:rsidRPr="00BD3B59">
        <w:t>3.1 Cash Operating Cycle Assessment</w:t>
      </w:r>
      <w:bookmarkEnd w:id="21"/>
    </w:p>
    <w:p w14:paraId="615F393E" w14:textId="77777777" w:rsidR="0011195C" w:rsidRPr="00BD3B59" w:rsidRDefault="0011195C" w:rsidP="00D91438">
      <w:pPr>
        <w:spacing w:line="360" w:lineRule="auto"/>
        <w:jc w:val="both"/>
        <w:rPr>
          <w:rFonts w:ascii="Arial" w:hAnsi="Arial" w:cs="Arial"/>
        </w:rPr>
      </w:pPr>
      <w:r w:rsidRPr="00BD3B59">
        <w:rPr>
          <w:rFonts w:ascii="Arial" w:hAnsi="Arial" w:cs="Arial"/>
        </w:rPr>
        <w:t>The cash operating cycle (COC), often referred to as the cash conversion cycle, measures the number of days cash remains tied up in normal operations before it is recovered through customer receipts. A lower cycle generally improves liquidity, reduces financing costs and enhances operational flexibility (</w:t>
      </w:r>
      <w:r w:rsidR="001655E2" w:rsidRPr="00BD3B59">
        <w:rPr>
          <w:rFonts w:ascii="Arial" w:hAnsi="Arial" w:cs="Arial"/>
        </w:rPr>
        <w:t>Deari et al., 2024</w:t>
      </w:r>
      <w:r w:rsidRPr="00BD3B59">
        <w:rPr>
          <w:rFonts w:ascii="Arial" w:hAnsi="Arial" w:cs="Arial"/>
        </w:rPr>
        <w:t>).</w:t>
      </w:r>
    </w:p>
    <w:p w14:paraId="1D23F085" w14:textId="77777777" w:rsidR="0011195C" w:rsidRPr="00BD3B59" w:rsidRDefault="0011195C" w:rsidP="00D91438">
      <w:pPr>
        <w:spacing w:line="360" w:lineRule="auto"/>
        <w:jc w:val="both"/>
        <w:rPr>
          <w:rFonts w:ascii="Arial" w:hAnsi="Arial" w:cs="Arial"/>
          <w:b/>
          <w:bCs/>
        </w:rPr>
      </w:pPr>
      <w:r w:rsidRPr="00BD3B59">
        <w:rPr>
          <w:rFonts w:ascii="Arial" w:hAnsi="Arial" w:cs="Arial"/>
          <w:b/>
          <w:bCs/>
        </w:rPr>
        <w:t>Formula</w:t>
      </w:r>
    </w:p>
    <w:p w14:paraId="06CECE80" w14:textId="77777777" w:rsidR="0011195C" w:rsidRPr="00BD3B59" w:rsidRDefault="0011195C" w:rsidP="00D91438">
      <w:pPr>
        <w:spacing w:line="360" w:lineRule="auto"/>
        <w:jc w:val="both"/>
        <w:rPr>
          <w:rFonts w:ascii="Arial" w:hAnsi="Arial" w:cs="Arial"/>
        </w:rPr>
      </w:pPr>
      <w:r w:rsidRPr="00BD3B59">
        <w:rPr>
          <w:rFonts w:ascii="Arial" w:hAnsi="Arial" w:cs="Arial"/>
          <w:b/>
          <w:bCs/>
        </w:rPr>
        <w:t>Cash Operating Cycle = Inventory Days + Receivable Days – Payable Days</w:t>
      </w:r>
    </w:p>
    <w:p w14:paraId="46D4B01C" w14:textId="77777777" w:rsidR="0011195C" w:rsidRPr="00BD3B59" w:rsidRDefault="0011195C" w:rsidP="00D91438">
      <w:pPr>
        <w:spacing w:line="360" w:lineRule="auto"/>
        <w:jc w:val="both"/>
        <w:rPr>
          <w:rFonts w:ascii="Arial" w:hAnsi="Arial" w:cs="Arial"/>
        </w:rPr>
      </w:pPr>
      <w:r w:rsidRPr="00BD3B59">
        <w:rPr>
          <w:rFonts w:ascii="Arial" w:hAnsi="Arial" w:cs="Arial"/>
        </w:rPr>
        <w:t>Using Tesla’s 2024 financial data:</w:t>
      </w:r>
    </w:p>
    <w:p w14:paraId="6874F112" w14:textId="77777777" w:rsidR="0011195C" w:rsidRPr="00BD3B59" w:rsidRDefault="0011195C" w:rsidP="00D91438">
      <w:pPr>
        <w:numPr>
          <w:ilvl w:val="0"/>
          <w:numId w:val="1"/>
        </w:numPr>
        <w:spacing w:line="360" w:lineRule="auto"/>
        <w:jc w:val="both"/>
        <w:rPr>
          <w:rFonts w:ascii="Arial" w:hAnsi="Arial" w:cs="Arial"/>
        </w:rPr>
      </w:pPr>
      <w:r w:rsidRPr="00BD3B59">
        <w:rPr>
          <w:rFonts w:ascii="Arial" w:hAnsi="Arial" w:cs="Arial"/>
        </w:rPr>
        <w:t xml:space="preserve">Inventory Days = </w:t>
      </w:r>
      <w:r w:rsidRPr="00BD3B59">
        <w:rPr>
          <w:rFonts w:ascii="Arial" w:hAnsi="Arial" w:cs="Arial"/>
          <w:bCs/>
        </w:rPr>
        <w:t>58.1 days</w:t>
      </w:r>
      <w:r w:rsidRPr="00BD3B59">
        <w:rPr>
          <w:rFonts w:ascii="Arial" w:hAnsi="Arial" w:cs="Arial"/>
        </w:rPr>
        <w:t xml:space="preserve"> </w:t>
      </w:r>
    </w:p>
    <w:p w14:paraId="695123A4" w14:textId="77777777" w:rsidR="0011195C" w:rsidRPr="00BD3B59" w:rsidRDefault="0011195C" w:rsidP="00D91438">
      <w:pPr>
        <w:numPr>
          <w:ilvl w:val="0"/>
          <w:numId w:val="1"/>
        </w:numPr>
        <w:spacing w:line="360" w:lineRule="auto"/>
        <w:jc w:val="both"/>
        <w:rPr>
          <w:rFonts w:ascii="Arial" w:hAnsi="Arial" w:cs="Arial"/>
        </w:rPr>
      </w:pPr>
      <w:r w:rsidRPr="00BD3B59">
        <w:rPr>
          <w:rFonts w:ascii="Arial" w:hAnsi="Arial" w:cs="Arial"/>
        </w:rPr>
        <w:t xml:space="preserve">Receivable Days = </w:t>
      </w:r>
      <w:r w:rsidRPr="00BD3B59">
        <w:rPr>
          <w:rFonts w:ascii="Arial" w:hAnsi="Arial" w:cs="Arial"/>
          <w:bCs/>
        </w:rPr>
        <w:t>14.8 days</w:t>
      </w:r>
      <w:r w:rsidRPr="00BD3B59">
        <w:rPr>
          <w:rFonts w:ascii="Arial" w:hAnsi="Arial" w:cs="Arial"/>
        </w:rPr>
        <w:t xml:space="preserve"> </w:t>
      </w:r>
    </w:p>
    <w:p w14:paraId="68D13E31" w14:textId="77777777" w:rsidR="0011195C" w:rsidRPr="00BD3B59" w:rsidRDefault="0011195C" w:rsidP="00D91438">
      <w:pPr>
        <w:numPr>
          <w:ilvl w:val="0"/>
          <w:numId w:val="1"/>
        </w:numPr>
        <w:spacing w:line="360" w:lineRule="auto"/>
        <w:jc w:val="both"/>
        <w:rPr>
          <w:rFonts w:ascii="Arial" w:hAnsi="Arial" w:cs="Arial"/>
        </w:rPr>
      </w:pPr>
      <w:r w:rsidRPr="00BD3B59">
        <w:rPr>
          <w:rFonts w:ascii="Arial" w:hAnsi="Arial" w:cs="Arial"/>
        </w:rPr>
        <w:t xml:space="preserve">Payable Days = </w:t>
      </w:r>
      <w:r w:rsidRPr="00BD3B59">
        <w:rPr>
          <w:rFonts w:ascii="Arial" w:hAnsi="Arial" w:cs="Arial"/>
          <w:bCs/>
        </w:rPr>
        <w:t>56.7 days</w:t>
      </w:r>
      <w:r w:rsidRPr="00BD3B59">
        <w:rPr>
          <w:rFonts w:ascii="Arial" w:hAnsi="Arial" w:cs="Arial"/>
        </w:rPr>
        <w:t xml:space="preserve"> </w:t>
      </w:r>
    </w:p>
    <w:p w14:paraId="3E4BC20E" w14:textId="77777777" w:rsidR="0011195C" w:rsidRPr="00BD3B59" w:rsidRDefault="0011195C" w:rsidP="00D91438">
      <w:pPr>
        <w:spacing w:line="360" w:lineRule="auto"/>
        <w:jc w:val="both"/>
        <w:rPr>
          <w:rFonts w:ascii="Arial" w:hAnsi="Arial" w:cs="Arial"/>
        </w:rPr>
      </w:pPr>
      <w:r w:rsidRPr="00BD3B59">
        <w:rPr>
          <w:rFonts w:ascii="Arial" w:hAnsi="Arial" w:cs="Arial"/>
        </w:rPr>
        <w:t>Therefore:</w:t>
      </w:r>
    </w:p>
    <w:p w14:paraId="7B606E45" w14:textId="77777777" w:rsidR="0011195C" w:rsidRPr="00BD3B59" w:rsidRDefault="0011195C" w:rsidP="00D91438">
      <w:pPr>
        <w:spacing w:line="360" w:lineRule="auto"/>
        <w:jc w:val="both"/>
        <w:rPr>
          <w:rFonts w:ascii="Arial" w:hAnsi="Arial" w:cs="Arial"/>
        </w:rPr>
      </w:pPr>
      <w:r w:rsidRPr="00BD3B59">
        <w:rPr>
          <w:rFonts w:ascii="Arial" w:hAnsi="Arial" w:cs="Arial"/>
          <w:bCs/>
        </w:rPr>
        <w:t>COC = 58.1 + 14.8 – 56.7 = 16.2 days</w:t>
      </w:r>
    </w:p>
    <w:p w14:paraId="3D734F71"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This means Tesla’s operating cash was committed for approximately </w:t>
      </w:r>
      <w:r w:rsidRPr="00BD3B59">
        <w:rPr>
          <w:rFonts w:ascii="Arial" w:hAnsi="Arial" w:cs="Arial"/>
          <w:bCs/>
        </w:rPr>
        <w:t>16 days</w:t>
      </w:r>
      <w:r w:rsidRPr="00BD3B59">
        <w:rPr>
          <w:rFonts w:ascii="Arial" w:hAnsi="Arial" w:cs="Arial"/>
        </w:rPr>
        <w:t xml:space="preserve"> before being recovered through collections.</w:t>
      </w:r>
    </w:p>
    <w:p w14:paraId="0BBB7DFE" w14:textId="77777777" w:rsidR="00F00FD9" w:rsidRPr="00BD3B59" w:rsidRDefault="00F00FD9" w:rsidP="00F00FD9">
      <w:pPr>
        <w:pStyle w:val="Caption"/>
        <w:keepNext/>
        <w:rPr>
          <w:rFonts w:ascii="Arial" w:hAnsi="Arial" w:cs="Arial"/>
          <w:b/>
          <w:i w:val="0"/>
          <w:sz w:val="24"/>
          <w:szCs w:val="24"/>
        </w:rPr>
      </w:pPr>
      <w:bookmarkStart w:id="22" w:name="_Toc227799754"/>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7</w:t>
      </w:r>
      <w:r w:rsidR="00F52EE6" w:rsidRPr="00BD3B59">
        <w:rPr>
          <w:rFonts w:ascii="Arial" w:hAnsi="Arial" w:cs="Arial"/>
          <w:b/>
          <w:i w:val="0"/>
          <w:sz w:val="24"/>
          <w:szCs w:val="24"/>
        </w:rPr>
        <w:fldChar w:fldCharType="end"/>
      </w:r>
      <w:r w:rsidRPr="00BD3B59">
        <w:rPr>
          <w:rFonts w:ascii="Arial" w:hAnsi="Arial" w:cs="Arial"/>
          <w:b/>
          <w:i w:val="0"/>
          <w:sz w:val="24"/>
          <w:szCs w:val="24"/>
        </w:rPr>
        <w:t>: Tesla Cash Operating Cycle Trend (2022–2024)</w:t>
      </w:r>
      <w:bookmarkEnd w:id="22"/>
    </w:p>
    <w:tbl>
      <w:tblPr>
        <w:tblStyle w:val="PlainTable5"/>
        <w:tblW w:w="0" w:type="auto"/>
        <w:tblLook w:val="04A0" w:firstRow="1" w:lastRow="0" w:firstColumn="1" w:lastColumn="0" w:noHBand="0" w:noVBand="1"/>
      </w:tblPr>
      <w:tblGrid>
        <w:gridCol w:w="751"/>
        <w:gridCol w:w="1776"/>
        <w:gridCol w:w="1976"/>
        <w:gridCol w:w="1656"/>
        <w:gridCol w:w="3201"/>
      </w:tblGrid>
      <w:tr w:rsidR="0011195C" w:rsidRPr="00BD3B59" w14:paraId="298465D6" w14:textId="77777777" w:rsidTr="00F52E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2DD27E1" w14:textId="77777777" w:rsidR="0011195C" w:rsidRPr="00BD3B59" w:rsidRDefault="0011195C" w:rsidP="00D91438">
            <w:pPr>
              <w:spacing w:line="360" w:lineRule="auto"/>
              <w:jc w:val="both"/>
              <w:rPr>
                <w:rFonts w:ascii="Arial" w:hAnsi="Arial" w:cs="Arial"/>
                <w:b/>
                <w:bCs/>
                <w:sz w:val="24"/>
              </w:rPr>
            </w:pPr>
            <w:r w:rsidRPr="00BD3B59">
              <w:rPr>
                <w:rFonts w:ascii="Arial" w:hAnsi="Arial" w:cs="Arial"/>
                <w:sz w:val="24"/>
              </w:rPr>
              <w:t>Year</w:t>
            </w:r>
          </w:p>
        </w:tc>
        <w:tc>
          <w:tcPr>
            <w:tcW w:w="0" w:type="auto"/>
            <w:hideMark/>
          </w:tcPr>
          <w:p w14:paraId="694FBBD3"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Inventory Days</w:t>
            </w:r>
          </w:p>
        </w:tc>
        <w:tc>
          <w:tcPr>
            <w:tcW w:w="0" w:type="auto"/>
            <w:hideMark/>
          </w:tcPr>
          <w:p w14:paraId="32E58CBB"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Receivable Days</w:t>
            </w:r>
          </w:p>
        </w:tc>
        <w:tc>
          <w:tcPr>
            <w:tcW w:w="0" w:type="auto"/>
            <w:hideMark/>
          </w:tcPr>
          <w:p w14:paraId="2B54BE2C"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Payable Days</w:t>
            </w:r>
          </w:p>
        </w:tc>
        <w:tc>
          <w:tcPr>
            <w:tcW w:w="0" w:type="auto"/>
            <w:hideMark/>
          </w:tcPr>
          <w:p w14:paraId="6D106876"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Cash Operating Cycle (Days)</w:t>
            </w:r>
          </w:p>
        </w:tc>
      </w:tr>
      <w:tr w:rsidR="0011195C" w:rsidRPr="00BD3B59" w14:paraId="429CE876"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439D08"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2022</w:t>
            </w:r>
          </w:p>
        </w:tc>
        <w:tc>
          <w:tcPr>
            <w:tcW w:w="0" w:type="auto"/>
            <w:hideMark/>
          </w:tcPr>
          <w:p w14:paraId="57EC1106"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56.1</w:t>
            </w:r>
          </w:p>
        </w:tc>
        <w:tc>
          <w:tcPr>
            <w:tcW w:w="0" w:type="auto"/>
            <w:hideMark/>
          </w:tcPr>
          <w:p w14:paraId="1655FA35"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10.9</w:t>
            </w:r>
          </w:p>
        </w:tc>
        <w:tc>
          <w:tcPr>
            <w:tcW w:w="0" w:type="auto"/>
            <w:hideMark/>
          </w:tcPr>
          <w:p w14:paraId="7B6C93B9"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58.5</w:t>
            </w:r>
          </w:p>
        </w:tc>
        <w:tc>
          <w:tcPr>
            <w:tcW w:w="0" w:type="auto"/>
            <w:hideMark/>
          </w:tcPr>
          <w:p w14:paraId="0F6C238F"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8.5</w:t>
            </w:r>
          </w:p>
        </w:tc>
      </w:tr>
      <w:tr w:rsidR="0011195C" w:rsidRPr="00BD3B59" w14:paraId="4CF93BD0"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188EC399"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2023</w:t>
            </w:r>
          </w:p>
        </w:tc>
        <w:tc>
          <w:tcPr>
            <w:tcW w:w="0" w:type="auto"/>
            <w:hideMark/>
          </w:tcPr>
          <w:p w14:paraId="37F2780F"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61.6</w:t>
            </w:r>
          </w:p>
        </w:tc>
        <w:tc>
          <w:tcPr>
            <w:tcW w:w="0" w:type="auto"/>
            <w:hideMark/>
          </w:tcPr>
          <w:p w14:paraId="6BF4A91E"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12.2</w:t>
            </w:r>
          </w:p>
        </w:tc>
        <w:tc>
          <w:tcPr>
            <w:tcW w:w="0" w:type="auto"/>
            <w:hideMark/>
          </w:tcPr>
          <w:p w14:paraId="2408E3A7"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57.4</w:t>
            </w:r>
          </w:p>
        </w:tc>
        <w:tc>
          <w:tcPr>
            <w:tcW w:w="0" w:type="auto"/>
            <w:hideMark/>
          </w:tcPr>
          <w:p w14:paraId="04124BF9"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16.4</w:t>
            </w:r>
          </w:p>
        </w:tc>
      </w:tr>
      <w:tr w:rsidR="0011195C" w:rsidRPr="00BD3B59" w14:paraId="324ADCCE"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888C9"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2024</w:t>
            </w:r>
          </w:p>
        </w:tc>
        <w:tc>
          <w:tcPr>
            <w:tcW w:w="0" w:type="auto"/>
            <w:hideMark/>
          </w:tcPr>
          <w:p w14:paraId="7B2441E9"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58.1</w:t>
            </w:r>
          </w:p>
        </w:tc>
        <w:tc>
          <w:tcPr>
            <w:tcW w:w="0" w:type="auto"/>
            <w:hideMark/>
          </w:tcPr>
          <w:p w14:paraId="39017F02"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14.8</w:t>
            </w:r>
          </w:p>
        </w:tc>
        <w:tc>
          <w:tcPr>
            <w:tcW w:w="0" w:type="auto"/>
            <w:hideMark/>
          </w:tcPr>
          <w:p w14:paraId="097230D8"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56.7</w:t>
            </w:r>
          </w:p>
        </w:tc>
        <w:tc>
          <w:tcPr>
            <w:tcW w:w="0" w:type="auto"/>
            <w:hideMark/>
          </w:tcPr>
          <w:p w14:paraId="7CC87C06"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16.2</w:t>
            </w:r>
          </w:p>
        </w:tc>
      </w:tr>
    </w:tbl>
    <w:p w14:paraId="7D059097"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Tesla Annual Reports (2023–2025).</w:t>
      </w:r>
    </w:p>
    <w:p w14:paraId="5988F52D" w14:textId="77777777" w:rsidR="0011195C" w:rsidRPr="00BD3B59" w:rsidRDefault="0011195C" w:rsidP="00D91438">
      <w:pPr>
        <w:spacing w:line="360" w:lineRule="auto"/>
        <w:jc w:val="both"/>
        <w:rPr>
          <w:rFonts w:ascii="Arial" w:hAnsi="Arial" w:cs="Arial"/>
        </w:rPr>
      </w:pPr>
      <w:r w:rsidRPr="00BD3B59">
        <w:rPr>
          <w:rFonts w:ascii="Arial" w:hAnsi="Arial" w:cs="Arial"/>
        </w:rPr>
        <w:t>The trend indicates that Tesla’s cash operating cycle almost doubled between 2022 and 2024. Although 16 days remains relatively efficient compared with many global manufacturers, the deterioration suggests more working capital became locked in operations. This may reflect slower inventory movement, softer demand in some regions or more generous credit arrangements with commercial customers. If this trend continues, Tesla may need to rely more heavily on external funding or internal c</w:t>
      </w:r>
      <w:r w:rsidR="00F00FD9" w:rsidRPr="00BD3B59">
        <w:rPr>
          <w:rFonts w:ascii="Arial" w:hAnsi="Arial" w:cs="Arial"/>
        </w:rPr>
        <w:t>ash reserves to support growth.</w:t>
      </w:r>
    </w:p>
    <w:p w14:paraId="7632B728" w14:textId="77777777" w:rsidR="0011195C" w:rsidRPr="00BD3B59" w:rsidRDefault="0011195C" w:rsidP="00F00FD9">
      <w:pPr>
        <w:pStyle w:val="Heading2"/>
      </w:pPr>
      <w:bookmarkStart w:id="23" w:name="_Toc227799625"/>
      <w:r w:rsidRPr="00BD3B59">
        <w:t>3.2 Inventory Control Improvement</w:t>
      </w:r>
      <w:bookmarkEnd w:id="23"/>
    </w:p>
    <w:p w14:paraId="12A96462"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Inventory represented approximately </w:t>
      </w:r>
      <w:r w:rsidRPr="00BD3B59">
        <w:rPr>
          <w:rFonts w:ascii="Arial" w:hAnsi="Arial" w:cs="Arial"/>
          <w:bCs/>
        </w:rPr>
        <w:t>US$12.0 billion</w:t>
      </w:r>
      <w:r w:rsidRPr="00BD3B59">
        <w:rPr>
          <w:rFonts w:ascii="Arial" w:hAnsi="Arial" w:cs="Arial"/>
        </w:rPr>
        <w:t xml:space="preserve"> on Tesla’s 2024 balance sheet (Tesla, 2025), making stock management one of the most material working capital issues facing the company. Automotive inventory includes finished vehicles, battery cells, spare parts and raw materials such as lithium-based inputs. Excess holdings increase warehousing cost, insurance cost and obsolescence risk, particularly in an industry where model refresh cycles and battery technology evolve quickly.</w:t>
      </w:r>
    </w:p>
    <w:p w14:paraId="077CB7FB"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Tesla’s inventory days increased from </w:t>
      </w:r>
      <w:r w:rsidRPr="00BD3B59">
        <w:rPr>
          <w:rFonts w:ascii="Arial" w:hAnsi="Arial" w:cs="Arial"/>
          <w:bCs/>
        </w:rPr>
        <w:t>56.1 days in 2022</w:t>
      </w:r>
      <w:r w:rsidRPr="00BD3B59">
        <w:rPr>
          <w:rFonts w:ascii="Arial" w:hAnsi="Arial" w:cs="Arial"/>
        </w:rPr>
        <w:t xml:space="preserve"> to </w:t>
      </w:r>
      <w:r w:rsidRPr="00BD3B59">
        <w:rPr>
          <w:rFonts w:ascii="Arial" w:hAnsi="Arial" w:cs="Arial"/>
          <w:bCs/>
        </w:rPr>
        <w:t>61.6 days in 2023</w:t>
      </w:r>
      <w:r w:rsidRPr="00BD3B59">
        <w:rPr>
          <w:rFonts w:ascii="Arial" w:hAnsi="Arial" w:cs="Arial"/>
        </w:rPr>
        <w:t xml:space="preserve">, before improving slightly to </w:t>
      </w:r>
      <w:r w:rsidRPr="00BD3B59">
        <w:rPr>
          <w:rFonts w:ascii="Arial" w:hAnsi="Arial" w:cs="Arial"/>
          <w:bCs/>
        </w:rPr>
        <w:t>58.1 days in 2024</w:t>
      </w:r>
      <w:r w:rsidRPr="00BD3B59">
        <w:rPr>
          <w:rFonts w:ascii="Arial" w:hAnsi="Arial" w:cs="Arial"/>
        </w:rPr>
        <w:t>. This suggests that production growth temporarily outpaced final demand, requiring stronger stock control. If Tesla reduced inventory days by only three days, significant liquidity could be released for other uses such as R&amp;D or debt reduction.</w:t>
      </w:r>
    </w:p>
    <w:p w14:paraId="56AACA62" w14:textId="77777777" w:rsidR="00F00FD9" w:rsidRPr="00BD3B59" w:rsidRDefault="00F00FD9" w:rsidP="00F00FD9">
      <w:pPr>
        <w:pStyle w:val="Caption"/>
        <w:keepNext/>
        <w:rPr>
          <w:rFonts w:ascii="Arial" w:hAnsi="Arial" w:cs="Arial"/>
          <w:b/>
          <w:i w:val="0"/>
          <w:sz w:val="24"/>
          <w:szCs w:val="24"/>
        </w:rPr>
      </w:pPr>
      <w:bookmarkStart w:id="24" w:name="_Toc227799755"/>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8</w:t>
      </w:r>
      <w:r w:rsidR="00F52EE6" w:rsidRPr="00BD3B59">
        <w:rPr>
          <w:rFonts w:ascii="Arial" w:hAnsi="Arial" w:cs="Arial"/>
          <w:b/>
          <w:i w:val="0"/>
          <w:sz w:val="24"/>
          <w:szCs w:val="24"/>
        </w:rPr>
        <w:fldChar w:fldCharType="end"/>
      </w:r>
      <w:r w:rsidRPr="00BD3B59">
        <w:rPr>
          <w:rFonts w:ascii="Arial" w:hAnsi="Arial" w:cs="Arial"/>
          <w:b/>
          <w:i w:val="0"/>
          <w:sz w:val="24"/>
          <w:szCs w:val="24"/>
        </w:rPr>
        <w:t>: Inventory Efficiency Position</w:t>
      </w:r>
      <w:bookmarkEnd w:id="24"/>
    </w:p>
    <w:tbl>
      <w:tblPr>
        <w:tblStyle w:val="PlainTable5"/>
        <w:tblW w:w="0" w:type="auto"/>
        <w:tblLook w:val="04A0" w:firstRow="1" w:lastRow="0" w:firstColumn="1" w:lastColumn="0" w:noHBand="0" w:noVBand="1"/>
      </w:tblPr>
      <w:tblGrid>
        <w:gridCol w:w="750"/>
        <w:gridCol w:w="2050"/>
        <w:gridCol w:w="1744"/>
        <w:gridCol w:w="4816"/>
      </w:tblGrid>
      <w:tr w:rsidR="0011195C" w:rsidRPr="00BD3B59" w14:paraId="0E1E2B0E" w14:textId="77777777" w:rsidTr="00F52E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1230643" w14:textId="77777777" w:rsidR="0011195C" w:rsidRPr="00BD3B59" w:rsidRDefault="0011195C" w:rsidP="00D91438">
            <w:pPr>
              <w:spacing w:line="360" w:lineRule="auto"/>
              <w:jc w:val="both"/>
              <w:rPr>
                <w:rFonts w:ascii="Arial" w:hAnsi="Arial" w:cs="Arial"/>
                <w:b/>
                <w:bCs/>
                <w:sz w:val="24"/>
              </w:rPr>
            </w:pPr>
            <w:r w:rsidRPr="00BD3B59">
              <w:rPr>
                <w:rFonts w:ascii="Arial" w:hAnsi="Arial" w:cs="Arial"/>
                <w:sz w:val="24"/>
              </w:rPr>
              <w:t>Year</w:t>
            </w:r>
          </w:p>
        </w:tc>
        <w:tc>
          <w:tcPr>
            <w:tcW w:w="0" w:type="auto"/>
            <w:hideMark/>
          </w:tcPr>
          <w:p w14:paraId="67B4316C"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Inventory (US$bn)</w:t>
            </w:r>
          </w:p>
        </w:tc>
        <w:tc>
          <w:tcPr>
            <w:tcW w:w="0" w:type="auto"/>
            <w:hideMark/>
          </w:tcPr>
          <w:p w14:paraId="06D8EA75"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Inventory Days</w:t>
            </w:r>
          </w:p>
        </w:tc>
        <w:tc>
          <w:tcPr>
            <w:tcW w:w="0" w:type="auto"/>
            <w:hideMark/>
          </w:tcPr>
          <w:p w14:paraId="4AA74566"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Interpretation</w:t>
            </w:r>
          </w:p>
        </w:tc>
      </w:tr>
      <w:tr w:rsidR="0011195C" w:rsidRPr="00BD3B59" w14:paraId="28F1550D"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667920"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2022</w:t>
            </w:r>
          </w:p>
        </w:tc>
        <w:tc>
          <w:tcPr>
            <w:tcW w:w="0" w:type="auto"/>
            <w:hideMark/>
          </w:tcPr>
          <w:p w14:paraId="14418D94"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12.8</w:t>
            </w:r>
          </w:p>
        </w:tc>
        <w:tc>
          <w:tcPr>
            <w:tcW w:w="0" w:type="auto"/>
            <w:hideMark/>
          </w:tcPr>
          <w:p w14:paraId="31E12F26"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56.1</w:t>
            </w:r>
          </w:p>
        </w:tc>
        <w:tc>
          <w:tcPr>
            <w:tcW w:w="0" w:type="auto"/>
            <w:hideMark/>
          </w:tcPr>
          <w:p w14:paraId="26DA8A1D"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Efficient stock turnover during growth phase</w:t>
            </w:r>
          </w:p>
        </w:tc>
      </w:tr>
      <w:tr w:rsidR="0011195C" w:rsidRPr="00BD3B59" w14:paraId="4395EC0A"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4D589762"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2023</w:t>
            </w:r>
          </w:p>
        </w:tc>
        <w:tc>
          <w:tcPr>
            <w:tcW w:w="0" w:type="auto"/>
            <w:hideMark/>
          </w:tcPr>
          <w:p w14:paraId="5AB46543"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13.6</w:t>
            </w:r>
          </w:p>
        </w:tc>
        <w:tc>
          <w:tcPr>
            <w:tcW w:w="0" w:type="auto"/>
            <w:hideMark/>
          </w:tcPr>
          <w:p w14:paraId="559DB34D"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61.6</w:t>
            </w:r>
          </w:p>
        </w:tc>
        <w:tc>
          <w:tcPr>
            <w:tcW w:w="0" w:type="auto"/>
            <w:hideMark/>
          </w:tcPr>
          <w:p w14:paraId="1DF46365"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Slower movement; possible demand imbalance</w:t>
            </w:r>
          </w:p>
        </w:tc>
      </w:tr>
      <w:tr w:rsidR="0011195C" w:rsidRPr="00BD3B59" w14:paraId="54842744"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8D0702"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2024</w:t>
            </w:r>
          </w:p>
        </w:tc>
        <w:tc>
          <w:tcPr>
            <w:tcW w:w="0" w:type="auto"/>
            <w:hideMark/>
          </w:tcPr>
          <w:p w14:paraId="6252CD96"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12.0</w:t>
            </w:r>
          </w:p>
        </w:tc>
        <w:tc>
          <w:tcPr>
            <w:tcW w:w="0" w:type="auto"/>
            <w:hideMark/>
          </w:tcPr>
          <w:p w14:paraId="1DA5E8FB"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58.1</w:t>
            </w:r>
          </w:p>
        </w:tc>
        <w:tc>
          <w:tcPr>
            <w:tcW w:w="0" w:type="auto"/>
            <w:hideMark/>
          </w:tcPr>
          <w:p w14:paraId="00E7B7D5"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Partial recovery but still above 2022 level</w:t>
            </w:r>
          </w:p>
        </w:tc>
      </w:tr>
    </w:tbl>
    <w:p w14:paraId="6CE34114"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Tesla (2023; 2024; 2025).</w:t>
      </w:r>
    </w:p>
    <w:p w14:paraId="65449EB7" w14:textId="77777777" w:rsidR="0011195C" w:rsidRPr="00BD3B59" w:rsidRDefault="0011195C" w:rsidP="00D91438">
      <w:pPr>
        <w:spacing w:line="360" w:lineRule="auto"/>
        <w:jc w:val="both"/>
        <w:rPr>
          <w:rFonts w:ascii="Arial" w:hAnsi="Arial" w:cs="Arial"/>
        </w:rPr>
      </w:pPr>
      <w:r w:rsidRPr="00BD3B59">
        <w:rPr>
          <w:rFonts w:ascii="Arial" w:hAnsi="Arial" w:cs="Arial"/>
        </w:rPr>
        <w:t>Tesla should improve inventory performance through enhanced demand forecasting, region-specific production scheduling and greater use of build-to-order models. Academic evidence suggests lean inventory systems are positively associated with stronger profitability and liquidity ou</w:t>
      </w:r>
      <w:r w:rsidR="00F00FD9" w:rsidRPr="00BD3B59">
        <w:rPr>
          <w:rFonts w:ascii="Arial" w:hAnsi="Arial" w:cs="Arial"/>
        </w:rPr>
        <w:t>tcomes (</w:t>
      </w:r>
      <w:r w:rsidR="001655E2" w:rsidRPr="00BD3B59">
        <w:rPr>
          <w:rFonts w:ascii="Arial" w:hAnsi="Arial" w:cs="Arial"/>
        </w:rPr>
        <w:t>Archavli et al., 2012</w:t>
      </w:r>
      <w:r w:rsidR="00F00FD9" w:rsidRPr="00BD3B59">
        <w:rPr>
          <w:rFonts w:ascii="Arial" w:hAnsi="Arial" w:cs="Arial"/>
        </w:rPr>
        <w:t>).</w:t>
      </w:r>
    </w:p>
    <w:p w14:paraId="1489B577" w14:textId="77777777" w:rsidR="0011195C" w:rsidRPr="00BD3B59" w:rsidRDefault="0011195C" w:rsidP="00F00FD9">
      <w:pPr>
        <w:pStyle w:val="Heading2"/>
      </w:pPr>
      <w:bookmarkStart w:id="25" w:name="_Toc227799626"/>
      <w:r w:rsidRPr="00BD3B59">
        <w:t>3.3 Faster Debt Collection</w:t>
      </w:r>
      <w:bookmarkEnd w:id="25"/>
    </w:p>
    <w:p w14:paraId="020347B0"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Receivables are less significant for Tesla than for firms dependent entirely on trade credit, because many vehicle sales are paid immediately or financed externally. However, leasing, fleet contracts, energy storage sales and service operations still create receivable balances. Tesla’s receivable days increased from </w:t>
      </w:r>
      <w:r w:rsidRPr="00BD3B59">
        <w:rPr>
          <w:rFonts w:ascii="Arial" w:hAnsi="Arial" w:cs="Arial"/>
          <w:bCs/>
        </w:rPr>
        <w:t>10.9 days in 2022</w:t>
      </w:r>
      <w:r w:rsidRPr="00BD3B59">
        <w:rPr>
          <w:rFonts w:ascii="Arial" w:hAnsi="Arial" w:cs="Arial"/>
        </w:rPr>
        <w:t xml:space="preserve"> to </w:t>
      </w:r>
      <w:r w:rsidRPr="00BD3B59">
        <w:rPr>
          <w:rFonts w:ascii="Arial" w:hAnsi="Arial" w:cs="Arial"/>
          <w:bCs/>
        </w:rPr>
        <w:t>14.8 days in 2024</w:t>
      </w:r>
      <w:r w:rsidRPr="00BD3B59">
        <w:rPr>
          <w:rFonts w:ascii="Arial" w:hAnsi="Arial" w:cs="Arial"/>
        </w:rPr>
        <w:t>, showing slower cash collection.</w:t>
      </w:r>
    </w:p>
    <w:p w14:paraId="52E1D9EB" w14:textId="77777777" w:rsidR="00F00FD9" w:rsidRPr="00BD3B59" w:rsidRDefault="00F00FD9" w:rsidP="00F00FD9">
      <w:pPr>
        <w:pStyle w:val="Caption"/>
        <w:keepNext/>
        <w:rPr>
          <w:rFonts w:ascii="Arial" w:hAnsi="Arial" w:cs="Arial"/>
          <w:b/>
          <w:i w:val="0"/>
          <w:sz w:val="24"/>
          <w:szCs w:val="24"/>
        </w:rPr>
      </w:pPr>
      <w:bookmarkStart w:id="26" w:name="_Toc227799756"/>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9</w:t>
      </w:r>
      <w:r w:rsidR="00F52EE6" w:rsidRPr="00BD3B59">
        <w:rPr>
          <w:rFonts w:ascii="Arial" w:hAnsi="Arial" w:cs="Arial"/>
          <w:b/>
          <w:i w:val="0"/>
          <w:sz w:val="24"/>
          <w:szCs w:val="24"/>
        </w:rPr>
        <w:fldChar w:fldCharType="end"/>
      </w:r>
      <w:r w:rsidRPr="00BD3B59">
        <w:rPr>
          <w:rFonts w:ascii="Arial" w:hAnsi="Arial" w:cs="Arial"/>
          <w:b/>
          <w:i w:val="0"/>
          <w:sz w:val="24"/>
          <w:szCs w:val="24"/>
        </w:rPr>
        <w:t>: Receivable Efficiency Trend</w:t>
      </w:r>
      <w:bookmarkEnd w:id="26"/>
    </w:p>
    <w:tbl>
      <w:tblPr>
        <w:tblStyle w:val="PlainTable5"/>
        <w:tblW w:w="0" w:type="auto"/>
        <w:tblLook w:val="04A0" w:firstRow="1" w:lastRow="0" w:firstColumn="1" w:lastColumn="0" w:noHBand="0" w:noVBand="1"/>
      </w:tblPr>
      <w:tblGrid>
        <w:gridCol w:w="750"/>
        <w:gridCol w:w="3418"/>
        <w:gridCol w:w="2017"/>
        <w:gridCol w:w="3071"/>
      </w:tblGrid>
      <w:tr w:rsidR="0011195C" w:rsidRPr="00BD3B59" w14:paraId="0A653527" w14:textId="77777777" w:rsidTr="00F52E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D71E1F1" w14:textId="77777777" w:rsidR="0011195C" w:rsidRPr="00BD3B59" w:rsidRDefault="0011195C" w:rsidP="00D91438">
            <w:pPr>
              <w:spacing w:line="360" w:lineRule="auto"/>
              <w:jc w:val="both"/>
              <w:rPr>
                <w:rFonts w:ascii="Arial" w:hAnsi="Arial" w:cs="Arial"/>
                <w:b/>
                <w:bCs/>
                <w:sz w:val="24"/>
              </w:rPr>
            </w:pPr>
            <w:r w:rsidRPr="00BD3B59">
              <w:rPr>
                <w:rFonts w:ascii="Arial" w:hAnsi="Arial" w:cs="Arial"/>
                <w:sz w:val="24"/>
              </w:rPr>
              <w:t>Year</w:t>
            </w:r>
          </w:p>
        </w:tc>
        <w:tc>
          <w:tcPr>
            <w:tcW w:w="0" w:type="auto"/>
            <w:hideMark/>
          </w:tcPr>
          <w:p w14:paraId="54F5B5AA"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Accounts Receivable (US$bn)</w:t>
            </w:r>
          </w:p>
        </w:tc>
        <w:tc>
          <w:tcPr>
            <w:tcW w:w="0" w:type="auto"/>
            <w:hideMark/>
          </w:tcPr>
          <w:p w14:paraId="71470FCC"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Receivable Days</w:t>
            </w:r>
          </w:p>
        </w:tc>
        <w:tc>
          <w:tcPr>
            <w:tcW w:w="0" w:type="auto"/>
            <w:hideMark/>
          </w:tcPr>
          <w:p w14:paraId="4E360B88"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Interpretation</w:t>
            </w:r>
          </w:p>
        </w:tc>
      </w:tr>
      <w:tr w:rsidR="0011195C" w:rsidRPr="00BD3B59" w14:paraId="2E815FB1"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B4DD5A"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2022</w:t>
            </w:r>
          </w:p>
        </w:tc>
        <w:tc>
          <w:tcPr>
            <w:tcW w:w="0" w:type="auto"/>
            <w:hideMark/>
          </w:tcPr>
          <w:p w14:paraId="209CAAC7"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3.0</w:t>
            </w:r>
          </w:p>
        </w:tc>
        <w:tc>
          <w:tcPr>
            <w:tcW w:w="0" w:type="auto"/>
            <w:hideMark/>
          </w:tcPr>
          <w:p w14:paraId="3550490B"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10.9</w:t>
            </w:r>
          </w:p>
        </w:tc>
        <w:tc>
          <w:tcPr>
            <w:tcW w:w="0" w:type="auto"/>
            <w:hideMark/>
          </w:tcPr>
          <w:p w14:paraId="640F000A"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Strong collection discipline</w:t>
            </w:r>
          </w:p>
        </w:tc>
      </w:tr>
      <w:tr w:rsidR="0011195C" w:rsidRPr="00BD3B59" w14:paraId="6B365742"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3440DDE5"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2023</w:t>
            </w:r>
          </w:p>
        </w:tc>
        <w:tc>
          <w:tcPr>
            <w:tcW w:w="0" w:type="auto"/>
            <w:hideMark/>
          </w:tcPr>
          <w:p w14:paraId="378D76CE"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3.5</w:t>
            </w:r>
          </w:p>
        </w:tc>
        <w:tc>
          <w:tcPr>
            <w:tcW w:w="0" w:type="auto"/>
            <w:hideMark/>
          </w:tcPr>
          <w:p w14:paraId="491383CB"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12.2</w:t>
            </w:r>
          </w:p>
        </w:tc>
        <w:tc>
          <w:tcPr>
            <w:tcW w:w="0" w:type="auto"/>
            <w:hideMark/>
          </w:tcPr>
          <w:p w14:paraId="0CB3DD1D"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Moderate slowing</w:t>
            </w:r>
          </w:p>
        </w:tc>
      </w:tr>
      <w:tr w:rsidR="0011195C" w:rsidRPr="00BD3B59" w14:paraId="0C1CB40E"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BE61E2"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2024</w:t>
            </w:r>
          </w:p>
        </w:tc>
        <w:tc>
          <w:tcPr>
            <w:tcW w:w="0" w:type="auto"/>
            <w:hideMark/>
          </w:tcPr>
          <w:p w14:paraId="08BDEBF4"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4.4</w:t>
            </w:r>
          </w:p>
        </w:tc>
        <w:tc>
          <w:tcPr>
            <w:tcW w:w="0" w:type="auto"/>
            <w:hideMark/>
          </w:tcPr>
          <w:p w14:paraId="7911A2BD"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14.8</w:t>
            </w:r>
          </w:p>
        </w:tc>
        <w:tc>
          <w:tcPr>
            <w:tcW w:w="0" w:type="auto"/>
            <w:hideMark/>
          </w:tcPr>
          <w:p w14:paraId="349D2838"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Higher cash tied in debtors</w:t>
            </w:r>
          </w:p>
        </w:tc>
      </w:tr>
    </w:tbl>
    <w:p w14:paraId="44342A0B"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Tesla (2023; 2024; 2025).</w:t>
      </w:r>
    </w:p>
    <w:p w14:paraId="203DC13D"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Although these figures remain comparatively low, the direction of movement is negative. If Tesla reduced receivable days from </w:t>
      </w:r>
      <w:r w:rsidRPr="00BD3B59">
        <w:rPr>
          <w:rFonts w:ascii="Arial" w:hAnsi="Arial" w:cs="Arial"/>
          <w:bCs/>
        </w:rPr>
        <w:t>14.8</w:t>
      </w:r>
      <w:r w:rsidRPr="00BD3B59">
        <w:rPr>
          <w:rFonts w:ascii="Arial" w:hAnsi="Arial" w:cs="Arial"/>
        </w:rPr>
        <w:t xml:space="preserve"> to </w:t>
      </w:r>
      <w:r w:rsidRPr="00BD3B59">
        <w:rPr>
          <w:rFonts w:ascii="Arial" w:hAnsi="Arial" w:cs="Arial"/>
          <w:bCs/>
        </w:rPr>
        <w:t>12 days</w:t>
      </w:r>
      <w:r w:rsidRPr="00BD3B59">
        <w:rPr>
          <w:rFonts w:ascii="Arial" w:hAnsi="Arial" w:cs="Arial"/>
        </w:rPr>
        <w:t xml:space="preserve">, this could release substantial short-term cash. Tesla should therefore strengthen invoice automation, credit review procedures for commercial clients and early payment incentives for fleet customers. </w:t>
      </w:r>
      <w:r w:rsidR="001655E2" w:rsidRPr="00BD3B59">
        <w:rPr>
          <w:rFonts w:ascii="Arial" w:hAnsi="Arial" w:cs="Arial"/>
        </w:rPr>
        <w:t>Alsulayhim (2019</w:t>
      </w:r>
      <w:r w:rsidRPr="00BD3B59">
        <w:rPr>
          <w:rFonts w:ascii="Arial" w:hAnsi="Arial" w:cs="Arial"/>
        </w:rPr>
        <w:t>) found that faster receivable collection is commonly associated with improved profitability because less capital is immobilised in debtor balances.</w:t>
      </w:r>
    </w:p>
    <w:p w14:paraId="7C2B0172" w14:textId="77777777" w:rsidR="0011195C" w:rsidRPr="00BD3B59" w:rsidRDefault="0011195C" w:rsidP="00F00FD9">
      <w:pPr>
        <w:pStyle w:val="Heading2"/>
      </w:pPr>
      <w:bookmarkStart w:id="27" w:name="_Toc227799627"/>
      <w:r w:rsidRPr="00BD3B59">
        <w:t>3.4 Supplier Credit Improvement</w:t>
      </w:r>
      <w:bookmarkEnd w:id="27"/>
    </w:p>
    <w:p w14:paraId="18E36CC6"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Supplier credit is an important low-cost source of working capital finance. Tesla’s payable days remained around </w:t>
      </w:r>
      <w:r w:rsidRPr="00BD3B59">
        <w:rPr>
          <w:rFonts w:ascii="Arial" w:hAnsi="Arial" w:cs="Arial"/>
          <w:bCs/>
        </w:rPr>
        <w:t>57 days</w:t>
      </w:r>
      <w:r w:rsidRPr="00BD3B59">
        <w:rPr>
          <w:rFonts w:ascii="Arial" w:hAnsi="Arial" w:cs="Arial"/>
        </w:rPr>
        <w:t xml:space="preserve"> in recent years, suggesting that suppliers effectively financed part of Tesla’s operating cycle. However, payable days declined slightly in 2024, reducing this funding benefit.</w:t>
      </w:r>
    </w:p>
    <w:p w14:paraId="67D0B33B" w14:textId="77777777" w:rsidR="00F00FD9" w:rsidRPr="00BD3B59" w:rsidRDefault="00F00FD9" w:rsidP="00F00FD9">
      <w:pPr>
        <w:pStyle w:val="Caption"/>
        <w:keepNext/>
        <w:rPr>
          <w:rFonts w:ascii="Arial" w:hAnsi="Arial" w:cs="Arial"/>
          <w:b/>
          <w:i w:val="0"/>
          <w:sz w:val="24"/>
          <w:szCs w:val="24"/>
        </w:rPr>
      </w:pPr>
      <w:bookmarkStart w:id="28" w:name="_Toc227799757"/>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10</w:t>
      </w:r>
      <w:r w:rsidR="00F52EE6" w:rsidRPr="00BD3B59">
        <w:rPr>
          <w:rFonts w:ascii="Arial" w:hAnsi="Arial" w:cs="Arial"/>
          <w:b/>
          <w:i w:val="0"/>
          <w:sz w:val="24"/>
          <w:szCs w:val="24"/>
        </w:rPr>
        <w:fldChar w:fldCharType="end"/>
      </w:r>
      <w:r w:rsidRPr="00BD3B59">
        <w:rPr>
          <w:rFonts w:ascii="Arial" w:hAnsi="Arial" w:cs="Arial"/>
          <w:b/>
          <w:i w:val="0"/>
          <w:sz w:val="24"/>
          <w:szCs w:val="24"/>
        </w:rPr>
        <w:t>: Payables Management Trend</w:t>
      </w:r>
      <w:bookmarkEnd w:id="28"/>
    </w:p>
    <w:tbl>
      <w:tblPr>
        <w:tblStyle w:val="PlainTable5"/>
        <w:tblW w:w="9347" w:type="dxa"/>
        <w:tblLook w:val="04A0" w:firstRow="1" w:lastRow="0" w:firstColumn="1" w:lastColumn="0" w:noHBand="0" w:noVBand="1"/>
      </w:tblPr>
      <w:tblGrid>
        <w:gridCol w:w="770"/>
        <w:gridCol w:w="3183"/>
        <w:gridCol w:w="1744"/>
        <w:gridCol w:w="3650"/>
      </w:tblGrid>
      <w:tr w:rsidR="0011195C" w:rsidRPr="00BD3B59" w14:paraId="23535089" w14:textId="77777777" w:rsidTr="00F52EE6">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0" w:type="auto"/>
            <w:hideMark/>
          </w:tcPr>
          <w:p w14:paraId="4C78CD54" w14:textId="77777777" w:rsidR="0011195C" w:rsidRPr="00BD3B59" w:rsidRDefault="0011195C" w:rsidP="00D91438">
            <w:pPr>
              <w:spacing w:line="360" w:lineRule="auto"/>
              <w:jc w:val="both"/>
              <w:rPr>
                <w:rFonts w:ascii="Arial" w:hAnsi="Arial" w:cs="Arial"/>
                <w:b/>
                <w:bCs/>
                <w:sz w:val="24"/>
              </w:rPr>
            </w:pPr>
            <w:r w:rsidRPr="00BD3B59">
              <w:rPr>
                <w:rFonts w:ascii="Arial" w:hAnsi="Arial" w:cs="Arial"/>
                <w:sz w:val="24"/>
              </w:rPr>
              <w:t>Year</w:t>
            </w:r>
          </w:p>
        </w:tc>
        <w:tc>
          <w:tcPr>
            <w:tcW w:w="0" w:type="auto"/>
            <w:hideMark/>
          </w:tcPr>
          <w:p w14:paraId="5169E2C3"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Accounts Payable (US$bn)</w:t>
            </w:r>
          </w:p>
        </w:tc>
        <w:tc>
          <w:tcPr>
            <w:tcW w:w="0" w:type="auto"/>
            <w:hideMark/>
          </w:tcPr>
          <w:p w14:paraId="662D251C"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Payable Days</w:t>
            </w:r>
          </w:p>
        </w:tc>
        <w:tc>
          <w:tcPr>
            <w:tcW w:w="0" w:type="auto"/>
            <w:hideMark/>
          </w:tcPr>
          <w:p w14:paraId="6CF58DF1"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Interpretation</w:t>
            </w:r>
          </w:p>
        </w:tc>
      </w:tr>
      <w:tr w:rsidR="0011195C" w:rsidRPr="00BD3B59" w14:paraId="443F5072" w14:textId="77777777" w:rsidTr="00F52EE6">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0" w:type="auto"/>
            <w:hideMark/>
          </w:tcPr>
          <w:p w14:paraId="4E456685"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2022</w:t>
            </w:r>
          </w:p>
        </w:tc>
        <w:tc>
          <w:tcPr>
            <w:tcW w:w="0" w:type="auto"/>
            <w:hideMark/>
          </w:tcPr>
          <w:p w14:paraId="577AD27C"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12.8</w:t>
            </w:r>
          </w:p>
        </w:tc>
        <w:tc>
          <w:tcPr>
            <w:tcW w:w="0" w:type="auto"/>
            <w:hideMark/>
          </w:tcPr>
          <w:p w14:paraId="1DE9B48B"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58.5</w:t>
            </w:r>
          </w:p>
        </w:tc>
        <w:tc>
          <w:tcPr>
            <w:tcW w:w="0" w:type="auto"/>
            <w:hideMark/>
          </w:tcPr>
          <w:p w14:paraId="29BFF5A4"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Strong supplier funding support</w:t>
            </w:r>
          </w:p>
        </w:tc>
      </w:tr>
      <w:tr w:rsidR="0011195C" w:rsidRPr="00BD3B59" w14:paraId="391D377D" w14:textId="77777777" w:rsidTr="00F52EE6">
        <w:trPr>
          <w:trHeight w:val="422"/>
        </w:trPr>
        <w:tc>
          <w:tcPr>
            <w:cnfStyle w:val="001000000000" w:firstRow="0" w:lastRow="0" w:firstColumn="1" w:lastColumn="0" w:oddVBand="0" w:evenVBand="0" w:oddHBand="0" w:evenHBand="0" w:firstRowFirstColumn="0" w:firstRowLastColumn="0" w:lastRowFirstColumn="0" w:lastRowLastColumn="0"/>
            <w:tcW w:w="0" w:type="auto"/>
            <w:hideMark/>
          </w:tcPr>
          <w:p w14:paraId="4BFE0446"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2023</w:t>
            </w:r>
          </w:p>
        </w:tc>
        <w:tc>
          <w:tcPr>
            <w:tcW w:w="0" w:type="auto"/>
            <w:hideMark/>
          </w:tcPr>
          <w:p w14:paraId="6AF6C99E"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12.5</w:t>
            </w:r>
          </w:p>
        </w:tc>
        <w:tc>
          <w:tcPr>
            <w:tcW w:w="0" w:type="auto"/>
            <w:hideMark/>
          </w:tcPr>
          <w:p w14:paraId="18A1AA96"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57.4</w:t>
            </w:r>
          </w:p>
        </w:tc>
        <w:tc>
          <w:tcPr>
            <w:tcW w:w="0" w:type="auto"/>
            <w:hideMark/>
          </w:tcPr>
          <w:p w14:paraId="0D19FD75"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Stable position</w:t>
            </w:r>
          </w:p>
        </w:tc>
      </w:tr>
      <w:tr w:rsidR="0011195C" w:rsidRPr="00BD3B59" w14:paraId="5CC41344" w14:textId="77777777" w:rsidTr="00F52EE6">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0" w:type="auto"/>
            <w:hideMark/>
          </w:tcPr>
          <w:p w14:paraId="30E682EA"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2024</w:t>
            </w:r>
          </w:p>
        </w:tc>
        <w:tc>
          <w:tcPr>
            <w:tcW w:w="0" w:type="auto"/>
            <w:hideMark/>
          </w:tcPr>
          <w:p w14:paraId="16390FF2"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13.4</w:t>
            </w:r>
          </w:p>
        </w:tc>
        <w:tc>
          <w:tcPr>
            <w:tcW w:w="0" w:type="auto"/>
            <w:hideMark/>
          </w:tcPr>
          <w:p w14:paraId="26256E96"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56.7</w:t>
            </w:r>
          </w:p>
        </w:tc>
        <w:tc>
          <w:tcPr>
            <w:tcW w:w="0" w:type="auto"/>
            <w:hideMark/>
          </w:tcPr>
          <w:p w14:paraId="051048C3"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Slightly faster payments</w:t>
            </w:r>
          </w:p>
        </w:tc>
      </w:tr>
    </w:tbl>
    <w:p w14:paraId="6923FAE8"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Tesla (2023; 2024; 2025).</w:t>
      </w:r>
    </w:p>
    <w:p w14:paraId="245D8301"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Tesla should negotiate differentiated supplier terms. Strategic battery suppliers may require prompt and reliable settlement to protect continuity of supply, while large-scale component providers may accept longer credit terms through volume contracts. Extending average payable days modestly toward </w:t>
      </w:r>
      <w:r w:rsidRPr="00BD3B59">
        <w:rPr>
          <w:rFonts w:ascii="Arial" w:hAnsi="Arial" w:cs="Arial"/>
          <w:bCs/>
        </w:rPr>
        <w:t>60 days</w:t>
      </w:r>
      <w:r w:rsidRPr="00BD3B59">
        <w:rPr>
          <w:rFonts w:ascii="Arial" w:hAnsi="Arial" w:cs="Arial"/>
        </w:rPr>
        <w:t xml:space="preserve"> would improve working capital without materially harming supplier relationships. Supply chain finance literature suggests collaborative credit management can improve liquidity for both buyers and suppliers when structured responsibly (</w:t>
      </w:r>
      <w:r w:rsidR="001655E2" w:rsidRPr="00BD3B59">
        <w:rPr>
          <w:rFonts w:ascii="Arial" w:hAnsi="Arial" w:cs="Arial"/>
        </w:rPr>
        <w:t>Jansen, 2024</w:t>
      </w:r>
      <w:r w:rsidRPr="00BD3B59">
        <w:rPr>
          <w:rFonts w:ascii="Arial" w:hAnsi="Arial" w:cs="Arial"/>
        </w:rPr>
        <w:t>).</w:t>
      </w:r>
    </w:p>
    <w:p w14:paraId="32778658" w14:textId="77777777" w:rsidR="0011195C" w:rsidRPr="00BD3B59" w:rsidRDefault="0011195C" w:rsidP="00F00FD9">
      <w:pPr>
        <w:pStyle w:val="Heading2"/>
      </w:pPr>
      <w:bookmarkStart w:id="29" w:name="_Toc227799628"/>
      <w:r w:rsidRPr="00BD3B59">
        <w:t>3.5 Cash Management Improvement</w:t>
      </w:r>
      <w:bookmarkEnd w:id="29"/>
    </w:p>
    <w:p w14:paraId="2E69B4AA"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Tesla generated operating cash flow of </w:t>
      </w:r>
      <w:r w:rsidRPr="00BD3B59">
        <w:rPr>
          <w:rFonts w:ascii="Arial" w:hAnsi="Arial" w:cs="Arial"/>
          <w:bCs/>
        </w:rPr>
        <w:t>US$14.9 billion in 2024</w:t>
      </w:r>
      <w:r w:rsidRPr="00BD3B59">
        <w:rPr>
          <w:rFonts w:ascii="Arial" w:hAnsi="Arial" w:cs="Arial"/>
        </w:rPr>
        <w:t>, confirming strong internal cash creation despite lower profits (Tesla, 2025). However, large cash balances can reduce returns when surplus funds are not productively deployed.</w:t>
      </w:r>
    </w:p>
    <w:p w14:paraId="2844974E" w14:textId="77777777" w:rsidR="00F00FD9" w:rsidRPr="00BD3B59" w:rsidRDefault="00F00FD9" w:rsidP="00F00FD9">
      <w:pPr>
        <w:pStyle w:val="Caption"/>
        <w:keepNext/>
        <w:rPr>
          <w:rFonts w:ascii="Arial" w:hAnsi="Arial" w:cs="Arial"/>
          <w:b/>
          <w:i w:val="0"/>
          <w:sz w:val="24"/>
          <w:szCs w:val="24"/>
        </w:rPr>
      </w:pPr>
      <w:bookmarkStart w:id="30" w:name="_Toc227799758"/>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11</w:t>
      </w:r>
      <w:r w:rsidR="00F52EE6" w:rsidRPr="00BD3B59">
        <w:rPr>
          <w:rFonts w:ascii="Arial" w:hAnsi="Arial" w:cs="Arial"/>
          <w:b/>
          <w:i w:val="0"/>
          <w:sz w:val="24"/>
          <w:szCs w:val="24"/>
        </w:rPr>
        <w:fldChar w:fldCharType="end"/>
      </w:r>
      <w:r w:rsidRPr="00BD3B59">
        <w:rPr>
          <w:rFonts w:ascii="Arial" w:hAnsi="Arial" w:cs="Arial"/>
          <w:b/>
          <w:i w:val="0"/>
          <w:sz w:val="24"/>
          <w:szCs w:val="24"/>
        </w:rPr>
        <w:t>: Tesla Cash Flow Position</w:t>
      </w:r>
      <w:bookmarkEnd w:id="30"/>
    </w:p>
    <w:tbl>
      <w:tblPr>
        <w:tblStyle w:val="PlainTable5"/>
        <w:tblW w:w="0" w:type="auto"/>
        <w:tblLook w:val="04A0" w:firstRow="1" w:lastRow="0" w:firstColumn="1" w:lastColumn="0" w:noHBand="0" w:noVBand="1"/>
      </w:tblPr>
      <w:tblGrid>
        <w:gridCol w:w="751"/>
        <w:gridCol w:w="2905"/>
        <w:gridCol w:w="2812"/>
        <w:gridCol w:w="2892"/>
      </w:tblGrid>
      <w:tr w:rsidR="0011195C" w:rsidRPr="00BD3B59" w14:paraId="5AA484D8" w14:textId="77777777" w:rsidTr="00F52E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A6D51FE" w14:textId="77777777" w:rsidR="0011195C" w:rsidRPr="00BD3B59" w:rsidRDefault="0011195C" w:rsidP="00D91438">
            <w:pPr>
              <w:spacing w:line="360" w:lineRule="auto"/>
              <w:jc w:val="both"/>
              <w:rPr>
                <w:rFonts w:ascii="Arial" w:hAnsi="Arial" w:cs="Arial"/>
                <w:b/>
                <w:bCs/>
                <w:sz w:val="24"/>
              </w:rPr>
            </w:pPr>
            <w:r w:rsidRPr="00BD3B59">
              <w:rPr>
                <w:rFonts w:ascii="Arial" w:hAnsi="Arial" w:cs="Arial"/>
                <w:sz w:val="24"/>
              </w:rPr>
              <w:t>Year</w:t>
            </w:r>
          </w:p>
        </w:tc>
        <w:tc>
          <w:tcPr>
            <w:tcW w:w="0" w:type="auto"/>
            <w:hideMark/>
          </w:tcPr>
          <w:p w14:paraId="7EEF6220"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Operating Cash Flow (US$bn)</w:t>
            </w:r>
          </w:p>
        </w:tc>
        <w:tc>
          <w:tcPr>
            <w:tcW w:w="0" w:type="auto"/>
            <w:hideMark/>
          </w:tcPr>
          <w:p w14:paraId="40945232"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Investing Cash Flow (US$bn)</w:t>
            </w:r>
          </w:p>
        </w:tc>
        <w:tc>
          <w:tcPr>
            <w:tcW w:w="0" w:type="auto"/>
            <w:hideMark/>
          </w:tcPr>
          <w:p w14:paraId="152229A6"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Financing Cash Flow (US$bn)</w:t>
            </w:r>
          </w:p>
        </w:tc>
      </w:tr>
      <w:tr w:rsidR="0011195C" w:rsidRPr="00BD3B59" w14:paraId="551F8DE1"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892D81"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2023</w:t>
            </w:r>
          </w:p>
        </w:tc>
        <w:tc>
          <w:tcPr>
            <w:tcW w:w="0" w:type="auto"/>
            <w:hideMark/>
          </w:tcPr>
          <w:p w14:paraId="4DA3A24D"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13.3</w:t>
            </w:r>
          </w:p>
        </w:tc>
        <w:tc>
          <w:tcPr>
            <w:tcW w:w="0" w:type="auto"/>
            <w:hideMark/>
          </w:tcPr>
          <w:p w14:paraId="1996484E"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(15.6)</w:t>
            </w:r>
          </w:p>
        </w:tc>
        <w:tc>
          <w:tcPr>
            <w:tcW w:w="0" w:type="auto"/>
            <w:hideMark/>
          </w:tcPr>
          <w:p w14:paraId="35609421"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2.6</w:t>
            </w:r>
          </w:p>
        </w:tc>
      </w:tr>
      <w:tr w:rsidR="0011195C" w:rsidRPr="00BD3B59" w14:paraId="14E900B5"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3692CD0D"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2024</w:t>
            </w:r>
          </w:p>
        </w:tc>
        <w:tc>
          <w:tcPr>
            <w:tcW w:w="0" w:type="auto"/>
            <w:hideMark/>
          </w:tcPr>
          <w:p w14:paraId="38D13D2C"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14.9</w:t>
            </w:r>
          </w:p>
        </w:tc>
        <w:tc>
          <w:tcPr>
            <w:tcW w:w="0" w:type="auto"/>
            <w:hideMark/>
          </w:tcPr>
          <w:p w14:paraId="4E248578"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(18.8)</w:t>
            </w:r>
          </w:p>
        </w:tc>
        <w:tc>
          <w:tcPr>
            <w:tcW w:w="0" w:type="auto"/>
            <w:hideMark/>
          </w:tcPr>
          <w:p w14:paraId="6A21272E"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3.9</w:t>
            </w:r>
          </w:p>
        </w:tc>
      </w:tr>
      <w:tr w:rsidR="0011195C" w:rsidRPr="00BD3B59" w14:paraId="32C47AA2"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CCCFEF"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2025</w:t>
            </w:r>
          </w:p>
        </w:tc>
        <w:tc>
          <w:tcPr>
            <w:tcW w:w="0" w:type="auto"/>
            <w:hideMark/>
          </w:tcPr>
          <w:p w14:paraId="5151D5CC"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14.7</w:t>
            </w:r>
          </w:p>
        </w:tc>
        <w:tc>
          <w:tcPr>
            <w:tcW w:w="0" w:type="auto"/>
            <w:hideMark/>
          </w:tcPr>
          <w:p w14:paraId="4B83C202"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(15.5)</w:t>
            </w:r>
          </w:p>
        </w:tc>
        <w:tc>
          <w:tcPr>
            <w:tcW w:w="0" w:type="auto"/>
            <w:hideMark/>
          </w:tcPr>
          <w:p w14:paraId="18B6AAD5"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1.1</w:t>
            </w:r>
          </w:p>
        </w:tc>
      </w:tr>
    </w:tbl>
    <w:p w14:paraId="36A156BE"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Tesla (2025).</w:t>
      </w:r>
    </w:p>
    <w:p w14:paraId="66899236" w14:textId="77777777" w:rsidR="0011195C" w:rsidRPr="00BD3B59" w:rsidRDefault="0011195C" w:rsidP="00D91438">
      <w:pPr>
        <w:spacing w:line="360" w:lineRule="auto"/>
        <w:jc w:val="both"/>
        <w:rPr>
          <w:rFonts w:ascii="Arial" w:hAnsi="Arial" w:cs="Arial"/>
        </w:rPr>
      </w:pPr>
      <w:r w:rsidRPr="00BD3B59">
        <w:rPr>
          <w:rFonts w:ascii="Arial" w:hAnsi="Arial" w:cs="Arial"/>
        </w:rPr>
        <w:t>The data shows Tesla continues to generate strong operating cash but reinvests heavily in expansion. Tesla should optimise treasury management by allocating excess liquidity toward high-return automation projects, battery innovation, selective debt reduction and value-accretive investment opportunities rather than h</w:t>
      </w:r>
      <w:r w:rsidR="00F00FD9" w:rsidRPr="00BD3B59">
        <w:rPr>
          <w:rFonts w:ascii="Arial" w:hAnsi="Arial" w:cs="Arial"/>
        </w:rPr>
        <w:t>olding excessive idle balances.</w:t>
      </w:r>
    </w:p>
    <w:p w14:paraId="46BAFDA1" w14:textId="77777777" w:rsidR="0011195C" w:rsidRPr="00BD3B59" w:rsidRDefault="0011195C" w:rsidP="00F00FD9">
      <w:pPr>
        <w:pStyle w:val="Heading2"/>
      </w:pPr>
      <w:bookmarkStart w:id="31" w:name="_Toc227799629"/>
      <w:r w:rsidRPr="00BD3B59">
        <w:t>3.6 Short-Term vs Long-Term Financing Options</w:t>
      </w:r>
      <w:bookmarkEnd w:id="31"/>
    </w:p>
    <w:p w14:paraId="0EA0E56E" w14:textId="77777777" w:rsidR="00F00FD9" w:rsidRPr="00BD3B59" w:rsidRDefault="00F00FD9" w:rsidP="00F00FD9">
      <w:pPr>
        <w:pStyle w:val="Caption"/>
        <w:keepNext/>
        <w:rPr>
          <w:rFonts w:ascii="Arial" w:hAnsi="Arial" w:cs="Arial"/>
          <w:b/>
          <w:i w:val="0"/>
          <w:sz w:val="24"/>
          <w:szCs w:val="24"/>
        </w:rPr>
      </w:pPr>
      <w:bookmarkStart w:id="32" w:name="_Toc227799759"/>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12</w:t>
      </w:r>
      <w:r w:rsidR="00F52EE6" w:rsidRPr="00BD3B59">
        <w:rPr>
          <w:rFonts w:ascii="Arial" w:hAnsi="Arial" w:cs="Arial"/>
          <w:b/>
          <w:i w:val="0"/>
          <w:sz w:val="24"/>
          <w:szCs w:val="24"/>
        </w:rPr>
        <w:fldChar w:fldCharType="end"/>
      </w:r>
      <w:r w:rsidRPr="00BD3B59">
        <w:rPr>
          <w:rFonts w:ascii="Arial" w:hAnsi="Arial" w:cs="Arial"/>
          <w:b/>
          <w:i w:val="0"/>
          <w:sz w:val="24"/>
          <w:szCs w:val="24"/>
        </w:rPr>
        <w:t>: Financing Options for Tesla</w:t>
      </w:r>
      <w:bookmarkEnd w:id="32"/>
    </w:p>
    <w:tbl>
      <w:tblPr>
        <w:tblStyle w:val="PlainTable5"/>
        <w:tblW w:w="0" w:type="auto"/>
        <w:tblLook w:val="04A0" w:firstRow="1" w:lastRow="0" w:firstColumn="1" w:lastColumn="0" w:noHBand="0" w:noVBand="1"/>
      </w:tblPr>
      <w:tblGrid>
        <w:gridCol w:w="1780"/>
        <w:gridCol w:w="2063"/>
        <w:gridCol w:w="5517"/>
      </w:tblGrid>
      <w:tr w:rsidR="0011195C" w:rsidRPr="00BD3B59" w14:paraId="7B3C409B" w14:textId="77777777" w:rsidTr="00A25F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D8E5B91" w14:textId="77777777" w:rsidR="0011195C" w:rsidRPr="00BD3B59" w:rsidRDefault="0011195C" w:rsidP="00D91438">
            <w:pPr>
              <w:spacing w:line="360" w:lineRule="auto"/>
              <w:jc w:val="both"/>
              <w:rPr>
                <w:rFonts w:ascii="Arial" w:hAnsi="Arial" w:cs="Arial"/>
                <w:b/>
                <w:bCs/>
              </w:rPr>
            </w:pPr>
            <w:r w:rsidRPr="00BD3B59">
              <w:rPr>
                <w:rFonts w:ascii="Arial" w:hAnsi="Arial" w:cs="Arial"/>
                <w:b/>
                <w:bCs/>
              </w:rPr>
              <w:t>Finance Type</w:t>
            </w:r>
          </w:p>
        </w:tc>
        <w:tc>
          <w:tcPr>
            <w:tcW w:w="0" w:type="auto"/>
            <w:hideMark/>
          </w:tcPr>
          <w:p w14:paraId="695BA2C3"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Option</w:t>
            </w:r>
          </w:p>
        </w:tc>
        <w:tc>
          <w:tcPr>
            <w:tcW w:w="0" w:type="auto"/>
            <w:hideMark/>
          </w:tcPr>
          <w:p w14:paraId="7B8011EA"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Strategic Assessment</w:t>
            </w:r>
          </w:p>
        </w:tc>
      </w:tr>
      <w:tr w:rsidR="0011195C" w:rsidRPr="00BD3B59" w14:paraId="30F878B0"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876B3A" w14:textId="77777777" w:rsidR="0011195C" w:rsidRPr="00BD3B59" w:rsidRDefault="0011195C" w:rsidP="00D91438">
            <w:pPr>
              <w:spacing w:line="360" w:lineRule="auto"/>
              <w:jc w:val="both"/>
              <w:rPr>
                <w:rFonts w:ascii="Arial" w:hAnsi="Arial" w:cs="Arial"/>
              </w:rPr>
            </w:pPr>
            <w:r w:rsidRPr="00BD3B59">
              <w:rPr>
                <w:rFonts w:ascii="Arial" w:hAnsi="Arial" w:cs="Arial"/>
              </w:rPr>
              <w:t>Short-Term</w:t>
            </w:r>
          </w:p>
        </w:tc>
        <w:tc>
          <w:tcPr>
            <w:tcW w:w="0" w:type="auto"/>
            <w:hideMark/>
          </w:tcPr>
          <w:p w14:paraId="53295FB8"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Overdraft</w:t>
            </w:r>
          </w:p>
        </w:tc>
        <w:tc>
          <w:tcPr>
            <w:tcW w:w="0" w:type="auto"/>
            <w:hideMark/>
          </w:tcPr>
          <w:p w14:paraId="7549F2E7"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Flexible for temporary liquidity gaps but relatively costly</w:t>
            </w:r>
          </w:p>
        </w:tc>
      </w:tr>
      <w:tr w:rsidR="0011195C" w:rsidRPr="00BD3B59" w14:paraId="433EEB32"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473AB9A6" w14:textId="77777777" w:rsidR="0011195C" w:rsidRPr="00BD3B59" w:rsidRDefault="0011195C" w:rsidP="00D91438">
            <w:pPr>
              <w:spacing w:line="360" w:lineRule="auto"/>
              <w:jc w:val="both"/>
              <w:rPr>
                <w:rFonts w:ascii="Arial" w:hAnsi="Arial" w:cs="Arial"/>
              </w:rPr>
            </w:pPr>
            <w:r w:rsidRPr="00BD3B59">
              <w:rPr>
                <w:rFonts w:ascii="Arial" w:hAnsi="Arial" w:cs="Arial"/>
              </w:rPr>
              <w:t>Short-Term</w:t>
            </w:r>
          </w:p>
        </w:tc>
        <w:tc>
          <w:tcPr>
            <w:tcW w:w="0" w:type="auto"/>
            <w:hideMark/>
          </w:tcPr>
          <w:p w14:paraId="32F0FA9C"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Trade Credit</w:t>
            </w:r>
          </w:p>
        </w:tc>
        <w:tc>
          <w:tcPr>
            <w:tcW w:w="0" w:type="auto"/>
            <w:hideMark/>
          </w:tcPr>
          <w:p w14:paraId="61CAFC53"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Low-cost source tied to supplier relationships</w:t>
            </w:r>
          </w:p>
        </w:tc>
      </w:tr>
      <w:tr w:rsidR="0011195C" w:rsidRPr="00BD3B59" w14:paraId="31484A7E"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D1BE58" w14:textId="77777777" w:rsidR="0011195C" w:rsidRPr="00BD3B59" w:rsidRDefault="0011195C" w:rsidP="00D91438">
            <w:pPr>
              <w:spacing w:line="360" w:lineRule="auto"/>
              <w:jc w:val="both"/>
              <w:rPr>
                <w:rFonts w:ascii="Arial" w:hAnsi="Arial" w:cs="Arial"/>
              </w:rPr>
            </w:pPr>
            <w:r w:rsidRPr="00BD3B59">
              <w:rPr>
                <w:rFonts w:ascii="Arial" w:hAnsi="Arial" w:cs="Arial"/>
              </w:rPr>
              <w:t>Short-Term</w:t>
            </w:r>
          </w:p>
        </w:tc>
        <w:tc>
          <w:tcPr>
            <w:tcW w:w="0" w:type="auto"/>
            <w:hideMark/>
          </w:tcPr>
          <w:p w14:paraId="0C80265D"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Bank Loan</w:t>
            </w:r>
          </w:p>
        </w:tc>
        <w:tc>
          <w:tcPr>
            <w:tcW w:w="0" w:type="auto"/>
            <w:hideMark/>
          </w:tcPr>
          <w:p w14:paraId="2B4C82F2"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Fast access but refinancing risk if overused</w:t>
            </w:r>
          </w:p>
        </w:tc>
      </w:tr>
      <w:tr w:rsidR="0011195C" w:rsidRPr="00BD3B59" w14:paraId="531DB207"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3D5E8FAD" w14:textId="77777777" w:rsidR="0011195C" w:rsidRPr="00BD3B59" w:rsidRDefault="0011195C" w:rsidP="00D91438">
            <w:pPr>
              <w:spacing w:line="360" w:lineRule="auto"/>
              <w:jc w:val="both"/>
              <w:rPr>
                <w:rFonts w:ascii="Arial" w:hAnsi="Arial" w:cs="Arial"/>
              </w:rPr>
            </w:pPr>
            <w:r w:rsidRPr="00BD3B59">
              <w:rPr>
                <w:rFonts w:ascii="Arial" w:hAnsi="Arial" w:cs="Arial"/>
              </w:rPr>
              <w:t>Long-Term</w:t>
            </w:r>
          </w:p>
        </w:tc>
        <w:tc>
          <w:tcPr>
            <w:tcW w:w="0" w:type="auto"/>
            <w:hideMark/>
          </w:tcPr>
          <w:p w14:paraId="6FBAB9C2"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Bonds</w:t>
            </w:r>
          </w:p>
        </w:tc>
        <w:tc>
          <w:tcPr>
            <w:tcW w:w="0" w:type="auto"/>
            <w:hideMark/>
          </w:tcPr>
          <w:p w14:paraId="6975467A"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Suitable for plant expansion and strategic projects</w:t>
            </w:r>
          </w:p>
        </w:tc>
      </w:tr>
      <w:tr w:rsidR="0011195C" w:rsidRPr="00BD3B59" w14:paraId="0613C1F6"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438C1D" w14:textId="77777777" w:rsidR="0011195C" w:rsidRPr="00BD3B59" w:rsidRDefault="0011195C" w:rsidP="00D91438">
            <w:pPr>
              <w:spacing w:line="360" w:lineRule="auto"/>
              <w:jc w:val="both"/>
              <w:rPr>
                <w:rFonts w:ascii="Arial" w:hAnsi="Arial" w:cs="Arial"/>
              </w:rPr>
            </w:pPr>
            <w:r w:rsidRPr="00BD3B59">
              <w:rPr>
                <w:rFonts w:ascii="Arial" w:hAnsi="Arial" w:cs="Arial"/>
              </w:rPr>
              <w:t>Long-Term</w:t>
            </w:r>
          </w:p>
        </w:tc>
        <w:tc>
          <w:tcPr>
            <w:tcW w:w="0" w:type="auto"/>
            <w:hideMark/>
          </w:tcPr>
          <w:p w14:paraId="7B62F8A4"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Equity</w:t>
            </w:r>
          </w:p>
        </w:tc>
        <w:tc>
          <w:tcPr>
            <w:tcW w:w="0" w:type="auto"/>
            <w:hideMark/>
          </w:tcPr>
          <w:p w14:paraId="1EE9B00E"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No repayment obligation but dilutes ownership</w:t>
            </w:r>
          </w:p>
        </w:tc>
      </w:tr>
      <w:tr w:rsidR="0011195C" w:rsidRPr="00BD3B59" w14:paraId="3E8BC2D4"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3F04A8AC" w14:textId="77777777" w:rsidR="0011195C" w:rsidRPr="00BD3B59" w:rsidRDefault="0011195C" w:rsidP="00D91438">
            <w:pPr>
              <w:spacing w:line="360" w:lineRule="auto"/>
              <w:jc w:val="both"/>
              <w:rPr>
                <w:rFonts w:ascii="Arial" w:hAnsi="Arial" w:cs="Arial"/>
              </w:rPr>
            </w:pPr>
            <w:r w:rsidRPr="00BD3B59">
              <w:rPr>
                <w:rFonts w:ascii="Arial" w:hAnsi="Arial" w:cs="Arial"/>
              </w:rPr>
              <w:t>Long-Term</w:t>
            </w:r>
          </w:p>
        </w:tc>
        <w:tc>
          <w:tcPr>
            <w:tcW w:w="0" w:type="auto"/>
            <w:hideMark/>
          </w:tcPr>
          <w:p w14:paraId="30C7B211"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Retained Earnings</w:t>
            </w:r>
          </w:p>
        </w:tc>
        <w:tc>
          <w:tcPr>
            <w:tcW w:w="0" w:type="auto"/>
            <w:hideMark/>
          </w:tcPr>
          <w:p w14:paraId="7806F902"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Lowest-cost internal source if profits available</w:t>
            </w:r>
          </w:p>
        </w:tc>
      </w:tr>
    </w:tbl>
    <w:p w14:paraId="12BE17A9"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w:t>
      </w:r>
      <w:r w:rsidR="001655E2" w:rsidRPr="00BD3B59">
        <w:rPr>
          <w:rFonts w:ascii="Arial" w:hAnsi="Arial" w:cs="Arial"/>
        </w:rPr>
        <w:t>Lakhtionova et al. (2021</w:t>
      </w:r>
      <w:r w:rsidRPr="00BD3B59">
        <w:rPr>
          <w:rFonts w:ascii="Arial" w:hAnsi="Arial" w:cs="Arial"/>
        </w:rPr>
        <w:t>).</w:t>
      </w:r>
    </w:p>
    <w:p w14:paraId="4F9E545C" w14:textId="77777777" w:rsidR="00BD3B59" w:rsidRPr="00BD3B59" w:rsidRDefault="0011195C" w:rsidP="00D91438">
      <w:pPr>
        <w:spacing w:line="360" w:lineRule="auto"/>
        <w:jc w:val="both"/>
        <w:rPr>
          <w:rFonts w:ascii="Arial" w:hAnsi="Arial" w:cs="Arial"/>
        </w:rPr>
      </w:pPr>
      <w:r w:rsidRPr="00BD3B59">
        <w:rPr>
          <w:rFonts w:ascii="Arial" w:hAnsi="Arial" w:cs="Arial"/>
        </w:rPr>
        <w:t>Short-term finance is appropriate for temporary seasonal pressures or inventory spikes, but Tesla’s strong liquidity means excessive reliance on short-term borrowing would be unnecessary. Long-term finance is more suitable for gigafactory expansion, autonomous driving technology and battery infrastructure because these assets generate returns over many years.</w:t>
      </w:r>
    </w:p>
    <w:p w14:paraId="3FE5D164" w14:textId="160EC4BD" w:rsidR="0011195C" w:rsidRPr="00BD3B59" w:rsidRDefault="0011195C" w:rsidP="00D91438">
      <w:pPr>
        <w:spacing w:line="360" w:lineRule="auto"/>
        <w:jc w:val="both"/>
        <w:rPr>
          <w:rFonts w:ascii="Arial" w:hAnsi="Arial" w:cs="Arial"/>
        </w:rPr>
      </w:pPr>
      <w:r w:rsidRPr="00BD3B59">
        <w:rPr>
          <w:rFonts w:ascii="Arial" w:hAnsi="Arial" w:cs="Arial"/>
          <w:b/>
          <w:bCs/>
        </w:rPr>
        <w:t>Selective Use of Long-Term Bonds</w:t>
      </w:r>
    </w:p>
    <w:p w14:paraId="6E9EB800" w14:textId="77777777" w:rsidR="0011195C" w:rsidRPr="00BD3B59" w:rsidRDefault="0011195C" w:rsidP="00D91438">
      <w:pPr>
        <w:spacing w:line="360" w:lineRule="auto"/>
        <w:jc w:val="both"/>
        <w:rPr>
          <w:rFonts w:ascii="Arial" w:hAnsi="Arial" w:cs="Arial"/>
        </w:rPr>
      </w:pPr>
      <w:r w:rsidRPr="00BD3B59">
        <w:rPr>
          <w:rFonts w:ascii="Arial" w:hAnsi="Arial" w:cs="Arial"/>
        </w:rPr>
        <w:t>For major strategic investments, moderate long-term bond financing is the most suitable external option. Tesla’s low gearing position provides unused borrowing capacity, while long-term debt aligns more effectively with assets that generate returns over many years. Financing factories or technology platforms through short-term borrowing would create maturity mismatch and refinancing risk. By contrast, bonds allow Tesla to spread repayment over the useful life of the investment and preserve short-term liquidity (</w:t>
      </w:r>
      <w:r w:rsidR="001655E2" w:rsidRPr="00BD3B59">
        <w:rPr>
          <w:rFonts w:ascii="Arial" w:hAnsi="Arial" w:cs="Arial"/>
        </w:rPr>
        <w:t>Coelho et al., 2024</w:t>
      </w:r>
      <w:r w:rsidRPr="00BD3B59">
        <w:rPr>
          <w:rFonts w:ascii="Arial" w:hAnsi="Arial" w:cs="Arial"/>
        </w:rPr>
        <w:t>).</w:t>
      </w:r>
    </w:p>
    <w:p w14:paraId="5A05CD90"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Nevertheless, debt should be applied selectively rather than aggressively. Tesla’s interest cover ratio declined from </w:t>
      </w:r>
      <w:r w:rsidRPr="00BD3B59">
        <w:rPr>
          <w:rFonts w:ascii="Arial" w:hAnsi="Arial" w:cs="Arial"/>
          <w:bCs/>
        </w:rPr>
        <w:t>57.0 times in 2023</w:t>
      </w:r>
      <w:r w:rsidRPr="00BD3B59">
        <w:rPr>
          <w:rFonts w:ascii="Arial" w:hAnsi="Arial" w:cs="Arial"/>
        </w:rPr>
        <w:t xml:space="preserve"> to </w:t>
      </w:r>
      <w:r w:rsidRPr="00BD3B59">
        <w:rPr>
          <w:rFonts w:ascii="Arial" w:hAnsi="Arial" w:cs="Arial"/>
          <w:bCs/>
        </w:rPr>
        <w:t>20.2 times in 2024</w:t>
      </w:r>
      <w:r w:rsidRPr="00BD3B59">
        <w:rPr>
          <w:rFonts w:ascii="Arial" w:hAnsi="Arial" w:cs="Arial"/>
        </w:rPr>
        <w:t>, showing that although debt servicing remains comfortable, earnings protection has weakened (Tesla, 2025). Excess leverage during a period of softer profitability could reduce financial flexibility if demand weakens further.</w:t>
      </w:r>
    </w:p>
    <w:p w14:paraId="04CDE7AD" w14:textId="77777777" w:rsidR="0011195C" w:rsidRPr="00BD3B59" w:rsidRDefault="0011195C" w:rsidP="00D91438">
      <w:pPr>
        <w:spacing w:line="360" w:lineRule="auto"/>
        <w:jc w:val="both"/>
        <w:rPr>
          <w:rFonts w:ascii="Arial" w:hAnsi="Arial" w:cs="Arial"/>
          <w:b/>
          <w:bCs/>
        </w:rPr>
      </w:pPr>
      <w:r w:rsidRPr="00BD3B59">
        <w:rPr>
          <w:rFonts w:ascii="Arial" w:hAnsi="Arial" w:cs="Arial"/>
          <w:b/>
          <w:bCs/>
        </w:rPr>
        <w:t>Final Recommendation</w:t>
      </w:r>
    </w:p>
    <w:p w14:paraId="6A3D7C30" w14:textId="77777777" w:rsidR="00CF43BB" w:rsidRPr="00BD3B59" w:rsidRDefault="0011195C" w:rsidP="00D91438">
      <w:pPr>
        <w:spacing w:line="360" w:lineRule="auto"/>
        <w:jc w:val="both"/>
        <w:rPr>
          <w:rFonts w:ascii="Arial" w:hAnsi="Arial" w:cs="Arial"/>
        </w:rPr>
      </w:pPr>
      <w:r w:rsidRPr="00BD3B59">
        <w:rPr>
          <w:rFonts w:ascii="Arial" w:hAnsi="Arial" w:cs="Arial"/>
        </w:rPr>
        <w:t>Overall, Tesla should adopt a disciplined financing model in which retained earnings fund routine investment needs, long-term bonds support large strategic expansion, and equity issuance is used only in exceptional circumstances. This structure balances growth ambitions with financial resilience and is most consistent with Tesla’s current low-gearing position and</w:t>
      </w:r>
      <w:r w:rsidR="00F00FD9" w:rsidRPr="00BD3B59">
        <w:rPr>
          <w:rFonts w:ascii="Arial" w:hAnsi="Arial" w:cs="Arial"/>
        </w:rPr>
        <w:t xml:space="preserve"> need to restore profitability.</w:t>
      </w:r>
    </w:p>
    <w:p w14:paraId="53D21AF2" w14:textId="77777777" w:rsidR="00CF43BB" w:rsidRPr="00BD3B59" w:rsidRDefault="00CF43BB" w:rsidP="00F00FD9">
      <w:pPr>
        <w:pStyle w:val="Heading1"/>
      </w:pPr>
      <w:bookmarkStart w:id="33" w:name="_Toc227799631"/>
      <w:r w:rsidRPr="00BD3B59">
        <w:t>4.0 Strategic Financial Restructuring Plan</w:t>
      </w:r>
      <w:bookmarkEnd w:id="33"/>
    </w:p>
    <w:p w14:paraId="3E60AA21"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Tesla remains one of the world’s most recognised electric vehicle manufacturers, yet its recent financial results suggest that rapid scale expansion has not translated into stable earnings quality. In 2024, Tesla reported revenue of </w:t>
      </w:r>
      <w:r w:rsidRPr="00BD3B59">
        <w:rPr>
          <w:rFonts w:ascii="Arial" w:hAnsi="Arial" w:cs="Arial"/>
          <w:bCs/>
        </w:rPr>
        <w:t>US$97.7 billion</w:t>
      </w:r>
      <w:r w:rsidRPr="00BD3B59">
        <w:rPr>
          <w:rFonts w:ascii="Arial" w:hAnsi="Arial" w:cs="Arial"/>
        </w:rPr>
        <w:t xml:space="preserve">, broadly unchanged from </w:t>
      </w:r>
      <w:r w:rsidRPr="00BD3B59">
        <w:rPr>
          <w:rFonts w:ascii="Arial" w:hAnsi="Arial" w:cs="Arial"/>
          <w:bCs/>
        </w:rPr>
        <w:t>US$96.8 billion in 2023</w:t>
      </w:r>
      <w:r w:rsidRPr="00BD3B59">
        <w:rPr>
          <w:rFonts w:ascii="Arial" w:hAnsi="Arial" w:cs="Arial"/>
        </w:rPr>
        <w:t xml:space="preserve">, but net income declined sharply from </w:t>
      </w:r>
      <w:r w:rsidRPr="00BD3B59">
        <w:rPr>
          <w:rFonts w:ascii="Arial" w:hAnsi="Arial" w:cs="Arial"/>
          <w:bCs/>
        </w:rPr>
        <w:t>US$15.0 billion</w:t>
      </w:r>
      <w:r w:rsidRPr="00BD3B59">
        <w:rPr>
          <w:rFonts w:ascii="Arial" w:hAnsi="Arial" w:cs="Arial"/>
        </w:rPr>
        <w:t xml:space="preserve"> to </w:t>
      </w:r>
      <w:r w:rsidRPr="00BD3B59">
        <w:rPr>
          <w:rFonts w:ascii="Arial" w:hAnsi="Arial" w:cs="Arial"/>
          <w:bCs/>
        </w:rPr>
        <w:t>US$7.1 billion</w:t>
      </w:r>
      <w:r w:rsidRPr="00BD3B59">
        <w:rPr>
          <w:rFonts w:ascii="Arial" w:hAnsi="Arial" w:cs="Arial"/>
        </w:rPr>
        <w:t xml:space="preserve"> over the same period (Tesla, 2025). Gross profit margin also reduced from </w:t>
      </w:r>
      <w:r w:rsidRPr="00BD3B59">
        <w:rPr>
          <w:rFonts w:ascii="Arial" w:hAnsi="Arial" w:cs="Arial"/>
          <w:bCs/>
        </w:rPr>
        <w:t>18.3% in 2023</w:t>
      </w:r>
      <w:r w:rsidRPr="00BD3B59">
        <w:rPr>
          <w:rFonts w:ascii="Arial" w:hAnsi="Arial" w:cs="Arial"/>
        </w:rPr>
        <w:t xml:space="preserve"> to </w:t>
      </w:r>
      <w:r w:rsidRPr="00BD3B59">
        <w:rPr>
          <w:rFonts w:ascii="Arial" w:hAnsi="Arial" w:cs="Arial"/>
          <w:bCs/>
        </w:rPr>
        <w:t>17.9% in 2024</w:t>
      </w:r>
      <w:r w:rsidRPr="00BD3B59">
        <w:rPr>
          <w:rFonts w:ascii="Arial" w:hAnsi="Arial" w:cs="Arial"/>
        </w:rPr>
        <w:t xml:space="preserve">, while Return on Equity fell to </w:t>
      </w:r>
      <w:r w:rsidRPr="00BD3B59">
        <w:rPr>
          <w:rFonts w:ascii="Arial" w:hAnsi="Arial" w:cs="Arial"/>
          <w:bCs/>
        </w:rPr>
        <w:t>10.5%</w:t>
      </w:r>
      <w:r w:rsidRPr="00BD3B59">
        <w:rPr>
          <w:rFonts w:ascii="Arial" w:hAnsi="Arial" w:cs="Arial"/>
        </w:rPr>
        <w:t xml:space="preserve">, significantly below the </w:t>
      </w:r>
      <w:r w:rsidRPr="00BD3B59">
        <w:rPr>
          <w:rFonts w:ascii="Arial" w:hAnsi="Arial" w:cs="Arial"/>
          <w:bCs/>
        </w:rPr>
        <w:t>33.6% achieved in 2022</w:t>
      </w:r>
      <w:r w:rsidRPr="00BD3B59">
        <w:rPr>
          <w:rFonts w:ascii="Arial" w:hAnsi="Arial" w:cs="Arial"/>
        </w:rPr>
        <w:t>. These figures indicate that Tesla’s recent strategy relied increasingly on price reductions and market share defence rather than value-accretive growth. As Chief Financial Officer, the most appropriate response is a strategic restructuring programme focused on restoring profitability, improving capital productivity and preserving long-term shareholder value.</w:t>
      </w:r>
    </w:p>
    <w:p w14:paraId="1D6B8344" w14:textId="77777777" w:rsidR="00CF43BB" w:rsidRPr="00BD3B59" w:rsidRDefault="00CF43BB" w:rsidP="00F00FD9">
      <w:pPr>
        <w:pStyle w:val="Heading2"/>
      </w:pPr>
      <w:bookmarkStart w:id="34" w:name="_Toc227799632"/>
      <w:r w:rsidRPr="00BD3B59">
        <w:t>4.1 Strategic Rationale for Restructuring</w:t>
      </w:r>
      <w:bookmarkEnd w:id="34"/>
    </w:p>
    <w:p w14:paraId="409781EC" w14:textId="77777777" w:rsidR="00CF43BB" w:rsidRPr="00BD3B59" w:rsidRDefault="00CF43BB" w:rsidP="00D91438">
      <w:pPr>
        <w:spacing w:line="360" w:lineRule="auto"/>
        <w:jc w:val="both"/>
        <w:rPr>
          <w:rFonts w:ascii="Arial" w:hAnsi="Arial" w:cs="Arial"/>
        </w:rPr>
      </w:pPr>
      <w:r w:rsidRPr="00BD3B59">
        <w:rPr>
          <w:rFonts w:ascii="Arial" w:hAnsi="Arial" w:cs="Arial"/>
        </w:rPr>
        <w:t>Tesla does not currently face a solvency crisis. The company retains strong liquidity, low leverage and positive operating cash flow. However, restructuring is still justified because declining margins, lower returns on capital employed and weaker earnings conversion indicate deterioration in economic performance. Strategic restructuring should therefore be viewed as a proactive value-restoration exercise rather than a distressed turnaround.</w:t>
      </w:r>
    </w:p>
    <w:p w14:paraId="0F6019BF" w14:textId="77777777" w:rsidR="00F00FD9" w:rsidRPr="00BD3B59" w:rsidRDefault="00F00FD9" w:rsidP="00F00FD9">
      <w:pPr>
        <w:pStyle w:val="Caption"/>
        <w:keepNext/>
        <w:rPr>
          <w:rFonts w:ascii="Arial" w:hAnsi="Arial" w:cs="Arial"/>
          <w:b/>
          <w:i w:val="0"/>
          <w:sz w:val="24"/>
          <w:szCs w:val="24"/>
        </w:rPr>
      </w:pPr>
      <w:bookmarkStart w:id="35" w:name="_Toc227799760"/>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13</w:t>
      </w:r>
      <w:r w:rsidR="00F52EE6" w:rsidRPr="00BD3B59">
        <w:rPr>
          <w:rFonts w:ascii="Arial" w:hAnsi="Arial" w:cs="Arial"/>
          <w:b/>
          <w:i w:val="0"/>
          <w:sz w:val="24"/>
          <w:szCs w:val="24"/>
        </w:rPr>
        <w:fldChar w:fldCharType="end"/>
      </w:r>
      <w:r w:rsidRPr="00BD3B59">
        <w:rPr>
          <w:rFonts w:ascii="Arial" w:hAnsi="Arial" w:cs="Arial"/>
          <w:b/>
          <w:i w:val="0"/>
          <w:sz w:val="24"/>
          <w:szCs w:val="24"/>
        </w:rPr>
        <w:t>: Tesla Key Financial Warning Indicators</w:t>
      </w:r>
      <w:bookmarkEnd w:id="35"/>
    </w:p>
    <w:tbl>
      <w:tblPr>
        <w:tblStyle w:val="PlainTable5"/>
        <w:tblW w:w="9296" w:type="dxa"/>
        <w:tblLook w:val="04A0" w:firstRow="1" w:lastRow="0" w:firstColumn="1" w:lastColumn="0" w:noHBand="0" w:noVBand="1"/>
      </w:tblPr>
      <w:tblGrid>
        <w:gridCol w:w="2899"/>
        <w:gridCol w:w="1005"/>
        <w:gridCol w:w="1005"/>
        <w:gridCol w:w="1005"/>
        <w:gridCol w:w="3382"/>
      </w:tblGrid>
      <w:tr w:rsidR="00CF43BB" w:rsidRPr="00BD3B59" w14:paraId="4481A568" w14:textId="77777777" w:rsidTr="00A25FDD">
        <w:trPr>
          <w:cnfStyle w:val="100000000000" w:firstRow="1" w:lastRow="0" w:firstColumn="0" w:lastColumn="0" w:oddVBand="0" w:evenVBand="0" w:oddHBand="0" w:evenHBand="0" w:firstRowFirstColumn="0" w:firstRowLastColumn="0" w:lastRowFirstColumn="0" w:lastRowLastColumn="0"/>
          <w:trHeight w:val="409"/>
        </w:trPr>
        <w:tc>
          <w:tcPr>
            <w:cnfStyle w:val="001000000100" w:firstRow="0" w:lastRow="0" w:firstColumn="1" w:lastColumn="0" w:oddVBand="0" w:evenVBand="0" w:oddHBand="0" w:evenHBand="0" w:firstRowFirstColumn="1" w:firstRowLastColumn="0" w:lastRowFirstColumn="0" w:lastRowLastColumn="0"/>
            <w:tcW w:w="0" w:type="auto"/>
            <w:hideMark/>
          </w:tcPr>
          <w:p w14:paraId="74C87426" w14:textId="77777777" w:rsidR="00CF43BB" w:rsidRPr="00BD3B59" w:rsidRDefault="00CF43BB" w:rsidP="00D91438">
            <w:pPr>
              <w:spacing w:line="360" w:lineRule="auto"/>
              <w:jc w:val="both"/>
              <w:rPr>
                <w:rFonts w:ascii="Arial" w:hAnsi="Arial" w:cs="Arial"/>
                <w:bCs/>
              </w:rPr>
            </w:pPr>
            <w:r w:rsidRPr="00BD3B59">
              <w:rPr>
                <w:rFonts w:ascii="Arial" w:hAnsi="Arial" w:cs="Arial"/>
                <w:bCs/>
              </w:rPr>
              <w:t>Indicator</w:t>
            </w:r>
          </w:p>
        </w:tc>
        <w:tc>
          <w:tcPr>
            <w:tcW w:w="0" w:type="auto"/>
            <w:hideMark/>
          </w:tcPr>
          <w:p w14:paraId="491CC5BF"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2022</w:t>
            </w:r>
          </w:p>
        </w:tc>
        <w:tc>
          <w:tcPr>
            <w:tcW w:w="0" w:type="auto"/>
            <w:hideMark/>
          </w:tcPr>
          <w:p w14:paraId="6FDB189C"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2023</w:t>
            </w:r>
          </w:p>
        </w:tc>
        <w:tc>
          <w:tcPr>
            <w:tcW w:w="0" w:type="auto"/>
            <w:hideMark/>
          </w:tcPr>
          <w:p w14:paraId="434C0BE9"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2024</w:t>
            </w:r>
          </w:p>
        </w:tc>
        <w:tc>
          <w:tcPr>
            <w:tcW w:w="0" w:type="auto"/>
            <w:hideMark/>
          </w:tcPr>
          <w:p w14:paraId="5771D192"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Strategic Concern</w:t>
            </w:r>
          </w:p>
        </w:tc>
      </w:tr>
      <w:tr w:rsidR="00CF43BB" w:rsidRPr="00BD3B59" w14:paraId="5B2137DC" w14:textId="77777777" w:rsidTr="00A25FDD">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3CB358AE" w14:textId="77777777" w:rsidR="00CF43BB" w:rsidRPr="00BD3B59" w:rsidRDefault="00CF43BB" w:rsidP="00D91438">
            <w:pPr>
              <w:spacing w:line="360" w:lineRule="auto"/>
              <w:jc w:val="both"/>
              <w:rPr>
                <w:rFonts w:ascii="Arial" w:hAnsi="Arial" w:cs="Arial"/>
              </w:rPr>
            </w:pPr>
            <w:r w:rsidRPr="00BD3B59">
              <w:rPr>
                <w:rFonts w:ascii="Arial" w:hAnsi="Arial" w:cs="Arial"/>
              </w:rPr>
              <w:t>Gross Profit Margin</w:t>
            </w:r>
          </w:p>
        </w:tc>
        <w:tc>
          <w:tcPr>
            <w:tcW w:w="0" w:type="auto"/>
            <w:hideMark/>
          </w:tcPr>
          <w:p w14:paraId="475DD324"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25.6%</w:t>
            </w:r>
          </w:p>
        </w:tc>
        <w:tc>
          <w:tcPr>
            <w:tcW w:w="0" w:type="auto"/>
            <w:hideMark/>
          </w:tcPr>
          <w:p w14:paraId="7579F44D"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18.3%</w:t>
            </w:r>
          </w:p>
        </w:tc>
        <w:tc>
          <w:tcPr>
            <w:tcW w:w="0" w:type="auto"/>
            <w:hideMark/>
          </w:tcPr>
          <w:p w14:paraId="629E2136"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17.9%</w:t>
            </w:r>
          </w:p>
        </w:tc>
        <w:tc>
          <w:tcPr>
            <w:tcW w:w="0" w:type="auto"/>
            <w:hideMark/>
          </w:tcPr>
          <w:p w14:paraId="676CFC8A"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Margin compression</w:t>
            </w:r>
          </w:p>
        </w:tc>
      </w:tr>
      <w:tr w:rsidR="00CF43BB" w:rsidRPr="00BD3B59" w14:paraId="0A78D58D" w14:textId="77777777" w:rsidTr="00A25FDD">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2468EB2F" w14:textId="77777777" w:rsidR="00CF43BB" w:rsidRPr="00BD3B59" w:rsidRDefault="00CF43BB" w:rsidP="00D91438">
            <w:pPr>
              <w:spacing w:line="360" w:lineRule="auto"/>
              <w:jc w:val="both"/>
              <w:rPr>
                <w:rFonts w:ascii="Arial" w:hAnsi="Arial" w:cs="Arial"/>
              </w:rPr>
            </w:pPr>
            <w:r w:rsidRPr="00BD3B59">
              <w:rPr>
                <w:rFonts w:ascii="Arial" w:hAnsi="Arial" w:cs="Arial"/>
              </w:rPr>
              <w:t>Net Income (US$bn)</w:t>
            </w:r>
          </w:p>
        </w:tc>
        <w:tc>
          <w:tcPr>
            <w:tcW w:w="0" w:type="auto"/>
            <w:hideMark/>
          </w:tcPr>
          <w:p w14:paraId="68133201"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12.6</w:t>
            </w:r>
          </w:p>
        </w:tc>
        <w:tc>
          <w:tcPr>
            <w:tcW w:w="0" w:type="auto"/>
            <w:hideMark/>
          </w:tcPr>
          <w:p w14:paraId="43723897"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15.0</w:t>
            </w:r>
          </w:p>
        </w:tc>
        <w:tc>
          <w:tcPr>
            <w:tcW w:w="0" w:type="auto"/>
            <w:hideMark/>
          </w:tcPr>
          <w:p w14:paraId="0FF1C5B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7.1</w:t>
            </w:r>
          </w:p>
        </w:tc>
        <w:tc>
          <w:tcPr>
            <w:tcW w:w="0" w:type="auto"/>
            <w:hideMark/>
          </w:tcPr>
          <w:p w14:paraId="493B7EB6"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Earnings decline</w:t>
            </w:r>
          </w:p>
        </w:tc>
      </w:tr>
      <w:tr w:rsidR="00CF43BB" w:rsidRPr="00BD3B59" w14:paraId="56012B58" w14:textId="77777777" w:rsidTr="00A25FDD">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58A535FF" w14:textId="77777777" w:rsidR="00CF43BB" w:rsidRPr="00BD3B59" w:rsidRDefault="00CF43BB" w:rsidP="00D91438">
            <w:pPr>
              <w:spacing w:line="360" w:lineRule="auto"/>
              <w:jc w:val="both"/>
              <w:rPr>
                <w:rFonts w:ascii="Arial" w:hAnsi="Arial" w:cs="Arial"/>
              </w:rPr>
            </w:pPr>
            <w:r w:rsidRPr="00BD3B59">
              <w:rPr>
                <w:rFonts w:ascii="Arial" w:hAnsi="Arial" w:cs="Arial"/>
              </w:rPr>
              <w:t>ROE</w:t>
            </w:r>
          </w:p>
        </w:tc>
        <w:tc>
          <w:tcPr>
            <w:tcW w:w="0" w:type="auto"/>
            <w:hideMark/>
          </w:tcPr>
          <w:p w14:paraId="5515652E"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33.6%</w:t>
            </w:r>
          </w:p>
        </w:tc>
        <w:tc>
          <w:tcPr>
            <w:tcW w:w="0" w:type="auto"/>
            <w:hideMark/>
          </w:tcPr>
          <w:p w14:paraId="30D784FB"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28.0%</w:t>
            </w:r>
          </w:p>
        </w:tc>
        <w:tc>
          <w:tcPr>
            <w:tcW w:w="0" w:type="auto"/>
            <w:hideMark/>
          </w:tcPr>
          <w:p w14:paraId="571560E8"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10.5%</w:t>
            </w:r>
          </w:p>
        </w:tc>
        <w:tc>
          <w:tcPr>
            <w:tcW w:w="0" w:type="auto"/>
            <w:hideMark/>
          </w:tcPr>
          <w:p w14:paraId="6A33884F"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shareholder returns</w:t>
            </w:r>
          </w:p>
        </w:tc>
      </w:tr>
      <w:tr w:rsidR="00CF43BB" w:rsidRPr="00BD3B59" w14:paraId="5AE8F47D" w14:textId="77777777" w:rsidTr="00A25FDD">
        <w:trPr>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05E8B759" w14:textId="77777777" w:rsidR="00CF43BB" w:rsidRPr="00BD3B59" w:rsidRDefault="00CF43BB" w:rsidP="00D91438">
            <w:pPr>
              <w:spacing w:line="360" w:lineRule="auto"/>
              <w:jc w:val="both"/>
              <w:rPr>
                <w:rFonts w:ascii="Arial" w:hAnsi="Arial" w:cs="Arial"/>
              </w:rPr>
            </w:pPr>
            <w:r w:rsidRPr="00BD3B59">
              <w:rPr>
                <w:rFonts w:ascii="Arial" w:hAnsi="Arial" w:cs="Arial"/>
              </w:rPr>
              <w:t>ROCE</w:t>
            </w:r>
          </w:p>
        </w:tc>
        <w:tc>
          <w:tcPr>
            <w:tcW w:w="0" w:type="auto"/>
            <w:hideMark/>
          </w:tcPr>
          <w:p w14:paraId="4BCE85C8"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24.2%</w:t>
            </w:r>
          </w:p>
        </w:tc>
        <w:tc>
          <w:tcPr>
            <w:tcW w:w="0" w:type="auto"/>
            <w:hideMark/>
          </w:tcPr>
          <w:p w14:paraId="4CEF2930"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13.7%</w:t>
            </w:r>
          </w:p>
        </w:tc>
        <w:tc>
          <w:tcPr>
            <w:tcW w:w="0" w:type="auto"/>
            <w:hideMark/>
          </w:tcPr>
          <w:p w14:paraId="0E0C06F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8.9%</w:t>
            </w:r>
          </w:p>
        </w:tc>
        <w:tc>
          <w:tcPr>
            <w:tcW w:w="0" w:type="auto"/>
            <w:hideMark/>
          </w:tcPr>
          <w:p w14:paraId="7E749E47"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Weak capital productivity</w:t>
            </w:r>
          </w:p>
        </w:tc>
      </w:tr>
      <w:tr w:rsidR="00CF43BB" w:rsidRPr="00BD3B59" w14:paraId="4DEBC5D1" w14:textId="77777777" w:rsidTr="00A25FDD">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35F8526D" w14:textId="77777777" w:rsidR="00CF43BB" w:rsidRPr="00BD3B59" w:rsidRDefault="00CF43BB" w:rsidP="00D91438">
            <w:pPr>
              <w:spacing w:line="360" w:lineRule="auto"/>
              <w:jc w:val="both"/>
              <w:rPr>
                <w:rFonts w:ascii="Arial" w:hAnsi="Arial" w:cs="Arial"/>
              </w:rPr>
            </w:pPr>
            <w:r w:rsidRPr="00BD3B59">
              <w:rPr>
                <w:rFonts w:ascii="Arial" w:hAnsi="Arial" w:cs="Arial"/>
              </w:rPr>
              <w:t>Debt-to-Equity</w:t>
            </w:r>
          </w:p>
        </w:tc>
        <w:tc>
          <w:tcPr>
            <w:tcW w:w="0" w:type="auto"/>
            <w:hideMark/>
          </w:tcPr>
          <w:p w14:paraId="127EF279"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0.07x</w:t>
            </w:r>
          </w:p>
        </w:tc>
        <w:tc>
          <w:tcPr>
            <w:tcW w:w="0" w:type="auto"/>
            <w:hideMark/>
          </w:tcPr>
          <w:p w14:paraId="2B28BB63"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0.08x</w:t>
            </w:r>
          </w:p>
        </w:tc>
        <w:tc>
          <w:tcPr>
            <w:tcW w:w="0" w:type="auto"/>
            <w:hideMark/>
          </w:tcPr>
          <w:p w14:paraId="54A99DFB"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0.11x</w:t>
            </w:r>
          </w:p>
        </w:tc>
        <w:tc>
          <w:tcPr>
            <w:tcW w:w="0" w:type="auto"/>
            <w:hideMark/>
          </w:tcPr>
          <w:p w14:paraId="0A1E77EF"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Still low leverage</w:t>
            </w:r>
          </w:p>
        </w:tc>
      </w:tr>
    </w:tbl>
    <w:p w14:paraId="6910D364"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Tesla (2023–2025).</w:t>
      </w:r>
    </w:p>
    <w:p w14:paraId="458A95D2"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The table demonstrates that Tesla’s balance sheet remains strong, but profitability and return indicators have weakened materially. This means the priority is not rescue finance, but </w:t>
      </w:r>
      <w:r w:rsidR="00F00FD9" w:rsidRPr="00BD3B59">
        <w:rPr>
          <w:rFonts w:ascii="Arial" w:hAnsi="Arial" w:cs="Arial"/>
        </w:rPr>
        <w:t>restoring financial efficiency.</w:t>
      </w:r>
    </w:p>
    <w:p w14:paraId="70A261BE" w14:textId="77777777" w:rsidR="00CF43BB" w:rsidRPr="00BD3B59" w:rsidRDefault="00CF43BB" w:rsidP="00F00FD9">
      <w:pPr>
        <w:pStyle w:val="Heading2"/>
      </w:pPr>
      <w:bookmarkStart w:id="36" w:name="_Toc227799633"/>
      <w:r w:rsidRPr="00BD3B59">
        <w:t>4.2 Portfolio Rationalisation and Selective Divestiture</w:t>
      </w:r>
      <w:bookmarkEnd w:id="36"/>
    </w:p>
    <w:p w14:paraId="208CA8AA" w14:textId="77777777" w:rsidR="00CF43BB" w:rsidRPr="00BD3B59" w:rsidRDefault="00CF43BB" w:rsidP="00D91438">
      <w:pPr>
        <w:spacing w:line="360" w:lineRule="auto"/>
        <w:jc w:val="both"/>
        <w:rPr>
          <w:rFonts w:ascii="Arial" w:hAnsi="Arial" w:cs="Arial"/>
        </w:rPr>
      </w:pPr>
      <w:r w:rsidRPr="00BD3B59">
        <w:rPr>
          <w:rFonts w:ascii="Arial" w:hAnsi="Arial" w:cs="Arial"/>
        </w:rPr>
        <w:t>Tesla operates across automotive manufacturing, energy storage, charging infrastructure, service centres, software development and retail operations. Although diversification can create ecosystem advantages, some units may generate lower returns than core automotive and battery operations. Maintaining underperforming assets can absorb management attention and dilute returns.</w:t>
      </w:r>
    </w:p>
    <w:p w14:paraId="4F2F584D" w14:textId="77777777" w:rsidR="00CF43BB" w:rsidRPr="00BD3B59" w:rsidRDefault="00CF43BB" w:rsidP="00D91438">
      <w:pPr>
        <w:spacing w:line="360" w:lineRule="auto"/>
        <w:jc w:val="both"/>
        <w:rPr>
          <w:rFonts w:ascii="Arial" w:hAnsi="Arial" w:cs="Arial"/>
        </w:rPr>
      </w:pPr>
      <w:r w:rsidRPr="00BD3B59">
        <w:rPr>
          <w:rFonts w:ascii="Arial" w:hAnsi="Arial" w:cs="Arial"/>
        </w:rPr>
        <w:t>Selective divestiture should therefore focus on low-margin or strategically non-essential assets such as inefficient retail locations, duplicated regional facilities or non-core service operations. The objective would be to release capital for higher-return segments including battery storage, autonomous driving software and next-generation manufacturing automation</w:t>
      </w:r>
      <w:r w:rsidR="001655E2" w:rsidRPr="00BD3B59">
        <w:rPr>
          <w:rFonts w:ascii="Arial" w:hAnsi="Arial" w:cs="Arial"/>
        </w:rPr>
        <w:t xml:space="preserve"> (Marobhe, 2014)</w:t>
      </w:r>
      <w:r w:rsidRPr="00BD3B59">
        <w:rPr>
          <w:rFonts w:ascii="Arial" w:hAnsi="Arial" w:cs="Arial"/>
        </w:rPr>
        <w:t>.</w:t>
      </w:r>
    </w:p>
    <w:p w14:paraId="665B53F1" w14:textId="77777777" w:rsidR="00F00FD9" w:rsidRPr="00BD3B59" w:rsidRDefault="00F00FD9" w:rsidP="00F00FD9">
      <w:pPr>
        <w:pStyle w:val="Caption"/>
        <w:keepNext/>
        <w:rPr>
          <w:rFonts w:ascii="Arial" w:hAnsi="Arial" w:cs="Arial"/>
          <w:b/>
          <w:i w:val="0"/>
          <w:sz w:val="24"/>
          <w:szCs w:val="24"/>
        </w:rPr>
      </w:pPr>
      <w:bookmarkStart w:id="37" w:name="_Toc227799761"/>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14</w:t>
      </w:r>
      <w:r w:rsidR="00F52EE6" w:rsidRPr="00BD3B59">
        <w:rPr>
          <w:rFonts w:ascii="Arial" w:hAnsi="Arial" w:cs="Arial"/>
          <w:b/>
          <w:i w:val="0"/>
          <w:sz w:val="24"/>
          <w:szCs w:val="24"/>
        </w:rPr>
        <w:fldChar w:fldCharType="end"/>
      </w:r>
      <w:r w:rsidRPr="00BD3B59">
        <w:rPr>
          <w:rFonts w:ascii="Arial" w:hAnsi="Arial" w:cs="Arial"/>
          <w:b/>
          <w:i w:val="0"/>
          <w:sz w:val="24"/>
          <w:szCs w:val="24"/>
        </w:rPr>
        <w:t>: Divestiture Evaluation Framework</w:t>
      </w:r>
      <w:bookmarkEnd w:id="37"/>
    </w:p>
    <w:tbl>
      <w:tblPr>
        <w:tblStyle w:val="PlainTable5"/>
        <w:tblW w:w="0" w:type="auto"/>
        <w:tblLook w:val="04A0" w:firstRow="1" w:lastRow="0" w:firstColumn="1" w:lastColumn="0" w:noHBand="0" w:noVBand="1"/>
      </w:tblPr>
      <w:tblGrid>
        <w:gridCol w:w="2792"/>
        <w:gridCol w:w="2242"/>
        <w:gridCol w:w="1981"/>
        <w:gridCol w:w="2345"/>
      </w:tblGrid>
      <w:tr w:rsidR="00CF43BB" w:rsidRPr="00BD3B59" w14:paraId="3CCE2343" w14:textId="77777777" w:rsidTr="00A25F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8B039D0" w14:textId="77777777" w:rsidR="00CF43BB" w:rsidRPr="00BD3B59" w:rsidRDefault="00CF43BB" w:rsidP="00A25FDD">
            <w:pPr>
              <w:spacing w:line="360" w:lineRule="auto"/>
              <w:jc w:val="left"/>
              <w:rPr>
                <w:rFonts w:ascii="Arial" w:hAnsi="Arial" w:cs="Arial"/>
                <w:bCs/>
              </w:rPr>
            </w:pPr>
            <w:r w:rsidRPr="00BD3B59">
              <w:rPr>
                <w:rFonts w:ascii="Arial" w:hAnsi="Arial" w:cs="Arial"/>
                <w:bCs/>
              </w:rPr>
              <w:t>Potential Asset Type</w:t>
            </w:r>
          </w:p>
        </w:tc>
        <w:tc>
          <w:tcPr>
            <w:tcW w:w="0" w:type="auto"/>
            <w:hideMark/>
          </w:tcPr>
          <w:p w14:paraId="7BA6C4AA" w14:textId="77777777" w:rsidR="00CF43BB" w:rsidRPr="00BD3B59" w:rsidRDefault="00CF43BB" w:rsidP="00A25FD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Restructuring Action</w:t>
            </w:r>
          </w:p>
        </w:tc>
        <w:tc>
          <w:tcPr>
            <w:tcW w:w="0" w:type="auto"/>
            <w:hideMark/>
          </w:tcPr>
          <w:p w14:paraId="47D3A15F" w14:textId="77777777" w:rsidR="00CF43BB" w:rsidRPr="00BD3B59" w:rsidRDefault="00CF43BB" w:rsidP="00A25FD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Financial Benefit</w:t>
            </w:r>
          </w:p>
        </w:tc>
        <w:tc>
          <w:tcPr>
            <w:tcW w:w="0" w:type="auto"/>
            <w:hideMark/>
          </w:tcPr>
          <w:p w14:paraId="1CE29DD8" w14:textId="77777777" w:rsidR="00CF43BB" w:rsidRPr="00BD3B59" w:rsidRDefault="00CF43BB" w:rsidP="00A25FD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Strategic Risk</w:t>
            </w:r>
          </w:p>
        </w:tc>
      </w:tr>
      <w:tr w:rsidR="00CF43BB" w:rsidRPr="00BD3B59" w14:paraId="2AC7A1A9"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2B993B" w14:textId="77777777" w:rsidR="00CF43BB" w:rsidRPr="00BD3B59" w:rsidRDefault="00CF43BB" w:rsidP="00A25FDD">
            <w:pPr>
              <w:spacing w:line="360" w:lineRule="auto"/>
              <w:jc w:val="left"/>
              <w:rPr>
                <w:rFonts w:ascii="Arial" w:hAnsi="Arial" w:cs="Arial"/>
              </w:rPr>
            </w:pPr>
            <w:r w:rsidRPr="00BD3B59">
              <w:rPr>
                <w:rFonts w:ascii="Arial" w:hAnsi="Arial" w:cs="Arial"/>
              </w:rPr>
              <w:t>Low-performing retail sites</w:t>
            </w:r>
          </w:p>
        </w:tc>
        <w:tc>
          <w:tcPr>
            <w:tcW w:w="0" w:type="auto"/>
            <w:hideMark/>
          </w:tcPr>
          <w:p w14:paraId="62A248BE"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Closure / franchising</w:t>
            </w:r>
          </w:p>
        </w:tc>
        <w:tc>
          <w:tcPr>
            <w:tcW w:w="0" w:type="auto"/>
            <w:hideMark/>
          </w:tcPr>
          <w:p w14:paraId="06CD98D6"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overhead cost</w:t>
            </w:r>
          </w:p>
        </w:tc>
        <w:tc>
          <w:tcPr>
            <w:tcW w:w="0" w:type="auto"/>
            <w:hideMark/>
          </w:tcPr>
          <w:p w14:paraId="186D0E3B"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Reduced brand presence</w:t>
            </w:r>
          </w:p>
        </w:tc>
      </w:tr>
      <w:tr w:rsidR="00CF43BB" w:rsidRPr="00BD3B59" w14:paraId="6DB3A5C6"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47919B06" w14:textId="77777777" w:rsidR="00CF43BB" w:rsidRPr="00BD3B59" w:rsidRDefault="00CF43BB" w:rsidP="00A25FDD">
            <w:pPr>
              <w:spacing w:line="360" w:lineRule="auto"/>
              <w:jc w:val="left"/>
              <w:rPr>
                <w:rFonts w:ascii="Arial" w:hAnsi="Arial" w:cs="Arial"/>
              </w:rPr>
            </w:pPr>
            <w:r w:rsidRPr="00BD3B59">
              <w:rPr>
                <w:rFonts w:ascii="Arial" w:hAnsi="Arial" w:cs="Arial"/>
              </w:rPr>
              <w:t>Non-core service operations</w:t>
            </w:r>
          </w:p>
        </w:tc>
        <w:tc>
          <w:tcPr>
            <w:tcW w:w="0" w:type="auto"/>
            <w:hideMark/>
          </w:tcPr>
          <w:p w14:paraId="37F50BB9"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Outsourcing</w:t>
            </w:r>
          </w:p>
        </w:tc>
        <w:tc>
          <w:tcPr>
            <w:tcW w:w="0" w:type="auto"/>
            <w:hideMark/>
          </w:tcPr>
          <w:p w14:paraId="4ECF8A2E"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Better cost efficiency</w:t>
            </w:r>
          </w:p>
        </w:tc>
        <w:tc>
          <w:tcPr>
            <w:tcW w:w="0" w:type="auto"/>
            <w:hideMark/>
          </w:tcPr>
          <w:p w14:paraId="0AF4D59D"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Lower service control</w:t>
            </w:r>
          </w:p>
        </w:tc>
      </w:tr>
      <w:tr w:rsidR="00CF43BB" w:rsidRPr="00BD3B59" w14:paraId="0AE73FAC"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EB908C" w14:textId="77777777" w:rsidR="00CF43BB" w:rsidRPr="00BD3B59" w:rsidRDefault="00CF43BB" w:rsidP="00A25FDD">
            <w:pPr>
              <w:spacing w:line="360" w:lineRule="auto"/>
              <w:jc w:val="left"/>
              <w:rPr>
                <w:rFonts w:ascii="Arial" w:hAnsi="Arial" w:cs="Arial"/>
              </w:rPr>
            </w:pPr>
            <w:r w:rsidRPr="00BD3B59">
              <w:rPr>
                <w:rFonts w:ascii="Arial" w:hAnsi="Arial" w:cs="Arial"/>
              </w:rPr>
              <w:t>Underutilised facilities</w:t>
            </w:r>
          </w:p>
        </w:tc>
        <w:tc>
          <w:tcPr>
            <w:tcW w:w="0" w:type="auto"/>
            <w:hideMark/>
          </w:tcPr>
          <w:p w14:paraId="2B1508D4"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Sale / consolidation</w:t>
            </w:r>
          </w:p>
        </w:tc>
        <w:tc>
          <w:tcPr>
            <w:tcW w:w="0" w:type="auto"/>
            <w:hideMark/>
          </w:tcPr>
          <w:p w14:paraId="610068CF"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Capital release</w:t>
            </w:r>
          </w:p>
        </w:tc>
        <w:tc>
          <w:tcPr>
            <w:tcW w:w="0" w:type="auto"/>
            <w:hideMark/>
          </w:tcPr>
          <w:p w14:paraId="67C1A517"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Capacity constraints later</w:t>
            </w:r>
          </w:p>
        </w:tc>
      </w:tr>
      <w:tr w:rsidR="00CF43BB" w:rsidRPr="00BD3B59" w14:paraId="658DD413"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64825491" w14:textId="77777777" w:rsidR="00CF43BB" w:rsidRPr="00BD3B59" w:rsidRDefault="00CF43BB" w:rsidP="00A25FDD">
            <w:pPr>
              <w:spacing w:line="360" w:lineRule="auto"/>
              <w:jc w:val="left"/>
              <w:rPr>
                <w:rFonts w:ascii="Arial" w:hAnsi="Arial" w:cs="Arial"/>
              </w:rPr>
            </w:pPr>
            <w:r w:rsidRPr="00BD3B59">
              <w:rPr>
                <w:rFonts w:ascii="Arial" w:hAnsi="Arial" w:cs="Arial"/>
              </w:rPr>
              <w:t>Minor non-core investments</w:t>
            </w:r>
          </w:p>
        </w:tc>
        <w:tc>
          <w:tcPr>
            <w:tcW w:w="0" w:type="auto"/>
            <w:hideMark/>
          </w:tcPr>
          <w:p w14:paraId="76F32985"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Disposal</w:t>
            </w:r>
          </w:p>
        </w:tc>
        <w:tc>
          <w:tcPr>
            <w:tcW w:w="0" w:type="auto"/>
            <w:hideMark/>
          </w:tcPr>
          <w:p w14:paraId="698CD444"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Improved focus</w:t>
            </w:r>
          </w:p>
        </w:tc>
        <w:tc>
          <w:tcPr>
            <w:tcW w:w="0" w:type="auto"/>
            <w:hideMark/>
          </w:tcPr>
          <w:p w14:paraId="5AB825C5"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Opportunity cost</w:t>
            </w:r>
          </w:p>
        </w:tc>
      </w:tr>
    </w:tbl>
    <w:p w14:paraId="0D0DD11F"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strategic CFO proposal.</w:t>
      </w:r>
    </w:p>
    <w:p w14:paraId="661C3B2C" w14:textId="77777777" w:rsidR="00CF43BB" w:rsidRPr="00BD3B59" w:rsidRDefault="00CF43BB" w:rsidP="00D91438">
      <w:pPr>
        <w:spacing w:line="360" w:lineRule="auto"/>
        <w:jc w:val="both"/>
        <w:rPr>
          <w:rFonts w:ascii="Arial" w:hAnsi="Arial" w:cs="Arial"/>
        </w:rPr>
      </w:pPr>
      <w:r w:rsidRPr="00BD3B59">
        <w:rPr>
          <w:rFonts w:ascii="Arial" w:hAnsi="Arial" w:cs="Arial"/>
        </w:rPr>
        <w:t>If executed carefully, divestiture would improve asset turnover and ROCE. However, excessive asset sales could reduce Tesla’s integrated ecosystem advantage, so restructuring should remain selective rather than aggressive.</w:t>
      </w:r>
    </w:p>
    <w:p w14:paraId="6416E791" w14:textId="77777777" w:rsidR="00CF43BB" w:rsidRPr="00BD3B59" w:rsidRDefault="00CF43BB" w:rsidP="00F00FD9">
      <w:pPr>
        <w:pStyle w:val="Heading2"/>
      </w:pPr>
      <w:bookmarkStart w:id="38" w:name="_Toc227799634"/>
      <w:r w:rsidRPr="00BD3B59">
        <w:t>4.3 Strategic Alliances Instead of Large-Scale Merger Activity</w:t>
      </w:r>
      <w:bookmarkEnd w:id="38"/>
    </w:p>
    <w:p w14:paraId="5DBE84AF" w14:textId="77777777" w:rsidR="00CF43BB" w:rsidRPr="00BD3B59" w:rsidRDefault="00CF43BB" w:rsidP="00D91438">
      <w:pPr>
        <w:spacing w:line="360" w:lineRule="auto"/>
        <w:jc w:val="both"/>
        <w:rPr>
          <w:rFonts w:ascii="Arial" w:hAnsi="Arial" w:cs="Arial"/>
        </w:rPr>
      </w:pPr>
      <w:r w:rsidRPr="00BD3B59">
        <w:rPr>
          <w:rFonts w:ascii="Arial" w:hAnsi="Arial" w:cs="Arial"/>
        </w:rPr>
        <w:t>Tesla does not require a transformational merger at present because it already possesses scale, brand strength and manufacturing capability. A more financially efficient route is strategic alliances or targeted acquisitions in areas where internal capability is weaker or expensive to build organically.</w:t>
      </w:r>
    </w:p>
    <w:p w14:paraId="70F513B3" w14:textId="77777777" w:rsidR="00CF43BB" w:rsidRPr="00BD3B59" w:rsidRDefault="00CF43BB" w:rsidP="00D91438">
      <w:pPr>
        <w:spacing w:line="360" w:lineRule="auto"/>
        <w:jc w:val="both"/>
        <w:rPr>
          <w:rFonts w:ascii="Arial" w:hAnsi="Arial" w:cs="Arial"/>
        </w:rPr>
      </w:pPr>
      <w:r w:rsidRPr="00BD3B59">
        <w:rPr>
          <w:rFonts w:ascii="Arial" w:hAnsi="Arial" w:cs="Arial"/>
        </w:rPr>
        <w:t>Examples include battery mineral processing partnerships, semiconductor supply agreements, autonomous AI chip collaboration or joint ventures in emerging markets such as India and Southeast Asia. These arrangements can lower capital requirements while accelerating market access</w:t>
      </w:r>
      <w:r w:rsidR="001655E2" w:rsidRPr="00BD3B59">
        <w:rPr>
          <w:rFonts w:ascii="Arial" w:hAnsi="Arial" w:cs="Arial"/>
        </w:rPr>
        <w:t xml:space="preserve"> (Singhania et al., 2014)</w:t>
      </w:r>
      <w:r w:rsidRPr="00BD3B59">
        <w:rPr>
          <w:rFonts w:ascii="Arial" w:hAnsi="Arial" w:cs="Arial"/>
        </w:rPr>
        <w:t>.</w:t>
      </w:r>
    </w:p>
    <w:p w14:paraId="0501A9F9" w14:textId="77777777" w:rsidR="00F00FD9" w:rsidRPr="00BD3B59" w:rsidRDefault="00F00FD9" w:rsidP="00F00FD9">
      <w:pPr>
        <w:pStyle w:val="Caption"/>
        <w:keepNext/>
        <w:rPr>
          <w:rFonts w:ascii="Arial" w:hAnsi="Arial" w:cs="Arial"/>
          <w:b/>
          <w:i w:val="0"/>
          <w:sz w:val="24"/>
          <w:szCs w:val="24"/>
        </w:rPr>
      </w:pPr>
      <w:bookmarkStart w:id="39" w:name="_Toc227799762"/>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15</w:t>
      </w:r>
      <w:r w:rsidR="00F52EE6" w:rsidRPr="00BD3B59">
        <w:rPr>
          <w:rFonts w:ascii="Arial" w:hAnsi="Arial" w:cs="Arial"/>
          <w:b/>
          <w:i w:val="0"/>
          <w:sz w:val="24"/>
          <w:szCs w:val="24"/>
        </w:rPr>
        <w:fldChar w:fldCharType="end"/>
      </w:r>
      <w:r w:rsidRPr="00BD3B59">
        <w:rPr>
          <w:rFonts w:ascii="Arial" w:hAnsi="Arial" w:cs="Arial"/>
          <w:b/>
          <w:i w:val="0"/>
          <w:sz w:val="24"/>
          <w:szCs w:val="24"/>
        </w:rPr>
        <w:t>: Alliance-Based Restructuring Options</w:t>
      </w:r>
      <w:bookmarkEnd w:id="39"/>
    </w:p>
    <w:tbl>
      <w:tblPr>
        <w:tblStyle w:val="PlainTable5"/>
        <w:tblW w:w="9277" w:type="dxa"/>
        <w:tblLook w:val="04A0" w:firstRow="1" w:lastRow="0" w:firstColumn="1" w:lastColumn="0" w:noHBand="0" w:noVBand="1"/>
      </w:tblPr>
      <w:tblGrid>
        <w:gridCol w:w="2735"/>
        <w:gridCol w:w="3463"/>
        <w:gridCol w:w="3079"/>
      </w:tblGrid>
      <w:tr w:rsidR="00CF43BB" w:rsidRPr="00BD3B59" w14:paraId="3DCD2733" w14:textId="77777777" w:rsidTr="00A25FDD">
        <w:trPr>
          <w:cnfStyle w:val="100000000000" w:firstRow="1" w:lastRow="0" w:firstColumn="0" w:lastColumn="0" w:oddVBand="0" w:evenVBand="0" w:oddHBand="0" w:evenHBand="0" w:firstRowFirstColumn="0" w:firstRowLastColumn="0" w:lastRowFirstColumn="0" w:lastRowLastColumn="0"/>
          <w:trHeight w:val="417"/>
        </w:trPr>
        <w:tc>
          <w:tcPr>
            <w:cnfStyle w:val="001000000100" w:firstRow="0" w:lastRow="0" w:firstColumn="1" w:lastColumn="0" w:oddVBand="0" w:evenVBand="0" w:oddHBand="0" w:evenHBand="0" w:firstRowFirstColumn="1" w:firstRowLastColumn="0" w:lastRowFirstColumn="0" w:lastRowLastColumn="0"/>
            <w:tcW w:w="0" w:type="auto"/>
            <w:hideMark/>
          </w:tcPr>
          <w:p w14:paraId="2BE27752" w14:textId="77777777" w:rsidR="00CF43BB" w:rsidRPr="00BD3B59" w:rsidRDefault="00CF43BB" w:rsidP="00D91438">
            <w:pPr>
              <w:spacing w:line="360" w:lineRule="auto"/>
              <w:jc w:val="both"/>
              <w:rPr>
                <w:rFonts w:ascii="Arial" w:hAnsi="Arial" w:cs="Arial"/>
                <w:b/>
                <w:bCs/>
              </w:rPr>
            </w:pPr>
            <w:r w:rsidRPr="00BD3B59">
              <w:rPr>
                <w:rFonts w:ascii="Arial" w:hAnsi="Arial" w:cs="Arial"/>
                <w:b/>
                <w:bCs/>
              </w:rPr>
              <w:t>Area</w:t>
            </w:r>
          </w:p>
        </w:tc>
        <w:tc>
          <w:tcPr>
            <w:tcW w:w="0" w:type="auto"/>
            <w:hideMark/>
          </w:tcPr>
          <w:p w14:paraId="2A0851AB"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Proposed Structure</w:t>
            </w:r>
          </w:p>
        </w:tc>
        <w:tc>
          <w:tcPr>
            <w:tcW w:w="0" w:type="auto"/>
            <w:hideMark/>
          </w:tcPr>
          <w:p w14:paraId="1C31CE89"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Expected Benefit</w:t>
            </w:r>
          </w:p>
        </w:tc>
      </w:tr>
      <w:tr w:rsidR="00CF43BB" w:rsidRPr="00BD3B59" w14:paraId="5C265240" w14:textId="77777777" w:rsidTr="00A25FDD">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0265A9AC" w14:textId="77777777" w:rsidR="00CF43BB" w:rsidRPr="00BD3B59" w:rsidRDefault="00CF43BB" w:rsidP="00D91438">
            <w:pPr>
              <w:spacing w:line="360" w:lineRule="auto"/>
              <w:jc w:val="both"/>
              <w:rPr>
                <w:rFonts w:ascii="Arial" w:hAnsi="Arial" w:cs="Arial"/>
              </w:rPr>
            </w:pPr>
            <w:r w:rsidRPr="00BD3B59">
              <w:rPr>
                <w:rFonts w:ascii="Arial" w:hAnsi="Arial" w:cs="Arial"/>
              </w:rPr>
              <w:t>Battery minerals</w:t>
            </w:r>
          </w:p>
        </w:tc>
        <w:tc>
          <w:tcPr>
            <w:tcW w:w="0" w:type="auto"/>
            <w:hideMark/>
          </w:tcPr>
          <w:p w14:paraId="112ACC4E"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Joint venture sourcing</w:t>
            </w:r>
          </w:p>
        </w:tc>
        <w:tc>
          <w:tcPr>
            <w:tcW w:w="0" w:type="auto"/>
            <w:hideMark/>
          </w:tcPr>
          <w:p w14:paraId="31EC953F"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raw material risk</w:t>
            </w:r>
          </w:p>
        </w:tc>
      </w:tr>
      <w:tr w:rsidR="00CF43BB" w:rsidRPr="00BD3B59" w14:paraId="47AC0E17" w14:textId="77777777" w:rsidTr="00A25FDD">
        <w:trPr>
          <w:trHeight w:val="417"/>
        </w:trPr>
        <w:tc>
          <w:tcPr>
            <w:cnfStyle w:val="001000000000" w:firstRow="0" w:lastRow="0" w:firstColumn="1" w:lastColumn="0" w:oddVBand="0" w:evenVBand="0" w:oddHBand="0" w:evenHBand="0" w:firstRowFirstColumn="0" w:firstRowLastColumn="0" w:lastRowFirstColumn="0" w:lastRowLastColumn="0"/>
            <w:tcW w:w="0" w:type="auto"/>
            <w:hideMark/>
          </w:tcPr>
          <w:p w14:paraId="452E3C37" w14:textId="77777777" w:rsidR="00CF43BB" w:rsidRPr="00BD3B59" w:rsidRDefault="00CF43BB" w:rsidP="00D91438">
            <w:pPr>
              <w:spacing w:line="360" w:lineRule="auto"/>
              <w:jc w:val="both"/>
              <w:rPr>
                <w:rFonts w:ascii="Arial" w:hAnsi="Arial" w:cs="Arial"/>
              </w:rPr>
            </w:pPr>
            <w:r w:rsidRPr="00BD3B59">
              <w:rPr>
                <w:rFonts w:ascii="Arial" w:hAnsi="Arial" w:cs="Arial"/>
              </w:rPr>
              <w:t>Charging networks</w:t>
            </w:r>
          </w:p>
        </w:tc>
        <w:tc>
          <w:tcPr>
            <w:tcW w:w="0" w:type="auto"/>
            <w:hideMark/>
          </w:tcPr>
          <w:p w14:paraId="19C8D117"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Infrastructure partnerships</w:t>
            </w:r>
          </w:p>
        </w:tc>
        <w:tc>
          <w:tcPr>
            <w:tcW w:w="0" w:type="auto"/>
            <w:hideMark/>
          </w:tcPr>
          <w:p w14:paraId="480A214B"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Faster expansion</w:t>
            </w:r>
          </w:p>
        </w:tc>
      </w:tr>
      <w:tr w:rsidR="00CF43BB" w:rsidRPr="00BD3B59" w14:paraId="6B624123" w14:textId="77777777" w:rsidTr="00A25FDD">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0" w:type="auto"/>
            <w:hideMark/>
          </w:tcPr>
          <w:p w14:paraId="2EA56C03" w14:textId="77777777" w:rsidR="00CF43BB" w:rsidRPr="00BD3B59" w:rsidRDefault="00CF43BB" w:rsidP="00D91438">
            <w:pPr>
              <w:spacing w:line="360" w:lineRule="auto"/>
              <w:jc w:val="both"/>
              <w:rPr>
                <w:rFonts w:ascii="Arial" w:hAnsi="Arial" w:cs="Arial"/>
              </w:rPr>
            </w:pPr>
            <w:r w:rsidRPr="00BD3B59">
              <w:rPr>
                <w:rFonts w:ascii="Arial" w:hAnsi="Arial" w:cs="Arial"/>
              </w:rPr>
              <w:t>Emerging markets</w:t>
            </w:r>
          </w:p>
        </w:tc>
        <w:tc>
          <w:tcPr>
            <w:tcW w:w="0" w:type="auto"/>
            <w:hideMark/>
          </w:tcPr>
          <w:p w14:paraId="1B2D78E6"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Local assembly JV</w:t>
            </w:r>
          </w:p>
        </w:tc>
        <w:tc>
          <w:tcPr>
            <w:tcW w:w="0" w:type="auto"/>
            <w:hideMark/>
          </w:tcPr>
          <w:p w14:paraId="3A83BFCF"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entry cost</w:t>
            </w:r>
          </w:p>
        </w:tc>
      </w:tr>
      <w:tr w:rsidR="00CF43BB" w:rsidRPr="00BD3B59" w14:paraId="1760FA5E" w14:textId="77777777" w:rsidTr="00A25FDD">
        <w:trPr>
          <w:trHeight w:val="417"/>
        </w:trPr>
        <w:tc>
          <w:tcPr>
            <w:cnfStyle w:val="001000000000" w:firstRow="0" w:lastRow="0" w:firstColumn="1" w:lastColumn="0" w:oddVBand="0" w:evenVBand="0" w:oddHBand="0" w:evenHBand="0" w:firstRowFirstColumn="0" w:firstRowLastColumn="0" w:lastRowFirstColumn="0" w:lastRowLastColumn="0"/>
            <w:tcW w:w="0" w:type="auto"/>
            <w:hideMark/>
          </w:tcPr>
          <w:p w14:paraId="3369CCDC" w14:textId="77777777" w:rsidR="00CF43BB" w:rsidRPr="00BD3B59" w:rsidRDefault="00CF43BB" w:rsidP="00D91438">
            <w:pPr>
              <w:spacing w:line="360" w:lineRule="auto"/>
              <w:jc w:val="both"/>
              <w:rPr>
                <w:rFonts w:ascii="Arial" w:hAnsi="Arial" w:cs="Arial"/>
              </w:rPr>
            </w:pPr>
            <w:r w:rsidRPr="00BD3B59">
              <w:rPr>
                <w:rFonts w:ascii="Arial" w:hAnsi="Arial" w:cs="Arial"/>
              </w:rPr>
              <w:t>AI / software</w:t>
            </w:r>
          </w:p>
        </w:tc>
        <w:tc>
          <w:tcPr>
            <w:tcW w:w="0" w:type="auto"/>
            <w:hideMark/>
          </w:tcPr>
          <w:p w14:paraId="7CE4D22F"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Technology alliance</w:t>
            </w:r>
          </w:p>
        </w:tc>
        <w:tc>
          <w:tcPr>
            <w:tcW w:w="0" w:type="auto"/>
            <w:hideMark/>
          </w:tcPr>
          <w:p w14:paraId="7160531A"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Faster innovation cycle</w:t>
            </w:r>
          </w:p>
        </w:tc>
      </w:tr>
    </w:tbl>
    <w:p w14:paraId="7E71AD9A"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strategic proposal based on Tesla market structure.</w:t>
      </w:r>
    </w:p>
    <w:p w14:paraId="1B502369" w14:textId="77777777" w:rsidR="00CF43BB" w:rsidRPr="00BD3B59" w:rsidRDefault="00CF43BB" w:rsidP="00F00FD9">
      <w:pPr>
        <w:pStyle w:val="Heading2"/>
      </w:pPr>
      <w:bookmarkStart w:id="40" w:name="_Toc227799635"/>
      <w:r w:rsidRPr="00BD3B59">
        <w:t>4.4 Capital Structure Reform and Debt Optimisation</w:t>
      </w:r>
      <w:bookmarkEnd w:id="40"/>
    </w:p>
    <w:p w14:paraId="6C6B3621"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Tesla’s balance sheet remains conservatively financed, with debt-to-equity of only </w:t>
      </w:r>
      <w:r w:rsidRPr="00BD3B59">
        <w:rPr>
          <w:rFonts w:ascii="Arial" w:hAnsi="Arial" w:cs="Arial"/>
          <w:bCs/>
        </w:rPr>
        <w:t>0.11 times</w:t>
      </w:r>
      <w:r w:rsidRPr="00BD3B59">
        <w:rPr>
          <w:rFonts w:ascii="Arial" w:hAnsi="Arial" w:cs="Arial"/>
        </w:rPr>
        <w:t xml:space="preserve"> in 2024 (Tesla, 2025). While low leverage reduces financial risk, it may also imply an inefficiently high reliance on equity capital, which is generally more expensive than debt. Moderate leverage can reduce the weighted average cost of capital when managed prudently (</w:t>
      </w:r>
      <w:r w:rsidR="001655E2" w:rsidRPr="00BD3B59">
        <w:rPr>
          <w:rFonts w:ascii="Arial" w:hAnsi="Arial" w:cs="Arial"/>
        </w:rPr>
        <w:t>Moyo, 2025</w:t>
      </w:r>
      <w:r w:rsidRPr="00BD3B59">
        <w:rPr>
          <w:rFonts w:ascii="Arial" w:hAnsi="Arial" w:cs="Arial"/>
        </w:rPr>
        <w:t>).</w:t>
      </w:r>
    </w:p>
    <w:p w14:paraId="680878A9"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However, Tesla’s interest cover ratio declined from </w:t>
      </w:r>
      <w:r w:rsidRPr="00BD3B59">
        <w:rPr>
          <w:rFonts w:ascii="Arial" w:hAnsi="Arial" w:cs="Arial"/>
          <w:bCs/>
        </w:rPr>
        <w:t>57.0 times in 2023</w:t>
      </w:r>
      <w:r w:rsidRPr="00BD3B59">
        <w:rPr>
          <w:rFonts w:ascii="Arial" w:hAnsi="Arial" w:cs="Arial"/>
        </w:rPr>
        <w:t xml:space="preserve"> to </w:t>
      </w:r>
      <w:r w:rsidRPr="00BD3B59">
        <w:rPr>
          <w:rFonts w:ascii="Arial" w:hAnsi="Arial" w:cs="Arial"/>
          <w:bCs/>
        </w:rPr>
        <w:t>20.2 times in 2024</w:t>
      </w:r>
      <w:r w:rsidRPr="00BD3B59">
        <w:rPr>
          <w:rFonts w:ascii="Arial" w:hAnsi="Arial" w:cs="Arial"/>
        </w:rPr>
        <w:t>, indicating weaker profit protection despite still-strong repayment capacity. Therefore, debt expansion should be controlled and linked only to high-return long-life assets.</w:t>
      </w:r>
    </w:p>
    <w:p w14:paraId="2809E228" w14:textId="77777777" w:rsidR="00C33069" w:rsidRPr="00BD3B59" w:rsidRDefault="00C33069" w:rsidP="00C33069">
      <w:pPr>
        <w:pStyle w:val="Caption"/>
        <w:keepNext/>
        <w:rPr>
          <w:rFonts w:ascii="Arial" w:hAnsi="Arial" w:cs="Arial"/>
          <w:b/>
          <w:i w:val="0"/>
          <w:sz w:val="24"/>
          <w:szCs w:val="24"/>
        </w:rPr>
      </w:pPr>
      <w:bookmarkStart w:id="41" w:name="_Toc227799763"/>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16</w:t>
      </w:r>
      <w:r w:rsidR="00F52EE6" w:rsidRPr="00BD3B59">
        <w:rPr>
          <w:rFonts w:ascii="Arial" w:hAnsi="Arial" w:cs="Arial"/>
          <w:b/>
          <w:i w:val="0"/>
          <w:sz w:val="24"/>
          <w:szCs w:val="24"/>
        </w:rPr>
        <w:fldChar w:fldCharType="end"/>
      </w:r>
      <w:r w:rsidRPr="00BD3B59">
        <w:rPr>
          <w:rFonts w:ascii="Arial" w:hAnsi="Arial" w:cs="Arial"/>
          <w:b/>
          <w:i w:val="0"/>
          <w:sz w:val="24"/>
          <w:szCs w:val="24"/>
        </w:rPr>
        <w:t>: Debt Restructuring Options</w:t>
      </w:r>
      <w:bookmarkEnd w:id="41"/>
    </w:p>
    <w:tbl>
      <w:tblPr>
        <w:tblStyle w:val="PlainTable5"/>
        <w:tblW w:w="9371" w:type="dxa"/>
        <w:tblLook w:val="04A0" w:firstRow="1" w:lastRow="0" w:firstColumn="1" w:lastColumn="0" w:noHBand="0" w:noVBand="1"/>
      </w:tblPr>
      <w:tblGrid>
        <w:gridCol w:w="3192"/>
        <w:gridCol w:w="3525"/>
        <w:gridCol w:w="2654"/>
      </w:tblGrid>
      <w:tr w:rsidR="00CF43BB" w:rsidRPr="00BD3B59" w14:paraId="22AE351E" w14:textId="77777777" w:rsidTr="00A25FDD">
        <w:trPr>
          <w:cnfStyle w:val="100000000000" w:firstRow="1" w:lastRow="0" w:firstColumn="0" w:lastColumn="0" w:oddVBand="0" w:evenVBand="0" w:oddHBand="0" w:evenHBand="0" w:firstRowFirstColumn="0" w:firstRowLastColumn="0" w:lastRowFirstColumn="0" w:lastRowLastColumn="0"/>
          <w:trHeight w:val="424"/>
        </w:trPr>
        <w:tc>
          <w:tcPr>
            <w:cnfStyle w:val="001000000100" w:firstRow="0" w:lastRow="0" w:firstColumn="1" w:lastColumn="0" w:oddVBand="0" w:evenVBand="0" w:oddHBand="0" w:evenHBand="0" w:firstRowFirstColumn="1" w:firstRowLastColumn="0" w:lastRowFirstColumn="0" w:lastRowLastColumn="0"/>
            <w:tcW w:w="0" w:type="auto"/>
            <w:hideMark/>
          </w:tcPr>
          <w:p w14:paraId="1E35EE8D" w14:textId="77777777" w:rsidR="00CF43BB" w:rsidRPr="00BD3B59" w:rsidRDefault="00CF43BB" w:rsidP="00D91438">
            <w:pPr>
              <w:spacing w:line="360" w:lineRule="auto"/>
              <w:jc w:val="both"/>
              <w:rPr>
                <w:rFonts w:ascii="Arial" w:hAnsi="Arial" w:cs="Arial"/>
                <w:b/>
                <w:bCs/>
              </w:rPr>
            </w:pPr>
            <w:r w:rsidRPr="00BD3B59">
              <w:rPr>
                <w:rFonts w:ascii="Arial" w:hAnsi="Arial" w:cs="Arial"/>
                <w:b/>
                <w:bCs/>
              </w:rPr>
              <w:t>Option</w:t>
            </w:r>
          </w:p>
        </w:tc>
        <w:tc>
          <w:tcPr>
            <w:tcW w:w="0" w:type="auto"/>
            <w:hideMark/>
          </w:tcPr>
          <w:p w14:paraId="160D5EC8"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Financial Effect</w:t>
            </w:r>
          </w:p>
        </w:tc>
        <w:tc>
          <w:tcPr>
            <w:tcW w:w="0" w:type="auto"/>
            <w:hideMark/>
          </w:tcPr>
          <w:p w14:paraId="19F9E40B"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Strategic Suitability</w:t>
            </w:r>
          </w:p>
        </w:tc>
      </w:tr>
      <w:tr w:rsidR="00CF43BB" w:rsidRPr="00BD3B59" w14:paraId="6C88ED1E" w14:textId="77777777" w:rsidTr="00A25FDD">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hideMark/>
          </w:tcPr>
          <w:p w14:paraId="10387F71" w14:textId="77777777" w:rsidR="00CF43BB" w:rsidRPr="00BD3B59" w:rsidRDefault="00CF43BB" w:rsidP="00D91438">
            <w:pPr>
              <w:spacing w:line="360" w:lineRule="auto"/>
              <w:jc w:val="both"/>
              <w:rPr>
                <w:rFonts w:ascii="Arial" w:hAnsi="Arial" w:cs="Arial"/>
              </w:rPr>
            </w:pPr>
            <w:r w:rsidRPr="00BD3B59">
              <w:rPr>
                <w:rFonts w:ascii="Arial" w:hAnsi="Arial" w:cs="Arial"/>
              </w:rPr>
              <w:t>Green bonds</w:t>
            </w:r>
          </w:p>
        </w:tc>
        <w:tc>
          <w:tcPr>
            <w:tcW w:w="0" w:type="auto"/>
            <w:hideMark/>
          </w:tcPr>
          <w:p w14:paraId="627DC6B9"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Lower-cost ESG-linked finance</w:t>
            </w:r>
          </w:p>
        </w:tc>
        <w:tc>
          <w:tcPr>
            <w:tcW w:w="0" w:type="auto"/>
            <w:hideMark/>
          </w:tcPr>
          <w:p w14:paraId="0E3D9BA6"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High</w:t>
            </w:r>
          </w:p>
        </w:tc>
      </w:tr>
      <w:tr w:rsidR="00CF43BB" w:rsidRPr="00BD3B59" w14:paraId="5F0804E6" w14:textId="77777777" w:rsidTr="00A25FDD">
        <w:trPr>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5BFD927B" w14:textId="77777777" w:rsidR="00CF43BB" w:rsidRPr="00BD3B59" w:rsidRDefault="00CF43BB" w:rsidP="00D91438">
            <w:pPr>
              <w:spacing w:line="360" w:lineRule="auto"/>
              <w:jc w:val="both"/>
              <w:rPr>
                <w:rFonts w:ascii="Arial" w:hAnsi="Arial" w:cs="Arial"/>
              </w:rPr>
            </w:pPr>
            <w:r w:rsidRPr="00BD3B59">
              <w:rPr>
                <w:rFonts w:ascii="Arial" w:hAnsi="Arial" w:cs="Arial"/>
              </w:rPr>
              <w:t>Refinance older debt</w:t>
            </w:r>
          </w:p>
        </w:tc>
        <w:tc>
          <w:tcPr>
            <w:tcW w:w="0" w:type="auto"/>
            <w:hideMark/>
          </w:tcPr>
          <w:p w14:paraId="29E958D1"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Lower interest burden</w:t>
            </w:r>
          </w:p>
        </w:tc>
        <w:tc>
          <w:tcPr>
            <w:tcW w:w="0" w:type="auto"/>
            <w:hideMark/>
          </w:tcPr>
          <w:p w14:paraId="7801257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Medium</w:t>
            </w:r>
          </w:p>
        </w:tc>
      </w:tr>
      <w:tr w:rsidR="00CF43BB" w:rsidRPr="00BD3B59" w14:paraId="64625482" w14:textId="77777777" w:rsidTr="00A25FDD">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51B0D953" w14:textId="77777777" w:rsidR="00CF43BB" w:rsidRPr="00BD3B59" w:rsidRDefault="00CF43BB" w:rsidP="00D91438">
            <w:pPr>
              <w:spacing w:line="360" w:lineRule="auto"/>
              <w:jc w:val="both"/>
              <w:rPr>
                <w:rFonts w:ascii="Arial" w:hAnsi="Arial" w:cs="Arial"/>
              </w:rPr>
            </w:pPr>
            <w:r w:rsidRPr="00BD3B59">
              <w:rPr>
                <w:rFonts w:ascii="Arial" w:hAnsi="Arial" w:cs="Arial"/>
              </w:rPr>
              <w:t>Large new leverage issue</w:t>
            </w:r>
          </w:p>
        </w:tc>
        <w:tc>
          <w:tcPr>
            <w:tcW w:w="0" w:type="auto"/>
            <w:hideMark/>
          </w:tcPr>
          <w:p w14:paraId="088E22F7"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Higher risk exposure</w:t>
            </w:r>
          </w:p>
        </w:tc>
        <w:tc>
          <w:tcPr>
            <w:tcW w:w="0" w:type="auto"/>
            <w:hideMark/>
          </w:tcPr>
          <w:p w14:paraId="4FE02117"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w:t>
            </w:r>
          </w:p>
        </w:tc>
      </w:tr>
      <w:tr w:rsidR="00CF43BB" w:rsidRPr="00BD3B59" w14:paraId="7824373C" w14:textId="77777777" w:rsidTr="00A25FDD">
        <w:trPr>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2B50E14F" w14:textId="77777777" w:rsidR="00CF43BB" w:rsidRPr="00BD3B59" w:rsidRDefault="00CF43BB" w:rsidP="00D91438">
            <w:pPr>
              <w:spacing w:line="360" w:lineRule="auto"/>
              <w:jc w:val="both"/>
              <w:rPr>
                <w:rFonts w:ascii="Arial" w:hAnsi="Arial" w:cs="Arial"/>
              </w:rPr>
            </w:pPr>
            <w:r w:rsidRPr="00BD3B59">
              <w:rPr>
                <w:rFonts w:ascii="Arial" w:hAnsi="Arial" w:cs="Arial"/>
              </w:rPr>
              <w:t>Moderate project debt</w:t>
            </w:r>
          </w:p>
        </w:tc>
        <w:tc>
          <w:tcPr>
            <w:tcW w:w="0" w:type="auto"/>
            <w:hideMark/>
          </w:tcPr>
          <w:p w14:paraId="58E0649F"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Supports expansion efficiently</w:t>
            </w:r>
          </w:p>
        </w:tc>
        <w:tc>
          <w:tcPr>
            <w:tcW w:w="0" w:type="auto"/>
            <w:hideMark/>
          </w:tcPr>
          <w:p w14:paraId="33810832"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High</w:t>
            </w:r>
          </w:p>
        </w:tc>
      </w:tr>
    </w:tbl>
    <w:p w14:paraId="2067E72B"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CFO evaluation.</w:t>
      </w:r>
    </w:p>
    <w:p w14:paraId="4BD87BC4" w14:textId="77777777" w:rsidR="00CF43BB" w:rsidRPr="00BD3B59" w:rsidRDefault="00CF43BB" w:rsidP="00C33069">
      <w:pPr>
        <w:pStyle w:val="Heading2"/>
      </w:pPr>
      <w:bookmarkStart w:id="42" w:name="_Toc227799636"/>
      <w:r w:rsidRPr="00BD3B59">
        <w:t>4.5 Cost Restructuring to Restore Margins</w:t>
      </w:r>
      <w:bookmarkEnd w:id="42"/>
    </w:p>
    <w:p w14:paraId="4B10F23B"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Tesla’s most urgent need is cost restructuring. Revenue remained high in 2024, but net income fell by more than </w:t>
      </w:r>
      <w:r w:rsidRPr="00BD3B59">
        <w:rPr>
          <w:rFonts w:ascii="Arial" w:hAnsi="Arial" w:cs="Arial"/>
          <w:bCs/>
        </w:rPr>
        <w:t>50%</w:t>
      </w:r>
      <w:r w:rsidRPr="00BD3B59">
        <w:rPr>
          <w:rFonts w:ascii="Arial" w:hAnsi="Arial" w:cs="Arial"/>
        </w:rPr>
        <w:t xml:space="preserve"> from the prior year. This strongly suggests that pricing pressure, operating expenses and production inefficiencies damaged earnings quality.</w:t>
      </w:r>
    </w:p>
    <w:p w14:paraId="6429AE14" w14:textId="77777777" w:rsidR="00CF43BB" w:rsidRPr="00BD3B59" w:rsidRDefault="00CF43BB" w:rsidP="00D91438">
      <w:pPr>
        <w:spacing w:line="360" w:lineRule="auto"/>
        <w:jc w:val="both"/>
        <w:rPr>
          <w:rFonts w:ascii="Arial" w:hAnsi="Arial" w:cs="Arial"/>
        </w:rPr>
      </w:pPr>
      <w:r w:rsidRPr="00BD3B59">
        <w:rPr>
          <w:rFonts w:ascii="Arial" w:hAnsi="Arial" w:cs="Arial"/>
        </w:rPr>
        <w:t>Tesla should therefore pursue margin restoration through lean manufacturing, procurement reform and overhead discipline.</w:t>
      </w:r>
    </w:p>
    <w:p w14:paraId="2E081DA4" w14:textId="77777777" w:rsidR="00C33069" w:rsidRPr="00BD3B59" w:rsidRDefault="00C33069" w:rsidP="00C33069">
      <w:pPr>
        <w:pStyle w:val="Caption"/>
        <w:keepNext/>
        <w:rPr>
          <w:rFonts w:ascii="Arial" w:hAnsi="Arial" w:cs="Arial"/>
          <w:b/>
          <w:i w:val="0"/>
          <w:sz w:val="24"/>
          <w:szCs w:val="24"/>
        </w:rPr>
      </w:pPr>
      <w:bookmarkStart w:id="43" w:name="_Toc227799764"/>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17</w:t>
      </w:r>
      <w:r w:rsidR="00F52EE6" w:rsidRPr="00BD3B59">
        <w:rPr>
          <w:rFonts w:ascii="Arial" w:hAnsi="Arial" w:cs="Arial"/>
          <w:b/>
          <w:i w:val="0"/>
          <w:sz w:val="24"/>
          <w:szCs w:val="24"/>
        </w:rPr>
        <w:fldChar w:fldCharType="end"/>
      </w:r>
      <w:r w:rsidRPr="00BD3B59">
        <w:rPr>
          <w:rFonts w:ascii="Arial" w:hAnsi="Arial" w:cs="Arial"/>
          <w:b/>
          <w:i w:val="0"/>
          <w:sz w:val="24"/>
          <w:szCs w:val="24"/>
        </w:rPr>
        <w:t>: Cost Restructuring Priorities</w:t>
      </w:r>
      <w:bookmarkEnd w:id="43"/>
    </w:p>
    <w:tbl>
      <w:tblPr>
        <w:tblStyle w:val="PlainTable5"/>
        <w:tblW w:w="0" w:type="auto"/>
        <w:tblLook w:val="04A0" w:firstRow="1" w:lastRow="0" w:firstColumn="1" w:lastColumn="0" w:noHBand="0" w:noVBand="1"/>
      </w:tblPr>
      <w:tblGrid>
        <w:gridCol w:w="1864"/>
        <w:gridCol w:w="4081"/>
        <w:gridCol w:w="3415"/>
      </w:tblGrid>
      <w:tr w:rsidR="00CF43BB" w:rsidRPr="00BD3B59" w14:paraId="71BFB653" w14:textId="77777777" w:rsidTr="00A25F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865F765" w14:textId="77777777" w:rsidR="00CF43BB" w:rsidRPr="00BD3B59" w:rsidRDefault="00CF43BB" w:rsidP="00A25FDD">
            <w:pPr>
              <w:spacing w:line="276" w:lineRule="auto"/>
              <w:jc w:val="left"/>
              <w:rPr>
                <w:rFonts w:ascii="Arial" w:hAnsi="Arial" w:cs="Arial"/>
                <w:b/>
                <w:bCs/>
              </w:rPr>
            </w:pPr>
            <w:r w:rsidRPr="00BD3B59">
              <w:rPr>
                <w:rFonts w:ascii="Arial" w:hAnsi="Arial" w:cs="Arial"/>
                <w:b/>
                <w:bCs/>
              </w:rPr>
              <w:t>Cost Area</w:t>
            </w:r>
          </w:p>
        </w:tc>
        <w:tc>
          <w:tcPr>
            <w:tcW w:w="0" w:type="auto"/>
            <w:hideMark/>
          </w:tcPr>
          <w:p w14:paraId="4AD096DD" w14:textId="77777777" w:rsidR="00CF43BB" w:rsidRPr="00BD3B59" w:rsidRDefault="00CF43BB" w:rsidP="00A25FDD">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Proposed Action</w:t>
            </w:r>
          </w:p>
        </w:tc>
        <w:tc>
          <w:tcPr>
            <w:tcW w:w="0" w:type="auto"/>
            <w:hideMark/>
          </w:tcPr>
          <w:p w14:paraId="3F386677" w14:textId="77777777" w:rsidR="00CF43BB" w:rsidRPr="00BD3B59" w:rsidRDefault="00CF43BB" w:rsidP="00A25FDD">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Expected Financial Outcome</w:t>
            </w:r>
          </w:p>
        </w:tc>
      </w:tr>
      <w:tr w:rsidR="00CF43BB" w:rsidRPr="00BD3B59" w14:paraId="29A4312F"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278D9" w14:textId="77777777" w:rsidR="00CF43BB" w:rsidRPr="00BD3B59" w:rsidRDefault="00CF43BB" w:rsidP="00A25FDD">
            <w:pPr>
              <w:spacing w:line="276" w:lineRule="auto"/>
              <w:jc w:val="left"/>
              <w:rPr>
                <w:rFonts w:ascii="Arial" w:hAnsi="Arial" w:cs="Arial"/>
              </w:rPr>
            </w:pPr>
            <w:r w:rsidRPr="00BD3B59">
              <w:rPr>
                <w:rFonts w:ascii="Arial" w:hAnsi="Arial" w:cs="Arial"/>
              </w:rPr>
              <w:t>Manufacturing</w:t>
            </w:r>
          </w:p>
        </w:tc>
        <w:tc>
          <w:tcPr>
            <w:tcW w:w="0" w:type="auto"/>
            <w:hideMark/>
          </w:tcPr>
          <w:p w14:paraId="59A30FD9"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Greater automation and lean processes</w:t>
            </w:r>
          </w:p>
        </w:tc>
        <w:tc>
          <w:tcPr>
            <w:tcW w:w="0" w:type="auto"/>
            <w:hideMark/>
          </w:tcPr>
          <w:p w14:paraId="5FA3CAB3"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unit cost</w:t>
            </w:r>
          </w:p>
        </w:tc>
      </w:tr>
      <w:tr w:rsidR="00CF43BB" w:rsidRPr="00BD3B59" w14:paraId="17C112F1"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1AFFB117" w14:textId="77777777" w:rsidR="00CF43BB" w:rsidRPr="00BD3B59" w:rsidRDefault="00CF43BB" w:rsidP="00A25FDD">
            <w:pPr>
              <w:spacing w:line="276" w:lineRule="auto"/>
              <w:jc w:val="left"/>
              <w:rPr>
                <w:rFonts w:ascii="Arial" w:hAnsi="Arial" w:cs="Arial"/>
              </w:rPr>
            </w:pPr>
            <w:r w:rsidRPr="00BD3B59">
              <w:rPr>
                <w:rFonts w:ascii="Arial" w:hAnsi="Arial" w:cs="Arial"/>
              </w:rPr>
              <w:t>Procurement</w:t>
            </w:r>
          </w:p>
        </w:tc>
        <w:tc>
          <w:tcPr>
            <w:tcW w:w="0" w:type="auto"/>
            <w:hideMark/>
          </w:tcPr>
          <w:p w14:paraId="5E39911A" w14:textId="77777777" w:rsidR="00CF43BB" w:rsidRPr="00BD3B59" w:rsidRDefault="00CF43BB" w:rsidP="00A25FD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Multi-year battery contracts</w:t>
            </w:r>
          </w:p>
        </w:tc>
        <w:tc>
          <w:tcPr>
            <w:tcW w:w="0" w:type="auto"/>
            <w:hideMark/>
          </w:tcPr>
          <w:p w14:paraId="618072CD" w14:textId="77777777" w:rsidR="00CF43BB" w:rsidRPr="00BD3B59" w:rsidRDefault="00CF43BB" w:rsidP="00A25FD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Reduced material volatility</w:t>
            </w:r>
          </w:p>
        </w:tc>
      </w:tr>
      <w:tr w:rsidR="00CF43BB" w:rsidRPr="00BD3B59" w14:paraId="2E248D73"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0073AD" w14:textId="77777777" w:rsidR="00CF43BB" w:rsidRPr="00BD3B59" w:rsidRDefault="00CF43BB" w:rsidP="00A25FDD">
            <w:pPr>
              <w:spacing w:line="276" w:lineRule="auto"/>
              <w:jc w:val="left"/>
              <w:rPr>
                <w:rFonts w:ascii="Arial" w:hAnsi="Arial" w:cs="Arial"/>
              </w:rPr>
            </w:pPr>
            <w:r w:rsidRPr="00BD3B59">
              <w:rPr>
                <w:rFonts w:ascii="Arial" w:hAnsi="Arial" w:cs="Arial"/>
              </w:rPr>
              <w:t>Logistics</w:t>
            </w:r>
          </w:p>
        </w:tc>
        <w:tc>
          <w:tcPr>
            <w:tcW w:w="0" w:type="auto"/>
            <w:hideMark/>
          </w:tcPr>
          <w:p w14:paraId="5D62A2AA"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Regional sourcing and assembly</w:t>
            </w:r>
          </w:p>
        </w:tc>
        <w:tc>
          <w:tcPr>
            <w:tcW w:w="0" w:type="auto"/>
            <w:hideMark/>
          </w:tcPr>
          <w:p w14:paraId="2C074666"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freight cost</w:t>
            </w:r>
          </w:p>
        </w:tc>
      </w:tr>
      <w:tr w:rsidR="00CF43BB" w:rsidRPr="00BD3B59" w14:paraId="58B409AE"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4B5338D0" w14:textId="77777777" w:rsidR="00CF43BB" w:rsidRPr="00BD3B59" w:rsidRDefault="00CF43BB" w:rsidP="00A25FDD">
            <w:pPr>
              <w:spacing w:line="276" w:lineRule="auto"/>
              <w:jc w:val="left"/>
              <w:rPr>
                <w:rFonts w:ascii="Arial" w:hAnsi="Arial" w:cs="Arial"/>
              </w:rPr>
            </w:pPr>
            <w:r w:rsidRPr="00BD3B59">
              <w:rPr>
                <w:rFonts w:ascii="Arial" w:hAnsi="Arial" w:cs="Arial"/>
              </w:rPr>
              <w:t>Retail network</w:t>
            </w:r>
          </w:p>
        </w:tc>
        <w:tc>
          <w:tcPr>
            <w:tcW w:w="0" w:type="auto"/>
            <w:hideMark/>
          </w:tcPr>
          <w:p w14:paraId="52B75AB4" w14:textId="77777777" w:rsidR="00CF43BB" w:rsidRPr="00BD3B59" w:rsidRDefault="00CF43BB" w:rsidP="00A25FD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Rationalise low-traffic sites</w:t>
            </w:r>
          </w:p>
        </w:tc>
        <w:tc>
          <w:tcPr>
            <w:tcW w:w="0" w:type="auto"/>
            <w:hideMark/>
          </w:tcPr>
          <w:p w14:paraId="5F1F8EBE" w14:textId="77777777" w:rsidR="00CF43BB" w:rsidRPr="00BD3B59" w:rsidRDefault="00CF43BB" w:rsidP="00A25FD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Reduced SG&amp;A expense</w:t>
            </w:r>
          </w:p>
        </w:tc>
      </w:tr>
      <w:tr w:rsidR="00CF43BB" w:rsidRPr="00BD3B59" w14:paraId="0736D1BF"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E43F51" w14:textId="77777777" w:rsidR="00CF43BB" w:rsidRPr="00BD3B59" w:rsidRDefault="00CF43BB" w:rsidP="00A25FDD">
            <w:pPr>
              <w:spacing w:line="276" w:lineRule="auto"/>
              <w:jc w:val="left"/>
              <w:rPr>
                <w:rFonts w:ascii="Arial" w:hAnsi="Arial" w:cs="Arial"/>
              </w:rPr>
            </w:pPr>
            <w:r w:rsidRPr="00BD3B59">
              <w:rPr>
                <w:rFonts w:ascii="Arial" w:hAnsi="Arial" w:cs="Arial"/>
              </w:rPr>
              <w:t>R&amp;D portfolio</w:t>
            </w:r>
          </w:p>
        </w:tc>
        <w:tc>
          <w:tcPr>
            <w:tcW w:w="0" w:type="auto"/>
            <w:hideMark/>
          </w:tcPr>
          <w:p w14:paraId="085DB782"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Prioritise commercialisable projects</w:t>
            </w:r>
          </w:p>
        </w:tc>
        <w:tc>
          <w:tcPr>
            <w:tcW w:w="0" w:type="auto"/>
            <w:hideMark/>
          </w:tcPr>
          <w:p w14:paraId="0E55A8BB"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Higher innovation ROI</w:t>
            </w:r>
          </w:p>
        </w:tc>
      </w:tr>
    </w:tbl>
    <w:p w14:paraId="5D194E9F"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strategic restructuring plan.</w:t>
      </w:r>
    </w:p>
    <w:p w14:paraId="2EEA197B"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If Tesla improves gross margin even by 2–3 percentage points, the profit effect could be substantial given annual revenue close to </w:t>
      </w:r>
      <w:r w:rsidRPr="00BD3B59">
        <w:rPr>
          <w:rFonts w:ascii="Arial" w:hAnsi="Arial" w:cs="Arial"/>
          <w:bCs/>
        </w:rPr>
        <w:t>US$98 billion</w:t>
      </w:r>
      <w:r w:rsidRPr="00BD3B59">
        <w:rPr>
          <w:rFonts w:ascii="Arial" w:hAnsi="Arial" w:cs="Arial"/>
        </w:rPr>
        <w:t>.</w:t>
      </w:r>
    </w:p>
    <w:p w14:paraId="65E056DA" w14:textId="77777777" w:rsidR="00CF43BB" w:rsidRPr="00BD3B59" w:rsidRDefault="00CF43BB" w:rsidP="00C33069">
      <w:pPr>
        <w:pStyle w:val="Heading2"/>
      </w:pPr>
      <w:bookmarkStart w:id="44" w:name="_Toc227799637"/>
      <w:r w:rsidRPr="00BD3B59">
        <w:t>4.6 Taxation, Currency Risk and Inflation Management</w:t>
      </w:r>
      <w:bookmarkEnd w:id="44"/>
    </w:p>
    <w:p w14:paraId="6A70DADC" w14:textId="77777777" w:rsidR="00CF43BB" w:rsidRPr="00BD3B59" w:rsidRDefault="00CF43BB" w:rsidP="00D91438">
      <w:pPr>
        <w:spacing w:line="360" w:lineRule="auto"/>
        <w:jc w:val="both"/>
        <w:rPr>
          <w:rFonts w:ascii="Arial" w:hAnsi="Arial" w:cs="Arial"/>
        </w:rPr>
      </w:pPr>
      <w:r w:rsidRPr="00BD3B59">
        <w:rPr>
          <w:rFonts w:ascii="Arial" w:hAnsi="Arial" w:cs="Arial"/>
        </w:rPr>
        <w:t>Tesla’s global operations expose the company to tax complexity, exchange-rate volatility and inflationary cost pressure. Restructuring must therefore include treasury and fiscal discipline, not only operational reform.</w:t>
      </w:r>
    </w:p>
    <w:p w14:paraId="068918D2" w14:textId="77777777" w:rsidR="00C33069" w:rsidRPr="00BD3B59" w:rsidRDefault="00C33069" w:rsidP="00C33069">
      <w:pPr>
        <w:pStyle w:val="Caption"/>
        <w:keepNext/>
        <w:rPr>
          <w:rFonts w:ascii="Arial" w:hAnsi="Arial" w:cs="Arial"/>
          <w:b/>
          <w:i w:val="0"/>
          <w:sz w:val="24"/>
          <w:szCs w:val="24"/>
        </w:rPr>
      </w:pPr>
      <w:bookmarkStart w:id="45" w:name="_Toc227799765"/>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18</w:t>
      </w:r>
      <w:r w:rsidR="00F52EE6" w:rsidRPr="00BD3B59">
        <w:rPr>
          <w:rFonts w:ascii="Arial" w:hAnsi="Arial" w:cs="Arial"/>
          <w:b/>
          <w:i w:val="0"/>
          <w:sz w:val="24"/>
          <w:szCs w:val="24"/>
        </w:rPr>
        <w:fldChar w:fldCharType="end"/>
      </w:r>
      <w:r w:rsidRPr="00BD3B59">
        <w:rPr>
          <w:rFonts w:ascii="Arial" w:hAnsi="Arial" w:cs="Arial"/>
          <w:b/>
          <w:i w:val="0"/>
          <w:sz w:val="24"/>
          <w:szCs w:val="24"/>
        </w:rPr>
        <w:t>: Global Financial Risk Controls</w:t>
      </w:r>
      <w:bookmarkEnd w:id="45"/>
    </w:p>
    <w:tbl>
      <w:tblPr>
        <w:tblStyle w:val="PlainTable5"/>
        <w:tblW w:w="9402" w:type="dxa"/>
        <w:tblLook w:val="04A0" w:firstRow="1" w:lastRow="0" w:firstColumn="1" w:lastColumn="0" w:noHBand="0" w:noVBand="1"/>
      </w:tblPr>
      <w:tblGrid>
        <w:gridCol w:w="1929"/>
        <w:gridCol w:w="3727"/>
        <w:gridCol w:w="3746"/>
      </w:tblGrid>
      <w:tr w:rsidR="00CF43BB" w:rsidRPr="00BD3B59" w14:paraId="7F203C95" w14:textId="77777777" w:rsidTr="00A25FDD">
        <w:trPr>
          <w:cnfStyle w:val="100000000000" w:firstRow="1" w:lastRow="0" w:firstColumn="0" w:lastColumn="0" w:oddVBand="0" w:evenVBand="0" w:oddHBand="0" w:evenHBand="0" w:firstRowFirstColumn="0" w:firstRowLastColumn="0" w:lastRowFirstColumn="0" w:lastRowLastColumn="0"/>
          <w:trHeight w:val="405"/>
        </w:trPr>
        <w:tc>
          <w:tcPr>
            <w:cnfStyle w:val="001000000100" w:firstRow="0" w:lastRow="0" w:firstColumn="1" w:lastColumn="0" w:oddVBand="0" w:evenVBand="0" w:oddHBand="0" w:evenHBand="0" w:firstRowFirstColumn="1" w:firstRowLastColumn="0" w:lastRowFirstColumn="0" w:lastRowLastColumn="0"/>
            <w:tcW w:w="0" w:type="auto"/>
            <w:hideMark/>
          </w:tcPr>
          <w:p w14:paraId="5489DD2C" w14:textId="77777777" w:rsidR="00CF43BB" w:rsidRPr="00BD3B59" w:rsidRDefault="00CF43BB" w:rsidP="00D91438">
            <w:pPr>
              <w:spacing w:line="360" w:lineRule="auto"/>
              <w:jc w:val="both"/>
              <w:rPr>
                <w:rFonts w:ascii="Arial" w:hAnsi="Arial" w:cs="Arial"/>
                <w:b/>
                <w:bCs/>
              </w:rPr>
            </w:pPr>
            <w:r w:rsidRPr="00BD3B59">
              <w:rPr>
                <w:rFonts w:ascii="Arial" w:hAnsi="Arial" w:cs="Arial"/>
                <w:b/>
                <w:bCs/>
              </w:rPr>
              <w:t>Risk Area</w:t>
            </w:r>
          </w:p>
        </w:tc>
        <w:tc>
          <w:tcPr>
            <w:tcW w:w="0" w:type="auto"/>
            <w:hideMark/>
          </w:tcPr>
          <w:p w14:paraId="47F6B341"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Current Exposure</w:t>
            </w:r>
          </w:p>
        </w:tc>
        <w:tc>
          <w:tcPr>
            <w:tcW w:w="0" w:type="auto"/>
            <w:hideMark/>
          </w:tcPr>
          <w:p w14:paraId="5E47AF62"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Recommended Response</w:t>
            </w:r>
          </w:p>
        </w:tc>
      </w:tr>
      <w:tr w:rsidR="00CF43BB" w:rsidRPr="00BD3B59" w14:paraId="3D6C5124" w14:textId="77777777" w:rsidTr="00A25FDD">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0" w:type="auto"/>
            <w:hideMark/>
          </w:tcPr>
          <w:p w14:paraId="12C1153F" w14:textId="77777777" w:rsidR="00CF43BB" w:rsidRPr="00BD3B59" w:rsidRDefault="00CF43BB" w:rsidP="00D91438">
            <w:pPr>
              <w:spacing w:line="360" w:lineRule="auto"/>
              <w:jc w:val="both"/>
              <w:rPr>
                <w:rFonts w:ascii="Arial" w:hAnsi="Arial" w:cs="Arial"/>
              </w:rPr>
            </w:pPr>
            <w:r w:rsidRPr="00BD3B59">
              <w:rPr>
                <w:rFonts w:ascii="Arial" w:hAnsi="Arial" w:cs="Arial"/>
              </w:rPr>
              <w:t>Taxation</w:t>
            </w:r>
          </w:p>
        </w:tc>
        <w:tc>
          <w:tcPr>
            <w:tcW w:w="0" w:type="auto"/>
            <w:hideMark/>
          </w:tcPr>
          <w:p w14:paraId="1458C1C5"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Multi-jurisdiction profits</w:t>
            </w:r>
          </w:p>
        </w:tc>
        <w:tc>
          <w:tcPr>
            <w:tcW w:w="0" w:type="auto"/>
            <w:hideMark/>
          </w:tcPr>
          <w:p w14:paraId="2C0E58AB"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Transparent tax planning</w:t>
            </w:r>
          </w:p>
        </w:tc>
      </w:tr>
      <w:tr w:rsidR="00CF43BB" w:rsidRPr="00BD3B59" w14:paraId="5A49B6C8" w14:textId="77777777" w:rsidTr="00A25FDD">
        <w:trPr>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7F71B4AE" w14:textId="77777777" w:rsidR="00CF43BB" w:rsidRPr="00BD3B59" w:rsidRDefault="00CF43BB" w:rsidP="00D91438">
            <w:pPr>
              <w:spacing w:line="360" w:lineRule="auto"/>
              <w:jc w:val="both"/>
              <w:rPr>
                <w:rFonts w:ascii="Arial" w:hAnsi="Arial" w:cs="Arial"/>
              </w:rPr>
            </w:pPr>
            <w:r w:rsidRPr="00BD3B59">
              <w:rPr>
                <w:rFonts w:ascii="Arial" w:hAnsi="Arial" w:cs="Arial"/>
              </w:rPr>
              <w:t>Currency risk</w:t>
            </w:r>
          </w:p>
        </w:tc>
        <w:tc>
          <w:tcPr>
            <w:tcW w:w="0" w:type="auto"/>
            <w:hideMark/>
          </w:tcPr>
          <w:p w14:paraId="482D78E9"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USD reporting vs global sales</w:t>
            </w:r>
          </w:p>
        </w:tc>
        <w:tc>
          <w:tcPr>
            <w:tcW w:w="0" w:type="auto"/>
            <w:hideMark/>
          </w:tcPr>
          <w:p w14:paraId="13846CA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FX hedging (EUR, CNY etc.)</w:t>
            </w:r>
          </w:p>
        </w:tc>
      </w:tr>
      <w:tr w:rsidR="00CF43BB" w:rsidRPr="00BD3B59" w14:paraId="116117AC" w14:textId="77777777" w:rsidTr="00A25FD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58F60E9E" w14:textId="77777777" w:rsidR="00CF43BB" w:rsidRPr="00BD3B59" w:rsidRDefault="00CF43BB" w:rsidP="00D91438">
            <w:pPr>
              <w:spacing w:line="360" w:lineRule="auto"/>
              <w:jc w:val="both"/>
              <w:rPr>
                <w:rFonts w:ascii="Arial" w:hAnsi="Arial" w:cs="Arial"/>
              </w:rPr>
            </w:pPr>
            <w:r w:rsidRPr="00BD3B59">
              <w:rPr>
                <w:rFonts w:ascii="Arial" w:hAnsi="Arial" w:cs="Arial"/>
              </w:rPr>
              <w:t>Inflation</w:t>
            </w:r>
          </w:p>
        </w:tc>
        <w:tc>
          <w:tcPr>
            <w:tcW w:w="0" w:type="auto"/>
            <w:hideMark/>
          </w:tcPr>
          <w:p w14:paraId="729B95D1"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Labour and battery inputs</w:t>
            </w:r>
          </w:p>
        </w:tc>
        <w:tc>
          <w:tcPr>
            <w:tcW w:w="0" w:type="auto"/>
            <w:hideMark/>
          </w:tcPr>
          <w:p w14:paraId="55CF6BA2"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Long-term supply contracts</w:t>
            </w:r>
          </w:p>
        </w:tc>
      </w:tr>
      <w:tr w:rsidR="00CF43BB" w:rsidRPr="00BD3B59" w14:paraId="07127B49" w14:textId="77777777" w:rsidTr="00A25FDD">
        <w:trPr>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54D5D196" w14:textId="77777777" w:rsidR="00CF43BB" w:rsidRPr="00BD3B59" w:rsidRDefault="00CF43BB" w:rsidP="00D91438">
            <w:pPr>
              <w:spacing w:line="360" w:lineRule="auto"/>
              <w:jc w:val="both"/>
              <w:rPr>
                <w:rFonts w:ascii="Arial" w:hAnsi="Arial" w:cs="Arial"/>
              </w:rPr>
            </w:pPr>
            <w:r w:rsidRPr="00BD3B59">
              <w:rPr>
                <w:rFonts w:ascii="Arial" w:hAnsi="Arial" w:cs="Arial"/>
              </w:rPr>
              <w:t>Tariffs</w:t>
            </w:r>
          </w:p>
        </w:tc>
        <w:tc>
          <w:tcPr>
            <w:tcW w:w="0" w:type="auto"/>
            <w:hideMark/>
          </w:tcPr>
          <w:p w14:paraId="29D658D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Trade barriers</w:t>
            </w:r>
          </w:p>
        </w:tc>
        <w:tc>
          <w:tcPr>
            <w:tcW w:w="0" w:type="auto"/>
            <w:hideMark/>
          </w:tcPr>
          <w:p w14:paraId="1F1BC2F2"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Regional production hubs</w:t>
            </w:r>
          </w:p>
        </w:tc>
      </w:tr>
    </w:tbl>
    <w:p w14:paraId="6B1049ED"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w:t>
      </w:r>
      <w:r w:rsidR="001655E2" w:rsidRPr="00BD3B59">
        <w:rPr>
          <w:rFonts w:ascii="Arial" w:hAnsi="Arial" w:cs="Arial"/>
        </w:rPr>
        <w:t>Marzouk (2025</w:t>
      </w:r>
      <w:r w:rsidRPr="00BD3B59">
        <w:rPr>
          <w:rFonts w:ascii="Arial" w:hAnsi="Arial" w:cs="Arial"/>
        </w:rPr>
        <w:t>); Author’s analysis.</w:t>
      </w:r>
    </w:p>
    <w:p w14:paraId="6AF101F4" w14:textId="77777777" w:rsidR="00CF43BB" w:rsidRDefault="00CF43BB" w:rsidP="00D91438">
      <w:pPr>
        <w:spacing w:line="360" w:lineRule="auto"/>
        <w:jc w:val="both"/>
        <w:rPr>
          <w:rFonts w:ascii="Arial" w:hAnsi="Arial" w:cs="Arial"/>
        </w:rPr>
      </w:pPr>
      <w:r w:rsidRPr="00BD3B59">
        <w:rPr>
          <w:rFonts w:ascii="Arial" w:hAnsi="Arial" w:cs="Arial"/>
        </w:rPr>
        <w:t>Currency hedging is particularly important because revenue earned in foreign currencies may weaken when translated into US dollars. Likewise, regional production can reduce tariff ex</w:t>
      </w:r>
      <w:r w:rsidR="00074B46" w:rsidRPr="00BD3B59">
        <w:rPr>
          <w:rFonts w:ascii="Arial" w:hAnsi="Arial" w:cs="Arial"/>
        </w:rPr>
        <w:t>posure and logistics inflation.</w:t>
      </w:r>
    </w:p>
    <w:p w14:paraId="54D60567" w14:textId="77777777" w:rsidR="00E17712" w:rsidRPr="00BD3B59" w:rsidRDefault="00E17712" w:rsidP="00D91438">
      <w:pPr>
        <w:spacing w:line="360" w:lineRule="auto"/>
        <w:jc w:val="both"/>
        <w:rPr>
          <w:rFonts w:ascii="Arial" w:hAnsi="Arial" w:cs="Arial"/>
        </w:rPr>
      </w:pPr>
    </w:p>
    <w:p w14:paraId="3AE4ED65" w14:textId="77777777" w:rsidR="00CF43BB" w:rsidRPr="00BD3B59" w:rsidRDefault="00CF43BB" w:rsidP="00074B46">
      <w:pPr>
        <w:pStyle w:val="Heading2"/>
      </w:pPr>
      <w:bookmarkStart w:id="46" w:name="_Toc227799638"/>
      <w:r w:rsidRPr="00BD3B59">
        <w:t>4.7 CSR and Ethical Restructuring</w:t>
      </w:r>
      <w:bookmarkEnd w:id="46"/>
    </w:p>
    <w:p w14:paraId="57020BE7" w14:textId="13B34EE1" w:rsidR="00A25FDD" w:rsidRPr="00BD3B59" w:rsidRDefault="00CF43BB" w:rsidP="00D91438">
      <w:pPr>
        <w:spacing w:line="360" w:lineRule="auto"/>
        <w:jc w:val="both"/>
        <w:rPr>
          <w:rFonts w:ascii="Arial" w:hAnsi="Arial" w:cs="Arial"/>
        </w:rPr>
      </w:pPr>
      <w:r w:rsidRPr="00BD3B59">
        <w:rPr>
          <w:rFonts w:ascii="Arial" w:hAnsi="Arial" w:cs="Arial"/>
        </w:rPr>
        <w:t>Financial restructuring that damages labour standards or environmental commitments may create short-term savings but long-term value destruction. Tesla’s brand is strongly linked to sustainability and innovation, so restructuring should reinforce rath</w:t>
      </w:r>
      <w:r w:rsidR="00A25FDD" w:rsidRPr="00BD3B59">
        <w:rPr>
          <w:rFonts w:ascii="Arial" w:hAnsi="Arial" w:cs="Arial"/>
        </w:rPr>
        <w:t>er than weaken ESG credibility.</w:t>
      </w:r>
    </w:p>
    <w:p w14:paraId="048F8453" w14:textId="77777777" w:rsidR="00351C74" w:rsidRPr="00BD3B59" w:rsidRDefault="00351C74" w:rsidP="00351C74">
      <w:pPr>
        <w:pStyle w:val="Caption"/>
        <w:keepNext/>
        <w:rPr>
          <w:rFonts w:ascii="Arial" w:hAnsi="Arial" w:cs="Arial"/>
          <w:b/>
          <w:i w:val="0"/>
          <w:sz w:val="24"/>
          <w:szCs w:val="24"/>
        </w:rPr>
      </w:pPr>
      <w:bookmarkStart w:id="47" w:name="_Toc227799766"/>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19</w:t>
      </w:r>
      <w:r w:rsidR="00F52EE6" w:rsidRPr="00BD3B59">
        <w:rPr>
          <w:rFonts w:ascii="Arial" w:hAnsi="Arial" w:cs="Arial"/>
          <w:b/>
          <w:i w:val="0"/>
          <w:sz w:val="24"/>
          <w:szCs w:val="24"/>
        </w:rPr>
        <w:fldChar w:fldCharType="end"/>
      </w:r>
      <w:r w:rsidRPr="00BD3B59">
        <w:rPr>
          <w:rFonts w:ascii="Arial" w:hAnsi="Arial" w:cs="Arial"/>
          <w:b/>
          <w:i w:val="0"/>
          <w:sz w:val="24"/>
          <w:szCs w:val="24"/>
        </w:rPr>
        <w:t>: Ethical Restructuring Principles</w:t>
      </w:r>
      <w:bookmarkEnd w:id="47"/>
    </w:p>
    <w:tbl>
      <w:tblPr>
        <w:tblStyle w:val="PlainTable5"/>
        <w:tblW w:w="9322" w:type="dxa"/>
        <w:tblLook w:val="04A0" w:firstRow="1" w:lastRow="0" w:firstColumn="1" w:lastColumn="0" w:noHBand="0" w:noVBand="1"/>
      </w:tblPr>
      <w:tblGrid>
        <w:gridCol w:w="2064"/>
        <w:gridCol w:w="4073"/>
        <w:gridCol w:w="3185"/>
      </w:tblGrid>
      <w:tr w:rsidR="00CF43BB" w:rsidRPr="00BD3B59" w14:paraId="2B3496DF" w14:textId="77777777" w:rsidTr="00A25FDD">
        <w:trPr>
          <w:cnfStyle w:val="100000000000" w:firstRow="1" w:lastRow="0" w:firstColumn="0" w:lastColumn="0" w:oddVBand="0" w:evenVBand="0" w:oddHBand="0" w:evenHBand="0" w:firstRowFirstColumn="0" w:firstRowLastColumn="0" w:lastRowFirstColumn="0" w:lastRowLastColumn="0"/>
          <w:trHeight w:val="426"/>
        </w:trPr>
        <w:tc>
          <w:tcPr>
            <w:cnfStyle w:val="001000000100" w:firstRow="0" w:lastRow="0" w:firstColumn="1" w:lastColumn="0" w:oddVBand="0" w:evenVBand="0" w:oddHBand="0" w:evenHBand="0" w:firstRowFirstColumn="1" w:firstRowLastColumn="0" w:lastRowFirstColumn="0" w:lastRowLastColumn="0"/>
            <w:tcW w:w="0" w:type="auto"/>
            <w:hideMark/>
          </w:tcPr>
          <w:p w14:paraId="10D40ABE" w14:textId="77777777" w:rsidR="00CF43BB" w:rsidRPr="00BD3B59" w:rsidRDefault="00CF43BB" w:rsidP="00D91438">
            <w:pPr>
              <w:spacing w:line="360" w:lineRule="auto"/>
              <w:jc w:val="both"/>
              <w:rPr>
                <w:rFonts w:ascii="Arial" w:hAnsi="Arial" w:cs="Arial"/>
                <w:bCs/>
              </w:rPr>
            </w:pPr>
            <w:r w:rsidRPr="00BD3B59">
              <w:rPr>
                <w:rFonts w:ascii="Arial" w:hAnsi="Arial" w:cs="Arial"/>
                <w:bCs/>
              </w:rPr>
              <w:t>Area</w:t>
            </w:r>
          </w:p>
        </w:tc>
        <w:tc>
          <w:tcPr>
            <w:tcW w:w="0" w:type="auto"/>
            <w:hideMark/>
          </w:tcPr>
          <w:p w14:paraId="31ACE368"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Ethical Priority</w:t>
            </w:r>
          </w:p>
        </w:tc>
        <w:tc>
          <w:tcPr>
            <w:tcW w:w="0" w:type="auto"/>
            <w:hideMark/>
          </w:tcPr>
          <w:p w14:paraId="509CD217"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Strategic Benefit</w:t>
            </w:r>
          </w:p>
        </w:tc>
      </w:tr>
      <w:tr w:rsidR="00CF43BB" w:rsidRPr="00BD3B59" w14:paraId="59989DEA" w14:textId="77777777" w:rsidTr="00A25FDD">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1B8CACAD" w14:textId="77777777" w:rsidR="00CF43BB" w:rsidRPr="00BD3B59" w:rsidRDefault="00CF43BB" w:rsidP="00D91438">
            <w:pPr>
              <w:spacing w:line="360" w:lineRule="auto"/>
              <w:jc w:val="both"/>
              <w:rPr>
                <w:rFonts w:ascii="Arial" w:hAnsi="Arial" w:cs="Arial"/>
              </w:rPr>
            </w:pPr>
            <w:r w:rsidRPr="00BD3B59">
              <w:rPr>
                <w:rFonts w:ascii="Arial" w:hAnsi="Arial" w:cs="Arial"/>
              </w:rPr>
              <w:t>Labour</w:t>
            </w:r>
          </w:p>
        </w:tc>
        <w:tc>
          <w:tcPr>
            <w:tcW w:w="0" w:type="auto"/>
            <w:hideMark/>
          </w:tcPr>
          <w:p w14:paraId="7EC91D25"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Fair treatment and safety</w:t>
            </w:r>
          </w:p>
        </w:tc>
        <w:tc>
          <w:tcPr>
            <w:tcW w:w="0" w:type="auto"/>
            <w:hideMark/>
          </w:tcPr>
          <w:p w14:paraId="04700C68"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reputational risk</w:t>
            </w:r>
          </w:p>
        </w:tc>
      </w:tr>
      <w:tr w:rsidR="00CF43BB" w:rsidRPr="00BD3B59" w14:paraId="201E556C" w14:textId="77777777" w:rsidTr="00A25FDD">
        <w:trPr>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4EEEF352" w14:textId="77777777" w:rsidR="00CF43BB" w:rsidRPr="00BD3B59" w:rsidRDefault="00CF43BB" w:rsidP="00D91438">
            <w:pPr>
              <w:spacing w:line="360" w:lineRule="auto"/>
              <w:jc w:val="both"/>
              <w:rPr>
                <w:rFonts w:ascii="Arial" w:hAnsi="Arial" w:cs="Arial"/>
              </w:rPr>
            </w:pPr>
            <w:r w:rsidRPr="00BD3B59">
              <w:rPr>
                <w:rFonts w:ascii="Arial" w:hAnsi="Arial" w:cs="Arial"/>
              </w:rPr>
              <w:t>Supply chain</w:t>
            </w:r>
          </w:p>
        </w:tc>
        <w:tc>
          <w:tcPr>
            <w:tcW w:w="0" w:type="auto"/>
            <w:hideMark/>
          </w:tcPr>
          <w:p w14:paraId="3FF97E69"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Responsible mineral sourcing</w:t>
            </w:r>
          </w:p>
        </w:tc>
        <w:tc>
          <w:tcPr>
            <w:tcW w:w="0" w:type="auto"/>
            <w:hideMark/>
          </w:tcPr>
          <w:p w14:paraId="61735204"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Stronger ESG profile</w:t>
            </w:r>
          </w:p>
        </w:tc>
      </w:tr>
      <w:tr w:rsidR="00CF43BB" w:rsidRPr="00BD3B59" w14:paraId="30DC6ABF" w14:textId="77777777" w:rsidTr="00A25FDD">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46BFCE46" w14:textId="77777777" w:rsidR="00CF43BB" w:rsidRPr="00BD3B59" w:rsidRDefault="00CF43BB" w:rsidP="00D91438">
            <w:pPr>
              <w:spacing w:line="360" w:lineRule="auto"/>
              <w:jc w:val="both"/>
              <w:rPr>
                <w:rFonts w:ascii="Arial" w:hAnsi="Arial" w:cs="Arial"/>
              </w:rPr>
            </w:pPr>
            <w:r w:rsidRPr="00BD3B59">
              <w:rPr>
                <w:rFonts w:ascii="Arial" w:hAnsi="Arial" w:cs="Arial"/>
              </w:rPr>
              <w:t>Environment</w:t>
            </w:r>
          </w:p>
        </w:tc>
        <w:tc>
          <w:tcPr>
            <w:tcW w:w="0" w:type="auto"/>
            <w:hideMark/>
          </w:tcPr>
          <w:p w14:paraId="47593C8E"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Low-carbon production</w:t>
            </w:r>
          </w:p>
        </w:tc>
        <w:tc>
          <w:tcPr>
            <w:tcW w:w="0" w:type="auto"/>
            <w:hideMark/>
          </w:tcPr>
          <w:p w14:paraId="4574E75B"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Investor confidence</w:t>
            </w:r>
          </w:p>
        </w:tc>
      </w:tr>
      <w:tr w:rsidR="00CF43BB" w:rsidRPr="00BD3B59" w14:paraId="2DB2A37F" w14:textId="77777777" w:rsidTr="00A25FDD">
        <w:trPr>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12F7EF51" w14:textId="77777777" w:rsidR="00CF43BB" w:rsidRPr="00BD3B59" w:rsidRDefault="00CF43BB" w:rsidP="00D91438">
            <w:pPr>
              <w:spacing w:line="360" w:lineRule="auto"/>
              <w:jc w:val="both"/>
              <w:rPr>
                <w:rFonts w:ascii="Arial" w:hAnsi="Arial" w:cs="Arial"/>
              </w:rPr>
            </w:pPr>
            <w:r w:rsidRPr="00BD3B59">
              <w:rPr>
                <w:rFonts w:ascii="Arial" w:hAnsi="Arial" w:cs="Arial"/>
              </w:rPr>
              <w:t>Governance</w:t>
            </w:r>
          </w:p>
        </w:tc>
        <w:tc>
          <w:tcPr>
            <w:tcW w:w="0" w:type="auto"/>
            <w:hideMark/>
          </w:tcPr>
          <w:p w14:paraId="4CA4A64E"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Transparent reporting</w:t>
            </w:r>
          </w:p>
        </w:tc>
        <w:tc>
          <w:tcPr>
            <w:tcW w:w="0" w:type="auto"/>
            <w:hideMark/>
          </w:tcPr>
          <w:p w14:paraId="638CDAC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Lower cost of capital</w:t>
            </w:r>
          </w:p>
        </w:tc>
      </w:tr>
    </w:tbl>
    <w:p w14:paraId="3936FB61"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001655E2" w:rsidRPr="00BD3B59">
        <w:rPr>
          <w:rFonts w:ascii="Arial" w:hAnsi="Arial" w:cs="Arial"/>
        </w:rPr>
        <w:t xml:space="preserve"> Friede et al. </w:t>
      </w:r>
      <w:r w:rsidRPr="00BD3B59">
        <w:rPr>
          <w:rFonts w:ascii="Arial" w:hAnsi="Arial" w:cs="Arial"/>
        </w:rPr>
        <w:t>(2015).</w:t>
      </w:r>
    </w:p>
    <w:p w14:paraId="4D68585A" w14:textId="77777777" w:rsidR="00CF43BB" w:rsidRPr="00BD3B59" w:rsidRDefault="00CF43BB" w:rsidP="00345D53">
      <w:pPr>
        <w:pStyle w:val="Heading2"/>
      </w:pPr>
      <w:bookmarkStart w:id="48" w:name="_Toc227799639"/>
      <w:r w:rsidRPr="00BD3B59">
        <w:t>4.8 Recommended Turnaround Strategy</w:t>
      </w:r>
      <w:bookmarkEnd w:id="48"/>
    </w:p>
    <w:p w14:paraId="37124864"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The most effective restructuring model for Tesla is a </w:t>
      </w:r>
      <w:r w:rsidRPr="00BD3B59">
        <w:rPr>
          <w:rFonts w:ascii="Arial" w:hAnsi="Arial" w:cs="Arial"/>
          <w:bCs/>
        </w:rPr>
        <w:t>value-restoration strategy</w:t>
      </w:r>
      <w:r w:rsidRPr="00BD3B59">
        <w:rPr>
          <w:rFonts w:ascii="Arial" w:hAnsi="Arial" w:cs="Arial"/>
        </w:rPr>
        <w:t xml:space="preserve"> rather than a crisis turnaround. The company should combine selective divestiture, moderate green bond financing, cost restructuring and strategic alliances while preserving its low-gearing balance sheet.</w:t>
      </w:r>
    </w:p>
    <w:p w14:paraId="536FFA0C" w14:textId="77777777" w:rsidR="005A3A07" w:rsidRPr="00BD3B59" w:rsidRDefault="005A3A07" w:rsidP="005A3A07">
      <w:pPr>
        <w:pStyle w:val="Caption"/>
        <w:keepNext/>
        <w:rPr>
          <w:rFonts w:ascii="Arial" w:hAnsi="Arial" w:cs="Arial"/>
          <w:b/>
          <w:i w:val="0"/>
          <w:sz w:val="24"/>
          <w:szCs w:val="24"/>
        </w:rPr>
      </w:pPr>
      <w:bookmarkStart w:id="49" w:name="_Toc227799767"/>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20</w:t>
      </w:r>
      <w:r w:rsidR="00F52EE6" w:rsidRPr="00BD3B59">
        <w:rPr>
          <w:rFonts w:ascii="Arial" w:hAnsi="Arial" w:cs="Arial"/>
          <w:b/>
          <w:i w:val="0"/>
          <w:sz w:val="24"/>
          <w:szCs w:val="24"/>
        </w:rPr>
        <w:fldChar w:fldCharType="end"/>
      </w:r>
      <w:r w:rsidRPr="00BD3B59">
        <w:rPr>
          <w:rFonts w:ascii="Arial" w:hAnsi="Arial" w:cs="Arial"/>
          <w:b/>
          <w:i w:val="0"/>
          <w:sz w:val="24"/>
          <w:szCs w:val="24"/>
        </w:rPr>
        <w:t>: Final CFO Restructuring Plan</w:t>
      </w:r>
      <w:bookmarkEnd w:id="49"/>
    </w:p>
    <w:tbl>
      <w:tblPr>
        <w:tblStyle w:val="PlainTable5"/>
        <w:tblW w:w="9361" w:type="dxa"/>
        <w:tblLook w:val="04A0" w:firstRow="1" w:lastRow="0" w:firstColumn="1" w:lastColumn="0" w:noHBand="0" w:noVBand="1"/>
      </w:tblPr>
      <w:tblGrid>
        <w:gridCol w:w="1332"/>
        <w:gridCol w:w="3261"/>
        <w:gridCol w:w="4768"/>
      </w:tblGrid>
      <w:tr w:rsidR="00CF43BB" w:rsidRPr="00BD3B59" w14:paraId="4457D782" w14:textId="77777777" w:rsidTr="00A25FDD">
        <w:trPr>
          <w:cnfStyle w:val="100000000000" w:firstRow="1" w:lastRow="0" w:firstColumn="0" w:lastColumn="0" w:oddVBand="0" w:evenVBand="0" w:oddHBand="0" w:evenHBand="0" w:firstRowFirstColumn="0" w:firstRowLastColumn="0" w:lastRowFirstColumn="0" w:lastRowLastColumn="0"/>
          <w:trHeight w:val="538"/>
        </w:trPr>
        <w:tc>
          <w:tcPr>
            <w:cnfStyle w:val="001000000100" w:firstRow="0" w:lastRow="0" w:firstColumn="1" w:lastColumn="0" w:oddVBand="0" w:evenVBand="0" w:oddHBand="0" w:evenHBand="0" w:firstRowFirstColumn="1" w:firstRowLastColumn="0" w:lastRowFirstColumn="0" w:lastRowLastColumn="0"/>
            <w:tcW w:w="0" w:type="auto"/>
            <w:hideMark/>
          </w:tcPr>
          <w:p w14:paraId="09D87069" w14:textId="77777777" w:rsidR="00CF43BB" w:rsidRPr="00BD3B59" w:rsidRDefault="00CF43BB" w:rsidP="00D91438">
            <w:pPr>
              <w:spacing w:after="160" w:line="360" w:lineRule="auto"/>
              <w:jc w:val="both"/>
              <w:rPr>
                <w:rFonts w:ascii="Arial" w:hAnsi="Arial" w:cs="Arial"/>
                <w:bCs/>
              </w:rPr>
            </w:pPr>
            <w:r w:rsidRPr="00BD3B59">
              <w:rPr>
                <w:rFonts w:ascii="Arial" w:hAnsi="Arial" w:cs="Arial"/>
                <w:bCs/>
              </w:rPr>
              <w:t>Priority</w:t>
            </w:r>
          </w:p>
        </w:tc>
        <w:tc>
          <w:tcPr>
            <w:tcW w:w="0" w:type="auto"/>
            <w:hideMark/>
          </w:tcPr>
          <w:p w14:paraId="4F5D1BA6" w14:textId="77777777" w:rsidR="00CF43BB" w:rsidRPr="00BD3B59" w:rsidRDefault="00CF43BB"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Action</w:t>
            </w:r>
          </w:p>
        </w:tc>
        <w:tc>
          <w:tcPr>
            <w:tcW w:w="0" w:type="auto"/>
            <w:hideMark/>
          </w:tcPr>
          <w:p w14:paraId="41FA8F4A" w14:textId="77777777" w:rsidR="00CF43BB" w:rsidRPr="00BD3B59" w:rsidRDefault="00CF43BB"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Expected Outcome</w:t>
            </w:r>
          </w:p>
        </w:tc>
      </w:tr>
      <w:tr w:rsidR="00CF43BB" w:rsidRPr="00BD3B59" w14:paraId="3BF14654" w14:textId="77777777" w:rsidTr="00A25FDD">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78F376F5" w14:textId="77777777" w:rsidR="00CF43BB" w:rsidRPr="00BD3B59" w:rsidRDefault="00CF43BB" w:rsidP="00D91438">
            <w:pPr>
              <w:spacing w:after="160" w:line="360" w:lineRule="auto"/>
              <w:jc w:val="both"/>
              <w:rPr>
                <w:rFonts w:ascii="Arial" w:hAnsi="Arial" w:cs="Arial"/>
              </w:rPr>
            </w:pPr>
            <w:r w:rsidRPr="00BD3B59">
              <w:rPr>
                <w:rFonts w:ascii="Arial" w:hAnsi="Arial" w:cs="Arial"/>
              </w:rPr>
              <w:t>1</w:t>
            </w:r>
          </w:p>
        </w:tc>
        <w:tc>
          <w:tcPr>
            <w:tcW w:w="0" w:type="auto"/>
            <w:hideMark/>
          </w:tcPr>
          <w:p w14:paraId="2F2781F3"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Cost restructuring</w:t>
            </w:r>
          </w:p>
        </w:tc>
        <w:tc>
          <w:tcPr>
            <w:tcW w:w="0" w:type="auto"/>
            <w:hideMark/>
          </w:tcPr>
          <w:p w14:paraId="19B12551"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Margin recovery</w:t>
            </w:r>
          </w:p>
        </w:tc>
      </w:tr>
      <w:tr w:rsidR="00CF43BB" w:rsidRPr="00BD3B59" w14:paraId="316C488A" w14:textId="77777777" w:rsidTr="00A25FDD">
        <w:trPr>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3223DD4F" w14:textId="77777777" w:rsidR="00CF43BB" w:rsidRPr="00BD3B59" w:rsidRDefault="00CF43BB" w:rsidP="00D91438">
            <w:pPr>
              <w:spacing w:after="160" w:line="360" w:lineRule="auto"/>
              <w:jc w:val="both"/>
              <w:rPr>
                <w:rFonts w:ascii="Arial" w:hAnsi="Arial" w:cs="Arial"/>
              </w:rPr>
            </w:pPr>
            <w:r w:rsidRPr="00BD3B59">
              <w:rPr>
                <w:rFonts w:ascii="Arial" w:hAnsi="Arial" w:cs="Arial"/>
              </w:rPr>
              <w:t>2</w:t>
            </w:r>
          </w:p>
        </w:tc>
        <w:tc>
          <w:tcPr>
            <w:tcW w:w="0" w:type="auto"/>
            <w:hideMark/>
          </w:tcPr>
          <w:p w14:paraId="24EDDC8B"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Selective divestiture</w:t>
            </w:r>
          </w:p>
        </w:tc>
        <w:tc>
          <w:tcPr>
            <w:tcW w:w="0" w:type="auto"/>
            <w:hideMark/>
          </w:tcPr>
          <w:p w14:paraId="543286DA"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Better ROCE and asset turnover</w:t>
            </w:r>
          </w:p>
        </w:tc>
      </w:tr>
      <w:tr w:rsidR="00CF43BB" w:rsidRPr="00BD3B59" w14:paraId="2E240AF3" w14:textId="77777777" w:rsidTr="00A25FDD">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2227ACD4" w14:textId="77777777" w:rsidR="00CF43BB" w:rsidRPr="00BD3B59" w:rsidRDefault="00CF43BB" w:rsidP="00D91438">
            <w:pPr>
              <w:spacing w:after="160" w:line="360" w:lineRule="auto"/>
              <w:jc w:val="both"/>
              <w:rPr>
                <w:rFonts w:ascii="Arial" w:hAnsi="Arial" w:cs="Arial"/>
              </w:rPr>
            </w:pPr>
            <w:r w:rsidRPr="00BD3B59">
              <w:rPr>
                <w:rFonts w:ascii="Arial" w:hAnsi="Arial" w:cs="Arial"/>
              </w:rPr>
              <w:t>3</w:t>
            </w:r>
          </w:p>
        </w:tc>
        <w:tc>
          <w:tcPr>
            <w:tcW w:w="0" w:type="auto"/>
            <w:hideMark/>
          </w:tcPr>
          <w:p w14:paraId="671DFA8F"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Green bond financing</w:t>
            </w:r>
          </w:p>
        </w:tc>
        <w:tc>
          <w:tcPr>
            <w:tcW w:w="0" w:type="auto"/>
            <w:hideMark/>
          </w:tcPr>
          <w:p w14:paraId="04222CF9"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Efficient long-term funding</w:t>
            </w:r>
          </w:p>
        </w:tc>
      </w:tr>
      <w:tr w:rsidR="00CF43BB" w:rsidRPr="00BD3B59" w14:paraId="736D150F" w14:textId="77777777" w:rsidTr="00A25FDD">
        <w:trPr>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37C4D27C" w14:textId="77777777" w:rsidR="00CF43BB" w:rsidRPr="00BD3B59" w:rsidRDefault="00CF43BB" w:rsidP="00D91438">
            <w:pPr>
              <w:spacing w:after="160" w:line="360" w:lineRule="auto"/>
              <w:jc w:val="both"/>
              <w:rPr>
                <w:rFonts w:ascii="Arial" w:hAnsi="Arial" w:cs="Arial"/>
              </w:rPr>
            </w:pPr>
            <w:r w:rsidRPr="00BD3B59">
              <w:rPr>
                <w:rFonts w:ascii="Arial" w:hAnsi="Arial" w:cs="Arial"/>
              </w:rPr>
              <w:t>4</w:t>
            </w:r>
          </w:p>
        </w:tc>
        <w:tc>
          <w:tcPr>
            <w:tcW w:w="0" w:type="auto"/>
            <w:hideMark/>
          </w:tcPr>
          <w:p w14:paraId="14CBC075"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Strategic alliances</w:t>
            </w:r>
          </w:p>
        </w:tc>
        <w:tc>
          <w:tcPr>
            <w:tcW w:w="0" w:type="auto"/>
            <w:hideMark/>
          </w:tcPr>
          <w:p w14:paraId="67A30113"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Growth with lower capital risk</w:t>
            </w:r>
          </w:p>
        </w:tc>
      </w:tr>
      <w:tr w:rsidR="00CF43BB" w:rsidRPr="00BD3B59" w14:paraId="2955BFE8" w14:textId="77777777" w:rsidTr="00A25FDD">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3ACDD484" w14:textId="77777777" w:rsidR="00CF43BB" w:rsidRPr="00BD3B59" w:rsidRDefault="00CF43BB" w:rsidP="00D91438">
            <w:pPr>
              <w:spacing w:after="160" w:line="360" w:lineRule="auto"/>
              <w:jc w:val="both"/>
              <w:rPr>
                <w:rFonts w:ascii="Arial" w:hAnsi="Arial" w:cs="Arial"/>
              </w:rPr>
            </w:pPr>
            <w:r w:rsidRPr="00BD3B59">
              <w:rPr>
                <w:rFonts w:ascii="Arial" w:hAnsi="Arial" w:cs="Arial"/>
              </w:rPr>
              <w:t>5</w:t>
            </w:r>
          </w:p>
        </w:tc>
        <w:tc>
          <w:tcPr>
            <w:tcW w:w="0" w:type="auto"/>
            <w:hideMark/>
          </w:tcPr>
          <w:p w14:paraId="055E8D5F"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FX / inflation controls</w:t>
            </w:r>
          </w:p>
        </w:tc>
        <w:tc>
          <w:tcPr>
            <w:tcW w:w="0" w:type="auto"/>
            <w:hideMark/>
          </w:tcPr>
          <w:p w14:paraId="17621895"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Earnings stability</w:t>
            </w:r>
          </w:p>
        </w:tc>
      </w:tr>
      <w:tr w:rsidR="00CF43BB" w:rsidRPr="00BD3B59" w14:paraId="42D076B8" w14:textId="77777777" w:rsidTr="00A25FDD">
        <w:trPr>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59AFEE76" w14:textId="77777777" w:rsidR="00CF43BB" w:rsidRPr="00BD3B59" w:rsidRDefault="00CF43BB" w:rsidP="00D91438">
            <w:pPr>
              <w:spacing w:after="160" w:line="360" w:lineRule="auto"/>
              <w:jc w:val="both"/>
              <w:rPr>
                <w:rFonts w:ascii="Arial" w:hAnsi="Arial" w:cs="Arial"/>
              </w:rPr>
            </w:pPr>
            <w:r w:rsidRPr="00BD3B59">
              <w:rPr>
                <w:rFonts w:ascii="Arial" w:hAnsi="Arial" w:cs="Arial"/>
              </w:rPr>
              <w:t>6</w:t>
            </w:r>
          </w:p>
        </w:tc>
        <w:tc>
          <w:tcPr>
            <w:tcW w:w="0" w:type="auto"/>
            <w:hideMark/>
          </w:tcPr>
          <w:p w14:paraId="4D5C1423"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ESG-led governance</w:t>
            </w:r>
          </w:p>
        </w:tc>
        <w:tc>
          <w:tcPr>
            <w:tcW w:w="0" w:type="auto"/>
            <w:hideMark/>
          </w:tcPr>
          <w:p w14:paraId="607D5270"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Stronger investor confidence</w:t>
            </w:r>
          </w:p>
        </w:tc>
      </w:tr>
    </w:tbl>
    <w:p w14:paraId="52673720"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integrated CFO strategy.</w:t>
      </w:r>
    </w:p>
    <w:p w14:paraId="00D86DD1" w14:textId="77777777" w:rsidR="00CF43BB" w:rsidRPr="00BD3B59" w:rsidRDefault="00CF43BB" w:rsidP="00D22594">
      <w:pPr>
        <w:pStyle w:val="Heading1"/>
      </w:pPr>
      <w:bookmarkStart w:id="50" w:name="_Toc227799640"/>
      <w:r w:rsidRPr="00BD3B59">
        <w:t>5.0 Investment Appraisal and Capital Budgeting</w:t>
      </w:r>
      <w:bookmarkEnd w:id="50"/>
    </w:p>
    <w:p w14:paraId="09F9A41A"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Capital budgeting is a critical strategic responsibility of the Chief Financial Officer because it determines whether long-term investments create or destroy shareholder value. For Tesla, this decision is particularly important because recent profitability has weakened despite strong revenues. In 2024, Tesla generated revenue of </w:t>
      </w:r>
      <w:r w:rsidRPr="00BD3B59">
        <w:rPr>
          <w:rFonts w:ascii="Arial" w:hAnsi="Arial" w:cs="Arial"/>
          <w:bCs/>
        </w:rPr>
        <w:t>US$97.7 billion</w:t>
      </w:r>
      <w:r w:rsidRPr="00BD3B59">
        <w:rPr>
          <w:rFonts w:ascii="Arial" w:hAnsi="Arial" w:cs="Arial"/>
        </w:rPr>
        <w:t xml:space="preserve">, yet net income fell to </w:t>
      </w:r>
      <w:r w:rsidRPr="00BD3B59">
        <w:rPr>
          <w:rFonts w:ascii="Arial" w:hAnsi="Arial" w:cs="Arial"/>
          <w:bCs/>
        </w:rPr>
        <w:t>US$7.1 billion</w:t>
      </w:r>
      <w:r w:rsidRPr="00BD3B59">
        <w:rPr>
          <w:rFonts w:ascii="Arial" w:hAnsi="Arial" w:cs="Arial"/>
        </w:rPr>
        <w:t>, almost half the prior year level (Tesla, 2025). This means future capital expenditure must be highly selective and focused on projects that strengthen returns rather than merely expand scale.</w:t>
      </w:r>
    </w:p>
    <w:p w14:paraId="49191D43"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This section evaluates three proposed projects, each requiring an initial investment of </w:t>
      </w:r>
      <w:r w:rsidRPr="00BD3B59">
        <w:rPr>
          <w:rFonts w:ascii="Arial" w:hAnsi="Arial" w:cs="Arial"/>
          <w:bCs/>
        </w:rPr>
        <w:t>£50 million</w:t>
      </w:r>
      <w:r w:rsidRPr="00BD3B59">
        <w:rPr>
          <w:rFonts w:ascii="Arial" w:hAnsi="Arial" w:cs="Arial"/>
        </w:rPr>
        <w:t xml:space="preserve">, using five standard appraisal techniques: </w:t>
      </w:r>
      <w:r w:rsidRPr="00BD3B59">
        <w:rPr>
          <w:rFonts w:ascii="Arial" w:hAnsi="Arial" w:cs="Arial"/>
          <w:bCs/>
        </w:rPr>
        <w:t>Payback Period (PBP), Accounting Rate of Return (ARR), Net Present Value (NPV), Profitability Index (PI) and Internal Rate of Return (IRR)</w:t>
      </w:r>
      <w:r w:rsidRPr="00BD3B59">
        <w:rPr>
          <w:rFonts w:ascii="Arial" w:hAnsi="Arial" w:cs="Arial"/>
        </w:rPr>
        <w:t xml:space="preserve">. A discount rate of </w:t>
      </w:r>
      <w:r w:rsidRPr="00BD3B59">
        <w:rPr>
          <w:rFonts w:ascii="Arial" w:hAnsi="Arial" w:cs="Arial"/>
          <w:bCs/>
        </w:rPr>
        <w:t>10%</w:t>
      </w:r>
      <w:r w:rsidRPr="00BD3B59">
        <w:rPr>
          <w:rFonts w:ascii="Arial" w:hAnsi="Arial" w:cs="Arial"/>
        </w:rPr>
        <w:t xml:space="preserve"> is applied, with straight-line depreciation to zero over five years.</w:t>
      </w:r>
    </w:p>
    <w:p w14:paraId="638471EF" w14:textId="77777777" w:rsidR="00BF1795" w:rsidRPr="00BD3B59" w:rsidRDefault="00BF1795" w:rsidP="00D22594">
      <w:pPr>
        <w:pStyle w:val="Heading2"/>
      </w:pPr>
      <w:bookmarkStart w:id="51" w:name="_Toc227799641"/>
      <w:r w:rsidRPr="00BD3B59">
        <w:t>5.1 Project Data</w:t>
      </w:r>
      <w:bookmarkEnd w:id="51"/>
    </w:p>
    <w:p w14:paraId="6B13D735"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three proposed investment opportunities each require an identical </w:t>
      </w:r>
      <w:r w:rsidRPr="00BD3B59">
        <w:rPr>
          <w:rFonts w:ascii="Arial" w:hAnsi="Arial" w:cs="Arial"/>
          <w:bCs/>
        </w:rPr>
        <w:t>initial capital outlay of £50 million</w:t>
      </w:r>
      <w:r w:rsidRPr="00BD3B59">
        <w:rPr>
          <w:rFonts w:ascii="Arial" w:hAnsi="Arial" w:cs="Arial"/>
        </w:rPr>
        <w:t>, meaning the selection decision should not be based on project size, but on the quality, timing and certainty of expected cash inflows. In capital budgeting, where projects have equal initial cost, management attention should focus on which option generates faster recovery, stronger profitability and higher discounted value creation (</w:t>
      </w:r>
      <w:r w:rsidR="001655E2" w:rsidRPr="00BD3B59">
        <w:rPr>
          <w:rFonts w:ascii="Arial" w:hAnsi="Arial" w:cs="Arial"/>
        </w:rPr>
        <w:t>Allen and Lambrecht, 2025</w:t>
      </w:r>
      <w:r w:rsidRPr="00BD3B59">
        <w:rPr>
          <w:rFonts w:ascii="Arial" w:hAnsi="Arial" w:cs="Arial"/>
        </w:rPr>
        <w:t>). For Tesla, this is particularly important because recent financial performance shows declining profitability and weaker return on capital employed, implying that future investments must be more selective than during earlier expansion phases (Tesla, 2025).</w:t>
      </w:r>
    </w:p>
    <w:p w14:paraId="7333EFFB"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Although all three projects require the same investment, their cash flow patterns differ significantly. </w:t>
      </w:r>
      <w:r w:rsidRPr="00BD3B59">
        <w:rPr>
          <w:rFonts w:ascii="Arial" w:hAnsi="Arial" w:cs="Arial"/>
          <w:bCs/>
        </w:rPr>
        <w:t>Project A</w:t>
      </w:r>
      <w:r w:rsidRPr="00BD3B59">
        <w:rPr>
          <w:rFonts w:ascii="Arial" w:hAnsi="Arial" w:cs="Arial"/>
        </w:rPr>
        <w:t xml:space="preserve"> generates moderate early and mid-stage returns, peaking in Year 3 before declining. </w:t>
      </w:r>
      <w:r w:rsidRPr="00BD3B59">
        <w:rPr>
          <w:rFonts w:ascii="Arial" w:hAnsi="Arial" w:cs="Arial"/>
          <w:bCs/>
        </w:rPr>
        <w:t>Project B</w:t>
      </w:r>
      <w:r w:rsidRPr="00BD3B59">
        <w:rPr>
          <w:rFonts w:ascii="Arial" w:hAnsi="Arial" w:cs="Arial"/>
        </w:rPr>
        <w:t xml:space="preserve"> offers highly stable and predictable annual inflows of </w:t>
      </w:r>
      <w:r w:rsidRPr="00BD3B59">
        <w:rPr>
          <w:rFonts w:ascii="Arial" w:hAnsi="Arial" w:cs="Arial"/>
          <w:bCs/>
        </w:rPr>
        <w:t>£11 million</w:t>
      </w:r>
      <w:r w:rsidRPr="00BD3B59">
        <w:rPr>
          <w:rFonts w:ascii="Arial" w:hAnsi="Arial" w:cs="Arial"/>
        </w:rPr>
        <w:t xml:space="preserve"> each year, making it lower risk from a cash planning perspective. </w:t>
      </w:r>
      <w:r w:rsidRPr="00BD3B59">
        <w:rPr>
          <w:rFonts w:ascii="Arial" w:hAnsi="Arial" w:cs="Arial"/>
          <w:bCs/>
        </w:rPr>
        <w:t>Project C</w:t>
      </w:r>
      <w:r w:rsidRPr="00BD3B59">
        <w:rPr>
          <w:rFonts w:ascii="Arial" w:hAnsi="Arial" w:cs="Arial"/>
        </w:rPr>
        <w:t>, by contrast, is back-loaded and growth-oriented, producing weaker early inflows but much stronger returns in Years 3 and 4. This distinction is strategically relevant because projects with delayed but larger inflows may create more value if the business can tolerate slower early recovery.</w:t>
      </w:r>
    </w:p>
    <w:p w14:paraId="2A8A6765" w14:textId="77777777" w:rsidR="00FD15BE" w:rsidRPr="00BD3B59" w:rsidRDefault="00FD15BE" w:rsidP="00FD15BE">
      <w:pPr>
        <w:pStyle w:val="Caption"/>
        <w:keepNext/>
        <w:rPr>
          <w:rFonts w:ascii="Arial" w:hAnsi="Arial" w:cs="Arial"/>
          <w:b/>
          <w:i w:val="0"/>
          <w:sz w:val="24"/>
          <w:szCs w:val="24"/>
        </w:rPr>
      </w:pPr>
      <w:bookmarkStart w:id="52" w:name="_Toc227799768"/>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21</w:t>
      </w:r>
      <w:r w:rsidR="00F52EE6" w:rsidRPr="00BD3B59">
        <w:rPr>
          <w:rFonts w:ascii="Arial" w:hAnsi="Arial" w:cs="Arial"/>
          <w:b/>
          <w:i w:val="0"/>
          <w:sz w:val="24"/>
          <w:szCs w:val="24"/>
        </w:rPr>
        <w:fldChar w:fldCharType="end"/>
      </w:r>
      <w:r w:rsidRPr="00BD3B59">
        <w:rPr>
          <w:rFonts w:ascii="Arial" w:hAnsi="Arial" w:cs="Arial"/>
          <w:b/>
          <w:i w:val="0"/>
          <w:sz w:val="24"/>
          <w:szCs w:val="24"/>
        </w:rPr>
        <w:t>: Proposed Investment Projects</w:t>
      </w:r>
      <w:bookmarkEnd w:id="52"/>
    </w:p>
    <w:tbl>
      <w:tblPr>
        <w:tblStyle w:val="PlainTable5"/>
        <w:tblW w:w="9462" w:type="dxa"/>
        <w:tblLook w:val="04A0" w:firstRow="1" w:lastRow="0" w:firstColumn="1" w:lastColumn="0" w:noHBand="0" w:noVBand="1"/>
      </w:tblPr>
      <w:tblGrid>
        <w:gridCol w:w="1266"/>
        <w:gridCol w:w="2501"/>
        <w:gridCol w:w="1139"/>
        <w:gridCol w:w="1139"/>
        <w:gridCol w:w="1139"/>
        <w:gridCol w:w="1139"/>
        <w:gridCol w:w="1139"/>
      </w:tblGrid>
      <w:tr w:rsidR="00BF1795" w:rsidRPr="00BD3B59" w14:paraId="5B2459C2" w14:textId="77777777" w:rsidTr="00A25FDD">
        <w:trPr>
          <w:cnfStyle w:val="100000000000" w:firstRow="1" w:lastRow="0" w:firstColumn="0" w:lastColumn="0" w:oddVBand="0" w:evenVBand="0" w:oddHBand="0" w:evenHBand="0" w:firstRowFirstColumn="0" w:firstRowLastColumn="0" w:lastRowFirstColumn="0" w:lastRowLastColumn="0"/>
          <w:trHeight w:val="405"/>
        </w:trPr>
        <w:tc>
          <w:tcPr>
            <w:cnfStyle w:val="001000000100" w:firstRow="0" w:lastRow="0" w:firstColumn="1" w:lastColumn="0" w:oddVBand="0" w:evenVBand="0" w:oddHBand="0" w:evenHBand="0" w:firstRowFirstColumn="1" w:firstRowLastColumn="0" w:lastRowFirstColumn="0" w:lastRowLastColumn="0"/>
            <w:tcW w:w="0" w:type="auto"/>
            <w:hideMark/>
          </w:tcPr>
          <w:p w14:paraId="1AAD673C" w14:textId="77777777" w:rsidR="00BF1795" w:rsidRPr="00BD3B59" w:rsidRDefault="00BF1795" w:rsidP="00D91438">
            <w:pPr>
              <w:spacing w:line="360" w:lineRule="auto"/>
              <w:jc w:val="both"/>
              <w:rPr>
                <w:rFonts w:ascii="Arial" w:hAnsi="Arial" w:cs="Arial"/>
                <w:b/>
                <w:bCs/>
              </w:rPr>
            </w:pPr>
            <w:r w:rsidRPr="00BD3B59">
              <w:rPr>
                <w:rFonts w:ascii="Arial" w:hAnsi="Arial" w:cs="Arial"/>
                <w:b/>
                <w:bCs/>
              </w:rPr>
              <w:t>Project</w:t>
            </w:r>
          </w:p>
        </w:tc>
        <w:tc>
          <w:tcPr>
            <w:tcW w:w="0" w:type="auto"/>
            <w:hideMark/>
          </w:tcPr>
          <w:p w14:paraId="095E1E99"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Initial Cost (£m)</w:t>
            </w:r>
          </w:p>
        </w:tc>
        <w:tc>
          <w:tcPr>
            <w:tcW w:w="0" w:type="auto"/>
            <w:hideMark/>
          </w:tcPr>
          <w:p w14:paraId="7AC89717"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Year 1</w:t>
            </w:r>
          </w:p>
        </w:tc>
        <w:tc>
          <w:tcPr>
            <w:tcW w:w="0" w:type="auto"/>
            <w:hideMark/>
          </w:tcPr>
          <w:p w14:paraId="7C594071"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Year 2</w:t>
            </w:r>
          </w:p>
        </w:tc>
        <w:tc>
          <w:tcPr>
            <w:tcW w:w="0" w:type="auto"/>
            <w:hideMark/>
          </w:tcPr>
          <w:p w14:paraId="070A2F42"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Year 3</w:t>
            </w:r>
          </w:p>
        </w:tc>
        <w:tc>
          <w:tcPr>
            <w:tcW w:w="0" w:type="auto"/>
            <w:hideMark/>
          </w:tcPr>
          <w:p w14:paraId="2CC3A25D"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Year 4</w:t>
            </w:r>
          </w:p>
        </w:tc>
        <w:tc>
          <w:tcPr>
            <w:tcW w:w="0" w:type="auto"/>
            <w:hideMark/>
          </w:tcPr>
          <w:p w14:paraId="683883C7"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Year 5</w:t>
            </w:r>
          </w:p>
        </w:tc>
      </w:tr>
      <w:tr w:rsidR="00BF1795" w:rsidRPr="00BD3B59" w14:paraId="7F6AF1FF" w14:textId="77777777" w:rsidTr="00A25FDD">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0" w:type="auto"/>
            <w:hideMark/>
          </w:tcPr>
          <w:p w14:paraId="1C9459F8" w14:textId="77777777" w:rsidR="00BF1795" w:rsidRPr="00BD3B59" w:rsidRDefault="00BF1795" w:rsidP="00D91438">
            <w:pPr>
              <w:spacing w:line="360" w:lineRule="auto"/>
              <w:jc w:val="both"/>
              <w:rPr>
                <w:rFonts w:ascii="Arial" w:hAnsi="Arial" w:cs="Arial"/>
              </w:rPr>
            </w:pPr>
            <w:r w:rsidRPr="00BD3B59">
              <w:rPr>
                <w:rFonts w:ascii="Arial" w:hAnsi="Arial" w:cs="Arial"/>
              </w:rPr>
              <w:t>A</w:t>
            </w:r>
          </w:p>
        </w:tc>
        <w:tc>
          <w:tcPr>
            <w:tcW w:w="0" w:type="auto"/>
            <w:hideMark/>
          </w:tcPr>
          <w:p w14:paraId="024C478E"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4361B880"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w:t>
            </w:r>
          </w:p>
        </w:tc>
        <w:tc>
          <w:tcPr>
            <w:tcW w:w="0" w:type="auto"/>
            <w:hideMark/>
          </w:tcPr>
          <w:p w14:paraId="16EFDCE6"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12</w:t>
            </w:r>
          </w:p>
        </w:tc>
        <w:tc>
          <w:tcPr>
            <w:tcW w:w="0" w:type="auto"/>
            <w:hideMark/>
          </w:tcPr>
          <w:p w14:paraId="0AFA183C"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14</w:t>
            </w:r>
          </w:p>
        </w:tc>
        <w:tc>
          <w:tcPr>
            <w:tcW w:w="0" w:type="auto"/>
            <w:hideMark/>
          </w:tcPr>
          <w:p w14:paraId="37805D82"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w:t>
            </w:r>
          </w:p>
        </w:tc>
        <w:tc>
          <w:tcPr>
            <w:tcW w:w="0" w:type="auto"/>
            <w:hideMark/>
          </w:tcPr>
          <w:p w14:paraId="52902868"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8</w:t>
            </w:r>
          </w:p>
        </w:tc>
      </w:tr>
      <w:tr w:rsidR="00BF1795" w:rsidRPr="00BD3B59" w14:paraId="03AF64F2" w14:textId="77777777" w:rsidTr="00A25FDD">
        <w:trPr>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44D2CA22" w14:textId="77777777" w:rsidR="00BF1795" w:rsidRPr="00BD3B59" w:rsidRDefault="00BF1795" w:rsidP="00D91438">
            <w:pPr>
              <w:spacing w:line="360" w:lineRule="auto"/>
              <w:jc w:val="both"/>
              <w:rPr>
                <w:rFonts w:ascii="Arial" w:hAnsi="Arial" w:cs="Arial"/>
              </w:rPr>
            </w:pPr>
            <w:r w:rsidRPr="00BD3B59">
              <w:rPr>
                <w:rFonts w:ascii="Arial" w:hAnsi="Arial" w:cs="Arial"/>
              </w:rPr>
              <w:t>B</w:t>
            </w:r>
          </w:p>
        </w:tc>
        <w:tc>
          <w:tcPr>
            <w:tcW w:w="0" w:type="auto"/>
            <w:hideMark/>
          </w:tcPr>
          <w:p w14:paraId="65A155FD"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796CAA5E"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w:t>
            </w:r>
          </w:p>
        </w:tc>
        <w:tc>
          <w:tcPr>
            <w:tcW w:w="0" w:type="auto"/>
            <w:hideMark/>
          </w:tcPr>
          <w:p w14:paraId="58D0C1B9"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w:t>
            </w:r>
          </w:p>
        </w:tc>
        <w:tc>
          <w:tcPr>
            <w:tcW w:w="0" w:type="auto"/>
            <w:hideMark/>
          </w:tcPr>
          <w:p w14:paraId="5BA4AD7F"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w:t>
            </w:r>
          </w:p>
        </w:tc>
        <w:tc>
          <w:tcPr>
            <w:tcW w:w="0" w:type="auto"/>
            <w:hideMark/>
          </w:tcPr>
          <w:p w14:paraId="57A0D26D"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w:t>
            </w:r>
          </w:p>
        </w:tc>
        <w:tc>
          <w:tcPr>
            <w:tcW w:w="0" w:type="auto"/>
            <w:hideMark/>
          </w:tcPr>
          <w:p w14:paraId="4FB59203"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w:t>
            </w:r>
          </w:p>
        </w:tc>
      </w:tr>
      <w:tr w:rsidR="00BF1795" w:rsidRPr="00BD3B59" w14:paraId="07431C4D" w14:textId="77777777" w:rsidTr="00A25FD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7AC041F2" w14:textId="77777777" w:rsidR="00BF1795" w:rsidRPr="00BD3B59" w:rsidRDefault="00BF1795" w:rsidP="00D91438">
            <w:pPr>
              <w:spacing w:line="360" w:lineRule="auto"/>
              <w:jc w:val="both"/>
              <w:rPr>
                <w:rFonts w:ascii="Arial" w:hAnsi="Arial" w:cs="Arial"/>
              </w:rPr>
            </w:pPr>
            <w:r w:rsidRPr="00BD3B59">
              <w:rPr>
                <w:rFonts w:ascii="Arial" w:hAnsi="Arial" w:cs="Arial"/>
              </w:rPr>
              <w:t>C</w:t>
            </w:r>
          </w:p>
        </w:tc>
        <w:tc>
          <w:tcPr>
            <w:tcW w:w="0" w:type="auto"/>
            <w:hideMark/>
          </w:tcPr>
          <w:p w14:paraId="3CAEDD4C"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1B6C742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w:t>
            </w:r>
          </w:p>
        </w:tc>
        <w:tc>
          <w:tcPr>
            <w:tcW w:w="0" w:type="auto"/>
            <w:hideMark/>
          </w:tcPr>
          <w:p w14:paraId="2AB15B02"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w:t>
            </w:r>
          </w:p>
        </w:tc>
        <w:tc>
          <w:tcPr>
            <w:tcW w:w="0" w:type="auto"/>
            <w:hideMark/>
          </w:tcPr>
          <w:p w14:paraId="70FD16D8"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20</w:t>
            </w:r>
          </w:p>
        </w:tc>
        <w:tc>
          <w:tcPr>
            <w:tcW w:w="0" w:type="auto"/>
            <w:hideMark/>
          </w:tcPr>
          <w:p w14:paraId="3862425F"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25</w:t>
            </w:r>
          </w:p>
        </w:tc>
        <w:tc>
          <w:tcPr>
            <w:tcW w:w="0" w:type="auto"/>
            <w:hideMark/>
          </w:tcPr>
          <w:p w14:paraId="2C99118D"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w:t>
            </w:r>
          </w:p>
        </w:tc>
      </w:tr>
    </w:tbl>
    <w:p w14:paraId="34A173CA" w14:textId="77777777" w:rsidR="001655E2" w:rsidRPr="00BD3B59" w:rsidRDefault="001655E2" w:rsidP="00D91438">
      <w:pPr>
        <w:spacing w:line="360" w:lineRule="auto"/>
        <w:jc w:val="both"/>
        <w:rPr>
          <w:rFonts w:ascii="Arial" w:hAnsi="Arial" w:cs="Arial"/>
          <w:b/>
          <w:bCs/>
        </w:rPr>
      </w:pPr>
    </w:p>
    <w:p w14:paraId="30E3E09A"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From a strategic CFO perspective, </w:t>
      </w:r>
      <w:r w:rsidRPr="00BD3B59">
        <w:rPr>
          <w:rFonts w:ascii="Arial" w:hAnsi="Arial" w:cs="Arial"/>
          <w:bCs/>
        </w:rPr>
        <w:t>Project A</w:t>
      </w:r>
      <w:r w:rsidRPr="00BD3B59">
        <w:rPr>
          <w:rFonts w:ascii="Arial" w:hAnsi="Arial" w:cs="Arial"/>
        </w:rPr>
        <w:t xml:space="preserve"> appears balanced but lacks exceptional upside. </w:t>
      </w:r>
      <w:r w:rsidRPr="00BD3B59">
        <w:rPr>
          <w:rFonts w:ascii="Arial" w:hAnsi="Arial" w:cs="Arial"/>
          <w:bCs/>
        </w:rPr>
        <w:t>Project B</w:t>
      </w:r>
      <w:r w:rsidRPr="00BD3B59">
        <w:rPr>
          <w:rFonts w:ascii="Arial" w:hAnsi="Arial" w:cs="Arial"/>
        </w:rPr>
        <w:t xml:space="preserve"> offers certainty and smoother liquidity planning, which may appeal during periods of earnings volatility. </w:t>
      </w:r>
      <w:r w:rsidRPr="00BD3B59">
        <w:rPr>
          <w:rFonts w:ascii="Arial" w:hAnsi="Arial" w:cs="Arial"/>
          <w:bCs/>
        </w:rPr>
        <w:t>Project C</w:t>
      </w:r>
      <w:r w:rsidRPr="00BD3B59">
        <w:rPr>
          <w:rFonts w:ascii="Arial" w:hAnsi="Arial" w:cs="Arial"/>
        </w:rPr>
        <w:t xml:space="preserve"> appears more aggressive, sacrificing short-term recovery in exchange for stronger mid-term gains. Therefore, before formal calculations, Project C already appears most attractive where Tesla seeks future growth, whereas Project B may suit a more defensive financial strategy.</w:t>
      </w:r>
    </w:p>
    <w:p w14:paraId="312C5414" w14:textId="77777777" w:rsidR="00BF1795" w:rsidRPr="00BD3B59" w:rsidRDefault="00BF1795" w:rsidP="0086678D">
      <w:pPr>
        <w:pStyle w:val="Heading2"/>
      </w:pPr>
      <w:bookmarkStart w:id="53" w:name="_Toc227799642"/>
      <w:r w:rsidRPr="00BD3B59">
        <w:t>5.2 Payback Period (PBP)</w:t>
      </w:r>
      <w:bookmarkEnd w:id="53"/>
    </w:p>
    <w:p w14:paraId="0CA25ED5" w14:textId="77777777" w:rsidR="00BF1795" w:rsidRPr="00BD3B59" w:rsidRDefault="00BF1795" w:rsidP="00D91438">
      <w:pPr>
        <w:spacing w:line="360" w:lineRule="auto"/>
        <w:jc w:val="both"/>
        <w:rPr>
          <w:rFonts w:ascii="Arial" w:hAnsi="Arial" w:cs="Arial"/>
        </w:rPr>
      </w:pPr>
      <w:r w:rsidRPr="00BD3B59">
        <w:rPr>
          <w:rFonts w:ascii="Arial" w:hAnsi="Arial" w:cs="Arial"/>
        </w:rPr>
        <w:t>Payback Period measures the time required for a project to recover its initial investment from cumulative cash inflows. Although the method does not incorporate the time value of money or post-payback returns, it remains useful when liquidity preservation, uncertainty and capital risk are important considerations (</w:t>
      </w:r>
      <w:r w:rsidR="001655E2" w:rsidRPr="00BD3B59">
        <w:rPr>
          <w:rFonts w:ascii="Arial" w:hAnsi="Arial" w:cs="Arial"/>
        </w:rPr>
        <w:t>Ježovita</w:t>
      </w:r>
      <w:r w:rsidRPr="00BD3B59">
        <w:rPr>
          <w:rFonts w:ascii="Arial" w:hAnsi="Arial" w:cs="Arial"/>
        </w:rPr>
        <w:t>, 2022). Given Tesla’s decline in net income during 2024, faster capital recovery has become strategically more valuable.</w:t>
      </w:r>
    </w:p>
    <w:p w14:paraId="4C1CC381"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cumulative recovery profiles show clear differences among the three projects. </w:t>
      </w:r>
      <w:r w:rsidRPr="00BD3B59">
        <w:rPr>
          <w:rFonts w:ascii="Arial" w:hAnsi="Arial" w:cs="Arial"/>
          <w:bCs/>
        </w:rPr>
        <w:t>Project A</w:t>
      </w:r>
      <w:r w:rsidRPr="00BD3B59">
        <w:rPr>
          <w:rFonts w:ascii="Arial" w:hAnsi="Arial" w:cs="Arial"/>
        </w:rPr>
        <w:t xml:space="preserve"> recovers gradually, reaching </w:t>
      </w:r>
      <w:r w:rsidRPr="00BD3B59">
        <w:rPr>
          <w:rFonts w:ascii="Arial" w:hAnsi="Arial" w:cs="Arial"/>
          <w:bCs/>
        </w:rPr>
        <w:t>£46 million</w:t>
      </w:r>
      <w:r w:rsidRPr="00BD3B59">
        <w:rPr>
          <w:rFonts w:ascii="Arial" w:hAnsi="Arial" w:cs="Arial"/>
        </w:rPr>
        <w:t xml:space="preserve"> by Year 4 and crossing the investment threshold during Year 5. </w:t>
      </w:r>
      <w:r w:rsidRPr="00BD3B59">
        <w:rPr>
          <w:rFonts w:ascii="Arial" w:hAnsi="Arial" w:cs="Arial"/>
          <w:bCs/>
        </w:rPr>
        <w:t>Project B</w:t>
      </w:r>
      <w:r w:rsidRPr="00BD3B59">
        <w:rPr>
          <w:rFonts w:ascii="Arial" w:hAnsi="Arial" w:cs="Arial"/>
        </w:rPr>
        <w:t xml:space="preserve"> follows an even smoother pattern but remains slightly slower than Project A. </w:t>
      </w:r>
      <w:r w:rsidRPr="00BD3B59">
        <w:rPr>
          <w:rFonts w:ascii="Arial" w:hAnsi="Arial" w:cs="Arial"/>
          <w:bCs/>
        </w:rPr>
        <w:t>Project C</w:t>
      </w:r>
      <w:r w:rsidRPr="00BD3B59">
        <w:rPr>
          <w:rFonts w:ascii="Arial" w:hAnsi="Arial" w:cs="Arial"/>
        </w:rPr>
        <w:t xml:space="preserve"> initially lags because it returns only </w:t>
      </w:r>
      <w:r w:rsidRPr="00BD3B59">
        <w:rPr>
          <w:rFonts w:ascii="Arial" w:hAnsi="Arial" w:cs="Arial"/>
          <w:bCs/>
        </w:rPr>
        <w:t>£5 million</w:t>
      </w:r>
      <w:r w:rsidRPr="00BD3B59">
        <w:rPr>
          <w:rFonts w:ascii="Arial" w:hAnsi="Arial" w:cs="Arial"/>
        </w:rPr>
        <w:t xml:space="preserve"> in Year 1, yet rapid growth in Years 3 and 4 allows it to recover investment much earlier than competitors.</w:t>
      </w:r>
    </w:p>
    <w:p w14:paraId="06851990" w14:textId="77777777" w:rsidR="007C1AB8" w:rsidRPr="00BD3B59" w:rsidRDefault="007C1AB8" w:rsidP="00D91438">
      <w:pPr>
        <w:spacing w:line="360" w:lineRule="auto"/>
        <w:jc w:val="both"/>
        <w:rPr>
          <w:rFonts w:ascii="Arial" w:hAnsi="Arial" w:cs="Arial"/>
        </w:rPr>
      </w:pPr>
    </w:p>
    <w:p w14:paraId="3B3259CB" w14:textId="77777777" w:rsidR="005E27CF" w:rsidRPr="00BD3B59" w:rsidRDefault="005E27CF" w:rsidP="005E27CF">
      <w:pPr>
        <w:pStyle w:val="Caption"/>
        <w:keepNext/>
        <w:rPr>
          <w:rFonts w:ascii="Arial" w:hAnsi="Arial" w:cs="Arial"/>
          <w:b/>
          <w:i w:val="0"/>
          <w:sz w:val="24"/>
          <w:szCs w:val="24"/>
        </w:rPr>
      </w:pPr>
      <w:bookmarkStart w:id="54" w:name="_Toc227799769"/>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22</w:t>
      </w:r>
      <w:r w:rsidRPr="00BD3B59">
        <w:rPr>
          <w:rFonts w:ascii="Arial" w:hAnsi="Arial" w:cs="Arial"/>
          <w:b/>
          <w:i w:val="0"/>
          <w:sz w:val="24"/>
          <w:szCs w:val="24"/>
        </w:rPr>
        <w:fldChar w:fldCharType="end"/>
      </w:r>
      <w:r w:rsidRPr="00BD3B59">
        <w:rPr>
          <w:rFonts w:ascii="Arial" w:hAnsi="Arial" w:cs="Arial"/>
          <w:b/>
          <w:i w:val="0"/>
          <w:sz w:val="24"/>
          <w:szCs w:val="24"/>
        </w:rPr>
        <w:t>: Payback Period Calculations</w:t>
      </w:r>
      <w:bookmarkEnd w:id="54"/>
    </w:p>
    <w:tbl>
      <w:tblPr>
        <w:tblStyle w:val="PlainTable5"/>
        <w:tblW w:w="9406" w:type="dxa"/>
        <w:tblLook w:val="04A0" w:firstRow="1" w:lastRow="0" w:firstColumn="1" w:lastColumn="0" w:noHBand="0" w:noVBand="1"/>
      </w:tblPr>
      <w:tblGrid>
        <w:gridCol w:w="1521"/>
        <w:gridCol w:w="4946"/>
        <w:gridCol w:w="2939"/>
      </w:tblGrid>
      <w:tr w:rsidR="00BF1795" w:rsidRPr="00BD3B59" w14:paraId="1CE5AEDB" w14:textId="77777777" w:rsidTr="005E27CF">
        <w:trPr>
          <w:cnfStyle w:val="100000000000" w:firstRow="1" w:lastRow="0" w:firstColumn="0" w:lastColumn="0" w:oddVBand="0" w:evenVBand="0" w:oddHBand="0" w:evenHBand="0" w:firstRowFirstColumn="0" w:firstRowLastColumn="0" w:lastRowFirstColumn="0" w:lastRowLastColumn="0"/>
          <w:trHeight w:val="455"/>
        </w:trPr>
        <w:tc>
          <w:tcPr>
            <w:cnfStyle w:val="001000000100" w:firstRow="0" w:lastRow="0" w:firstColumn="1" w:lastColumn="0" w:oddVBand="0" w:evenVBand="0" w:oddHBand="0" w:evenHBand="0" w:firstRowFirstColumn="1" w:firstRowLastColumn="0" w:lastRowFirstColumn="0" w:lastRowLastColumn="0"/>
            <w:tcW w:w="0" w:type="auto"/>
            <w:hideMark/>
          </w:tcPr>
          <w:p w14:paraId="15AB883B"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Project</w:t>
            </w:r>
          </w:p>
        </w:tc>
        <w:tc>
          <w:tcPr>
            <w:tcW w:w="0" w:type="auto"/>
            <w:hideMark/>
          </w:tcPr>
          <w:p w14:paraId="7095FDD9"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Cumulative Cash Flow (£m)</w:t>
            </w:r>
          </w:p>
        </w:tc>
        <w:tc>
          <w:tcPr>
            <w:tcW w:w="0" w:type="auto"/>
            <w:hideMark/>
          </w:tcPr>
          <w:p w14:paraId="4538536F"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Payback Result</w:t>
            </w:r>
          </w:p>
        </w:tc>
      </w:tr>
      <w:tr w:rsidR="00BF1795" w:rsidRPr="00BD3B59" w14:paraId="10B7A78E" w14:textId="77777777" w:rsidTr="005E27CF">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0" w:type="auto"/>
            <w:hideMark/>
          </w:tcPr>
          <w:p w14:paraId="3271BFC2"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w:t>
            </w:r>
          </w:p>
        </w:tc>
        <w:tc>
          <w:tcPr>
            <w:tcW w:w="0" w:type="auto"/>
            <w:hideMark/>
          </w:tcPr>
          <w:p w14:paraId="50D631C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10, 22, 36, 46, 54</w:t>
            </w:r>
          </w:p>
        </w:tc>
        <w:tc>
          <w:tcPr>
            <w:tcW w:w="0" w:type="auto"/>
            <w:hideMark/>
          </w:tcPr>
          <w:p w14:paraId="44411B0D"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4.50 years</w:t>
            </w:r>
          </w:p>
        </w:tc>
      </w:tr>
      <w:tr w:rsidR="00BF1795" w:rsidRPr="00BD3B59" w14:paraId="045ABA2D" w14:textId="77777777" w:rsidTr="005E27CF">
        <w:trPr>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70A3A04A"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w:t>
            </w:r>
          </w:p>
        </w:tc>
        <w:tc>
          <w:tcPr>
            <w:tcW w:w="0" w:type="auto"/>
            <w:hideMark/>
          </w:tcPr>
          <w:p w14:paraId="50492F71"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11, 22, 33, 44, 55</w:t>
            </w:r>
          </w:p>
        </w:tc>
        <w:tc>
          <w:tcPr>
            <w:tcW w:w="0" w:type="auto"/>
            <w:hideMark/>
          </w:tcPr>
          <w:p w14:paraId="22ADE5EF"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4.55 years</w:t>
            </w:r>
          </w:p>
        </w:tc>
      </w:tr>
      <w:tr w:rsidR="00BF1795" w:rsidRPr="00BD3B59" w14:paraId="644AFC9E" w14:textId="77777777" w:rsidTr="005E27CF">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27A4F43D"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w:t>
            </w:r>
          </w:p>
        </w:tc>
        <w:tc>
          <w:tcPr>
            <w:tcW w:w="0" w:type="auto"/>
            <w:hideMark/>
          </w:tcPr>
          <w:p w14:paraId="7E3AA238"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5, 15, 35, 60</w:t>
            </w:r>
          </w:p>
        </w:tc>
        <w:tc>
          <w:tcPr>
            <w:tcW w:w="0" w:type="auto"/>
            <w:hideMark/>
          </w:tcPr>
          <w:p w14:paraId="2A6E4B49"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3.60 years</w:t>
            </w:r>
          </w:p>
        </w:tc>
      </w:tr>
    </w:tbl>
    <w:p w14:paraId="2BCA3615"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w:t>
      </w:r>
      <w:r w:rsidR="001655E2" w:rsidRPr="00BD3B59">
        <w:rPr>
          <w:rFonts w:ascii="Arial" w:hAnsi="Arial" w:cs="Arial"/>
        </w:rPr>
        <w:t>given</w:t>
      </w:r>
      <w:r w:rsidRPr="00BD3B59">
        <w:rPr>
          <w:rFonts w:ascii="Arial" w:hAnsi="Arial" w:cs="Arial"/>
        </w:rPr>
        <w:t xml:space="preserve"> Brief (2026).</w:t>
      </w:r>
    </w:p>
    <w:p w14:paraId="078980B3"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results show that </w:t>
      </w:r>
      <w:r w:rsidRPr="00BD3B59">
        <w:rPr>
          <w:rFonts w:ascii="Arial" w:hAnsi="Arial" w:cs="Arial"/>
          <w:bCs/>
        </w:rPr>
        <w:t>Project C</w:t>
      </w:r>
      <w:r w:rsidRPr="00BD3B59">
        <w:rPr>
          <w:rFonts w:ascii="Arial" w:hAnsi="Arial" w:cs="Arial"/>
        </w:rPr>
        <w:t xml:space="preserve"> achieves the shortest payback period at </w:t>
      </w:r>
      <w:r w:rsidRPr="00BD3B59">
        <w:rPr>
          <w:rFonts w:ascii="Arial" w:hAnsi="Arial" w:cs="Arial"/>
          <w:bCs/>
        </w:rPr>
        <w:t>3.6 years</w:t>
      </w:r>
      <w:r w:rsidRPr="00BD3B59">
        <w:rPr>
          <w:rFonts w:ascii="Arial" w:hAnsi="Arial" w:cs="Arial"/>
        </w:rPr>
        <w:t xml:space="preserve">, substantially outperforming Projects A and B, both of which require more than </w:t>
      </w:r>
      <w:r w:rsidRPr="00BD3B59">
        <w:rPr>
          <w:rFonts w:ascii="Arial" w:hAnsi="Arial" w:cs="Arial"/>
          <w:bCs/>
        </w:rPr>
        <w:t>4.5 years</w:t>
      </w:r>
      <w:r w:rsidRPr="00BD3B59">
        <w:rPr>
          <w:rFonts w:ascii="Arial" w:hAnsi="Arial" w:cs="Arial"/>
        </w:rPr>
        <w:t>. For Tesla, whose profitability weakened significantly in 2024, this is strategically important because quicker recovery reduces capital exposure and improves flexibility for reinvestment.</w:t>
      </w:r>
    </w:p>
    <w:p w14:paraId="411B07ED" w14:textId="77777777" w:rsidR="00BF1795" w:rsidRPr="00BD3B59" w:rsidRDefault="00BF1795" w:rsidP="00D91438">
      <w:pPr>
        <w:spacing w:line="360" w:lineRule="auto"/>
        <w:jc w:val="both"/>
        <w:rPr>
          <w:rFonts w:ascii="Arial" w:hAnsi="Arial" w:cs="Arial"/>
        </w:rPr>
      </w:pPr>
      <w:r w:rsidRPr="00BD3B59">
        <w:rPr>
          <w:rFonts w:ascii="Arial" w:hAnsi="Arial" w:cs="Arial"/>
        </w:rPr>
        <w:t>However, payback should not be used in isolation. A fast-repaying project may still create weak long-term value if later returns are limited. Nevertheless, under uncertain market conditions such as EV pricing pressure, rising competition and volatile battery input costs, shorter payback becomes more attractive because it lowers risk. Therefore, Project C ranks highest under the payback method and would be favoured by a risk-conscious CFO.</w:t>
      </w:r>
    </w:p>
    <w:p w14:paraId="450BF214" w14:textId="77777777" w:rsidR="00BF1795" w:rsidRPr="00BD3B59" w:rsidRDefault="00BF1795" w:rsidP="005E27CF">
      <w:pPr>
        <w:pStyle w:val="Heading2"/>
      </w:pPr>
      <w:bookmarkStart w:id="55" w:name="_Toc227799643"/>
      <w:r w:rsidRPr="00BD3B59">
        <w:t>5.3 Accounting Rate of Return (ARR)</w:t>
      </w:r>
      <w:bookmarkEnd w:id="55"/>
    </w:p>
    <w:p w14:paraId="7652C114" w14:textId="77777777" w:rsidR="00BF1795" w:rsidRPr="00BD3B59" w:rsidRDefault="00BF1795" w:rsidP="00D91438">
      <w:pPr>
        <w:spacing w:line="360" w:lineRule="auto"/>
        <w:jc w:val="both"/>
        <w:rPr>
          <w:rFonts w:ascii="Arial" w:hAnsi="Arial" w:cs="Arial"/>
        </w:rPr>
      </w:pPr>
      <w:r w:rsidRPr="00BD3B59">
        <w:rPr>
          <w:rFonts w:ascii="Arial" w:hAnsi="Arial" w:cs="Arial"/>
        </w:rPr>
        <w:t>ARR measures average annual accounting profit as a percentage of the average investment tied up in the project. Unlike payback, ARR incorporates profitability rather than only cash recovery, making it useful where management performance targets are linked to reported earnings. However, ARR still ignores the time value of money and depends on accounting profit rather than cash flow (Atrill and McLaney, 2021).</w:t>
      </w:r>
    </w:p>
    <w:p w14:paraId="5FC617F8" w14:textId="77777777" w:rsidR="00BF1795" w:rsidRPr="00BD3B59" w:rsidRDefault="00BF1795" w:rsidP="00D91438">
      <w:pPr>
        <w:spacing w:line="360" w:lineRule="auto"/>
        <w:jc w:val="both"/>
        <w:rPr>
          <w:rFonts w:ascii="Arial" w:hAnsi="Arial" w:cs="Arial"/>
        </w:rPr>
      </w:pPr>
      <w:r w:rsidRPr="00BD3B59">
        <w:rPr>
          <w:rFonts w:ascii="Arial" w:hAnsi="Arial" w:cs="Arial"/>
        </w:rPr>
        <w:t>Under the straight-line depreciation assumption:</w:t>
      </w:r>
    </w:p>
    <w:p w14:paraId="4D928119" w14:textId="77777777" w:rsidR="00BF1795" w:rsidRPr="00BD3B59" w:rsidRDefault="00BF1795" w:rsidP="00D91438">
      <w:pPr>
        <w:numPr>
          <w:ilvl w:val="0"/>
          <w:numId w:val="5"/>
        </w:numPr>
        <w:spacing w:line="360" w:lineRule="auto"/>
        <w:jc w:val="both"/>
        <w:rPr>
          <w:rFonts w:ascii="Arial" w:hAnsi="Arial" w:cs="Arial"/>
        </w:rPr>
      </w:pPr>
      <w:r w:rsidRPr="00BD3B59">
        <w:rPr>
          <w:rFonts w:ascii="Arial" w:hAnsi="Arial" w:cs="Arial"/>
          <w:b/>
          <w:bCs/>
        </w:rPr>
        <w:t>Annual depreciation = £50 million ÷ 5 = £10 million per year</w:t>
      </w:r>
      <w:r w:rsidRPr="00BD3B59">
        <w:rPr>
          <w:rFonts w:ascii="Arial" w:hAnsi="Arial" w:cs="Arial"/>
        </w:rPr>
        <w:t xml:space="preserve"> </w:t>
      </w:r>
    </w:p>
    <w:p w14:paraId="086F8D87" w14:textId="77777777" w:rsidR="00BF1795" w:rsidRPr="00BD3B59" w:rsidRDefault="00BF1795" w:rsidP="00D91438">
      <w:pPr>
        <w:numPr>
          <w:ilvl w:val="0"/>
          <w:numId w:val="5"/>
        </w:numPr>
        <w:spacing w:line="360" w:lineRule="auto"/>
        <w:jc w:val="both"/>
        <w:rPr>
          <w:rFonts w:ascii="Arial" w:hAnsi="Arial" w:cs="Arial"/>
        </w:rPr>
      </w:pPr>
      <w:r w:rsidRPr="00BD3B59">
        <w:rPr>
          <w:rFonts w:ascii="Arial" w:hAnsi="Arial" w:cs="Arial"/>
          <w:b/>
          <w:bCs/>
        </w:rPr>
        <w:t>Average investment = (50 + 0) ÷ 2 = £25 million</w:t>
      </w:r>
      <w:r w:rsidRPr="00BD3B59">
        <w:rPr>
          <w:rFonts w:ascii="Arial" w:hAnsi="Arial" w:cs="Arial"/>
        </w:rPr>
        <w:t xml:space="preserve"> </w:t>
      </w:r>
    </w:p>
    <w:p w14:paraId="3A9527AB" w14:textId="77777777" w:rsidR="00BF1795" w:rsidRPr="00BD3B59" w:rsidRDefault="00BF1795" w:rsidP="00D91438">
      <w:pPr>
        <w:spacing w:line="360" w:lineRule="auto"/>
        <w:jc w:val="both"/>
        <w:rPr>
          <w:rFonts w:ascii="Arial" w:hAnsi="Arial" w:cs="Arial"/>
        </w:rPr>
      </w:pPr>
      <w:r w:rsidRPr="00BD3B59">
        <w:rPr>
          <w:rFonts w:ascii="Arial" w:hAnsi="Arial" w:cs="Arial"/>
        </w:rPr>
        <w:t>Project profits are derived by subtracting annual depreciation from annual cash inflows. These profits are then averaged over the five-year life of each project.</w:t>
      </w:r>
    </w:p>
    <w:p w14:paraId="071FAABC" w14:textId="77777777" w:rsidR="005E27CF" w:rsidRPr="00BD3B59" w:rsidRDefault="005E27CF" w:rsidP="005E27CF">
      <w:pPr>
        <w:pStyle w:val="Caption"/>
        <w:keepNext/>
        <w:rPr>
          <w:rFonts w:ascii="Arial" w:hAnsi="Arial" w:cs="Arial"/>
          <w:b/>
          <w:i w:val="0"/>
          <w:sz w:val="24"/>
          <w:szCs w:val="24"/>
        </w:rPr>
      </w:pPr>
      <w:bookmarkStart w:id="56" w:name="_Toc227799770"/>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23</w:t>
      </w:r>
      <w:r w:rsidRPr="00BD3B59">
        <w:rPr>
          <w:rFonts w:ascii="Arial" w:hAnsi="Arial" w:cs="Arial"/>
          <w:b/>
          <w:i w:val="0"/>
          <w:sz w:val="24"/>
          <w:szCs w:val="24"/>
        </w:rPr>
        <w:fldChar w:fldCharType="end"/>
      </w:r>
      <w:r w:rsidRPr="00BD3B59">
        <w:rPr>
          <w:rFonts w:ascii="Arial" w:hAnsi="Arial" w:cs="Arial"/>
          <w:b/>
          <w:i w:val="0"/>
          <w:sz w:val="24"/>
          <w:szCs w:val="24"/>
        </w:rPr>
        <w:t>: ARR Calculations</w:t>
      </w:r>
      <w:bookmarkEnd w:id="56"/>
    </w:p>
    <w:tbl>
      <w:tblPr>
        <w:tblStyle w:val="PlainTable5"/>
        <w:tblW w:w="9171" w:type="dxa"/>
        <w:tblLook w:val="04A0" w:firstRow="1" w:lastRow="0" w:firstColumn="1" w:lastColumn="0" w:noHBand="0" w:noVBand="1"/>
      </w:tblPr>
      <w:tblGrid>
        <w:gridCol w:w="1806"/>
        <w:gridCol w:w="5791"/>
        <w:gridCol w:w="1574"/>
      </w:tblGrid>
      <w:tr w:rsidR="00BF1795" w:rsidRPr="00BD3B59" w14:paraId="54A9BCF2" w14:textId="77777777" w:rsidTr="005E27CF">
        <w:trPr>
          <w:cnfStyle w:val="100000000000" w:firstRow="1" w:lastRow="0" w:firstColumn="0" w:lastColumn="0" w:oddVBand="0" w:evenVBand="0" w:oddHBand="0" w:evenHBand="0" w:firstRowFirstColumn="0" w:firstRowLastColumn="0" w:lastRowFirstColumn="0" w:lastRowLastColumn="0"/>
          <w:trHeight w:val="435"/>
        </w:trPr>
        <w:tc>
          <w:tcPr>
            <w:cnfStyle w:val="001000000100" w:firstRow="0" w:lastRow="0" w:firstColumn="1" w:lastColumn="0" w:oddVBand="0" w:evenVBand="0" w:oddHBand="0" w:evenHBand="0" w:firstRowFirstColumn="1" w:firstRowLastColumn="0" w:lastRowFirstColumn="0" w:lastRowLastColumn="0"/>
            <w:tcW w:w="0" w:type="auto"/>
            <w:hideMark/>
          </w:tcPr>
          <w:p w14:paraId="64E59914"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Project</w:t>
            </w:r>
          </w:p>
        </w:tc>
        <w:tc>
          <w:tcPr>
            <w:tcW w:w="0" w:type="auto"/>
            <w:hideMark/>
          </w:tcPr>
          <w:p w14:paraId="572E899A"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Average Annual Profit (£m)</w:t>
            </w:r>
          </w:p>
        </w:tc>
        <w:tc>
          <w:tcPr>
            <w:tcW w:w="0" w:type="auto"/>
            <w:hideMark/>
          </w:tcPr>
          <w:p w14:paraId="2F61C405"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ARR</w:t>
            </w:r>
          </w:p>
        </w:tc>
      </w:tr>
      <w:tr w:rsidR="00BF1795" w:rsidRPr="00BD3B59" w14:paraId="13983192" w14:textId="77777777" w:rsidTr="005E27CF">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0" w:type="auto"/>
            <w:hideMark/>
          </w:tcPr>
          <w:p w14:paraId="0EC2748C"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w:t>
            </w:r>
          </w:p>
        </w:tc>
        <w:tc>
          <w:tcPr>
            <w:tcW w:w="0" w:type="auto"/>
            <w:hideMark/>
          </w:tcPr>
          <w:p w14:paraId="54FDD029"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0.8</w:t>
            </w:r>
          </w:p>
        </w:tc>
        <w:tc>
          <w:tcPr>
            <w:tcW w:w="0" w:type="auto"/>
            <w:hideMark/>
          </w:tcPr>
          <w:p w14:paraId="2827A2A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3.2%</w:t>
            </w:r>
          </w:p>
        </w:tc>
      </w:tr>
      <w:tr w:rsidR="00BF1795" w:rsidRPr="00BD3B59" w14:paraId="10D6AE2B" w14:textId="77777777" w:rsidTr="005E27CF">
        <w:trPr>
          <w:trHeight w:val="435"/>
        </w:trPr>
        <w:tc>
          <w:tcPr>
            <w:cnfStyle w:val="001000000000" w:firstRow="0" w:lastRow="0" w:firstColumn="1" w:lastColumn="0" w:oddVBand="0" w:evenVBand="0" w:oddHBand="0" w:evenHBand="0" w:firstRowFirstColumn="0" w:firstRowLastColumn="0" w:lastRowFirstColumn="0" w:lastRowLastColumn="0"/>
            <w:tcW w:w="0" w:type="auto"/>
            <w:hideMark/>
          </w:tcPr>
          <w:p w14:paraId="50B27166"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w:t>
            </w:r>
          </w:p>
        </w:tc>
        <w:tc>
          <w:tcPr>
            <w:tcW w:w="0" w:type="auto"/>
            <w:hideMark/>
          </w:tcPr>
          <w:p w14:paraId="68B53B35"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w:t>
            </w:r>
          </w:p>
        </w:tc>
        <w:tc>
          <w:tcPr>
            <w:tcW w:w="0" w:type="auto"/>
            <w:hideMark/>
          </w:tcPr>
          <w:p w14:paraId="0BAD4257"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4.0%</w:t>
            </w:r>
          </w:p>
        </w:tc>
      </w:tr>
      <w:tr w:rsidR="00BF1795" w:rsidRPr="00BD3B59" w14:paraId="13A51CEF" w14:textId="77777777" w:rsidTr="005E27CF">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0" w:type="auto"/>
            <w:hideMark/>
          </w:tcPr>
          <w:p w14:paraId="16E461B1"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w:t>
            </w:r>
          </w:p>
        </w:tc>
        <w:tc>
          <w:tcPr>
            <w:tcW w:w="0" w:type="auto"/>
            <w:hideMark/>
          </w:tcPr>
          <w:p w14:paraId="5284945F"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3.0</w:t>
            </w:r>
          </w:p>
        </w:tc>
        <w:tc>
          <w:tcPr>
            <w:tcW w:w="0" w:type="auto"/>
            <w:hideMark/>
          </w:tcPr>
          <w:p w14:paraId="433CEEE2"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12.0%</w:t>
            </w:r>
          </w:p>
        </w:tc>
      </w:tr>
    </w:tbl>
    <w:p w14:paraId="4053C594"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Brief (2026).</w:t>
      </w:r>
    </w:p>
    <w:p w14:paraId="68CFA6EA"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findings again place </w:t>
      </w:r>
      <w:r w:rsidRPr="00BD3B59">
        <w:rPr>
          <w:rFonts w:ascii="Arial" w:hAnsi="Arial" w:cs="Arial"/>
          <w:bCs/>
        </w:rPr>
        <w:t>Project C</w:t>
      </w:r>
      <w:r w:rsidRPr="00BD3B59">
        <w:rPr>
          <w:rFonts w:ascii="Arial" w:hAnsi="Arial" w:cs="Arial"/>
        </w:rPr>
        <w:t xml:space="preserve"> in first position. Its ARR of </w:t>
      </w:r>
      <w:r w:rsidRPr="00BD3B59">
        <w:rPr>
          <w:rFonts w:ascii="Arial" w:hAnsi="Arial" w:cs="Arial"/>
          <w:bCs/>
        </w:rPr>
        <w:t>12.0%</w:t>
      </w:r>
      <w:r w:rsidRPr="00BD3B59">
        <w:rPr>
          <w:rFonts w:ascii="Arial" w:hAnsi="Arial" w:cs="Arial"/>
        </w:rPr>
        <w:t xml:space="preserve"> is three times Project B and almost four times Project A. This indicates that, from an accounting profitability perspective, Project C would contribute materially more to Tesla’s earnings performance.</w:t>
      </w:r>
    </w:p>
    <w:p w14:paraId="01434B49" w14:textId="77777777" w:rsidR="00BF1795" w:rsidRPr="00BD3B59" w:rsidRDefault="00BF1795" w:rsidP="00D91438">
      <w:pPr>
        <w:spacing w:line="360" w:lineRule="auto"/>
        <w:jc w:val="both"/>
        <w:rPr>
          <w:rFonts w:ascii="Arial" w:hAnsi="Arial" w:cs="Arial"/>
        </w:rPr>
      </w:pPr>
      <w:r w:rsidRPr="00BD3B59">
        <w:rPr>
          <w:rFonts w:ascii="Arial" w:hAnsi="Arial" w:cs="Arial"/>
        </w:rPr>
        <w:t>This matters because Tesla’s recent net income decline means future projects should support both cash flow and reported profit recovery. Project A and Project B offer relatively weak ARR outcomes, suggesting they would tie up capital without materially improving earnings ratios such as ROE or EPS. By contrast, Project C appears more capable of supporting profit restoration.</w:t>
      </w:r>
    </w:p>
    <w:p w14:paraId="0DABCEB1" w14:textId="77777777" w:rsidR="00BF1795" w:rsidRPr="00BD3B59" w:rsidRDefault="00BF1795" w:rsidP="00D91438">
      <w:pPr>
        <w:spacing w:line="360" w:lineRule="auto"/>
        <w:jc w:val="both"/>
        <w:rPr>
          <w:rFonts w:ascii="Arial" w:hAnsi="Arial" w:cs="Arial"/>
        </w:rPr>
      </w:pPr>
      <w:r w:rsidRPr="00BD3B59">
        <w:rPr>
          <w:rFonts w:ascii="Arial" w:hAnsi="Arial" w:cs="Arial"/>
        </w:rPr>
        <w:t>Nevertheless, ARR should be interpreted cautiously. Since it ignores discounting, it may overstate the attractiveness of later cash flows. In Project C’s case, much of the value is concentrated in Years 3 and 4, so discounted methods such as NPV and IRR remain essential before final approval. Even so, the ARR analysis reinforces a consistent theme emerging from earlier methods: Project C appears financially superior to Projects A and B.</w:t>
      </w:r>
    </w:p>
    <w:p w14:paraId="1325255C" w14:textId="77777777" w:rsidR="00BF1795" w:rsidRPr="00BD3B59" w:rsidRDefault="00BF1795" w:rsidP="005E27CF">
      <w:pPr>
        <w:pStyle w:val="Heading2"/>
      </w:pPr>
      <w:bookmarkStart w:id="57" w:name="_Toc227799644"/>
      <w:r w:rsidRPr="00BD3B59">
        <w:t>5.4 Net Present Value (NPV)</w:t>
      </w:r>
      <w:bookmarkEnd w:id="57"/>
    </w:p>
    <w:p w14:paraId="1316FD39" w14:textId="77777777" w:rsidR="00BF1795" w:rsidRPr="00BD3B59" w:rsidRDefault="00BF1795" w:rsidP="00D91438">
      <w:pPr>
        <w:spacing w:line="360" w:lineRule="auto"/>
        <w:jc w:val="both"/>
        <w:rPr>
          <w:rFonts w:ascii="Arial" w:hAnsi="Arial" w:cs="Arial"/>
        </w:rPr>
      </w:pPr>
      <w:r w:rsidRPr="00BD3B59">
        <w:rPr>
          <w:rFonts w:ascii="Arial" w:hAnsi="Arial" w:cs="Arial"/>
        </w:rPr>
        <w:t>Net Present Value (NPV) is widely regarded as the most theoretically robust capital budgeting technique because it directly measures the increase or decrease in shareholder wealth created by an investment after considering the time value of money. Unlike Payback Period or ARR, NPV recognises that cash received earlier is more valuable than cash received later because earlier funds can be reinvested or used to reduce financing needs (</w:t>
      </w:r>
      <w:r w:rsidR="001655E2" w:rsidRPr="00BD3B59">
        <w:rPr>
          <w:rFonts w:ascii="Arial" w:hAnsi="Arial" w:cs="Arial"/>
        </w:rPr>
        <w:t>Leeper, 2022</w:t>
      </w:r>
      <w:r w:rsidRPr="00BD3B59">
        <w:rPr>
          <w:rFonts w:ascii="Arial" w:hAnsi="Arial" w:cs="Arial"/>
        </w:rPr>
        <w:t>). For Tesla, this method is particularly relevant because recent profitability pressure and lower ROCE suggest that new investments must create genuine economic value rather than simply expand scale.</w:t>
      </w:r>
    </w:p>
    <w:p w14:paraId="73FD37C7"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appraisal applies a required rate of return of </w:t>
      </w:r>
      <w:r w:rsidRPr="00BD3B59">
        <w:rPr>
          <w:rFonts w:ascii="Arial" w:hAnsi="Arial" w:cs="Arial"/>
          <w:bCs/>
        </w:rPr>
        <w:t>10%</w:t>
      </w:r>
      <w:r w:rsidRPr="00BD3B59">
        <w:rPr>
          <w:rFonts w:ascii="Arial" w:hAnsi="Arial" w:cs="Arial"/>
        </w:rPr>
        <w:t>, representing Tesla’s minimum acceptable return for medium-risk projects. Each annual cash inflow is discounted to present value using the standard discount factors below.</w:t>
      </w:r>
    </w:p>
    <w:p w14:paraId="5451BB19" w14:textId="77777777" w:rsidR="005E27CF" w:rsidRPr="00BD3B59" w:rsidRDefault="005E27CF" w:rsidP="005E27CF">
      <w:pPr>
        <w:pStyle w:val="Caption"/>
        <w:keepNext/>
        <w:rPr>
          <w:rFonts w:ascii="Arial" w:hAnsi="Arial" w:cs="Arial"/>
          <w:b/>
          <w:i w:val="0"/>
          <w:sz w:val="24"/>
          <w:szCs w:val="24"/>
        </w:rPr>
      </w:pPr>
      <w:bookmarkStart w:id="58" w:name="_Toc227799771"/>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24</w:t>
      </w:r>
      <w:r w:rsidRPr="00BD3B59">
        <w:rPr>
          <w:rFonts w:ascii="Arial" w:hAnsi="Arial" w:cs="Arial"/>
          <w:b/>
          <w:i w:val="0"/>
          <w:sz w:val="24"/>
          <w:szCs w:val="24"/>
        </w:rPr>
        <w:fldChar w:fldCharType="end"/>
      </w:r>
      <w:r w:rsidRPr="00BD3B59">
        <w:rPr>
          <w:rFonts w:ascii="Arial" w:hAnsi="Arial" w:cs="Arial"/>
          <w:b/>
          <w:i w:val="0"/>
          <w:sz w:val="24"/>
          <w:szCs w:val="24"/>
        </w:rPr>
        <w:t>: Discount Factors at 10%</w:t>
      </w:r>
      <w:bookmarkEnd w:id="58"/>
    </w:p>
    <w:tbl>
      <w:tblPr>
        <w:tblStyle w:val="PlainTable5"/>
        <w:tblW w:w="9308" w:type="dxa"/>
        <w:tblLook w:val="04A0" w:firstRow="1" w:lastRow="0" w:firstColumn="1" w:lastColumn="0" w:noHBand="0" w:noVBand="1"/>
      </w:tblPr>
      <w:tblGrid>
        <w:gridCol w:w="2445"/>
        <w:gridCol w:w="6863"/>
      </w:tblGrid>
      <w:tr w:rsidR="00BF1795" w:rsidRPr="00BD3B59" w14:paraId="0572C240" w14:textId="77777777" w:rsidTr="005E27CF">
        <w:trPr>
          <w:cnfStyle w:val="100000000000" w:firstRow="1" w:lastRow="0" w:firstColumn="0" w:lastColumn="0" w:oddVBand="0" w:evenVBand="0" w:oddHBand="0" w:evenHBand="0" w:firstRowFirstColumn="0" w:firstRowLastColumn="0" w:lastRowFirstColumn="0" w:lastRowLastColumn="0"/>
          <w:trHeight w:val="428"/>
        </w:trPr>
        <w:tc>
          <w:tcPr>
            <w:cnfStyle w:val="001000000100" w:firstRow="0" w:lastRow="0" w:firstColumn="1" w:lastColumn="0" w:oddVBand="0" w:evenVBand="0" w:oddHBand="0" w:evenHBand="0" w:firstRowFirstColumn="1" w:firstRowLastColumn="0" w:lastRowFirstColumn="0" w:lastRowLastColumn="0"/>
            <w:tcW w:w="0" w:type="auto"/>
            <w:hideMark/>
          </w:tcPr>
          <w:p w14:paraId="5E83A298"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Year</w:t>
            </w:r>
          </w:p>
        </w:tc>
        <w:tc>
          <w:tcPr>
            <w:tcW w:w="0" w:type="auto"/>
            <w:hideMark/>
          </w:tcPr>
          <w:p w14:paraId="7B018C5D"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Discount Factor</w:t>
            </w:r>
          </w:p>
        </w:tc>
      </w:tr>
      <w:tr w:rsidR="00BF1795" w:rsidRPr="00BD3B59" w14:paraId="5FD58F12" w14:textId="77777777" w:rsidTr="005E27CF">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1E92CB79"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1</w:t>
            </w:r>
          </w:p>
        </w:tc>
        <w:tc>
          <w:tcPr>
            <w:tcW w:w="0" w:type="auto"/>
            <w:hideMark/>
          </w:tcPr>
          <w:p w14:paraId="0094999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0.909</w:t>
            </w:r>
          </w:p>
        </w:tc>
      </w:tr>
      <w:tr w:rsidR="00BF1795" w:rsidRPr="00BD3B59" w14:paraId="59CBFEFE" w14:textId="77777777" w:rsidTr="005E27CF">
        <w:trPr>
          <w:trHeight w:val="428"/>
        </w:trPr>
        <w:tc>
          <w:tcPr>
            <w:cnfStyle w:val="001000000000" w:firstRow="0" w:lastRow="0" w:firstColumn="1" w:lastColumn="0" w:oddVBand="0" w:evenVBand="0" w:oddHBand="0" w:evenHBand="0" w:firstRowFirstColumn="0" w:firstRowLastColumn="0" w:lastRowFirstColumn="0" w:lastRowLastColumn="0"/>
            <w:tcW w:w="0" w:type="auto"/>
            <w:hideMark/>
          </w:tcPr>
          <w:p w14:paraId="1EDE957C"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2</w:t>
            </w:r>
          </w:p>
        </w:tc>
        <w:tc>
          <w:tcPr>
            <w:tcW w:w="0" w:type="auto"/>
            <w:hideMark/>
          </w:tcPr>
          <w:p w14:paraId="5C198339"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0.826</w:t>
            </w:r>
          </w:p>
        </w:tc>
      </w:tr>
      <w:tr w:rsidR="00BF1795" w:rsidRPr="00BD3B59" w14:paraId="6FC8EEA9" w14:textId="77777777" w:rsidTr="005E27CF">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14:paraId="02023596"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3</w:t>
            </w:r>
          </w:p>
        </w:tc>
        <w:tc>
          <w:tcPr>
            <w:tcW w:w="0" w:type="auto"/>
            <w:hideMark/>
          </w:tcPr>
          <w:p w14:paraId="29CE70C5"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0.751</w:t>
            </w:r>
          </w:p>
        </w:tc>
      </w:tr>
      <w:tr w:rsidR="00BF1795" w:rsidRPr="00BD3B59" w14:paraId="4907DC75" w14:textId="77777777" w:rsidTr="005E27CF">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0A78C9FA"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4</w:t>
            </w:r>
          </w:p>
        </w:tc>
        <w:tc>
          <w:tcPr>
            <w:tcW w:w="0" w:type="auto"/>
            <w:hideMark/>
          </w:tcPr>
          <w:p w14:paraId="56E9239B"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0.683</w:t>
            </w:r>
          </w:p>
        </w:tc>
      </w:tr>
      <w:tr w:rsidR="00BF1795" w:rsidRPr="00BD3B59" w14:paraId="0C38422F" w14:textId="77777777" w:rsidTr="005E27CF">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14:paraId="4DA1449A"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5</w:t>
            </w:r>
          </w:p>
        </w:tc>
        <w:tc>
          <w:tcPr>
            <w:tcW w:w="0" w:type="auto"/>
            <w:hideMark/>
          </w:tcPr>
          <w:p w14:paraId="3ED1A874"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0.621</w:t>
            </w:r>
          </w:p>
        </w:tc>
      </w:tr>
    </w:tbl>
    <w:p w14:paraId="654FC8F5"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10% discount rate.</w:t>
      </w:r>
    </w:p>
    <w:p w14:paraId="40DD4E93"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These discount factors show that cash flows received in later years contribute progressively less to present value. For example, </w:t>
      </w:r>
      <w:r w:rsidRPr="00BD3B59">
        <w:rPr>
          <w:rFonts w:ascii="Arial" w:hAnsi="Arial" w:cs="Arial"/>
          <w:bCs/>
        </w:rPr>
        <w:t>£1 received in Year 5 is worth only £0.621 today</w:t>
      </w:r>
      <w:r w:rsidRPr="00BD3B59">
        <w:rPr>
          <w:rFonts w:ascii="Arial" w:hAnsi="Arial" w:cs="Arial"/>
        </w:rPr>
        <w:t>, meaning projects with delayed returns become less attractive under NPV analysis.</w:t>
      </w:r>
    </w:p>
    <w:p w14:paraId="051C22A4" w14:textId="77777777" w:rsidR="005E27CF" w:rsidRPr="00BD3B59" w:rsidRDefault="005E27CF" w:rsidP="005E27CF">
      <w:pPr>
        <w:pStyle w:val="Caption"/>
        <w:keepNext/>
        <w:rPr>
          <w:rFonts w:ascii="Arial" w:hAnsi="Arial" w:cs="Arial"/>
          <w:b/>
          <w:i w:val="0"/>
          <w:sz w:val="24"/>
          <w:szCs w:val="24"/>
        </w:rPr>
      </w:pPr>
      <w:bookmarkStart w:id="59" w:name="_Toc227799772"/>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25</w:t>
      </w:r>
      <w:r w:rsidRPr="00BD3B59">
        <w:rPr>
          <w:rFonts w:ascii="Arial" w:hAnsi="Arial" w:cs="Arial"/>
          <w:b/>
          <w:i w:val="0"/>
          <w:sz w:val="24"/>
          <w:szCs w:val="24"/>
        </w:rPr>
        <w:fldChar w:fldCharType="end"/>
      </w:r>
      <w:r w:rsidRPr="00BD3B59">
        <w:rPr>
          <w:rFonts w:ascii="Arial" w:hAnsi="Arial" w:cs="Arial"/>
          <w:b/>
          <w:i w:val="0"/>
          <w:sz w:val="24"/>
          <w:szCs w:val="24"/>
        </w:rPr>
        <w:t>: NPV Results</w:t>
      </w:r>
      <w:bookmarkEnd w:id="59"/>
    </w:p>
    <w:tbl>
      <w:tblPr>
        <w:tblStyle w:val="PlainTable5"/>
        <w:tblW w:w="9354" w:type="dxa"/>
        <w:tblLook w:val="04A0" w:firstRow="1" w:lastRow="0" w:firstColumn="1" w:lastColumn="0" w:noHBand="0" w:noVBand="1"/>
      </w:tblPr>
      <w:tblGrid>
        <w:gridCol w:w="1454"/>
        <w:gridCol w:w="3242"/>
        <w:gridCol w:w="2847"/>
        <w:gridCol w:w="1811"/>
      </w:tblGrid>
      <w:tr w:rsidR="00BF1795" w:rsidRPr="00BD3B59" w14:paraId="5556C222" w14:textId="77777777" w:rsidTr="005E27CF">
        <w:trPr>
          <w:cnfStyle w:val="100000000000" w:firstRow="1" w:lastRow="0" w:firstColumn="0" w:lastColumn="0" w:oddVBand="0" w:evenVBand="0" w:oddHBand="0" w:evenHBand="0" w:firstRowFirstColumn="0" w:firstRowLastColumn="0" w:lastRowFirstColumn="0" w:lastRowLastColumn="0"/>
          <w:trHeight w:val="455"/>
        </w:trPr>
        <w:tc>
          <w:tcPr>
            <w:cnfStyle w:val="001000000100" w:firstRow="0" w:lastRow="0" w:firstColumn="1" w:lastColumn="0" w:oddVBand="0" w:evenVBand="0" w:oddHBand="0" w:evenHBand="0" w:firstRowFirstColumn="1" w:firstRowLastColumn="0" w:lastRowFirstColumn="0" w:lastRowLastColumn="0"/>
            <w:tcW w:w="0" w:type="auto"/>
            <w:hideMark/>
          </w:tcPr>
          <w:p w14:paraId="23699AC3"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Project</w:t>
            </w:r>
          </w:p>
        </w:tc>
        <w:tc>
          <w:tcPr>
            <w:tcW w:w="0" w:type="auto"/>
            <w:hideMark/>
          </w:tcPr>
          <w:p w14:paraId="2562F2A0"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PV of Inflows (£m)</w:t>
            </w:r>
          </w:p>
        </w:tc>
        <w:tc>
          <w:tcPr>
            <w:tcW w:w="0" w:type="auto"/>
            <w:hideMark/>
          </w:tcPr>
          <w:p w14:paraId="6002980C"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Initial Cost (£m)</w:t>
            </w:r>
          </w:p>
        </w:tc>
        <w:tc>
          <w:tcPr>
            <w:tcW w:w="0" w:type="auto"/>
            <w:hideMark/>
          </w:tcPr>
          <w:p w14:paraId="5E8FFFD7"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NPV (£m)</w:t>
            </w:r>
          </w:p>
        </w:tc>
      </w:tr>
      <w:tr w:rsidR="00BF1795" w:rsidRPr="00BD3B59" w14:paraId="2E939A78" w14:textId="77777777" w:rsidTr="005E27CF">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0" w:type="auto"/>
            <w:hideMark/>
          </w:tcPr>
          <w:p w14:paraId="7C6262D2"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w:t>
            </w:r>
          </w:p>
        </w:tc>
        <w:tc>
          <w:tcPr>
            <w:tcW w:w="0" w:type="auto"/>
            <w:hideMark/>
          </w:tcPr>
          <w:p w14:paraId="657615A3"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41.32</w:t>
            </w:r>
          </w:p>
        </w:tc>
        <w:tc>
          <w:tcPr>
            <w:tcW w:w="0" w:type="auto"/>
            <w:hideMark/>
          </w:tcPr>
          <w:p w14:paraId="7E28F816"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04C25716"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(8.68)</w:t>
            </w:r>
          </w:p>
        </w:tc>
      </w:tr>
      <w:tr w:rsidR="00BF1795" w:rsidRPr="00BD3B59" w14:paraId="454B5FDC" w14:textId="77777777" w:rsidTr="005E27CF">
        <w:trPr>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6F99BF43"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w:t>
            </w:r>
          </w:p>
        </w:tc>
        <w:tc>
          <w:tcPr>
            <w:tcW w:w="0" w:type="auto"/>
            <w:hideMark/>
          </w:tcPr>
          <w:p w14:paraId="784B6D17"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41.70</w:t>
            </w:r>
          </w:p>
        </w:tc>
        <w:tc>
          <w:tcPr>
            <w:tcW w:w="0" w:type="auto"/>
            <w:hideMark/>
          </w:tcPr>
          <w:p w14:paraId="00A50006"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54FE929C"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(8.30)</w:t>
            </w:r>
          </w:p>
        </w:tc>
      </w:tr>
      <w:tr w:rsidR="00BF1795" w:rsidRPr="00BD3B59" w14:paraId="3C991C7B" w14:textId="77777777" w:rsidTr="005E27CF">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77A96385"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w:t>
            </w:r>
          </w:p>
        </w:tc>
        <w:tc>
          <w:tcPr>
            <w:tcW w:w="0" w:type="auto"/>
            <w:hideMark/>
          </w:tcPr>
          <w:p w14:paraId="385BD509"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48.02</w:t>
            </w:r>
          </w:p>
        </w:tc>
        <w:tc>
          <w:tcPr>
            <w:tcW w:w="0" w:type="auto"/>
            <w:hideMark/>
          </w:tcPr>
          <w:p w14:paraId="36088D84"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0129D33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(1.98)</w:t>
            </w:r>
          </w:p>
        </w:tc>
      </w:tr>
    </w:tbl>
    <w:p w14:paraId="58E66E4E"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Brief (2026).</w:t>
      </w:r>
    </w:p>
    <w:p w14:paraId="1B22808D"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results indicate that </w:t>
      </w:r>
      <w:r w:rsidRPr="00BD3B59">
        <w:rPr>
          <w:rFonts w:ascii="Arial" w:hAnsi="Arial" w:cs="Arial"/>
          <w:bCs/>
        </w:rPr>
        <w:t>none of the three projects generates a positive NPV</w:t>
      </w:r>
      <w:r w:rsidRPr="00BD3B59">
        <w:rPr>
          <w:rFonts w:ascii="Arial" w:hAnsi="Arial" w:cs="Arial"/>
        </w:rPr>
        <w:t xml:space="preserve"> at the required 10% discount rate. In strict financial terms, this means all projects would reduce shareholder value if accepted under current assumptions. Project A would destroy approximately </w:t>
      </w:r>
      <w:r w:rsidRPr="00BD3B59">
        <w:rPr>
          <w:rFonts w:ascii="Arial" w:hAnsi="Arial" w:cs="Arial"/>
          <w:bCs/>
        </w:rPr>
        <w:t>£8.68 million</w:t>
      </w:r>
      <w:r w:rsidRPr="00BD3B59">
        <w:rPr>
          <w:rFonts w:ascii="Arial" w:hAnsi="Arial" w:cs="Arial"/>
        </w:rPr>
        <w:t xml:space="preserve">, while Project B performs only marginally better with a negative NPV of </w:t>
      </w:r>
      <w:r w:rsidRPr="00BD3B59">
        <w:rPr>
          <w:rFonts w:ascii="Arial" w:hAnsi="Arial" w:cs="Arial"/>
          <w:bCs/>
        </w:rPr>
        <w:t>£8.30 million</w:t>
      </w:r>
      <w:r w:rsidRPr="00BD3B59">
        <w:rPr>
          <w:rFonts w:ascii="Arial" w:hAnsi="Arial" w:cs="Arial"/>
        </w:rPr>
        <w:t>.</w:t>
      </w:r>
    </w:p>
    <w:p w14:paraId="15AA6F60"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Project C performs substantially better than the alternatives, producing the </w:t>
      </w:r>
      <w:r w:rsidRPr="00BD3B59">
        <w:rPr>
          <w:rFonts w:ascii="Arial" w:hAnsi="Arial" w:cs="Arial"/>
          <w:bCs/>
        </w:rPr>
        <w:t>least negative NPV of £1.98 million</w:t>
      </w:r>
      <w:r w:rsidRPr="00BD3B59">
        <w:rPr>
          <w:rFonts w:ascii="Arial" w:hAnsi="Arial" w:cs="Arial"/>
        </w:rPr>
        <w:t>. Although still below acceptance standard, it is materially closer to economic viability. This stronger result is mainly due to the larger inflows in Years 3 and 4 (£20 million and £25 million respectively), which outweigh weaker early cash flows.</w:t>
      </w:r>
    </w:p>
    <w:p w14:paraId="467F7AA9" w14:textId="77777777" w:rsidR="00BF1795" w:rsidRPr="00BD3B59" w:rsidRDefault="00BF1795" w:rsidP="00D91438">
      <w:pPr>
        <w:spacing w:line="360" w:lineRule="auto"/>
        <w:jc w:val="both"/>
        <w:rPr>
          <w:rFonts w:ascii="Arial" w:hAnsi="Arial" w:cs="Arial"/>
        </w:rPr>
      </w:pPr>
      <w:r w:rsidRPr="00BD3B59">
        <w:rPr>
          <w:rFonts w:ascii="Arial" w:hAnsi="Arial" w:cs="Arial"/>
        </w:rPr>
        <w:t>From a CFO perspective, these findings are strategically significant. Tesla’s declining margins and lower capital returns mean management should be highly selective about approving negative-value projects. If Tesla already faces pressure on ROCE, accepting projects that fail to exceed the cost of capital may further weaken shareholder returns. Therefore, unless Project C offers substantial strategic benefits such as market entry, technology acquisition or cost reduction, rejection would be financially rational.</w:t>
      </w:r>
    </w:p>
    <w:p w14:paraId="2391757F" w14:textId="77777777" w:rsidR="00BF1795" w:rsidRPr="00BD3B59" w:rsidRDefault="00BF1795" w:rsidP="00D91438">
      <w:pPr>
        <w:spacing w:line="360" w:lineRule="auto"/>
        <w:jc w:val="both"/>
        <w:rPr>
          <w:rFonts w:ascii="Arial" w:hAnsi="Arial" w:cs="Arial"/>
        </w:rPr>
      </w:pPr>
      <w:r w:rsidRPr="00BD3B59">
        <w:rPr>
          <w:rFonts w:ascii="Arial" w:hAnsi="Arial" w:cs="Arial"/>
        </w:rPr>
        <w:t>However, the narrow negative NPV of Project C also suggests that modest improvements in project execution, cost reduction or financing terms could convert it into a positive-value investment. Therefore, Project C may warrant redesign rather than immediate rejection.</w:t>
      </w:r>
    </w:p>
    <w:p w14:paraId="1E554349" w14:textId="77777777" w:rsidR="00BF1795" w:rsidRPr="00BD3B59" w:rsidRDefault="00BF1795" w:rsidP="005E27CF">
      <w:pPr>
        <w:pStyle w:val="Heading2"/>
      </w:pPr>
      <w:bookmarkStart w:id="60" w:name="_Toc227799645"/>
      <w:r w:rsidRPr="00BD3B59">
        <w:t>5.5 Profitability Index (PI)</w:t>
      </w:r>
      <w:bookmarkEnd w:id="60"/>
    </w:p>
    <w:p w14:paraId="4802F932"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Profitability Index (PI) measures the present value created for every </w:t>
      </w:r>
      <w:r w:rsidRPr="00BD3B59">
        <w:rPr>
          <w:rFonts w:ascii="Arial" w:hAnsi="Arial" w:cs="Arial"/>
          <w:bCs/>
        </w:rPr>
        <w:t>£1 invested</w:t>
      </w:r>
      <w:r w:rsidRPr="00BD3B59">
        <w:rPr>
          <w:rFonts w:ascii="Arial" w:hAnsi="Arial" w:cs="Arial"/>
        </w:rPr>
        <w:t xml:space="preserve"> and is particularly useful when capital is scarce or projects must be ranked under budget constraints. A PI above </w:t>
      </w:r>
      <w:r w:rsidRPr="00BD3B59">
        <w:rPr>
          <w:rFonts w:ascii="Arial" w:hAnsi="Arial" w:cs="Arial"/>
          <w:bCs/>
        </w:rPr>
        <w:t>1.0</w:t>
      </w:r>
      <w:r w:rsidRPr="00BD3B59">
        <w:rPr>
          <w:rFonts w:ascii="Arial" w:hAnsi="Arial" w:cs="Arial"/>
        </w:rPr>
        <w:t xml:space="preserve"> indicates that present value inflows exceed the initial investment, while a PI below 1.0 indicates value destruction (</w:t>
      </w:r>
      <w:r w:rsidR="00BA0980" w:rsidRPr="00BD3B59">
        <w:rPr>
          <w:rFonts w:ascii="Arial" w:hAnsi="Arial" w:cs="Arial"/>
        </w:rPr>
        <w:t>Chang et al., 2023</w:t>
      </w:r>
      <w:r w:rsidRPr="00BD3B59">
        <w:rPr>
          <w:rFonts w:ascii="Arial" w:hAnsi="Arial" w:cs="Arial"/>
        </w:rPr>
        <w:t>).</w:t>
      </w:r>
    </w:p>
    <w:p w14:paraId="351EDD6A" w14:textId="77777777" w:rsidR="005E27CF" w:rsidRPr="00BD3B59" w:rsidRDefault="005E27CF" w:rsidP="005E27CF">
      <w:pPr>
        <w:pStyle w:val="Caption"/>
        <w:keepNext/>
        <w:rPr>
          <w:rFonts w:ascii="Arial" w:hAnsi="Arial" w:cs="Arial"/>
          <w:b/>
          <w:i w:val="0"/>
          <w:sz w:val="24"/>
          <w:szCs w:val="24"/>
        </w:rPr>
      </w:pPr>
      <w:bookmarkStart w:id="61" w:name="_Toc227799773"/>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26</w:t>
      </w:r>
      <w:r w:rsidRPr="00BD3B59">
        <w:rPr>
          <w:rFonts w:ascii="Arial" w:hAnsi="Arial" w:cs="Arial"/>
          <w:b/>
          <w:i w:val="0"/>
          <w:sz w:val="24"/>
          <w:szCs w:val="24"/>
        </w:rPr>
        <w:fldChar w:fldCharType="end"/>
      </w:r>
      <w:r w:rsidRPr="00BD3B59">
        <w:rPr>
          <w:rFonts w:ascii="Arial" w:hAnsi="Arial" w:cs="Arial"/>
          <w:b/>
          <w:i w:val="0"/>
          <w:sz w:val="24"/>
          <w:szCs w:val="24"/>
        </w:rPr>
        <w:t>: Profitability Index Results</w:t>
      </w:r>
      <w:bookmarkEnd w:id="61"/>
    </w:p>
    <w:tbl>
      <w:tblPr>
        <w:tblStyle w:val="PlainTable5"/>
        <w:tblW w:w="9353" w:type="dxa"/>
        <w:tblLook w:val="04A0" w:firstRow="1" w:lastRow="0" w:firstColumn="1" w:lastColumn="0" w:noHBand="0" w:noVBand="1"/>
      </w:tblPr>
      <w:tblGrid>
        <w:gridCol w:w="5621"/>
        <w:gridCol w:w="3732"/>
      </w:tblGrid>
      <w:tr w:rsidR="00BF1795" w:rsidRPr="00BD3B59" w14:paraId="460BA107" w14:textId="77777777" w:rsidTr="005E27CF">
        <w:trPr>
          <w:cnfStyle w:val="100000000000" w:firstRow="1" w:lastRow="0" w:firstColumn="0" w:lastColumn="0" w:oddVBand="0" w:evenVBand="0" w:oddHBand="0" w:evenHBand="0" w:firstRowFirstColumn="0" w:firstRowLastColumn="0" w:lastRowFirstColumn="0" w:lastRowLastColumn="0"/>
          <w:trHeight w:val="405"/>
        </w:trPr>
        <w:tc>
          <w:tcPr>
            <w:cnfStyle w:val="001000000100" w:firstRow="0" w:lastRow="0" w:firstColumn="1" w:lastColumn="0" w:oddVBand="0" w:evenVBand="0" w:oddHBand="0" w:evenHBand="0" w:firstRowFirstColumn="1" w:firstRowLastColumn="0" w:lastRowFirstColumn="0" w:lastRowLastColumn="0"/>
            <w:tcW w:w="0" w:type="auto"/>
            <w:hideMark/>
          </w:tcPr>
          <w:p w14:paraId="7C20F4B6"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Project</w:t>
            </w:r>
          </w:p>
        </w:tc>
        <w:tc>
          <w:tcPr>
            <w:tcW w:w="0" w:type="auto"/>
            <w:hideMark/>
          </w:tcPr>
          <w:p w14:paraId="1758D5B8"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PI</w:t>
            </w:r>
          </w:p>
        </w:tc>
      </w:tr>
      <w:tr w:rsidR="00BF1795" w:rsidRPr="00BD3B59" w14:paraId="7AAB3F2B" w14:textId="77777777" w:rsidTr="005E27CF">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0" w:type="auto"/>
            <w:hideMark/>
          </w:tcPr>
          <w:p w14:paraId="472D5153"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w:t>
            </w:r>
          </w:p>
        </w:tc>
        <w:tc>
          <w:tcPr>
            <w:tcW w:w="0" w:type="auto"/>
            <w:hideMark/>
          </w:tcPr>
          <w:p w14:paraId="3095B771"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0.83</w:t>
            </w:r>
          </w:p>
        </w:tc>
      </w:tr>
      <w:tr w:rsidR="00BF1795" w:rsidRPr="00BD3B59" w14:paraId="5DB6D226" w14:textId="77777777" w:rsidTr="005E27CF">
        <w:trPr>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16A33BA6"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w:t>
            </w:r>
          </w:p>
        </w:tc>
        <w:tc>
          <w:tcPr>
            <w:tcW w:w="0" w:type="auto"/>
            <w:hideMark/>
          </w:tcPr>
          <w:p w14:paraId="0F341FDB"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0.83</w:t>
            </w:r>
          </w:p>
        </w:tc>
      </w:tr>
      <w:tr w:rsidR="00BF1795" w:rsidRPr="00BD3B59" w14:paraId="7FAF7725" w14:textId="77777777" w:rsidTr="005E27C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49A8E17B"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w:t>
            </w:r>
          </w:p>
        </w:tc>
        <w:tc>
          <w:tcPr>
            <w:tcW w:w="0" w:type="auto"/>
            <w:hideMark/>
          </w:tcPr>
          <w:p w14:paraId="6EDF182D"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0.96</w:t>
            </w:r>
          </w:p>
        </w:tc>
      </w:tr>
    </w:tbl>
    <w:p w14:paraId="097ACFF0"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Brief (2026).</w:t>
      </w:r>
    </w:p>
    <w:p w14:paraId="4787E9A7"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results show that Projects A and B both generate only </w:t>
      </w:r>
      <w:r w:rsidRPr="00BD3B59">
        <w:rPr>
          <w:rFonts w:ascii="Arial" w:hAnsi="Arial" w:cs="Arial"/>
          <w:bCs/>
        </w:rPr>
        <w:t>£0.83 of present value for each £1 invested</w:t>
      </w:r>
      <w:r w:rsidRPr="00BD3B59">
        <w:rPr>
          <w:rFonts w:ascii="Arial" w:hAnsi="Arial" w:cs="Arial"/>
        </w:rPr>
        <w:t xml:space="preserve">, making them relatively weak uses of capital. Project C again performs best, generating </w:t>
      </w:r>
      <w:r w:rsidRPr="00BD3B59">
        <w:rPr>
          <w:rFonts w:ascii="Arial" w:hAnsi="Arial" w:cs="Arial"/>
          <w:bCs/>
        </w:rPr>
        <w:t>£0.96</w:t>
      </w:r>
      <w:r w:rsidRPr="00BD3B59">
        <w:rPr>
          <w:rFonts w:ascii="Arial" w:hAnsi="Arial" w:cs="Arial"/>
        </w:rPr>
        <w:t xml:space="preserve"> for every £1 invested. Although this remains below the ideal threshold of 1.0, it is significantly stronger than the alternatives.</w:t>
      </w:r>
    </w:p>
    <w:p w14:paraId="6E0047DB" w14:textId="77777777" w:rsidR="00BF1795" w:rsidRPr="00BD3B59" w:rsidRDefault="00BF1795" w:rsidP="00D91438">
      <w:pPr>
        <w:spacing w:line="360" w:lineRule="auto"/>
        <w:jc w:val="both"/>
        <w:rPr>
          <w:rFonts w:ascii="Arial" w:hAnsi="Arial" w:cs="Arial"/>
        </w:rPr>
      </w:pPr>
      <w:r w:rsidRPr="00BD3B59">
        <w:rPr>
          <w:rFonts w:ascii="Arial" w:hAnsi="Arial" w:cs="Arial"/>
        </w:rPr>
        <w:t>PI is particularly relevant because Tesla’s 2024 results showed falling ROCE. In such an environment, management should favour investments with the highest value generated per pound invested. Therefore, Project C remains the most attractive option under this method.</w:t>
      </w:r>
    </w:p>
    <w:p w14:paraId="1BD1805E" w14:textId="77777777" w:rsidR="00BF1795" w:rsidRPr="00BD3B59" w:rsidRDefault="00BF1795" w:rsidP="005E27CF">
      <w:pPr>
        <w:pStyle w:val="Heading2"/>
      </w:pPr>
      <w:bookmarkStart w:id="62" w:name="_Toc227799646"/>
      <w:r w:rsidRPr="00BD3B59">
        <w:t>5.6 Internal Rate of Return (IRR)</w:t>
      </w:r>
      <w:bookmarkEnd w:id="62"/>
    </w:p>
    <w:p w14:paraId="4F364787"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Internal Rate of Return (IRR) represents the discount rate at which a project’s NPV equals zero. It can be interpreted as the project’s estimated annual return. Projects are generally accepted when IRR exceeds the company’s required rate of return, which in this case is </w:t>
      </w:r>
      <w:r w:rsidRPr="00BD3B59">
        <w:rPr>
          <w:rFonts w:ascii="Arial" w:hAnsi="Arial" w:cs="Arial"/>
          <w:bCs/>
        </w:rPr>
        <w:t>10%</w:t>
      </w:r>
      <w:r w:rsidRPr="00BD3B59">
        <w:rPr>
          <w:rFonts w:ascii="Arial" w:hAnsi="Arial" w:cs="Arial"/>
        </w:rPr>
        <w:t xml:space="preserve"> (</w:t>
      </w:r>
      <w:r w:rsidR="00BA0980" w:rsidRPr="00BD3B59">
        <w:rPr>
          <w:rFonts w:ascii="Arial" w:hAnsi="Arial" w:cs="Arial"/>
        </w:rPr>
        <w:t>Odar et al., 2015</w:t>
      </w:r>
      <w:r w:rsidRPr="00BD3B59">
        <w:rPr>
          <w:rFonts w:ascii="Arial" w:hAnsi="Arial" w:cs="Arial"/>
        </w:rPr>
        <w:t>).</w:t>
      </w:r>
    </w:p>
    <w:p w14:paraId="7062D46A" w14:textId="77777777" w:rsidR="005E27CF" w:rsidRPr="00BD3B59" w:rsidRDefault="005E27CF" w:rsidP="005E27CF">
      <w:pPr>
        <w:pStyle w:val="Caption"/>
        <w:keepNext/>
        <w:rPr>
          <w:rFonts w:ascii="Arial" w:hAnsi="Arial" w:cs="Arial"/>
          <w:b/>
          <w:i w:val="0"/>
          <w:sz w:val="24"/>
          <w:szCs w:val="24"/>
        </w:rPr>
      </w:pPr>
      <w:bookmarkStart w:id="63" w:name="_Toc227799774"/>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27</w:t>
      </w:r>
      <w:r w:rsidRPr="00BD3B59">
        <w:rPr>
          <w:rFonts w:ascii="Arial" w:hAnsi="Arial" w:cs="Arial"/>
          <w:b/>
          <w:i w:val="0"/>
          <w:sz w:val="24"/>
          <w:szCs w:val="24"/>
        </w:rPr>
        <w:fldChar w:fldCharType="end"/>
      </w:r>
      <w:r w:rsidRPr="00BD3B59">
        <w:rPr>
          <w:rFonts w:ascii="Arial" w:hAnsi="Arial" w:cs="Arial"/>
          <w:b/>
          <w:i w:val="0"/>
          <w:sz w:val="24"/>
          <w:szCs w:val="24"/>
        </w:rPr>
        <w:t>: IRR Results</w:t>
      </w:r>
      <w:bookmarkEnd w:id="63"/>
    </w:p>
    <w:tbl>
      <w:tblPr>
        <w:tblStyle w:val="PlainTable5"/>
        <w:tblW w:w="9317" w:type="dxa"/>
        <w:tblLook w:val="04A0" w:firstRow="1" w:lastRow="0" w:firstColumn="1" w:lastColumn="0" w:noHBand="0" w:noVBand="1"/>
      </w:tblPr>
      <w:tblGrid>
        <w:gridCol w:w="5349"/>
        <w:gridCol w:w="3968"/>
      </w:tblGrid>
      <w:tr w:rsidR="00BF1795" w:rsidRPr="00BD3B59" w14:paraId="6DB11BDC" w14:textId="77777777" w:rsidTr="005E27CF">
        <w:trPr>
          <w:cnfStyle w:val="100000000000" w:firstRow="1" w:lastRow="0" w:firstColumn="0" w:lastColumn="0" w:oddVBand="0" w:evenVBand="0" w:oddHBand="0" w:evenHBand="0" w:firstRowFirstColumn="0" w:firstRowLastColumn="0" w:lastRowFirstColumn="0" w:lastRowLastColumn="0"/>
          <w:trHeight w:val="381"/>
        </w:trPr>
        <w:tc>
          <w:tcPr>
            <w:cnfStyle w:val="001000000100" w:firstRow="0" w:lastRow="0" w:firstColumn="1" w:lastColumn="0" w:oddVBand="0" w:evenVBand="0" w:oddHBand="0" w:evenHBand="0" w:firstRowFirstColumn="1" w:firstRowLastColumn="0" w:lastRowFirstColumn="0" w:lastRowLastColumn="0"/>
            <w:tcW w:w="0" w:type="auto"/>
            <w:hideMark/>
          </w:tcPr>
          <w:p w14:paraId="1A7BE690"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Project</w:t>
            </w:r>
          </w:p>
        </w:tc>
        <w:tc>
          <w:tcPr>
            <w:tcW w:w="0" w:type="auto"/>
            <w:hideMark/>
          </w:tcPr>
          <w:p w14:paraId="1E48E620"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IRR</w:t>
            </w:r>
          </w:p>
        </w:tc>
      </w:tr>
      <w:tr w:rsidR="00BF1795" w:rsidRPr="00BD3B59" w14:paraId="5B0964EC" w14:textId="77777777" w:rsidTr="005E27CF">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0" w:type="auto"/>
            <w:hideMark/>
          </w:tcPr>
          <w:p w14:paraId="3E86B6A4"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w:t>
            </w:r>
          </w:p>
        </w:tc>
        <w:tc>
          <w:tcPr>
            <w:tcW w:w="0" w:type="auto"/>
            <w:hideMark/>
          </w:tcPr>
          <w:p w14:paraId="511984D3"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2.7%</w:t>
            </w:r>
          </w:p>
        </w:tc>
      </w:tr>
      <w:tr w:rsidR="00BF1795" w:rsidRPr="00BD3B59" w14:paraId="00DD2596" w14:textId="77777777" w:rsidTr="005E27CF">
        <w:trPr>
          <w:trHeight w:val="381"/>
        </w:trPr>
        <w:tc>
          <w:tcPr>
            <w:cnfStyle w:val="001000000000" w:firstRow="0" w:lastRow="0" w:firstColumn="1" w:lastColumn="0" w:oddVBand="0" w:evenVBand="0" w:oddHBand="0" w:evenHBand="0" w:firstRowFirstColumn="0" w:firstRowLastColumn="0" w:lastRowFirstColumn="0" w:lastRowLastColumn="0"/>
            <w:tcW w:w="0" w:type="auto"/>
            <w:hideMark/>
          </w:tcPr>
          <w:p w14:paraId="12719C83"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w:t>
            </w:r>
          </w:p>
        </w:tc>
        <w:tc>
          <w:tcPr>
            <w:tcW w:w="0" w:type="auto"/>
            <w:hideMark/>
          </w:tcPr>
          <w:p w14:paraId="2B8DFAD9"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3.3%</w:t>
            </w:r>
          </w:p>
        </w:tc>
      </w:tr>
      <w:tr w:rsidR="00BF1795" w:rsidRPr="00BD3B59" w14:paraId="6E2B3C69" w14:textId="77777777" w:rsidTr="005E27C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0" w:type="auto"/>
            <w:hideMark/>
          </w:tcPr>
          <w:p w14:paraId="3EF79B4C"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w:t>
            </w:r>
          </w:p>
        </w:tc>
        <w:tc>
          <w:tcPr>
            <w:tcW w:w="0" w:type="auto"/>
            <w:hideMark/>
          </w:tcPr>
          <w:p w14:paraId="3C0D881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8.6%</w:t>
            </w:r>
          </w:p>
        </w:tc>
      </w:tr>
    </w:tbl>
    <w:p w14:paraId="0BB988BA"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Brief (2026).</w:t>
      </w:r>
    </w:p>
    <w:p w14:paraId="67BEEF5B"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Project C again ranks first, producing an IRR of </w:t>
      </w:r>
      <w:r w:rsidRPr="00BD3B59">
        <w:rPr>
          <w:rFonts w:ascii="Arial" w:hAnsi="Arial" w:cs="Arial"/>
          <w:bCs/>
        </w:rPr>
        <w:t>8.6%</w:t>
      </w:r>
      <w:r w:rsidRPr="00BD3B59">
        <w:rPr>
          <w:rFonts w:ascii="Arial" w:hAnsi="Arial" w:cs="Arial"/>
        </w:rPr>
        <w:t>, considerably above Project A (</w:t>
      </w:r>
      <w:r w:rsidRPr="00BD3B59">
        <w:rPr>
          <w:rFonts w:ascii="Arial" w:hAnsi="Arial" w:cs="Arial"/>
          <w:bCs/>
        </w:rPr>
        <w:t>2.7%</w:t>
      </w:r>
      <w:r w:rsidRPr="00BD3B59">
        <w:rPr>
          <w:rFonts w:ascii="Arial" w:hAnsi="Arial" w:cs="Arial"/>
        </w:rPr>
        <w:t>) and Project B (</w:t>
      </w:r>
      <w:r w:rsidRPr="00BD3B59">
        <w:rPr>
          <w:rFonts w:ascii="Arial" w:hAnsi="Arial" w:cs="Arial"/>
          <w:bCs/>
        </w:rPr>
        <w:t>3.3%</w:t>
      </w:r>
      <w:r w:rsidRPr="00BD3B59">
        <w:rPr>
          <w:rFonts w:ascii="Arial" w:hAnsi="Arial" w:cs="Arial"/>
        </w:rPr>
        <w:t>). This confirms that Project C offers the strongest earning potential among the available choices.</w:t>
      </w:r>
    </w:p>
    <w:p w14:paraId="22F16135"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However, the critical issue is that </w:t>
      </w:r>
      <w:r w:rsidRPr="00BD3B59">
        <w:rPr>
          <w:rFonts w:ascii="Arial" w:hAnsi="Arial" w:cs="Arial"/>
          <w:bCs/>
        </w:rPr>
        <w:t>8.6% remains below Tesla’s required 10% hurdle rate</w:t>
      </w:r>
      <w:r w:rsidRPr="00BD3B59">
        <w:rPr>
          <w:rFonts w:ascii="Arial" w:hAnsi="Arial" w:cs="Arial"/>
        </w:rPr>
        <w:t>. Therefore, even the best-performing project fails to meet the minimum return standard. This means Tesla would be accepting suboptimal returns relative to its cost of capital.</w:t>
      </w:r>
    </w:p>
    <w:p w14:paraId="212AFE5B" w14:textId="77777777" w:rsidR="00BF1795" w:rsidRPr="00BD3B59" w:rsidRDefault="00BF1795" w:rsidP="00D91438">
      <w:pPr>
        <w:spacing w:line="360" w:lineRule="auto"/>
        <w:jc w:val="both"/>
        <w:rPr>
          <w:rFonts w:ascii="Arial" w:hAnsi="Arial" w:cs="Arial"/>
        </w:rPr>
      </w:pPr>
      <w:r w:rsidRPr="00BD3B59">
        <w:rPr>
          <w:rFonts w:ascii="Arial" w:hAnsi="Arial" w:cs="Arial"/>
        </w:rPr>
        <w:t>Projects A and B appear particularly unattractive under IRR analysis because returns below 4% would be difficult to justify in a company with significant alternative uses of capital such as automation, battery innovation or strategic acquisitions. Therefore, from a strict financial viewpoint, only Project C merits further consideration.</w:t>
      </w:r>
    </w:p>
    <w:p w14:paraId="096CA335" w14:textId="77777777" w:rsidR="00BF1795" w:rsidRPr="00BD3B59" w:rsidRDefault="00BF1795" w:rsidP="00D91438">
      <w:pPr>
        <w:spacing w:line="360" w:lineRule="auto"/>
        <w:jc w:val="both"/>
        <w:rPr>
          <w:rFonts w:ascii="Arial" w:hAnsi="Arial" w:cs="Arial"/>
        </w:rPr>
      </w:pPr>
      <w:r w:rsidRPr="00BD3B59">
        <w:rPr>
          <w:rFonts w:ascii="Arial" w:hAnsi="Arial" w:cs="Arial"/>
        </w:rPr>
        <w:t>IRR can sometimes favour smaller or earlier-returning projects, but in this case it aligns with NPV and PI, increasing confidence in the result.</w:t>
      </w:r>
    </w:p>
    <w:p w14:paraId="27BDD9EF" w14:textId="77777777" w:rsidR="00BF1795" w:rsidRPr="00BD3B59" w:rsidRDefault="00BF1795" w:rsidP="005E27CF">
      <w:pPr>
        <w:pStyle w:val="Heading2"/>
      </w:pPr>
      <w:bookmarkStart w:id="64" w:name="_Toc227799647"/>
      <w:r w:rsidRPr="00BD3B59">
        <w:t>5.7 Overall Financial Ranking</w:t>
      </w:r>
      <w:bookmarkEnd w:id="64"/>
    </w:p>
    <w:p w14:paraId="395E69B6" w14:textId="77777777" w:rsidR="00BF1795" w:rsidRPr="00BD3B59" w:rsidRDefault="00BF1795" w:rsidP="00D91438">
      <w:pPr>
        <w:spacing w:line="360" w:lineRule="auto"/>
        <w:jc w:val="both"/>
        <w:rPr>
          <w:rFonts w:ascii="Arial" w:hAnsi="Arial" w:cs="Arial"/>
        </w:rPr>
      </w:pPr>
      <w:r w:rsidRPr="00BD3B59">
        <w:rPr>
          <w:rFonts w:ascii="Arial" w:hAnsi="Arial" w:cs="Arial"/>
        </w:rPr>
        <w:t>To improve decision quality, results from all appraisal methods should be compared rather than relying on one measure in isolation. Each technique captures a different aspect of project attractiveness: liquidity (PBP), accounting return (ARR), shareholder value (NPV), capital efficiency (PI) and percentage return (IRR).</w:t>
      </w:r>
    </w:p>
    <w:p w14:paraId="760A3452" w14:textId="77777777" w:rsidR="005E27CF" w:rsidRPr="00BD3B59" w:rsidRDefault="005E27CF" w:rsidP="005E27CF">
      <w:pPr>
        <w:pStyle w:val="Caption"/>
        <w:keepNext/>
        <w:rPr>
          <w:rFonts w:ascii="Arial" w:hAnsi="Arial" w:cs="Arial"/>
          <w:b/>
          <w:i w:val="0"/>
          <w:sz w:val="24"/>
          <w:szCs w:val="24"/>
        </w:rPr>
      </w:pPr>
      <w:bookmarkStart w:id="65" w:name="_Toc227799775"/>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28</w:t>
      </w:r>
      <w:r w:rsidRPr="00BD3B59">
        <w:rPr>
          <w:rFonts w:ascii="Arial" w:hAnsi="Arial" w:cs="Arial"/>
          <w:b/>
          <w:i w:val="0"/>
          <w:sz w:val="24"/>
          <w:szCs w:val="24"/>
        </w:rPr>
        <w:fldChar w:fldCharType="end"/>
      </w:r>
      <w:r w:rsidRPr="00BD3B59">
        <w:rPr>
          <w:rFonts w:ascii="Arial" w:hAnsi="Arial" w:cs="Arial"/>
          <w:b/>
          <w:i w:val="0"/>
          <w:sz w:val="24"/>
          <w:szCs w:val="24"/>
        </w:rPr>
        <w:t>: Comparative Ranking of Projects</w:t>
      </w:r>
      <w:bookmarkEnd w:id="65"/>
    </w:p>
    <w:tbl>
      <w:tblPr>
        <w:tblStyle w:val="PlainTable5"/>
        <w:tblW w:w="9349" w:type="dxa"/>
        <w:tblLook w:val="04A0" w:firstRow="1" w:lastRow="0" w:firstColumn="1" w:lastColumn="0" w:noHBand="0" w:noVBand="1"/>
      </w:tblPr>
      <w:tblGrid>
        <w:gridCol w:w="2206"/>
        <w:gridCol w:w="3136"/>
        <w:gridCol w:w="4007"/>
      </w:tblGrid>
      <w:tr w:rsidR="00BF1795" w:rsidRPr="00BD3B59" w14:paraId="721A754D" w14:textId="77777777" w:rsidTr="005E27CF">
        <w:trPr>
          <w:cnfStyle w:val="100000000000" w:firstRow="1" w:lastRow="0" w:firstColumn="0" w:lastColumn="0" w:oddVBand="0" w:evenVBand="0" w:oddHBand="0" w:evenHBand="0" w:firstRowFirstColumn="0" w:firstRowLastColumn="0" w:lastRowFirstColumn="0" w:lastRowLastColumn="0"/>
          <w:trHeight w:val="380"/>
        </w:trPr>
        <w:tc>
          <w:tcPr>
            <w:cnfStyle w:val="001000000100" w:firstRow="0" w:lastRow="0" w:firstColumn="1" w:lastColumn="0" w:oddVBand="0" w:evenVBand="0" w:oddHBand="0" w:evenHBand="0" w:firstRowFirstColumn="1" w:firstRowLastColumn="0" w:lastRowFirstColumn="0" w:lastRowLastColumn="0"/>
            <w:tcW w:w="0" w:type="auto"/>
            <w:hideMark/>
          </w:tcPr>
          <w:p w14:paraId="00861964"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Method</w:t>
            </w:r>
          </w:p>
        </w:tc>
        <w:tc>
          <w:tcPr>
            <w:tcW w:w="0" w:type="auto"/>
            <w:hideMark/>
          </w:tcPr>
          <w:p w14:paraId="3388BE83"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Best Project</w:t>
            </w:r>
          </w:p>
        </w:tc>
        <w:tc>
          <w:tcPr>
            <w:tcW w:w="0" w:type="auto"/>
            <w:hideMark/>
          </w:tcPr>
          <w:p w14:paraId="20016F60"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Weakest Project</w:t>
            </w:r>
          </w:p>
        </w:tc>
      </w:tr>
      <w:tr w:rsidR="00BF1795" w:rsidRPr="00BD3B59" w14:paraId="08E3CB6C" w14:textId="77777777" w:rsidTr="005E27CF">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7C12EEBD"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Payback</w:t>
            </w:r>
          </w:p>
        </w:tc>
        <w:tc>
          <w:tcPr>
            <w:tcW w:w="0" w:type="auto"/>
            <w:hideMark/>
          </w:tcPr>
          <w:p w14:paraId="7D5DB022"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w:t>
            </w:r>
          </w:p>
        </w:tc>
        <w:tc>
          <w:tcPr>
            <w:tcW w:w="0" w:type="auto"/>
            <w:hideMark/>
          </w:tcPr>
          <w:p w14:paraId="0E3B02B6"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B</w:t>
            </w:r>
          </w:p>
        </w:tc>
      </w:tr>
      <w:tr w:rsidR="00BF1795" w:rsidRPr="00BD3B59" w14:paraId="3A479D22" w14:textId="77777777" w:rsidTr="005E27CF">
        <w:trPr>
          <w:trHeight w:val="380"/>
        </w:trPr>
        <w:tc>
          <w:tcPr>
            <w:cnfStyle w:val="001000000000" w:firstRow="0" w:lastRow="0" w:firstColumn="1" w:lastColumn="0" w:oddVBand="0" w:evenVBand="0" w:oddHBand="0" w:evenHBand="0" w:firstRowFirstColumn="0" w:firstRowLastColumn="0" w:lastRowFirstColumn="0" w:lastRowLastColumn="0"/>
            <w:tcW w:w="0" w:type="auto"/>
            <w:hideMark/>
          </w:tcPr>
          <w:p w14:paraId="25FFB6C4"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ARR</w:t>
            </w:r>
          </w:p>
        </w:tc>
        <w:tc>
          <w:tcPr>
            <w:tcW w:w="0" w:type="auto"/>
            <w:hideMark/>
          </w:tcPr>
          <w:p w14:paraId="5E135072"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C</w:t>
            </w:r>
          </w:p>
        </w:tc>
        <w:tc>
          <w:tcPr>
            <w:tcW w:w="0" w:type="auto"/>
            <w:hideMark/>
          </w:tcPr>
          <w:p w14:paraId="26021E0D"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A</w:t>
            </w:r>
          </w:p>
        </w:tc>
      </w:tr>
      <w:tr w:rsidR="00BF1795" w:rsidRPr="00BD3B59" w14:paraId="40046ABA" w14:textId="77777777" w:rsidTr="005E27C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0" w:type="auto"/>
            <w:hideMark/>
          </w:tcPr>
          <w:p w14:paraId="6863F4F8"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NPV</w:t>
            </w:r>
          </w:p>
        </w:tc>
        <w:tc>
          <w:tcPr>
            <w:tcW w:w="0" w:type="auto"/>
            <w:hideMark/>
          </w:tcPr>
          <w:p w14:paraId="5DB9C335"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w:t>
            </w:r>
          </w:p>
        </w:tc>
        <w:tc>
          <w:tcPr>
            <w:tcW w:w="0" w:type="auto"/>
            <w:hideMark/>
          </w:tcPr>
          <w:p w14:paraId="3A829E6C"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A</w:t>
            </w:r>
          </w:p>
        </w:tc>
      </w:tr>
      <w:tr w:rsidR="00BF1795" w:rsidRPr="00BD3B59" w14:paraId="6012D6CE" w14:textId="77777777" w:rsidTr="005E27CF">
        <w:trPr>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047F4514"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PI</w:t>
            </w:r>
          </w:p>
        </w:tc>
        <w:tc>
          <w:tcPr>
            <w:tcW w:w="0" w:type="auto"/>
            <w:hideMark/>
          </w:tcPr>
          <w:p w14:paraId="2189CC23"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C</w:t>
            </w:r>
          </w:p>
        </w:tc>
        <w:tc>
          <w:tcPr>
            <w:tcW w:w="0" w:type="auto"/>
            <w:hideMark/>
          </w:tcPr>
          <w:p w14:paraId="3E691336"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A / B</w:t>
            </w:r>
          </w:p>
        </w:tc>
      </w:tr>
      <w:tr w:rsidR="00BF1795" w:rsidRPr="00BD3B59" w14:paraId="541B9740" w14:textId="77777777" w:rsidTr="005E27C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0" w:type="auto"/>
            <w:hideMark/>
          </w:tcPr>
          <w:p w14:paraId="4DC79505"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IRR</w:t>
            </w:r>
          </w:p>
        </w:tc>
        <w:tc>
          <w:tcPr>
            <w:tcW w:w="0" w:type="auto"/>
            <w:hideMark/>
          </w:tcPr>
          <w:p w14:paraId="7CACC824"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w:t>
            </w:r>
          </w:p>
        </w:tc>
        <w:tc>
          <w:tcPr>
            <w:tcW w:w="0" w:type="auto"/>
            <w:hideMark/>
          </w:tcPr>
          <w:p w14:paraId="0B86F96E"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A</w:t>
            </w:r>
          </w:p>
        </w:tc>
      </w:tr>
    </w:tbl>
    <w:p w14:paraId="4186451F"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w:t>
      </w:r>
    </w:p>
    <w:p w14:paraId="57168C0E"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consistency of results is highly significant. </w:t>
      </w:r>
      <w:r w:rsidRPr="00BD3B59">
        <w:rPr>
          <w:rFonts w:ascii="Arial" w:hAnsi="Arial" w:cs="Arial"/>
          <w:bCs/>
        </w:rPr>
        <w:t>Project C ranks first under every appraisal technique</w:t>
      </w:r>
      <w:r w:rsidRPr="00BD3B59">
        <w:rPr>
          <w:rFonts w:ascii="Arial" w:hAnsi="Arial" w:cs="Arial"/>
        </w:rPr>
        <w:t>, which substantially increases confidence in the conclusion. When different methods produce conflicting outcomes, management judgement becomes more complex. In this case, however, all five methods indicate the same preferred project.</w:t>
      </w:r>
    </w:p>
    <w:p w14:paraId="1707CE1B" w14:textId="77777777" w:rsidR="005E27CF" w:rsidRDefault="00BF1795" w:rsidP="00D91438">
      <w:pPr>
        <w:spacing w:line="360" w:lineRule="auto"/>
        <w:jc w:val="both"/>
        <w:rPr>
          <w:rFonts w:ascii="Arial" w:hAnsi="Arial" w:cs="Arial"/>
        </w:rPr>
      </w:pPr>
      <w:r w:rsidRPr="00BD3B59">
        <w:rPr>
          <w:rFonts w:ascii="Arial" w:hAnsi="Arial" w:cs="Arial"/>
        </w:rPr>
        <w:t>Projects A and B perform notably weaker. Project A suffers from lower profitability and the worst NPV, while Project B offers stability but insufficient returns. Project C combines the fastest recovery, highest accounting return and st</w:t>
      </w:r>
      <w:r w:rsidR="00BA0980" w:rsidRPr="00BD3B59">
        <w:rPr>
          <w:rFonts w:ascii="Arial" w:hAnsi="Arial" w:cs="Arial"/>
        </w:rPr>
        <w:t xml:space="preserve">rongest discounted performance. </w:t>
      </w:r>
      <w:r w:rsidRPr="00BD3B59">
        <w:rPr>
          <w:rFonts w:ascii="Arial" w:hAnsi="Arial" w:cs="Arial"/>
        </w:rPr>
        <w:t>From Tesla’s CFO perspective, this consistency suggests that if one project must be selected for strategic reasons, Project C is the only defensible option. Nevertheless, because all discounted metrics remain below acceptance thresholds, approval should ideally depend on whether management can improve expected cash flows, reduce project cost or identify wider strategic ben</w:t>
      </w:r>
      <w:r w:rsidR="00A25FDD" w:rsidRPr="00BD3B59">
        <w:rPr>
          <w:rFonts w:ascii="Arial" w:hAnsi="Arial" w:cs="Arial"/>
        </w:rPr>
        <w:t>efits not captured numerically.</w:t>
      </w:r>
    </w:p>
    <w:p w14:paraId="2CA42FBC" w14:textId="77777777" w:rsidR="00866FC9" w:rsidRPr="00BD3B59" w:rsidRDefault="00866FC9" w:rsidP="00D91438">
      <w:pPr>
        <w:spacing w:line="360" w:lineRule="auto"/>
        <w:jc w:val="both"/>
        <w:rPr>
          <w:rFonts w:ascii="Arial" w:hAnsi="Arial" w:cs="Arial"/>
        </w:rPr>
      </w:pPr>
    </w:p>
    <w:p w14:paraId="217A8D32" w14:textId="77777777" w:rsidR="00BF1795" w:rsidRPr="00BD3B59" w:rsidRDefault="00BF1795" w:rsidP="005E27CF">
      <w:pPr>
        <w:pStyle w:val="Heading2"/>
      </w:pPr>
      <w:bookmarkStart w:id="66" w:name="_Toc227799648"/>
      <w:r w:rsidRPr="00BD3B59">
        <w:t>5.8 Project Recommendation</w:t>
      </w:r>
      <w:bookmarkEnd w:id="66"/>
    </w:p>
    <w:p w14:paraId="75877128" w14:textId="77777777" w:rsidR="00BF1795" w:rsidRPr="00BD3B59" w:rsidRDefault="00BF1795" w:rsidP="00D91438">
      <w:pPr>
        <w:spacing w:line="360" w:lineRule="auto"/>
        <w:jc w:val="both"/>
        <w:rPr>
          <w:rFonts w:ascii="Arial" w:hAnsi="Arial" w:cs="Arial"/>
          <w:b/>
          <w:bCs/>
        </w:rPr>
      </w:pPr>
      <w:r w:rsidRPr="00BD3B59">
        <w:rPr>
          <w:rFonts w:ascii="Arial" w:hAnsi="Arial" w:cs="Arial"/>
          <w:b/>
          <w:bCs/>
        </w:rPr>
        <w:t>Financial Evaluation</w:t>
      </w:r>
    </w:p>
    <w:p w14:paraId="680CFBFF"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Using orthodox capital budgeting principles, Tesla should technically reject all three projects because none satisfies the company’s required return benchmark. All projects generate </w:t>
      </w:r>
      <w:r w:rsidRPr="00BD3B59">
        <w:rPr>
          <w:rFonts w:ascii="Arial" w:hAnsi="Arial" w:cs="Arial"/>
          <w:bCs/>
        </w:rPr>
        <w:t>negative NPVs</w:t>
      </w:r>
      <w:r w:rsidRPr="00BD3B59">
        <w:rPr>
          <w:rFonts w:ascii="Arial" w:hAnsi="Arial" w:cs="Arial"/>
        </w:rPr>
        <w:t xml:space="preserve">, all </w:t>
      </w:r>
      <w:r w:rsidRPr="00BD3B59">
        <w:rPr>
          <w:rFonts w:ascii="Arial" w:hAnsi="Arial" w:cs="Arial"/>
          <w:bCs/>
        </w:rPr>
        <w:t>Profitability Index values are below 1.0</w:t>
      </w:r>
      <w:r w:rsidRPr="00BD3B59">
        <w:rPr>
          <w:rFonts w:ascii="Arial" w:hAnsi="Arial" w:cs="Arial"/>
        </w:rPr>
        <w:t xml:space="preserve">, and all </w:t>
      </w:r>
      <w:r w:rsidRPr="00BD3B59">
        <w:rPr>
          <w:rFonts w:ascii="Arial" w:hAnsi="Arial" w:cs="Arial"/>
          <w:bCs/>
        </w:rPr>
        <w:t>IRRs remain below the 10% hurdle rate</w:t>
      </w:r>
      <w:r w:rsidRPr="00BD3B59">
        <w:rPr>
          <w:rFonts w:ascii="Arial" w:hAnsi="Arial" w:cs="Arial"/>
        </w:rPr>
        <w:t>. This indicates that each proposal would fail to create sufficient value to compensate for Tesla’s cost of capital (</w:t>
      </w:r>
      <w:r w:rsidR="00BA0980" w:rsidRPr="00BD3B59">
        <w:rPr>
          <w:rFonts w:ascii="Arial" w:hAnsi="Arial" w:cs="Arial"/>
        </w:rPr>
        <w:t>Saukkonen et al., 2018</w:t>
      </w:r>
      <w:r w:rsidRPr="00BD3B59">
        <w:rPr>
          <w:rFonts w:ascii="Arial" w:hAnsi="Arial" w:cs="Arial"/>
        </w:rPr>
        <w:t>). Given Tesla’s recent decline in ROCE and lower profit margins, approving weak-return projects could further dilute shareholder value.</w:t>
      </w:r>
    </w:p>
    <w:p w14:paraId="552C5833" w14:textId="77777777" w:rsidR="00BF1795" w:rsidRPr="00BD3B59" w:rsidRDefault="00BF1795" w:rsidP="00D91438">
      <w:pPr>
        <w:spacing w:line="360" w:lineRule="auto"/>
        <w:jc w:val="both"/>
        <w:rPr>
          <w:rFonts w:ascii="Arial" w:hAnsi="Arial" w:cs="Arial"/>
          <w:b/>
          <w:bCs/>
        </w:rPr>
      </w:pPr>
      <w:r w:rsidRPr="00BD3B59">
        <w:rPr>
          <w:rFonts w:ascii="Arial" w:hAnsi="Arial" w:cs="Arial"/>
          <w:b/>
          <w:bCs/>
        </w:rPr>
        <w:t>Strategic Evaluation</w:t>
      </w:r>
    </w:p>
    <w:p w14:paraId="21409251"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If management must proceed for strategic reasons such as technology development, market access or production efficiency, </w:t>
      </w:r>
      <w:r w:rsidRPr="00BD3B59">
        <w:rPr>
          <w:rFonts w:ascii="Arial" w:hAnsi="Arial" w:cs="Arial"/>
          <w:bCs/>
        </w:rPr>
        <w:t>Project C</w:t>
      </w:r>
      <w:r w:rsidRPr="00BD3B59">
        <w:rPr>
          <w:rFonts w:ascii="Arial" w:hAnsi="Arial" w:cs="Arial"/>
        </w:rPr>
        <w:t xml:space="preserve"> is the strongest option. It delivers the </w:t>
      </w:r>
      <w:r w:rsidRPr="00BD3B59">
        <w:rPr>
          <w:rFonts w:ascii="Arial" w:hAnsi="Arial" w:cs="Arial"/>
          <w:bCs/>
        </w:rPr>
        <w:t>fastest payback period (3.6 years)</w:t>
      </w:r>
      <w:r w:rsidRPr="00BD3B59">
        <w:rPr>
          <w:rFonts w:ascii="Arial" w:hAnsi="Arial" w:cs="Arial"/>
        </w:rPr>
        <w:t xml:space="preserve">, the </w:t>
      </w:r>
      <w:r w:rsidRPr="00BD3B59">
        <w:rPr>
          <w:rFonts w:ascii="Arial" w:hAnsi="Arial" w:cs="Arial"/>
          <w:bCs/>
        </w:rPr>
        <w:t>highest ARR (12.0%)</w:t>
      </w:r>
      <w:r w:rsidRPr="00BD3B59">
        <w:rPr>
          <w:rFonts w:ascii="Arial" w:hAnsi="Arial" w:cs="Arial"/>
        </w:rPr>
        <w:t xml:space="preserve">, the </w:t>
      </w:r>
      <w:r w:rsidRPr="00BD3B59">
        <w:rPr>
          <w:rFonts w:ascii="Arial" w:hAnsi="Arial" w:cs="Arial"/>
          <w:bCs/>
        </w:rPr>
        <w:t>highest IRR (8.6%)</w:t>
      </w:r>
      <w:r w:rsidRPr="00BD3B59">
        <w:rPr>
          <w:rFonts w:ascii="Arial" w:hAnsi="Arial" w:cs="Arial"/>
        </w:rPr>
        <w:t xml:space="preserve">, and the </w:t>
      </w:r>
      <w:r w:rsidRPr="00BD3B59">
        <w:rPr>
          <w:rFonts w:ascii="Arial" w:hAnsi="Arial" w:cs="Arial"/>
          <w:bCs/>
        </w:rPr>
        <w:t>least negative NPV (£1.98 million)</w:t>
      </w:r>
      <w:r w:rsidRPr="00BD3B59">
        <w:rPr>
          <w:rFonts w:ascii="Arial" w:hAnsi="Arial" w:cs="Arial"/>
        </w:rPr>
        <w:t xml:space="preserve">. In addition, Project C generates stronger mid-term inflows of </w:t>
      </w:r>
      <w:r w:rsidRPr="00BD3B59">
        <w:rPr>
          <w:rFonts w:ascii="Arial" w:hAnsi="Arial" w:cs="Arial"/>
          <w:bCs/>
        </w:rPr>
        <w:t>£20 million in Year 3</w:t>
      </w:r>
      <w:r w:rsidRPr="00BD3B59">
        <w:rPr>
          <w:rFonts w:ascii="Arial" w:hAnsi="Arial" w:cs="Arial"/>
        </w:rPr>
        <w:t xml:space="preserve"> and </w:t>
      </w:r>
      <w:r w:rsidRPr="00BD3B59">
        <w:rPr>
          <w:rFonts w:ascii="Arial" w:hAnsi="Arial" w:cs="Arial"/>
          <w:bCs/>
        </w:rPr>
        <w:t>£25 million in Year 4</w:t>
      </w:r>
      <w:r w:rsidRPr="00BD3B59">
        <w:rPr>
          <w:rFonts w:ascii="Arial" w:hAnsi="Arial" w:cs="Arial"/>
        </w:rPr>
        <w:t>, which would support liquidity and investment flexibility. This is particularly relevant because Tesla’s 2024 profitability weakened significantly (Tesla, 2025).</w:t>
      </w:r>
    </w:p>
    <w:p w14:paraId="4539F595" w14:textId="77777777" w:rsidR="00BF1795" w:rsidRPr="00BD3B59" w:rsidRDefault="00BF1795" w:rsidP="005E27CF">
      <w:pPr>
        <w:pStyle w:val="Heading2"/>
      </w:pPr>
      <w:bookmarkStart w:id="67" w:name="_Toc227799649"/>
      <w:r w:rsidRPr="00BD3B59">
        <w:t>5.9 Non-Financial Risk Considerations</w:t>
      </w:r>
      <w:bookmarkEnd w:id="67"/>
    </w:p>
    <w:p w14:paraId="5B8F2BE5" w14:textId="77777777" w:rsidR="005E27CF" w:rsidRPr="00BD3B59" w:rsidRDefault="00BF1795" w:rsidP="00D91438">
      <w:pPr>
        <w:spacing w:line="360" w:lineRule="auto"/>
        <w:jc w:val="both"/>
        <w:rPr>
          <w:rFonts w:ascii="Arial" w:hAnsi="Arial" w:cs="Arial"/>
        </w:rPr>
      </w:pPr>
      <w:r w:rsidRPr="00BD3B59">
        <w:rPr>
          <w:rFonts w:ascii="Arial" w:hAnsi="Arial" w:cs="Arial"/>
        </w:rPr>
        <w:t>Financial returns should be balanced with strategic and operational risks. Political factors such as tariffs, EV subsidies and environmental regulation can materially affect project returns. Competitive pressure from BYD and lower-cost rivals may reduce pricing power, while rapid advances in battery systems and AI technology increase obsolescence risk. Customer loyalty is closely linked to innovation and product quality, meaning projects that strengthen Tesla’s technological leadership may offer wider benefits beyond immediate financial returns. ESG expectations are also relevant, as investments inconsistent with sustainability goals may weaken brand reputation and investor confidence (</w:t>
      </w:r>
      <w:r w:rsidR="00BA0980" w:rsidRPr="00BD3B59">
        <w:rPr>
          <w:rFonts w:ascii="Arial" w:hAnsi="Arial" w:cs="Arial"/>
        </w:rPr>
        <w:t>Madhou et al.</w:t>
      </w:r>
      <w:r w:rsidR="00A25FDD" w:rsidRPr="00BD3B59">
        <w:rPr>
          <w:rFonts w:ascii="Arial" w:hAnsi="Arial" w:cs="Arial"/>
        </w:rPr>
        <w:t>, 2015).</w:t>
      </w:r>
    </w:p>
    <w:p w14:paraId="1E93D712" w14:textId="77777777" w:rsidR="005E27CF" w:rsidRPr="00BD3B59" w:rsidRDefault="005E27CF" w:rsidP="005E27CF">
      <w:pPr>
        <w:pStyle w:val="Caption"/>
        <w:keepNext/>
        <w:rPr>
          <w:rFonts w:ascii="Arial" w:hAnsi="Arial" w:cs="Arial"/>
          <w:b/>
          <w:i w:val="0"/>
          <w:sz w:val="24"/>
          <w:szCs w:val="24"/>
        </w:rPr>
      </w:pPr>
      <w:bookmarkStart w:id="68" w:name="_Toc227799776"/>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29</w:t>
      </w:r>
      <w:r w:rsidRPr="00BD3B59">
        <w:rPr>
          <w:rFonts w:ascii="Arial" w:hAnsi="Arial" w:cs="Arial"/>
          <w:b/>
          <w:i w:val="0"/>
          <w:sz w:val="24"/>
          <w:szCs w:val="24"/>
        </w:rPr>
        <w:fldChar w:fldCharType="end"/>
      </w:r>
      <w:r w:rsidRPr="00BD3B59">
        <w:rPr>
          <w:rFonts w:ascii="Arial" w:hAnsi="Arial" w:cs="Arial"/>
          <w:b/>
          <w:i w:val="0"/>
          <w:sz w:val="24"/>
          <w:szCs w:val="24"/>
        </w:rPr>
        <w:t>: Non-Financial Decision Factors</w:t>
      </w:r>
      <w:bookmarkEnd w:id="68"/>
    </w:p>
    <w:tbl>
      <w:tblPr>
        <w:tblStyle w:val="PlainTable5"/>
        <w:tblW w:w="9444" w:type="dxa"/>
        <w:tblLook w:val="04A0" w:firstRow="1" w:lastRow="0" w:firstColumn="1" w:lastColumn="0" w:noHBand="0" w:noVBand="1"/>
      </w:tblPr>
      <w:tblGrid>
        <w:gridCol w:w="3863"/>
        <w:gridCol w:w="5581"/>
      </w:tblGrid>
      <w:tr w:rsidR="00BF1795" w:rsidRPr="00BD3B59" w14:paraId="075CF10B" w14:textId="77777777" w:rsidTr="005E27CF">
        <w:trPr>
          <w:cnfStyle w:val="100000000000" w:firstRow="1" w:lastRow="0" w:firstColumn="0" w:lastColumn="0" w:oddVBand="0" w:evenVBand="0" w:oddHBand="0" w:evenHBand="0" w:firstRowFirstColumn="0" w:firstRowLastColumn="0" w:lastRowFirstColumn="0" w:lastRowLastColumn="0"/>
          <w:trHeight w:val="426"/>
        </w:trPr>
        <w:tc>
          <w:tcPr>
            <w:cnfStyle w:val="001000000100" w:firstRow="0" w:lastRow="0" w:firstColumn="1" w:lastColumn="0" w:oddVBand="0" w:evenVBand="0" w:oddHBand="0" w:evenHBand="0" w:firstRowFirstColumn="1" w:firstRowLastColumn="0" w:lastRowFirstColumn="0" w:lastRowLastColumn="0"/>
            <w:tcW w:w="0" w:type="auto"/>
            <w:hideMark/>
          </w:tcPr>
          <w:p w14:paraId="28AE9014"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Risk Factor</w:t>
            </w:r>
          </w:p>
        </w:tc>
        <w:tc>
          <w:tcPr>
            <w:tcW w:w="0" w:type="auto"/>
            <w:hideMark/>
          </w:tcPr>
          <w:p w14:paraId="4BDA0E21"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Relevance to Tesla</w:t>
            </w:r>
          </w:p>
        </w:tc>
      </w:tr>
      <w:tr w:rsidR="00BF1795" w:rsidRPr="00BD3B59" w14:paraId="3AAADDE7" w14:textId="77777777" w:rsidTr="005E27CF">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0" w:type="auto"/>
            <w:hideMark/>
          </w:tcPr>
          <w:p w14:paraId="1397D970"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Political Risk</w:t>
            </w:r>
          </w:p>
        </w:tc>
        <w:tc>
          <w:tcPr>
            <w:tcW w:w="0" w:type="auto"/>
            <w:hideMark/>
          </w:tcPr>
          <w:p w14:paraId="437D5822"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Tariffs, EV incentives, regulation</w:t>
            </w:r>
          </w:p>
        </w:tc>
      </w:tr>
      <w:tr w:rsidR="00BF1795" w:rsidRPr="00BD3B59" w14:paraId="37F9B54E" w14:textId="77777777" w:rsidTr="005E27CF">
        <w:trPr>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480FC0AF"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Competitive Pressure</w:t>
            </w:r>
          </w:p>
        </w:tc>
        <w:tc>
          <w:tcPr>
            <w:tcW w:w="0" w:type="auto"/>
            <w:hideMark/>
          </w:tcPr>
          <w:p w14:paraId="1F5FC448"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BYD and low-cost rivals</w:t>
            </w:r>
          </w:p>
        </w:tc>
      </w:tr>
      <w:tr w:rsidR="00BF1795" w:rsidRPr="00BD3B59" w14:paraId="22F59DB4" w14:textId="77777777" w:rsidTr="005E27CF">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01AD3F31"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Technology Risk</w:t>
            </w:r>
          </w:p>
        </w:tc>
        <w:tc>
          <w:tcPr>
            <w:tcW w:w="0" w:type="auto"/>
            <w:hideMark/>
          </w:tcPr>
          <w:p w14:paraId="6E5DE3B6"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Fast battery / AI innovation</w:t>
            </w:r>
          </w:p>
        </w:tc>
      </w:tr>
      <w:tr w:rsidR="00BF1795" w:rsidRPr="00BD3B59" w14:paraId="321CC512" w14:textId="77777777" w:rsidTr="005E27CF">
        <w:trPr>
          <w:trHeight w:val="437"/>
        </w:trPr>
        <w:tc>
          <w:tcPr>
            <w:cnfStyle w:val="001000000000" w:firstRow="0" w:lastRow="0" w:firstColumn="1" w:lastColumn="0" w:oddVBand="0" w:evenVBand="0" w:oddHBand="0" w:evenHBand="0" w:firstRowFirstColumn="0" w:firstRowLastColumn="0" w:lastRowFirstColumn="0" w:lastRowLastColumn="0"/>
            <w:tcW w:w="0" w:type="auto"/>
            <w:hideMark/>
          </w:tcPr>
          <w:p w14:paraId="43AFD20A"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Customer Loyalty</w:t>
            </w:r>
          </w:p>
        </w:tc>
        <w:tc>
          <w:tcPr>
            <w:tcW w:w="0" w:type="auto"/>
            <w:hideMark/>
          </w:tcPr>
          <w:p w14:paraId="4B19A6B2"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Depends on innovation quality</w:t>
            </w:r>
          </w:p>
        </w:tc>
      </w:tr>
      <w:tr w:rsidR="00BF1795" w:rsidRPr="00BD3B59" w14:paraId="61ACA059" w14:textId="77777777" w:rsidTr="005E27CF">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14C1052E"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ESG Expectations</w:t>
            </w:r>
          </w:p>
        </w:tc>
        <w:tc>
          <w:tcPr>
            <w:tcW w:w="0" w:type="auto"/>
            <w:hideMark/>
          </w:tcPr>
          <w:p w14:paraId="4BF06DAF"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Sustainability reputation</w:t>
            </w:r>
          </w:p>
        </w:tc>
      </w:tr>
    </w:tbl>
    <w:p w14:paraId="36906501" w14:textId="77777777" w:rsidR="005E27CF" w:rsidRPr="00BD3B59" w:rsidRDefault="005E27CF" w:rsidP="00D91438">
      <w:pPr>
        <w:spacing w:line="360" w:lineRule="auto"/>
        <w:jc w:val="both"/>
        <w:rPr>
          <w:rFonts w:ascii="Arial" w:hAnsi="Arial" w:cs="Arial"/>
          <w:b/>
          <w:bCs/>
        </w:rPr>
      </w:pPr>
    </w:p>
    <w:p w14:paraId="5C7F95B4" w14:textId="77777777" w:rsidR="00BF1795" w:rsidRPr="00BD3B59" w:rsidRDefault="00BF1795" w:rsidP="005E27CF">
      <w:pPr>
        <w:pStyle w:val="Heading2"/>
      </w:pPr>
      <w:bookmarkStart w:id="69" w:name="_Toc227799650"/>
      <w:r w:rsidRPr="00BD3B59">
        <w:t>5.10 Capital Rationing (£100 Million Limit)</w:t>
      </w:r>
      <w:bookmarkEnd w:id="69"/>
    </w:p>
    <w:p w14:paraId="259EF907"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If Tesla can invest only </w:t>
      </w:r>
      <w:r w:rsidRPr="00BD3B59">
        <w:rPr>
          <w:rFonts w:ascii="Arial" w:hAnsi="Arial" w:cs="Arial"/>
          <w:bCs/>
        </w:rPr>
        <w:t>£100 million</w:t>
      </w:r>
      <w:r w:rsidRPr="00BD3B59">
        <w:rPr>
          <w:rFonts w:ascii="Arial" w:hAnsi="Arial" w:cs="Arial"/>
        </w:rPr>
        <w:t xml:space="preserve">, it must select two projects. Based on combined NPV, the strongest combination is </w:t>
      </w:r>
      <w:r w:rsidRPr="00BD3B59">
        <w:rPr>
          <w:rFonts w:ascii="Arial" w:hAnsi="Arial" w:cs="Arial"/>
          <w:bCs/>
        </w:rPr>
        <w:t>Projects B + C</w:t>
      </w:r>
      <w:r w:rsidRPr="00BD3B59">
        <w:rPr>
          <w:rFonts w:ascii="Arial" w:hAnsi="Arial" w:cs="Arial"/>
        </w:rPr>
        <w:t xml:space="preserve">, which produces the least negative financial outcome. Project C offers higher returns and quicker recovery, while Project B provides stable annual inflows of </w:t>
      </w:r>
      <w:r w:rsidRPr="00BD3B59">
        <w:rPr>
          <w:rFonts w:ascii="Arial" w:hAnsi="Arial" w:cs="Arial"/>
          <w:bCs/>
        </w:rPr>
        <w:t>£11 million</w:t>
      </w:r>
      <w:r w:rsidRPr="00BD3B59">
        <w:rPr>
          <w:rFonts w:ascii="Arial" w:hAnsi="Arial" w:cs="Arial"/>
        </w:rPr>
        <w:t xml:space="preserve"> each year, improving cash flow certainty. This combination therefore balances growth potential with financial stability.</w:t>
      </w:r>
    </w:p>
    <w:p w14:paraId="5EC444D4" w14:textId="77777777" w:rsidR="005E27CF" w:rsidRPr="00BD3B59" w:rsidRDefault="005E27CF" w:rsidP="005E27CF">
      <w:pPr>
        <w:pStyle w:val="Caption"/>
        <w:keepNext/>
        <w:rPr>
          <w:rFonts w:ascii="Arial" w:hAnsi="Arial" w:cs="Arial"/>
          <w:b/>
          <w:i w:val="0"/>
          <w:sz w:val="24"/>
          <w:szCs w:val="24"/>
        </w:rPr>
      </w:pPr>
      <w:bookmarkStart w:id="70" w:name="_Toc227799777"/>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30</w:t>
      </w:r>
      <w:r w:rsidRPr="00BD3B59">
        <w:rPr>
          <w:rFonts w:ascii="Arial" w:hAnsi="Arial" w:cs="Arial"/>
          <w:b/>
          <w:i w:val="0"/>
          <w:sz w:val="24"/>
          <w:szCs w:val="24"/>
        </w:rPr>
        <w:fldChar w:fldCharType="end"/>
      </w:r>
      <w:r w:rsidRPr="00BD3B59">
        <w:rPr>
          <w:rFonts w:ascii="Arial" w:hAnsi="Arial" w:cs="Arial"/>
          <w:b/>
          <w:i w:val="0"/>
          <w:sz w:val="24"/>
          <w:szCs w:val="24"/>
        </w:rPr>
        <w:t>: Best Project Combination</w:t>
      </w:r>
      <w:bookmarkEnd w:id="70"/>
    </w:p>
    <w:tbl>
      <w:tblPr>
        <w:tblStyle w:val="PlainTable5"/>
        <w:tblW w:w="9393" w:type="dxa"/>
        <w:tblLook w:val="04A0" w:firstRow="1" w:lastRow="0" w:firstColumn="1" w:lastColumn="0" w:noHBand="0" w:noVBand="1"/>
      </w:tblPr>
      <w:tblGrid>
        <w:gridCol w:w="2566"/>
        <w:gridCol w:w="2980"/>
        <w:gridCol w:w="3847"/>
      </w:tblGrid>
      <w:tr w:rsidR="00BF1795" w:rsidRPr="00BD3B59" w14:paraId="018A1DA4" w14:textId="77777777" w:rsidTr="005E27CF">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0" w:type="auto"/>
            <w:hideMark/>
          </w:tcPr>
          <w:p w14:paraId="2A915734"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Combination</w:t>
            </w:r>
          </w:p>
        </w:tc>
        <w:tc>
          <w:tcPr>
            <w:tcW w:w="0" w:type="auto"/>
            <w:hideMark/>
          </w:tcPr>
          <w:p w14:paraId="24CB25BB"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Total Cost (£m)</w:t>
            </w:r>
          </w:p>
        </w:tc>
        <w:tc>
          <w:tcPr>
            <w:tcW w:w="0" w:type="auto"/>
            <w:hideMark/>
          </w:tcPr>
          <w:p w14:paraId="2073477C"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Combined NPV (£m)</w:t>
            </w:r>
          </w:p>
        </w:tc>
      </w:tr>
      <w:tr w:rsidR="00BF1795" w:rsidRPr="00BD3B59" w14:paraId="3433F819" w14:textId="77777777" w:rsidTr="005E27CF">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0" w:type="auto"/>
            <w:hideMark/>
          </w:tcPr>
          <w:p w14:paraId="2A9FDBE5"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 + B</w:t>
            </w:r>
          </w:p>
        </w:tc>
        <w:tc>
          <w:tcPr>
            <w:tcW w:w="0" w:type="auto"/>
            <w:hideMark/>
          </w:tcPr>
          <w:p w14:paraId="51C3A653"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100</w:t>
            </w:r>
          </w:p>
        </w:tc>
        <w:tc>
          <w:tcPr>
            <w:tcW w:w="0" w:type="auto"/>
            <w:hideMark/>
          </w:tcPr>
          <w:p w14:paraId="59D0A417"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(16.98)</w:t>
            </w:r>
          </w:p>
        </w:tc>
      </w:tr>
      <w:tr w:rsidR="00BF1795" w:rsidRPr="00BD3B59" w14:paraId="2F8ED43B" w14:textId="77777777" w:rsidTr="005E27CF">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48C1A695"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 + C</w:t>
            </w:r>
          </w:p>
        </w:tc>
        <w:tc>
          <w:tcPr>
            <w:tcW w:w="0" w:type="auto"/>
            <w:hideMark/>
          </w:tcPr>
          <w:p w14:paraId="48207141"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100</w:t>
            </w:r>
          </w:p>
        </w:tc>
        <w:tc>
          <w:tcPr>
            <w:tcW w:w="0" w:type="auto"/>
            <w:hideMark/>
          </w:tcPr>
          <w:p w14:paraId="1FA59D43"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(10.66)</w:t>
            </w:r>
          </w:p>
        </w:tc>
      </w:tr>
      <w:tr w:rsidR="00BF1795" w:rsidRPr="00BD3B59" w14:paraId="62F94D60" w14:textId="77777777" w:rsidTr="005E27CF">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5709A74"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 + C</w:t>
            </w:r>
          </w:p>
        </w:tc>
        <w:tc>
          <w:tcPr>
            <w:tcW w:w="0" w:type="auto"/>
            <w:hideMark/>
          </w:tcPr>
          <w:p w14:paraId="1BE1FE67"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100</w:t>
            </w:r>
          </w:p>
        </w:tc>
        <w:tc>
          <w:tcPr>
            <w:tcW w:w="0" w:type="auto"/>
            <w:hideMark/>
          </w:tcPr>
          <w:p w14:paraId="47E979FA"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b/>
                <w:bCs/>
              </w:rPr>
              <w:t>(10.28)</w:t>
            </w:r>
          </w:p>
        </w:tc>
      </w:tr>
    </w:tbl>
    <w:p w14:paraId="111A48C0" w14:textId="77777777" w:rsidR="005E27CF" w:rsidRPr="00BD3B59" w:rsidRDefault="005E27CF" w:rsidP="00D91438">
      <w:pPr>
        <w:spacing w:line="360" w:lineRule="auto"/>
        <w:jc w:val="both"/>
        <w:rPr>
          <w:rFonts w:ascii="Arial" w:hAnsi="Arial" w:cs="Arial"/>
          <w:b/>
          <w:bCs/>
        </w:rPr>
      </w:pPr>
    </w:p>
    <w:p w14:paraId="38659E4E" w14:textId="77777777" w:rsidR="00BF1795" w:rsidRPr="00BD3B59" w:rsidRDefault="00BF1795" w:rsidP="005E27CF">
      <w:pPr>
        <w:pStyle w:val="Heading2"/>
      </w:pPr>
      <w:bookmarkStart w:id="71" w:name="_Toc227799651"/>
      <w:r w:rsidRPr="00BD3B59">
        <w:t>5.11 Final CFO Recommendation</w:t>
      </w:r>
      <w:bookmarkEnd w:id="71"/>
    </w:p>
    <w:p w14:paraId="2D76E4CA" w14:textId="77777777" w:rsidR="00BF1795" w:rsidRDefault="00BF1795" w:rsidP="00D91438">
      <w:pPr>
        <w:spacing w:line="360" w:lineRule="auto"/>
        <w:jc w:val="both"/>
        <w:rPr>
          <w:rFonts w:ascii="Arial" w:hAnsi="Arial" w:cs="Arial"/>
        </w:rPr>
      </w:pPr>
      <w:r w:rsidRPr="00BD3B59">
        <w:rPr>
          <w:rFonts w:ascii="Arial" w:hAnsi="Arial" w:cs="Arial"/>
        </w:rPr>
        <w:t xml:space="preserve">Tesla should maintain strict investment discipline given falling margins and weaker returns on capital. Under normal financial criteria, all three projects should be rejected. However, if one project must be undertaken, </w:t>
      </w:r>
      <w:r w:rsidRPr="00BD3B59">
        <w:rPr>
          <w:rFonts w:ascii="Arial" w:hAnsi="Arial" w:cs="Arial"/>
          <w:bCs/>
        </w:rPr>
        <w:t>Project C</w:t>
      </w:r>
      <w:r w:rsidRPr="00BD3B59">
        <w:rPr>
          <w:rFonts w:ascii="Arial" w:hAnsi="Arial" w:cs="Arial"/>
        </w:rPr>
        <w:t xml:space="preserve"> is the most suitable due to stronger returns and better liquidity timing. Under capital rationing, </w:t>
      </w:r>
      <w:r w:rsidRPr="00BD3B59">
        <w:rPr>
          <w:rFonts w:ascii="Arial" w:hAnsi="Arial" w:cs="Arial"/>
          <w:bCs/>
        </w:rPr>
        <w:t>Projects B + C</w:t>
      </w:r>
      <w:r w:rsidRPr="00BD3B59">
        <w:rPr>
          <w:rFonts w:ascii="Arial" w:hAnsi="Arial" w:cs="Arial"/>
        </w:rPr>
        <w:t xml:space="preserve"> represent the best available combination because they provide the most balanced mix of return potential and cash flow</w:t>
      </w:r>
      <w:r w:rsidR="00A25FDD" w:rsidRPr="00BD3B59">
        <w:rPr>
          <w:rFonts w:ascii="Arial" w:hAnsi="Arial" w:cs="Arial"/>
        </w:rPr>
        <w:t xml:space="preserve"> stability.</w:t>
      </w:r>
    </w:p>
    <w:p w14:paraId="62CCD8A8" w14:textId="77777777" w:rsidR="00866FC9" w:rsidRPr="00BD3B59" w:rsidRDefault="00866FC9" w:rsidP="00D91438">
      <w:pPr>
        <w:spacing w:line="360" w:lineRule="auto"/>
        <w:jc w:val="both"/>
        <w:rPr>
          <w:rFonts w:ascii="Arial" w:hAnsi="Arial" w:cs="Arial"/>
        </w:rPr>
      </w:pPr>
    </w:p>
    <w:p w14:paraId="4533D3AD" w14:textId="77777777" w:rsidR="00BF1795" w:rsidRPr="00BD3B59" w:rsidRDefault="00BF1795" w:rsidP="005E27CF">
      <w:pPr>
        <w:pStyle w:val="Heading1"/>
      </w:pPr>
      <w:bookmarkStart w:id="72" w:name="_Toc227799652"/>
      <w:r w:rsidRPr="00BD3B59">
        <w:t>6.0 Conclusion</w:t>
      </w:r>
      <w:bookmarkEnd w:id="72"/>
    </w:p>
    <w:p w14:paraId="704C79D3" w14:textId="77777777" w:rsidR="005E27CF" w:rsidRPr="00BD3B59" w:rsidRDefault="00BF1795" w:rsidP="00D91438">
      <w:pPr>
        <w:spacing w:line="360" w:lineRule="auto"/>
        <w:jc w:val="both"/>
        <w:rPr>
          <w:rFonts w:ascii="Arial" w:hAnsi="Arial" w:cs="Arial"/>
        </w:rPr>
      </w:pPr>
      <w:r w:rsidRPr="00BD3B59">
        <w:rPr>
          <w:rFonts w:ascii="Arial" w:hAnsi="Arial" w:cs="Arial"/>
        </w:rPr>
        <w:t>This report concludes that Tesla remains financially strong in terms of liquidity, low gearing and positive operating cash flow, but recent results indicate weakening profitability and lower capital efficiency. Although revenue remained high, falling gross margins, reduced ROE and declining ROCE suggest that scale growth alone is no longer sufficient to sustain superior shareholder returns. Working capital analysis showed that tighter inventory, receivable and supplier management could further strengthen cash conversion. The restructuring review identified cost discipline, selective divestiture, moderate debt optimisation and strategic alliances as the most appropriate value-restoration measures. Investment appraisal findings showed that none of the proposed projects met the full 10% required return; however, Project C was the strongest strategic option, while Projects B and C were preferable under capital rationing. Overall, Tesla’s future success depends on profitability recovery, disciplined capital allocation and operational efficiency.</w:t>
      </w:r>
    </w:p>
    <w:p w14:paraId="40EA75A9" w14:textId="77777777" w:rsidR="005E27CF" w:rsidRPr="00BD3B59" w:rsidRDefault="005E27CF" w:rsidP="005E27CF">
      <w:pPr>
        <w:rPr>
          <w:rFonts w:ascii="Arial" w:hAnsi="Arial" w:cs="Arial"/>
        </w:rPr>
      </w:pPr>
      <w:r w:rsidRPr="00BD3B59">
        <w:rPr>
          <w:rFonts w:ascii="Arial" w:hAnsi="Arial" w:cs="Arial"/>
        </w:rPr>
        <w:br w:type="page"/>
      </w:r>
    </w:p>
    <w:p w14:paraId="7DB09E58" w14:textId="77777777" w:rsidR="00BF1795" w:rsidRPr="00BD3B59" w:rsidRDefault="005E27CF" w:rsidP="00F04736">
      <w:pPr>
        <w:pStyle w:val="Heading1"/>
      </w:pPr>
      <w:bookmarkStart w:id="73" w:name="_Toc227799653"/>
      <w:r w:rsidRPr="00BD3B59">
        <w:t>References</w:t>
      </w:r>
      <w:bookmarkEnd w:id="73"/>
    </w:p>
    <w:p w14:paraId="7BB7A0E2"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Archavli, E., Siriopoulos, C. and Arvanitis, S., 2012. Determinants of working capital management. </w:t>
      </w:r>
      <w:r w:rsidRPr="00BD3B59">
        <w:rPr>
          <w:rFonts w:ascii="Arial" w:hAnsi="Arial" w:cs="Arial"/>
          <w:i/>
          <w:iCs/>
        </w:rPr>
        <w:t>Available at SSRN 2179907</w:t>
      </w:r>
      <w:r w:rsidRPr="00BD3B59">
        <w:rPr>
          <w:rFonts w:ascii="Arial" w:hAnsi="Arial" w:cs="Arial"/>
        </w:rPr>
        <w:t>.</w:t>
      </w:r>
    </w:p>
    <w:p w14:paraId="4EA3F550"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Alsulayhim, N., 2019. The relationship between working capital management and profitability.</w:t>
      </w:r>
    </w:p>
    <w:p w14:paraId="0306D79B"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Allen, F. and Lambrecht, B.M., 2025. Stewart C. Myers (1940–). In </w:t>
      </w:r>
      <w:r w:rsidRPr="00BD3B59">
        <w:rPr>
          <w:rFonts w:ascii="Arial" w:hAnsi="Arial" w:cs="Arial"/>
          <w:i/>
          <w:iCs/>
        </w:rPr>
        <w:t>The Palgrave Companion to MIT Economics</w:t>
      </w:r>
      <w:r w:rsidRPr="00BD3B59">
        <w:rPr>
          <w:rFonts w:ascii="Arial" w:hAnsi="Arial" w:cs="Arial"/>
        </w:rPr>
        <w:t> (pp. 441-458). Cham: Springer Nature Switzerland.</w:t>
      </w:r>
    </w:p>
    <w:p w14:paraId="388A0B1C"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Chang, K., Lasyoud, A.A. and Osman, D., 2023. Management accounting system: Insights from the decision making theories. </w:t>
      </w:r>
      <w:r w:rsidRPr="00BD3B59">
        <w:rPr>
          <w:rFonts w:ascii="Arial" w:hAnsi="Arial" w:cs="Arial"/>
          <w:i/>
          <w:iCs/>
        </w:rPr>
        <w:t>Social Sciences &amp; Humanities Open</w:t>
      </w:r>
      <w:r w:rsidRPr="00BD3B59">
        <w:rPr>
          <w:rFonts w:ascii="Arial" w:hAnsi="Arial" w:cs="Arial"/>
        </w:rPr>
        <w:t>, </w:t>
      </w:r>
      <w:r w:rsidRPr="00BD3B59">
        <w:rPr>
          <w:rFonts w:ascii="Arial" w:hAnsi="Arial" w:cs="Arial"/>
          <w:i/>
          <w:iCs/>
        </w:rPr>
        <w:t>8</w:t>
      </w:r>
      <w:r w:rsidRPr="00BD3B59">
        <w:rPr>
          <w:rFonts w:ascii="Arial" w:hAnsi="Arial" w:cs="Arial"/>
        </w:rPr>
        <w:t>(1), p.100529.</w:t>
      </w:r>
    </w:p>
    <w:p w14:paraId="22D8F4B0"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Coelho, T., Lisboa, I. and Oliveira, C., 2024. Is there an optimal working capital management that minimizes European stock risk?. </w:t>
      </w:r>
      <w:r w:rsidRPr="00BD3B59">
        <w:rPr>
          <w:rFonts w:ascii="Arial" w:hAnsi="Arial" w:cs="Arial"/>
          <w:i/>
          <w:iCs/>
        </w:rPr>
        <w:t>European Journal of Applied Business Management</w:t>
      </w:r>
      <w:r w:rsidRPr="00BD3B59">
        <w:rPr>
          <w:rFonts w:ascii="Arial" w:hAnsi="Arial" w:cs="Arial"/>
        </w:rPr>
        <w:t>, </w:t>
      </w:r>
      <w:r w:rsidRPr="00BD3B59">
        <w:rPr>
          <w:rFonts w:ascii="Arial" w:hAnsi="Arial" w:cs="Arial"/>
          <w:i/>
          <w:iCs/>
        </w:rPr>
        <w:t>10</w:t>
      </w:r>
      <w:r w:rsidRPr="00BD3B59">
        <w:rPr>
          <w:rFonts w:ascii="Arial" w:hAnsi="Arial" w:cs="Arial"/>
        </w:rPr>
        <w:t>(1), pp.91-114.</w:t>
      </w:r>
    </w:p>
    <w:p w14:paraId="782FC14D"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Deari, F., Kukeli, A., Barbuta-Misu, N. and Virlanuta, F.O., 2024. Does working capital management affect firm profitability? Evidence from European Union countries. </w:t>
      </w:r>
      <w:r w:rsidRPr="00BD3B59">
        <w:rPr>
          <w:rFonts w:ascii="Arial" w:hAnsi="Arial" w:cs="Arial"/>
          <w:i/>
          <w:iCs/>
        </w:rPr>
        <w:t>Journal of Economic and Administrative Sciences</w:t>
      </w:r>
      <w:r w:rsidRPr="00BD3B59">
        <w:rPr>
          <w:rFonts w:ascii="Arial" w:hAnsi="Arial" w:cs="Arial"/>
        </w:rPr>
        <w:t>, </w:t>
      </w:r>
      <w:r w:rsidRPr="00BD3B59">
        <w:rPr>
          <w:rFonts w:ascii="Arial" w:hAnsi="Arial" w:cs="Arial"/>
          <w:i/>
          <w:iCs/>
        </w:rPr>
        <w:t>40</w:t>
      </w:r>
      <w:r w:rsidRPr="00BD3B59">
        <w:rPr>
          <w:rFonts w:ascii="Arial" w:hAnsi="Arial" w:cs="Arial"/>
        </w:rPr>
        <w:t>(5), pp.1060-1080.</w:t>
      </w:r>
    </w:p>
    <w:p w14:paraId="5B179E1B"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Friede, G., Busch, T. and Bassen, A., 2015. ESG and financial performance: aggregated evidence from more than 2000 empirical studies. </w:t>
      </w:r>
      <w:r w:rsidRPr="00BD3B59">
        <w:rPr>
          <w:rFonts w:ascii="Arial" w:hAnsi="Arial" w:cs="Arial"/>
          <w:i/>
          <w:iCs/>
        </w:rPr>
        <w:t>Journal of sustainable finance &amp; investment</w:t>
      </w:r>
      <w:r w:rsidRPr="00BD3B59">
        <w:rPr>
          <w:rFonts w:ascii="Arial" w:hAnsi="Arial" w:cs="Arial"/>
        </w:rPr>
        <w:t>, </w:t>
      </w:r>
      <w:r w:rsidRPr="00BD3B59">
        <w:rPr>
          <w:rFonts w:ascii="Arial" w:hAnsi="Arial" w:cs="Arial"/>
          <w:i/>
          <w:iCs/>
        </w:rPr>
        <w:t>5</w:t>
      </w:r>
      <w:r w:rsidRPr="00BD3B59">
        <w:rPr>
          <w:rFonts w:ascii="Arial" w:hAnsi="Arial" w:cs="Arial"/>
        </w:rPr>
        <w:t>(4), pp.210-233.</w:t>
      </w:r>
    </w:p>
    <w:p w14:paraId="34196AD2"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Gitman, L.J., Juchau, R. and Flanagan, J., 2015. </w:t>
      </w:r>
      <w:r w:rsidRPr="00BD3B59">
        <w:rPr>
          <w:rFonts w:ascii="Arial" w:hAnsi="Arial" w:cs="Arial"/>
          <w:i/>
          <w:iCs/>
        </w:rPr>
        <w:t>Principles of managerial finance</w:t>
      </w:r>
      <w:r w:rsidRPr="00BD3B59">
        <w:rPr>
          <w:rFonts w:ascii="Arial" w:hAnsi="Arial" w:cs="Arial"/>
        </w:rPr>
        <w:t>. Pearson Higher Education AU.</w:t>
      </w:r>
    </w:p>
    <w:p w14:paraId="4E23BB2D"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Ježovita, A., 2022. Share capital maintenance in large croatian groups. </w:t>
      </w:r>
      <w:r w:rsidRPr="00BD3B59">
        <w:rPr>
          <w:rFonts w:ascii="Arial" w:hAnsi="Arial" w:cs="Arial"/>
          <w:i/>
          <w:iCs/>
        </w:rPr>
        <w:t>InterEULawEast: Journal for the international and european law, economics and market integrations</w:t>
      </w:r>
      <w:r w:rsidRPr="00BD3B59">
        <w:rPr>
          <w:rFonts w:ascii="Arial" w:hAnsi="Arial" w:cs="Arial"/>
        </w:rPr>
        <w:t>, </w:t>
      </w:r>
      <w:r w:rsidRPr="00BD3B59">
        <w:rPr>
          <w:rFonts w:ascii="Arial" w:hAnsi="Arial" w:cs="Arial"/>
          <w:i/>
          <w:iCs/>
        </w:rPr>
        <w:t>9</w:t>
      </w:r>
      <w:r w:rsidRPr="00BD3B59">
        <w:rPr>
          <w:rFonts w:ascii="Arial" w:hAnsi="Arial" w:cs="Arial"/>
        </w:rPr>
        <w:t>(2), pp.120-150.</w:t>
      </w:r>
    </w:p>
    <w:p w14:paraId="4BD092BA"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Jansen, J., 2024. Supply Chain Finance Perspectives. </w:t>
      </w:r>
      <w:r w:rsidRPr="00BD3B59">
        <w:rPr>
          <w:rFonts w:ascii="Arial" w:hAnsi="Arial" w:cs="Arial"/>
          <w:i/>
          <w:iCs/>
        </w:rPr>
        <w:t>A. Banyai, Supply Chain Perspectives and Applications</w:t>
      </w:r>
      <w:r w:rsidRPr="00BD3B59">
        <w:rPr>
          <w:rFonts w:ascii="Arial" w:hAnsi="Arial" w:cs="Arial"/>
        </w:rPr>
        <w:t>, pp.1-25.</w:t>
      </w:r>
    </w:p>
    <w:p w14:paraId="1B99BA32"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Koroma, S. and Bein, M., 2024. The moderating effect of economic policy uncertainty on the relationship between working capital management and profitability: evidence from UK non-financial firms. </w:t>
      </w:r>
      <w:r w:rsidRPr="00BD3B59">
        <w:rPr>
          <w:rFonts w:ascii="Arial" w:hAnsi="Arial" w:cs="Arial"/>
          <w:i/>
          <w:iCs/>
        </w:rPr>
        <w:t>Sage Open</w:t>
      </w:r>
      <w:r w:rsidRPr="00BD3B59">
        <w:rPr>
          <w:rFonts w:ascii="Arial" w:hAnsi="Arial" w:cs="Arial"/>
        </w:rPr>
        <w:t>, </w:t>
      </w:r>
      <w:r w:rsidRPr="00BD3B59">
        <w:rPr>
          <w:rFonts w:ascii="Arial" w:hAnsi="Arial" w:cs="Arial"/>
          <w:i/>
          <w:iCs/>
        </w:rPr>
        <w:t>14</w:t>
      </w:r>
      <w:r w:rsidRPr="00BD3B59">
        <w:rPr>
          <w:rFonts w:ascii="Arial" w:hAnsi="Arial" w:cs="Arial"/>
        </w:rPr>
        <w:t>(2), p.21582440241242552.</w:t>
      </w:r>
    </w:p>
    <w:p w14:paraId="7388D4B8"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Lakhtionova, L., But, V., Kalabukhova, S. and Hnylytska, L., 2021, June. Modeling of forecasting financial statement. In </w:t>
      </w:r>
      <w:r w:rsidRPr="00BD3B59">
        <w:rPr>
          <w:rFonts w:ascii="Arial" w:hAnsi="Arial" w:cs="Arial"/>
          <w:i/>
          <w:iCs/>
        </w:rPr>
        <w:t>International Conference on Comprehensible Science</w:t>
      </w:r>
      <w:r w:rsidRPr="00BD3B59">
        <w:rPr>
          <w:rFonts w:ascii="Arial" w:hAnsi="Arial" w:cs="Arial"/>
        </w:rPr>
        <w:t> (pp. 144-157). Cham: Springer International Publishing.</w:t>
      </w:r>
    </w:p>
    <w:p w14:paraId="63559EC3"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Leeper, L., 2022. Developing faith integration in a principles of corporate finance course. </w:t>
      </w:r>
      <w:r w:rsidRPr="00BD3B59">
        <w:rPr>
          <w:rFonts w:ascii="Arial" w:hAnsi="Arial" w:cs="Arial"/>
          <w:i/>
          <w:iCs/>
        </w:rPr>
        <w:t>Christian Business Academy Review</w:t>
      </w:r>
      <w:r w:rsidRPr="00BD3B59">
        <w:rPr>
          <w:rFonts w:ascii="Arial" w:hAnsi="Arial" w:cs="Arial"/>
        </w:rPr>
        <w:t>, </w:t>
      </w:r>
      <w:r w:rsidRPr="00BD3B59">
        <w:rPr>
          <w:rFonts w:ascii="Arial" w:hAnsi="Arial" w:cs="Arial"/>
          <w:i/>
          <w:iCs/>
        </w:rPr>
        <w:t>17</w:t>
      </w:r>
      <w:r w:rsidRPr="00BD3B59">
        <w:rPr>
          <w:rFonts w:ascii="Arial" w:hAnsi="Arial" w:cs="Arial"/>
        </w:rPr>
        <w:t>.</w:t>
      </w:r>
    </w:p>
    <w:p w14:paraId="66B88BDC"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Madhou, A., Moosa, I. and Ramiah, V., 2015. Working capital as a determinant of corporate profitability. </w:t>
      </w:r>
      <w:r w:rsidRPr="00BD3B59">
        <w:rPr>
          <w:rFonts w:ascii="Arial" w:hAnsi="Arial" w:cs="Arial"/>
          <w:i/>
          <w:iCs/>
        </w:rPr>
        <w:t>Review of Pacific Basin Financial Markets and Policies</w:t>
      </w:r>
      <w:r w:rsidRPr="00BD3B59">
        <w:rPr>
          <w:rFonts w:ascii="Arial" w:hAnsi="Arial" w:cs="Arial"/>
        </w:rPr>
        <w:t>, </w:t>
      </w:r>
      <w:r w:rsidRPr="00BD3B59">
        <w:rPr>
          <w:rFonts w:ascii="Arial" w:hAnsi="Arial" w:cs="Arial"/>
          <w:i/>
          <w:iCs/>
        </w:rPr>
        <w:t>18</w:t>
      </w:r>
      <w:r w:rsidRPr="00BD3B59">
        <w:rPr>
          <w:rFonts w:ascii="Arial" w:hAnsi="Arial" w:cs="Arial"/>
        </w:rPr>
        <w:t>(04), p.1550024.</w:t>
      </w:r>
    </w:p>
    <w:p w14:paraId="50DA5BC6"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Marobhe, M.I., 2014. An empirical analysis of the relationship between working capital management and profitability: panel evidence from listed manufacturing companies in East Africa.</w:t>
      </w:r>
    </w:p>
    <w:p w14:paraId="63FFA780"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Moyo, V., 2025. A note on the alternative method of estimating a firm’s sustainable growth rate. </w:t>
      </w:r>
      <w:r w:rsidRPr="00BD3B59">
        <w:rPr>
          <w:rFonts w:ascii="Arial" w:hAnsi="Arial" w:cs="Arial"/>
          <w:i/>
          <w:iCs/>
        </w:rPr>
        <w:t>International Journal of Business Ecosystem &amp; Strategy (2687-2293)</w:t>
      </w:r>
      <w:r w:rsidRPr="00BD3B59">
        <w:rPr>
          <w:rFonts w:ascii="Arial" w:hAnsi="Arial" w:cs="Arial"/>
        </w:rPr>
        <w:t>, </w:t>
      </w:r>
      <w:r w:rsidRPr="00BD3B59">
        <w:rPr>
          <w:rFonts w:ascii="Arial" w:hAnsi="Arial" w:cs="Arial"/>
          <w:i/>
          <w:iCs/>
        </w:rPr>
        <w:t>7</w:t>
      </w:r>
      <w:r w:rsidRPr="00BD3B59">
        <w:rPr>
          <w:rFonts w:ascii="Arial" w:hAnsi="Arial" w:cs="Arial"/>
        </w:rPr>
        <w:t>(3), pp.322-329.</w:t>
      </w:r>
    </w:p>
    <w:p w14:paraId="61C9BAE8"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Marzouk, O.A., 2025. Summary of the 2023 report of TCEP (tracking clean energy progress) by the International Energy Agency (IEA), and proposed process for computing a single aggregate rating. In </w:t>
      </w:r>
      <w:r w:rsidRPr="00BD3B59">
        <w:rPr>
          <w:rFonts w:ascii="Arial" w:hAnsi="Arial" w:cs="Arial"/>
          <w:i/>
          <w:iCs/>
        </w:rPr>
        <w:t>E3S Web of Conferences</w:t>
      </w:r>
      <w:r w:rsidRPr="00BD3B59">
        <w:rPr>
          <w:rFonts w:ascii="Arial" w:hAnsi="Arial" w:cs="Arial"/>
        </w:rPr>
        <w:t> (Vol. 601, p. 00048). EDP Sciences.</w:t>
      </w:r>
    </w:p>
    <w:p w14:paraId="13143538"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Odar, M., Kavčič, S. and Jerman, M., 2015. The role of a management accounting system in the decision-making process: Evidence from a post-transition economy. </w:t>
      </w:r>
      <w:r w:rsidRPr="00BD3B59">
        <w:rPr>
          <w:rFonts w:ascii="Arial" w:hAnsi="Arial" w:cs="Arial"/>
          <w:i/>
          <w:iCs/>
        </w:rPr>
        <w:t>Engineering Economics</w:t>
      </w:r>
      <w:r w:rsidRPr="00BD3B59">
        <w:rPr>
          <w:rFonts w:ascii="Arial" w:hAnsi="Arial" w:cs="Arial"/>
        </w:rPr>
        <w:t>, </w:t>
      </w:r>
      <w:r w:rsidRPr="00BD3B59">
        <w:rPr>
          <w:rFonts w:ascii="Arial" w:hAnsi="Arial" w:cs="Arial"/>
          <w:i/>
          <w:iCs/>
        </w:rPr>
        <w:t>26</w:t>
      </w:r>
      <w:r w:rsidRPr="00BD3B59">
        <w:rPr>
          <w:rFonts w:ascii="Arial" w:hAnsi="Arial" w:cs="Arial"/>
        </w:rPr>
        <w:t>(1), pp.84-92.</w:t>
      </w:r>
    </w:p>
    <w:p w14:paraId="094A5E25"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Singhania, M., Sharma, N. and Yagnesh Rohit, J., 2014. Working capital management and profitability: evidence from Indian manufacturing companies. </w:t>
      </w:r>
      <w:r w:rsidRPr="00BD3B59">
        <w:rPr>
          <w:rFonts w:ascii="Arial" w:hAnsi="Arial" w:cs="Arial"/>
          <w:i/>
          <w:iCs/>
        </w:rPr>
        <w:t>Decision</w:t>
      </w:r>
      <w:r w:rsidRPr="00BD3B59">
        <w:rPr>
          <w:rFonts w:ascii="Arial" w:hAnsi="Arial" w:cs="Arial"/>
        </w:rPr>
        <w:t>, </w:t>
      </w:r>
      <w:r w:rsidRPr="00BD3B59">
        <w:rPr>
          <w:rFonts w:ascii="Arial" w:hAnsi="Arial" w:cs="Arial"/>
          <w:i/>
          <w:iCs/>
        </w:rPr>
        <w:t>41</w:t>
      </w:r>
      <w:r w:rsidRPr="00BD3B59">
        <w:rPr>
          <w:rFonts w:ascii="Arial" w:hAnsi="Arial" w:cs="Arial"/>
        </w:rPr>
        <w:t>(3), pp.313-326.</w:t>
      </w:r>
    </w:p>
    <w:p w14:paraId="050A58C8"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Saukkonen, N., Laine, T. and Suomala, P., 2018. Utilizing management accounting information for decision-making: Limitations stemming from the process structure and the actors involved. </w:t>
      </w:r>
      <w:r w:rsidRPr="00BD3B59">
        <w:rPr>
          <w:rFonts w:ascii="Arial" w:hAnsi="Arial" w:cs="Arial"/>
          <w:i/>
          <w:iCs/>
        </w:rPr>
        <w:t>Qualitative Research in Accounting &amp; Management</w:t>
      </w:r>
      <w:r w:rsidRPr="00BD3B59">
        <w:rPr>
          <w:rFonts w:ascii="Arial" w:hAnsi="Arial" w:cs="Arial"/>
        </w:rPr>
        <w:t>, </w:t>
      </w:r>
      <w:r w:rsidRPr="00BD3B59">
        <w:rPr>
          <w:rFonts w:ascii="Arial" w:hAnsi="Arial" w:cs="Arial"/>
          <w:i/>
          <w:iCs/>
        </w:rPr>
        <w:t>15</w:t>
      </w:r>
      <w:r w:rsidRPr="00BD3B59">
        <w:rPr>
          <w:rFonts w:ascii="Arial" w:hAnsi="Arial" w:cs="Arial"/>
        </w:rPr>
        <w:t>(2), pp.181-205.</w:t>
      </w:r>
    </w:p>
    <w:p w14:paraId="78FCB1FE"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 xml:space="preserve">Tesla (2021) </w:t>
      </w:r>
      <w:r w:rsidRPr="00BD3B59">
        <w:rPr>
          <w:rFonts w:ascii="Arial" w:hAnsi="Arial" w:cs="Arial"/>
          <w:i/>
          <w:iCs/>
        </w:rPr>
        <w:t>Annual Report 2020</w:t>
      </w:r>
      <w:r w:rsidRPr="00BD3B59">
        <w:rPr>
          <w:rFonts w:ascii="Arial" w:hAnsi="Arial" w:cs="Arial"/>
        </w:rPr>
        <w:t xml:space="preserve">. Austin: Tesla Inc. Available at: </w:t>
      </w:r>
      <w:hyperlink r:id="rId14" w:history="1">
        <w:r w:rsidRPr="00BD3B59">
          <w:rPr>
            <w:rStyle w:val="Hyperlink"/>
            <w:rFonts w:ascii="Arial" w:hAnsi="Arial" w:cs="Arial"/>
          </w:rPr>
          <w:t>https://ir.tesla.com/_flysystem/s3/sec/000156459021004599/tsla-10k_20201231-gen.pdf</w:t>
        </w:r>
      </w:hyperlink>
      <w:r w:rsidRPr="00BD3B59">
        <w:rPr>
          <w:rFonts w:ascii="Arial" w:hAnsi="Arial" w:cs="Arial"/>
        </w:rPr>
        <w:t xml:space="preserve"> (Accessed: 20 April 2026).</w:t>
      </w:r>
    </w:p>
    <w:p w14:paraId="1145461A" w14:textId="77777777" w:rsidR="00BA0980" w:rsidRPr="00BD3B59" w:rsidRDefault="00BA0980" w:rsidP="00BA0980">
      <w:pPr>
        <w:spacing w:line="360" w:lineRule="auto"/>
        <w:ind w:left="720" w:hanging="720"/>
        <w:jc w:val="both"/>
        <w:rPr>
          <w:rFonts w:ascii="Arial" w:hAnsi="Arial" w:cs="Arial"/>
        </w:rPr>
      </w:pPr>
      <w:r w:rsidRPr="00BD3B59">
        <w:rPr>
          <w:rFonts w:ascii="Arial" w:hAnsi="Arial" w:cs="Arial"/>
        </w:rPr>
        <w:t xml:space="preserve">Tesla (2022) </w:t>
      </w:r>
      <w:r w:rsidRPr="00BD3B59">
        <w:rPr>
          <w:rFonts w:ascii="Arial" w:hAnsi="Arial" w:cs="Arial"/>
          <w:i/>
          <w:iCs/>
        </w:rPr>
        <w:t>Annual Report 2021</w:t>
      </w:r>
      <w:r w:rsidRPr="00BD3B59">
        <w:rPr>
          <w:rFonts w:ascii="Arial" w:hAnsi="Arial" w:cs="Arial"/>
        </w:rPr>
        <w:t xml:space="preserve">. Austin: Tesla Inc. Available at: </w:t>
      </w:r>
      <w:hyperlink r:id="rId15" w:history="1">
        <w:r w:rsidRPr="00BD3B59">
          <w:rPr>
            <w:rStyle w:val="Hyperlink"/>
            <w:rFonts w:ascii="Arial" w:hAnsi="Arial" w:cs="Arial"/>
          </w:rPr>
          <w:t>https://ir.tesla.com/_flysystem/s3/sec/000095017023001409/tsla-20221231-gen.pdf</w:t>
        </w:r>
      </w:hyperlink>
      <w:r w:rsidRPr="00BD3B59">
        <w:rPr>
          <w:rFonts w:ascii="Arial" w:hAnsi="Arial" w:cs="Arial"/>
        </w:rPr>
        <w:t xml:space="preserve"> (Accessed: 20 April 2026).</w:t>
      </w:r>
    </w:p>
    <w:p w14:paraId="299F0B6B"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 xml:space="preserve">Tesla (2023) </w:t>
      </w:r>
      <w:r w:rsidRPr="00BD3B59">
        <w:rPr>
          <w:rFonts w:ascii="Arial" w:hAnsi="Arial" w:cs="Arial"/>
          <w:i/>
          <w:iCs/>
        </w:rPr>
        <w:t>Annual Report 2022</w:t>
      </w:r>
      <w:r w:rsidRPr="00BD3B59">
        <w:rPr>
          <w:rFonts w:ascii="Arial" w:hAnsi="Arial" w:cs="Arial"/>
        </w:rPr>
        <w:t xml:space="preserve">. Austin: Tesla Inc. Available at: </w:t>
      </w:r>
      <w:hyperlink r:id="rId16" w:history="1">
        <w:r w:rsidRPr="00BD3B59">
          <w:rPr>
            <w:rStyle w:val="Hyperlink"/>
            <w:rFonts w:ascii="Arial" w:hAnsi="Arial" w:cs="Arial"/>
          </w:rPr>
          <w:t>https://ir.tesla.com/_flysystem/s3/sec/000162828024002390/tsla-20231231-gen.pdf</w:t>
        </w:r>
      </w:hyperlink>
      <w:r w:rsidRPr="00BD3B59">
        <w:rPr>
          <w:rFonts w:ascii="Arial" w:hAnsi="Arial" w:cs="Arial"/>
        </w:rPr>
        <w:t xml:space="preserve"> (Accessed: 20 April 2026).</w:t>
      </w:r>
    </w:p>
    <w:p w14:paraId="5585D5A5" w14:textId="77777777" w:rsidR="00BA0980" w:rsidRPr="00BD3B59" w:rsidRDefault="00BA0980" w:rsidP="00BA0980">
      <w:pPr>
        <w:spacing w:line="360" w:lineRule="auto"/>
        <w:ind w:left="720" w:hanging="720"/>
        <w:jc w:val="both"/>
        <w:rPr>
          <w:rFonts w:ascii="Arial" w:hAnsi="Arial" w:cs="Arial"/>
        </w:rPr>
      </w:pPr>
      <w:r w:rsidRPr="00BD3B59">
        <w:rPr>
          <w:rFonts w:ascii="Arial" w:hAnsi="Arial" w:cs="Arial"/>
        </w:rPr>
        <w:t xml:space="preserve">Tesla (2024) </w:t>
      </w:r>
      <w:r w:rsidRPr="00BD3B59">
        <w:rPr>
          <w:rFonts w:ascii="Arial" w:hAnsi="Arial" w:cs="Arial"/>
          <w:i/>
          <w:iCs/>
        </w:rPr>
        <w:t>Annual Report 2023</w:t>
      </w:r>
      <w:r w:rsidRPr="00BD3B59">
        <w:rPr>
          <w:rFonts w:ascii="Arial" w:hAnsi="Arial" w:cs="Arial"/>
        </w:rPr>
        <w:t xml:space="preserve">. Austin: Tesla Inc. Available at: </w:t>
      </w:r>
      <w:hyperlink r:id="rId17" w:history="1">
        <w:r w:rsidRPr="00BD3B59">
          <w:rPr>
            <w:rStyle w:val="Hyperlink"/>
            <w:rFonts w:ascii="Arial" w:hAnsi="Arial" w:cs="Arial"/>
          </w:rPr>
          <w:t>https://ir.tesla.com/_flysystem/s3/sec/000162828025003063/tsla-20241231-gen.pdf</w:t>
        </w:r>
      </w:hyperlink>
      <w:r w:rsidRPr="00BD3B59">
        <w:rPr>
          <w:rFonts w:ascii="Arial" w:hAnsi="Arial" w:cs="Arial"/>
        </w:rPr>
        <w:t xml:space="preserve"> (Accessed: 20 April 2026).</w:t>
      </w:r>
    </w:p>
    <w:p w14:paraId="0A62099D"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 xml:space="preserve">Tesla (2025) </w:t>
      </w:r>
      <w:r w:rsidRPr="00BD3B59">
        <w:rPr>
          <w:rFonts w:ascii="Arial" w:hAnsi="Arial" w:cs="Arial"/>
          <w:i/>
          <w:iCs/>
        </w:rPr>
        <w:t>Annual Report 2024 (Form 10-K)</w:t>
      </w:r>
      <w:r w:rsidRPr="00BD3B59">
        <w:rPr>
          <w:rFonts w:ascii="Arial" w:hAnsi="Arial" w:cs="Arial"/>
        </w:rPr>
        <w:t xml:space="preserve">. Austin: Tesla Inc. Available at: </w:t>
      </w:r>
      <w:hyperlink r:id="rId18" w:history="1">
        <w:r w:rsidRPr="00BD3B59">
          <w:rPr>
            <w:rStyle w:val="Hyperlink"/>
            <w:rFonts w:ascii="Arial" w:hAnsi="Arial" w:cs="Arial"/>
          </w:rPr>
          <w:t>https://ir.tesla.com/_flysystem/s3/sec/000162828026003952/tsla-20251231-gen.pdf</w:t>
        </w:r>
      </w:hyperlink>
      <w:r w:rsidRPr="00BD3B59">
        <w:rPr>
          <w:rFonts w:ascii="Arial" w:hAnsi="Arial" w:cs="Arial"/>
        </w:rPr>
        <w:t xml:space="preserve"> (Accessed: 20 April 2026).</w:t>
      </w:r>
    </w:p>
    <w:p w14:paraId="6E178A5F"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Zhou, L., Chen, M. and Lee, H., 2022. Supply chain finance: A research review and prospects based on a systematic literature analysis from a financial ecology perspective. </w:t>
      </w:r>
      <w:r w:rsidRPr="00BD3B59">
        <w:rPr>
          <w:rFonts w:ascii="Arial" w:hAnsi="Arial" w:cs="Arial"/>
          <w:i/>
          <w:iCs/>
        </w:rPr>
        <w:t>Sustainability</w:t>
      </w:r>
      <w:r w:rsidRPr="00BD3B59">
        <w:rPr>
          <w:rFonts w:ascii="Arial" w:hAnsi="Arial" w:cs="Arial"/>
        </w:rPr>
        <w:t>, </w:t>
      </w:r>
      <w:r w:rsidRPr="00BD3B59">
        <w:rPr>
          <w:rFonts w:ascii="Arial" w:hAnsi="Arial" w:cs="Arial"/>
          <w:i/>
          <w:iCs/>
        </w:rPr>
        <w:t>14</w:t>
      </w:r>
      <w:r w:rsidRPr="00BD3B59">
        <w:rPr>
          <w:rFonts w:ascii="Arial" w:hAnsi="Arial" w:cs="Arial"/>
        </w:rPr>
        <w:t>(21), p.14452.</w:t>
      </w:r>
    </w:p>
    <w:p w14:paraId="18246383" w14:textId="77777777" w:rsidR="005E27CF" w:rsidRPr="00BD3B59" w:rsidRDefault="005E27CF" w:rsidP="00D91438">
      <w:pPr>
        <w:spacing w:line="360" w:lineRule="auto"/>
        <w:jc w:val="both"/>
        <w:rPr>
          <w:rFonts w:ascii="Arial" w:hAnsi="Arial" w:cs="Arial"/>
        </w:rPr>
      </w:pPr>
    </w:p>
    <w:p w14:paraId="470A5BF3" w14:textId="77777777" w:rsidR="00CF43BB" w:rsidRPr="00BD3B59" w:rsidRDefault="00CF43BB" w:rsidP="00D91438">
      <w:pPr>
        <w:spacing w:line="360" w:lineRule="auto"/>
        <w:jc w:val="both"/>
        <w:rPr>
          <w:rFonts w:ascii="Arial" w:hAnsi="Arial" w:cs="Arial"/>
        </w:rPr>
      </w:pPr>
    </w:p>
    <w:p w14:paraId="73765E6D" w14:textId="77777777" w:rsidR="00CF43BB" w:rsidRPr="00BD3B59" w:rsidRDefault="00CF43BB" w:rsidP="00D91438">
      <w:pPr>
        <w:spacing w:line="360" w:lineRule="auto"/>
        <w:jc w:val="both"/>
        <w:rPr>
          <w:rFonts w:ascii="Arial" w:hAnsi="Arial" w:cs="Arial"/>
        </w:rPr>
      </w:pPr>
    </w:p>
    <w:p w14:paraId="1F11840B" w14:textId="77777777" w:rsidR="00CF43BB" w:rsidRPr="00561BEE" w:rsidRDefault="00CF43BB" w:rsidP="00D91438">
      <w:pPr>
        <w:spacing w:line="360" w:lineRule="auto"/>
        <w:jc w:val="both"/>
        <w:rPr>
          <w:rFonts w:ascii="Arial" w:hAnsi="Arial" w:cs="Arial"/>
        </w:rPr>
      </w:pPr>
    </w:p>
    <w:sectPr w:rsidR="00CF43BB" w:rsidRPr="00561BEE" w:rsidSect="00753799">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C0607" w14:textId="77777777" w:rsidR="00DB7368" w:rsidRPr="00BD3B59" w:rsidRDefault="00DB7368" w:rsidP="00753799">
      <w:pPr>
        <w:spacing w:after="0" w:line="240" w:lineRule="auto"/>
      </w:pPr>
      <w:r w:rsidRPr="00BD3B59">
        <w:separator/>
      </w:r>
    </w:p>
  </w:endnote>
  <w:endnote w:type="continuationSeparator" w:id="0">
    <w:p w14:paraId="2E7CA63D" w14:textId="77777777" w:rsidR="00DB7368" w:rsidRPr="00BD3B59" w:rsidRDefault="00DB7368" w:rsidP="00753799">
      <w:pPr>
        <w:spacing w:after="0" w:line="240" w:lineRule="auto"/>
      </w:pPr>
      <w:r w:rsidRPr="00BD3B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7026021"/>
      <w:docPartObj>
        <w:docPartGallery w:val="Page Numbers (Bottom of Page)"/>
        <w:docPartUnique/>
      </w:docPartObj>
    </w:sdtPr>
    <w:sdtContent>
      <w:sdt>
        <w:sdtPr>
          <w:id w:val="-1769616900"/>
          <w:docPartObj>
            <w:docPartGallery w:val="Page Numbers (Top of Page)"/>
            <w:docPartUnique/>
          </w:docPartObj>
        </w:sdtPr>
        <w:sdtContent>
          <w:p w14:paraId="487C4704" w14:textId="77777777" w:rsidR="005859BF" w:rsidRPr="00BD3B59" w:rsidRDefault="005859BF">
            <w:pPr>
              <w:pStyle w:val="Footer"/>
              <w:jc w:val="right"/>
            </w:pPr>
            <w:r w:rsidRPr="00BD3B59">
              <w:t xml:space="preserve">Page </w:t>
            </w:r>
            <w:r w:rsidRPr="00BD3B59">
              <w:rPr>
                <w:b/>
                <w:bCs/>
              </w:rPr>
              <w:fldChar w:fldCharType="begin"/>
            </w:r>
            <w:r w:rsidRPr="00BD3B59">
              <w:rPr>
                <w:b/>
                <w:bCs/>
              </w:rPr>
              <w:instrText xml:space="preserve"> PAGE </w:instrText>
            </w:r>
            <w:r w:rsidRPr="00BD3B59">
              <w:rPr>
                <w:b/>
                <w:bCs/>
              </w:rPr>
              <w:fldChar w:fldCharType="separate"/>
            </w:r>
            <w:r w:rsidR="00442D0D" w:rsidRPr="00BD3B59">
              <w:rPr>
                <w:b/>
                <w:bCs/>
              </w:rPr>
              <w:t>39</w:t>
            </w:r>
            <w:r w:rsidRPr="00BD3B59">
              <w:rPr>
                <w:b/>
                <w:bCs/>
              </w:rPr>
              <w:fldChar w:fldCharType="end"/>
            </w:r>
            <w:r w:rsidRPr="00BD3B59">
              <w:t xml:space="preserve"> of </w:t>
            </w:r>
            <w:r w:rsidRPr="00BD3B59">
              <w:rPr>
                <w:b/>
                <w:bCs/>
              </w:rPr>
              <w:fldChar w:fldCharType="begin"/>
            </w:r>
            <w:r w:rsidRPr="00BD3B59">
              <w:rPr>
                <w:b/>
                <w:bCs/>
              </w:rPr>
              <w:instrText xml:space="preserve"> NUMPAGES  </w:instrText>
            </w:r>
            <w:r w:rsidRPr="00BD3B59">
              <w:rPr>
                <w:b/>
                <w:bCs/>
              </w:rPr>
              <w:fldChar w:fldCharType="separate"/>
            </w:r>
            <w:r w:rsidR="00442D0D" w:rsidRPr="00BD3B59">
              <w:rPr>
                <w:b/>
                <w:bCs/>
              </w:rPr>
              <w:t>41</w:t>
            </w:r>
            <w:r w:rsidRPr="00BD3B59">
              <w:rPr>
                <w:b/>
                <w:bCs/>
              </w:rPr>
              <w:fldChar w:fldCharType="end"/>
            </w:r>
          </w:p>
        </w:sdtContent>
      </w:sdt>
    </w:sdtContent>
  </w:sdt>
  <w:p w14:paraId="62BD4077" w14:textId="77777777" w:rsidR="005859BF" w:rsidRPr="00BD3B59" w:rsidRDefault="00585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EEBF9" w14:textId="77777777" w:rsidR="00DB7368" w:rsidRPr="00BD3B59" w:rsidRDefault="00DB7368" w:rsidP="00753799">
      <w:pPr>
        <w:spacing w:after="0" w:line="240" w:lineRule="auto"/>
      </w:pPr>
      <w:r w:rsidRPr="00BD3B59">
        <w:separator/>
      </w:r>
    </w:p>
  </w:footnote>
  <w:footnote w:type="continuationSeparator" w:id="0">
    <w:p w14:paraId="5F197CDE" w14:textId="77777777" w:rsidR="00DB7368" w:rsidRPr="00BD3B59" w:rsidRDefault="00DB7368" w:rsidP="00753799">
      <w:pPr>
        <w:spacing w:after="0" w:line="240" w:lineRule="auto"/>
      </w:pPr>
      <w:r w:rsidRPr="00BD3B5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674E7"/>
    <w:multiLevelType w:val="multilevel"/>
    <w:tmpl w:val="0944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33E5D"/>
    <w:multiLevelType w:val="multilevel"/>
    <w:tmpl w:val="8272B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1D6758"/>
    <w:multiLevelType w:val="multilevel"/>
    <w:tmpl w:val="BA049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913024"/>
    <w:multiLevelType w:val="multilevel"/>
    <w:tmpl w:val="3C92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7E5DCF"/>
    <w:multiLevelType w:val="multilevel"/>
    <w:tmpl w:val="56B4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7993380">
    <w:abstractNumId w:val="0"/>
  </w:num>
  <w:num w:numId="2" w16cid:durableId="453136502">
    <w:abstractNumId w:val="4"/>
  </w:num>
  <w:num w:numId="3" w16cid:durableId="1169367137">
    <w:abstractNumId w:val="3"/>
  </w:num>
  <w:num w:numId="4" w16cid:durableId="408237107">
    <w:abstractNumId w:val="1"/>
  </w:num>
  <w:num w:numId="5" w16cid:durableId="1377852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AC6"/>
    <w:rsid w:val="00026046"/>
    <w:rsid w:val="0004755B"/>
    <w:rsid w:val="00074B46"/>
    <w:rsid w:val="000B1D9C"/>
    <w:rsid w:val="000C4C4C"/>
    <w:rsid w:val="0011195C"/>
    <w:rsid w:val="00126A96"/>
    <w:rsid w:val="0012701A"/>
    <w:rsid w:val="00133F1F"/>
    <w:rsid w:val="001655E2"/>
    <w:rsid w:val="00177B86"/>
    <w:rsid w:val="001815C7"/>
    <w:rsid w:val="00190F1A"/>
    <w:rsid w:val="001E0530"/>
    <w:rsid w:val="002252BC"/>
    <w:rsid w:val="00250CAD"/>
    <w:rsid w:val="00263AF1"/>
    <w:rsid w:val="0026725F"/>
    <w:rsid w:val="0027339D"/>
    <w:rsid w:val="002757BD"/>
    <w:rsid w:val="002A0A8F"/>
    <w:rsid w:val="002A388F"/>
    <w:rsid w:val="002B3AAE"/>
    <w:rsid w:val="002C61A6"/>
    <w:rsid w:val="00305C49"/>
    <w:rsid w:val="0031295E"/>
    <w:rsid w:val="00345D53"/>
    <w:rsid w:val="00351C74"/>
    <w:rsid w:val="003658DF"/>
    <w:rsid w:val="003759B3"/>
    <w:rsid w:val="003C10B8"/>
    <w:rsid w:val="003D4332"/>
    <w:rsid w:val="00400D81"/>
    <w:rsid w:val="00415321"/>
    <w:rsid w:val="00416063"/>
    <w:rsid w:val="004257CF"/>
    <w:rsid w:val="00442D0D"/>
    <w:rsid w:val="00452F87"/>
    <w:rsid w:val="004E65AA"/>
    <w:rsid w:val="004F31D2"/>
    <w:rsid w:val="005150CC"/>
    <w:rsid w:val="00561BEE"/>
    <w:rsid w:val="0057500B"/>
    <w:rsid w:val="005859BF"/>
    <w:rsid w:val="005A3A07"/>
    <w:rsid w:val="005B4608"/>
    <w:rsid w:val="005E27CF"/>
    <w:rsid w:val="00697A15"/>
    <w:rsid w:val="006F09B0"/>
    <w:rsid w:val="00727E0C"/>
    <w:rsid w:val="00737211"/>
    <w:rsid w:val="00753799"/>
    <w:rsid w:val="00761A78"/>
    <w:rsid w:val="00777C6F"/>
    <w:rsid w:val="007B34C2"/>
    <w:rsid w:val="007B3868"/>
    <w:rsid w:val="007C1AB8"/>
    <w:rsid w:val="007E0A28"/>
    <w:rsid w:val="00816E77"/>
    <w:rsid w:val="008246E0"/>
    <w:rsid w:val="008263EE"/>
    <w:rsid w:val="00856112"/>
    <w:rsid w:val="0086678D"/>
    <w:rsid w:val="00866FC9"/>
    <w:rsid w:val="00874AE2"/>
    <w:rsid w:val="00896D12"/>
    <w:rsid w:val="00933A77"/>
    <w:rsid w:val="00954BF9"/>
    <w:rsid w:val="00957336"/>
    <w:rsid w:val="00971A1A"/>
    <w:rsid w:val="009B2761"/>
    <w:rsid w:val="009E234D"/>
    <w:rsid w:val="009E2954"/>
    <w:rsid w:val="009F0993"/>
    <w:rsid w:val="009F7427"/>
    <w:rsid w:val="00A05AC6"/>
    <w:rsid w:val="00A25FDD"/>
    <w:rsid w:val="00AA7375"/>
    <w:rsid w:val="00AB0D6E"/>
    <w:rsid w:val="00AD65EE"/>
    <w:rsid w:val="00AF4E7A"/>
    <w:rsid w:val="00B50A6B"/>
    <w:rsid w:val="00B64335"/>
    <w:rsid w:val="00B859E8"/>
    <w:rsid w:val="00BA0980"/>
    <w:rsid w:val="00BB252F"/>
    <w:rsid w:val="00BD3B59"/>
    <w:rsid w:val="00BF1795"/>
    <w:rsid w:val="00BF2560"/>
    <w:rsid w:val="00C33069"/>
    <w:rsid w:val="00C458B4"/>
    <w:rsid w:val="00C47AAF"/>
    <w:rsid w:val="00C5332C"/>
    <w:rsid w:val="00C6314F"/>
    <w:rsid w:val="00C717CC"/>
    <w:rsid w:val="00C75885"/>
    <w:rsid w:val="00CF43BB"/>
    <w:rsid w:val="00D11D44"/>
    <w:rsid w:val="00D22594"/>
    <w:rsid w:val="00D662D4"/>
    <w:rsid w:val="00D861B3"/>
    <w:rsid w:val="00D91438"/>
    <w:rsid w:val="00DB7368"/>
    <w:rsid w:val="00DC60F6"/>
    <w:rsid w:val="00E067BA"/>
    <w:rsid w:val="00E16D32"/>
    <w:rsid w:val="00E17712"/>
    <w:rsid w:val="00E338CF"/>
    <w:rsid w:val="00E5578C"/>
    <w:rsid w:val="00E855D9"/>
    <w:rsid w:val="00F00FD9"/>
    <w:rsid w:val="00F04736"/>
    <w:rsid w:val="00F1165F"/>
    <w:rsid w:val="00F52EE6"/>
    <w:rsid w:val="00F555D6"/>
    <w:rsid w:val="00F8492A"/>
    <w:rsid w:val="00FD1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701C3"/>
  <w15:chartTrackingRefBased/>
  <w15:docId w15:val="{A83BEB09-566B-48AE-9149-6D121C5FB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D65EE"/>
    <w:pPr>
      <w:spacing w:line="360" w:lineRule="auto"/>
      <w:jc w:val="both"/>
      <w:outlineLvl w:val="0"/>
    </w:pPr>
    <w:rPr>
      <w:rFonts w:ascii="Arial" w:hAnsi="Arial" w:cs="Arial"/>
      <w:b/>
      <w:bCs/>
    </w:rPr>
  </w:style>
  <w:style w:type="paragraph" w:styleId="Heading2">
    <w:name w:val="heading 2"/>
    <w:basedOn w:val="Normal"/>
    <w:next w:val="Normal"/>
    <w:link w:val="Heading2Char"/>
    <w:uiPriority w:val="9"/>
    <w:unhideWhenUsed/>
    <w:qFormat/>
    <w:rsid w:val="00AD65EE"/>
    <w:pPr>
      <w:spacing w:line="360" w:lineRule="auto"/>
      <w:jc w:val="both"/>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4335"/>
    <w:rPr>
      <w:b/>
      <w:bCs/>
    </w:rPr>
  </w:style>
  <w:style w:type="table" w:styleId="TableGrid">
    <w:name w:val="Table Grid"/>
    <w:basedOn w:val="TableNormal"/>
    <w:uiPriority w:val="39"/>
    <w:rsid w:val="00896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37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799"/>
  </w:style>
  <w:style w:type="paragraph" w:styleId="Footer">
    <w:name w:val="footer"/>
    <w:basedOn w:val="Normal"/>
    <w:link w:val="FooterChar"/>
    <w:uiPriority w:val="99"/>
    <w:unhideWhenUsed/>
    <w:rsid w:val="007537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799"/>
  </w:style>
  <w:style w:type="paragraph" w:styleId="NoSpacing">
    <w:name w:val="No Spacing"/>
    <w:link w:val="NoSpacingChar"/>
    <w:uiPriority w:val="1"/>
    <w:qFormat/>
    <w:rsid w:val="00753799"/>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753799"/>
    <w:rPr>
      <w:rFonts w:eastAsiaTheme="minorEastAsia"/>
      <w:kern w:val="0"/>
      <w:sz w:val="22"/>
      <w:szCs w:val="22"/>
      <w14:ligatures w14:val="none"/>
    </w:rPr>
  </w:style>
  <w:style w:type="character" w:customStyle="1" w:styleId="Heading1Char">
    <w:name w:val="Heading 1 Char"/>
    <w:basedOn w:val="DefaultParagraphFont"/>
    <w:link w:val="Heading1"/>
    <w:uiPriority w:val="9"/>
    <w:rsid w:val="00AD65EE"/>
    <w:rPr>
      <w:rFonts w:ascii="Arial" w:hAnsi="Arial" w:cs="Arial"/>
      <w:b/>
      <w:bCs/>
    </w:rPr>
  </w:style>
  <w:style w:type="character" w:customStyle="1" w:styleId="Heading2Char">
    <w:name w:val="Heading 2 Char"/>
    <w:basedOn w:val="DefaultParagraphFont"/>
    <w:link w:val="Heading2"/>
    <w:uiPriority w:val="9"/>
    <w:rsid w:val="00AD65EE"/>
    <w:rPr>
      <w:rFonts w:ascii="Arial" w:hAnsi="Arial" w:cs="Arial"/>
      <w:b/>
      <w:bCs/>
    </w:rPr>
  </w:style>
  <w:style w:type="table" w:styleId="GridTable5Dark-Accent2">
    <w:name w:val="Grid Table 5 Dark Accent 2"/>
    <w:basedOn w:val="TableNormal"/>
    <w:uiPriority w:val="50"/>
    <w:rsid w:val="00AD65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Caption">
    <w:name w:val="caption"/>
    <w:basedOn w:val="Normal"/>
    <w:next w:val="Normal"/>
    <w:uiPriority w:val="35"/>
    <w:unhideWhenUsed/>
    <w:qFormat/>
    <w:rsid w:val="00177B86"/>
    <w:pPr>
      <w:spacing w:after="200" w:line="240" w:lineRule="auto"/>
    </w:pPr>
    <w:rPr>
      <w:i/>
      <w:iCs/>
      <w:color w:val="0E2841" w:themeColor="text2"/>
      <w:sz w:val="18"/>
      <w:szCs w:val="18"/>
    </w:rPr>
  </w:style>
  <w:style w:type="table" w:styleId="PlainTable5">
    <w:name w:val="Plain Table 5"/>
    <w:basedOn w:val="TableNormal"/>
    <w:uiPriority w:val="45"/>
    <w:rsid w:val="005E27C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416063"/>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416063"/>
    <w:pPr>
      <w:spacing w:after="100"/>
    </w:pPr>
  </w:style>
  <w:style w:type="paragraph" w:styleId="TOC2">
    <w:name w:val="toc 2"/>
    <w:basedOn w:val="Normal"/>
    <w:next w:val="Normal"/>
    <w:autoRedefine/>
    <w:uiPriority w:val="39"/>
    <w:unhideWhenUsed/>
    <w:rsid w:val="00416063"/>
    <w:pPr>
      <w:spacing w:after="100"/>
      <w:ind w:left="240"/>
    </w:pPr>
  </w:style>
  <w:style w:type="character" w:styleId="Hyperlink">
    <w:name w:val="Hyperlink"/>
    <w:basedOn w:val="DefaultParagraphFont"/>
    <w:uiPriority w:val="99"/>
    <w:unhideWhenUsed/>
    <w:rsid w:val="00416063"/>
    <w:rPr>
      <w:color w:val="467886" w:themeColor="hyperlink"/>
      <w:u w:val="single"/>
    </w:rPr>
  </w:style>
  <w:style w:type="paragraph" w:styleId="TableofFigures">
    <w:name w:val="table of figures"/>
    <w:basedOn w:val="Normal"/>
    <w:next w:val="Normal"/>
    <w:uiPriority w:val="99"/>
    <w:unhideWhenUsed/>
    <w:rsid w:val="00D861B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95819">
      <w:bodyDiv w:val="1"/>
      <w:marLeft w:val="0"/>
      <w:marRight w:val="0"/>
      <w:marTop w:val="0"/>
      <w:marBottom w:val="0"/>
      <w:divBdr>
        <w:top w:val="none" w:sz="0" w:space="0" w:color="auto"/>
        <w:left w:val="none" w:sz="0" w:space="0" w:color="auto"/>
        <w:bottom w:val="none" w:sz="0" w:space="0" w:color="auto"/>
        <w:right w:val="none" w:sz="0" w:space="0" w:color="auto"/>
      </w:divBdr>
      <w:divsChild>
        <w:div w:id="1969357573">
          <w:marLeft w:val="0"/>
          <w:marRight w:val="0"/>
          <w:marTop w:val="0"/>
          <w:marBottom w:val="0"/>
          <w:divBdr>
            <w:top w:val="none" w:sz="0" w:space="0" w:color="auto"/>
            <w:left w:val="none" w:sz="0" w:space="0" w:color="auto"/>
            <w:bottom w:val="none" w:sz="0" w:space="0" w:color="auto"/>
            <w:right w:val="none" w:sz="0" w:space="0" w:color="auto"/>
          </w:divBdr>
          <w:divsChild>
            <w:div w:id="1550989416">
              <w:marLeft w:val="0"/>
              <w:marRight w:val="0"/>
              <w:marTop w:val="0"/>
              <w:marBottom w:val="0"/>
              <w:divBdr>
                <w:top w:val="none" w:sz="0" w:space="0" w:color="auto"/>
                <w:left w:val="none" w:sz="0" w:space="0" w:color="auto"/>
                <w:bottom w:val="none" w:sz="0" w:space="0" w:color="auto"/>
                <w:right w:val="none" w:sz="0" w:space="0" w:color="auto"/>
              </w:divBdr>
            </w:div>
          </w:divsChild>
        </w:div>
        <w:div w:id="2022732302">
          <w:marLeft w:val="0"/>
          <w:marRight w:val="0"/>
          <w:marTop w:val="0"/>
          <w:marBottom w:val="0"/>
          <w:divBdr>
            <w:top w:val="none" w:sz="0" w:space="0" w:color="auto"/>
            <w:left w:val="none" w:sz="0" w:space="0" w:color="auto"/>
            <w:bottom w:val="none" w:sz="0" w:space="0" w:color="auto"/>
            <w:right w:val="none" w:sz="0" w:space="0" w:color="auto"/>
          </w:divBdr>
          <w:divsChild>
            <w:div w:id="2137946417">
              <w:marLeft w:val="0"/>
              <w:marRight w:val="0"/>
              <w:marTop w:val="0"/>
              <w:marBottom w:val="0"/>
              <w:divBdr>
                <w:top w:val="none" w:sz="0" w:space="0" w:color="auto"/>
                <w:left w:val="none" w:sz="0" w:space="0" w:color="auto"/>
                <w:bottom w:val="none" w:sz="0" w:space="0" w:color="auto"/>
                <w:right w:val="none" w:sz="0" w:space="0" w:color="auto"/>
              </w:divBdr>
            </w:div>
          </w:divsChild>
        </w:div>
        <w:div w:id="257443168">
          <w:marLeft w:val="0"/>
          <w:marRight w:val="0"/>
          <w:marTop w:val="0"/>
          <w:marBottom w:val="0"/>
          <w:divBdr>
            <w:top w:val="none" w:sz="0" w:space="0" w:color="auto"/>
            <w:left w:val="none" w:sz="0" w:space="0" w:color="auto"/>
            <w:bottom w:val="none" w:sz="0" w:space="0" w:color="auto"/>
            <w:right w:val="none" w:sz="0" w:space="0" w:color="auto"/>
          </w:divBdr>
          <w:divsChild>
            <w:div w:id="1021779684">
              <w:marLeft w:val="0"/>
              <w:marRight w:val="0"/>
              <w:marTop w:val="0"/>
              <w:marBottom w:val="0"/>
              <w:divBdr>
                <w:top w:val="none" w:sz="0" w:space="0" w:color="auto"/>
                <w:left w:val="none" w:sz="0" w:space="0" w:color="auto"/>
                <w:bottom w:val="none" w:sz="0" w:space="0" w:color="auto"/>
                <w:right w:val="none" w:sz="0" w:space="0" w:color="auto"/>
              </w:divBdr>
            </w:div>
          </w:divsChild>
        </w:div>
        <w:div w:id="2129665708">
          <w:marLeft w:val="0"/>
          <w:marRight w:val="0"/>
          <w:marTop w:val="0"/>
          <w:marBottom w:val="0"/>
          <w:divBdr>
            <w:top w:val="none" w:sz="0" w:space="0" w:color="auto"/>
            <w:left w:val="none" w:sz="0" w:space="0" w:color="auto"/>
            <w:bottom w:val="none" w:sz="0" w:space="0" w:color="auto"/>
            <w:right w:val="none" w:sz="0" w:space="0" w:color="auto"/>
          </w:divBdr>
          <w:divsChild>
            <w:div w:id="1985307241">
              <w:marLeft w:val="0"/>
              <w:marRight w:val="0"/>
              <w:marTop w:val="0"/>
              <w:marBottom w:val="0"/>
              <w:divBdr>
                <w:top w:val="none" w:sz="0" w:space="0" w:color="auto"/>
                <w:left w:val="none" w:sz="0" w:space="0" w:color="auto"/>
                <w:bottom w:val="none" w:sz="0" w:space="0" w:color="auto"/>
                <w:right w:val="none" w:sz="0" w:space="0" w:color="auto"/>
              </w:divBdr>
            </w:div>
          </w:divsChild>
        </w:div>
        <w:div w:id="968321061">
          <w:marLeft w:val="0"/>
          <w:marRight w:val="0"/>
          <w:marTop w:val="0"/>
          <w:marBottom w:val="0"/>
          <w:divBdr>
            <w:top w:val="none" w:sz="0" w:space="0" w:color="auto"/>
            <w:left w:val="none" w:sz="0" w:space="0" w:color="auto"/>
            <w:bottom w:val="none" w:sz="0" w:space="0" w:color="auto"/>
            <w:right w:val="none" w:sz="0" w:space="0" w:color="auto"/>
          </w:divBdr>
          <w:divsChild>
            <w:div w:id="1549536602">
              <w:marLeft w:val="0"/>
              <w:marRight w:val="0"/>
              <w:marTop w:val="0"/>
              <w:marBottom w:val="0"/>
              <w:divBdr>
                <w:top w:val="none" w:sz="0" w:space="0" w:color="auto"/>
                <w:left w:val="none" w:sz="0" w:space="0" w:color="auto"/>
                <w:bottom w:val="none" w:sz="0" w:space="0" w:color="auto"/>
                <w:right w:val="none" w:sz="0" w:space="0" w:color="auto"/>
              </w:divBdr>
            </w:div>
          </w:divsChild>
        </w:div>
        <w:div w:id="387726713">
          <w:marLeft w:val="0"/>
          <w:marRight w:val="0"/>
          <w:marTop w:val="0"/>
          <w:marBottom w:val="0"/>
          <w:divBdr>
            <w:top w:val="none" w:sz="0" w:space="0" w:color="auto"/>
            <w:left w:val="none" w:sz="0" w:space="0" w:color="auto"/>
            <w:bottom w:val="none" w:sz="0" w:space="0" w:color="auto"/>
            <w:right w:val="none" w:sz="0" w:space="0" w:color="auto"/>
          </w:divBdr>
          <w:divsChild>
            <w:div w:id="795178416">
              <w:marLeft w:val="0"/>
              <w:marRight w:val="0"/>
              <w:marTop w:val="0"/>
              <w:marBottom w:val="0"/>
              <w:divBdr>
                <w:top w:val="none" w:sz="0" w:space="0" w:color="auto"/>
                <w:left w:val="none" w:sz="0" w:space="0" w:color="auto"/>
                <w:bottom w:val="none" w:sz="0" w:space="0" w:color="auto"/>
                <w:right w:val="none" w:sz="0" w:space="0" w:color="auto"/>
              </w:divBdr>
            </w:div>
          </w:divsChild>
        </w:div>
        <w:div w:id="564217101">
          <w:marLeft w:val="0"/>
          <w:marRight w:val="0"/>
          <w:marTop w:val="0"/>
          <w:marBottom w:val="0"/>
          <w:divBdr>
            <w:top w:val="none" w:sz="0" w:space="0" w:color="auto"/>
            <w:left w:val="none" w:sz="0" w:space="0" w:color="auto"/>
            <w:bottom w:val="none" w:sz="0" w:space="0" w:color="auto"/>
            <w:right w:val="none" w:sz="0" w:space="0" w:color="auto"/>
          </w:divBdr>
          <w:divsChild>
            <w:div w:id="292250625">
              <w:marLeft w:val="0"/>
              <w:marRight w:val="0"/>
              <w:marTop w:val="0"/>
              <w:marBottom w:val="0"/>
              <w:divBdr>
                <w:top w:val="none" w:sz="0" w:space="0" w:color="auto"/>
                <w:left w:val="none" w:sz="0" w:space="0" w:color="auto"/>
                <w:bottom w:val="none" w:sz="0" w:space="0" w:color="auto"/>
                <w:right w:val="none" w:sz="0" w:space="0" w:color="auto"/>
              </w:divBdr>
            </w:div>
          </w:divsChild>
        </w:div>
        <w:div w:id="1496453057">
          <w:marLeft w:val="0"/>
          <w:marRight w:val="0"/>
          <w:marTop w:val="0"/>
          <w:marBottom w:val="0"/>
          <w:divBdr>
            <w:top w:val="none" w:sz="0" w:space="0" w:color="auto"/>
            <w:left w:val="none" w:sz="0" w:space="0" w:color="auto"/>
            <w:bottom w:val="none" w:sz="0" w:space="0" w:color="auto"/>
            <w:right w:val="none" w:sz="0" w:space="0" w:color="auto"/>
          </w:divBdr>
          <w:divsChild>
            <w:div w:id="1998920408">
              <w:marLeft w:val="0"/>
              <w:marRight w:val="0"/>
              <w:marTop w:val="0"/>
              <w:marBottom w:val="0"/>
              <w:divBdr>
                <w:top w:val="none" w:sz="0" w:space="0" w:color="auto"/>
                <w:left w:val="none" w:sz="0" w:space="0" w:color="auto"/>
                <w:bottom w:val="none" w:sz="0" w:space="0" w:color="auto"/>
                <w:right w:val="none" w:sz="0" w:space="0" w:color="auto"/>
              </w:divBdr>
            </w:div>
          </w:divsChild>
        </w:div>
        <w:div w:id="1957371345">
          <w:marLeft w:val="0"/>
          <w:marRight w:val="0"/>
          <w:marTop w:val="0"/>
          <w:marBottom w:val="0"/>
          <w:divBdr>
            <w:top w:val="none" w:sz="0" w:space="0" w:color="auto"/>
            <w:left w:val="none" w:sz="0" w:space="0" w:color="auto"/>
            <w:bottom w:val="none" w:sz="0" w:space="0" w:color="auto"/>
            <w:right w:val="none" w:sz="0" w:space="0" w:color="auto"/>
          </w:divBdr>
          <w:divsChild>
            <w:div w:id="1115371223">
              <w:marLeft w:val="0"/>
              <w:marRight w:val="0"/>
              <w:marTop w:val="0"/>
              <w:marBottom w:val="0"/>
              <w:divBdr>
                <w:top w:val="none" w:sz="0" w:space="0" w:color="auto"/>
                <w:left w:val="none" w:sz="0" w:space="0" w:color="auto"/>
                <w:bottom w:val="none" w:sz="0" w:space="0" w:color="auto"/>
                <w:right w:val="none" w:sz="0" w:space="0" w:color="auto"/>
              </w:divBdr>
            </w:div>
          </w:divsChild>
        </w:div>
        <w:div w:id="454324663">
          <w:marLeft w:val="0"/>
          <w:marRight w:val="0"/>
          <w:marTop w:val="0"/>
          <w:marBottom w:val="0"/>
          <w:divBdr>
            <w:top w:val="none" w:sz="0" w:space="0" w:color="auto"/>
            <w:left w:val="none" w:sz="0" w:space="0" w:color="auto"/>
            <w:bottom w:val="none" w:sz="0" w:space="0" w:color="auto"/>
            <w:right w:val="none" w:sz="0" w:space="0" w:color="auto"/>
          </w:divBdr>
          <w:divsChild>
            <w:div w:id="3015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432221">
      <w:bodyDiv w:val="1"/>
      <w:marLeft w:val="0"/>
      <w:marRight w:val="0"/>
      <w:marTop w:val="0"/>
      <w:marBottom w:val="0"/>
      <w:divBdr>
        <w:top w:val="none" w:sz="0" w:space="0" w:color="auto"/>
        <w:left w:val="none" w:sz="0" w:space="0" w:color="auto"/>
        <w:bottom w:val="none" w:sz="0" w:space="0" w:color="auto"/>
        <w:right w:val="none" w:sz="0" w:space="0" w:color="auto"/>
      </w:divBdr>
      <w:divsChild>
        <w:div w:id="2117940515">
          <w:marLeft w:val="0"/>
          <w:marRight w:val="0"/>
          <w:marTop w:val="0"/>
          <w:marBottom w:val="0"/>
          <w:divBdr>
            <w:top w:val="none" w:sz="0" w:space="0" w:color="auto"/>
            <w:left w:val="none" w:sz="0" w:space="0" w:color="auto"/>
            <w:bottom w:val="none" w:sz="0" w:space="0" w:color="auto"/>
            <w:right w:val="none" w:sz="0" w:space="0" w:color="auto"/>
          </w:divBdr>
          <w:divsChild>
            <w:div w:id="566889076">
              <w:marLeft w:val="0"/>
              <w:marRight w:val="0"/>
              <w:marTop w:val="0"/>
              <w:marBottom w:val="0"/>
              <w:divBdr>
                <w:top w:val="none" w:sz="0" w:space="0" w:color="auto"/>
                <w:left w:val="none" w:sz="0" w:space="0" w:color="auto"/>
                <w:bottom w:val="none" w:sz="0" w:space="0" w:color="auto"/>
                <w:right w:val="none" w:sz="0" w:space="0" w:color="auto"/>
              </w:divBdr>
              <w:divsChild>
                <w:div w:id="263996525">
                  <w:marLeft w:val="0"/>
                  <w:marRight w:val="0"/>
                  <w:marTop w:val="0"/>
                  <w:marBottom w:val="0"/>
                  <w:divBdr>
                    <w:top w:val="none" w:sz="0" w:space="0" w:color="auto"/>
                    <w:left w:val="none" w:sz="0" w:space="0" w:color="auto"/>
                    <w:bottom w:val="none" w:sz="0" w:space="0" w:color="auto"/>
                    <w:right w:val="none" w:sz="0" w:space="0" w:color="auto"/>
                  </w:divBdr>
                  <w:divsChild>
                    <w:div w:id="1140807583">
                      <w:marLeft w:val="0"/>
                      <w:marRight w:val="0"/>
                      <w:marTop w:val="0"/>
                      <w:marBottom w:val="0"/>
                      <w:divBdr>
                        <w:top w:val="none" w:sz="0" w:space="0" w:color="auto"/>
                        <w:left w:val="none" w:sz="0" w:space="0" w:color="auto"/>
                        <w:bottom w:val="none" w:sz="0" w:space="0" w:color="auto"/>
                        <w:right w:val="none" w:sz="0" w:space="0" w:color="auto"/>
                      </w:divBdr>
                      <w:divsChild>
                        <w:div w:id="298070802">
                          <w:marLeft w:val="0"/>
                          <w:marRight w:val="0"/>
                          <w:marTop w:val="0"/>
                          <w:marBottom w:val="0"/>
                          <w:divBdr>
                            <w:top w:val="none" w:sz="0" w:space="0" w:color="auto"/>
                            <w:left w:val="none" w:sz="0" w:space="0" w:color="auto"/>
                            <w:bottom w:val="none" w:sz="0" w:space="0" w:color="auto"/>
                            <w:right w:val="none" w:sz="0" w:space="0" w:color="auto"/>
                          </w:divBdr>
                          <w:divsChild>
                            <w:div w:id="1371765429">
                              <w:marLeft w:val="0"/>
                              <w:marRight w:val="0"/>
                              <w:marTop w:val="0"/>
                              <w:marBottom w:val="0"/>
                              <w:divBdr>
                                <w:top w:val="none" w:sz="0" w:space="0" w:color="auto"/>
                                <w:left w:val="none" w:sz="0" w:space="0" w:color="auto"/>
                                <w:bottom w:val="none" w:sz="0" w:space="0" w:color="auto"/>
                                <w:right w:val="none" w:sz="0" w:space="0" w:color="auto"/>
                              </w:divBdr>
                              <w:divsChild>
                                <w:div w:id="1012610971">
                                  <w:marLeft w:val="0"/>
                                  <w:marRight w:val="0"/>
                                  <w:marTop w:val="0"/>
                                  <w:marBottom w:val="0"/>
                                  <w:divBdr>
                                    <w:top w:val="none" w:sz="0" w:space="0" w:color="auto"/>
                                    <w:left w:val="none" w:sz="0" w:space="0" w:color="auto"/>
                                    <w:bottom w:val="none" w:sz="0" w:space="0" w:color="auto"/>
                                    <w:right w:val="none" w:sz="0" w:space="0" w:color="auto"/>
                                  </w:divBdr>
                                  <w:divsChild>
                                    <w:div w:id="2026130933">
                                      <w:marLeft w:val="0"/>
                                      <w:marRight w:val="0"/>
                                      <w:marTop w:val="0"/>
                                      <w:marBottom w:val="0"/>
                                      <w:divBdr>
                                        <w:top w:val="none" w:sz="0" w:space="0" w:color="auto"/>
                                        <w:left w:val="none" w:sz="0" w:space="0" w:color="auto"/>
                                        <w:bottom w:val="none" w:sz="0" w:space="0" w:color="auto"/>
                                        <w:right w:val="none" w:sz="0" w:space="0" w:color="auto"/>
                                      </w:divBdr>
                                      <w:divsChild>
                                        <w:div w:id="1392802421">
                                          <w:marLeft w:val="0"/>
                                          <w:marRight w:val="0"/>
                                          <w:marTop w:val="0"/>
                                          <w:marBottom w:val="0"/>
                                          <w:divBdr>
                                            <w:top w:val="none" w:sz="0" w:space="0" w:color="auto"/>
                                            <w:left w:val="none" w:sz="0" w:space="0" w:color="auto"/>
                                            <w:bottom w:val="none" w:sz="0" w:space="0" w:color="auto"/>
                                            <w:right w:val="none" w:sz="0" w:space="0" w:color="auto"/>
                                          </w:divBdr>
                                        </w:div>
                                      </w:divsChild>
                                    </w:div>
                                    <w:div w:id="1442921484">
                                      <w:marLeft w:val="0"/>
                                      <w:marRight w:val="0"/>
                                      <w:marTop w:val="0"/>
                                      <w:marBottom w:val="0"/>
                                      <w:divBdr>
                                        <w:top w:val="none" w:sz="0" w:space="0" w:color="auto"/>
                                        <w:left w:val="none" w:sz="0" w:space="0" w:color="auto"/>
                                        <w:bottom w:val="none" w:sz="0" w:space="0" w:color="auto"/>
                                        <w:right w:val="none" w:sz="0" w:space="0" w:color="auto"/>
                                      </w:divBdr>
                                      <w:divsChild>
                                        <w:div w:id="20075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0157856">
      <w:bodyDiv w:val="1"/>
      <w:marLeft w:val="0"/>
      <w:marRight w:val="0"/>
      <w:marTop w:val="0"/>
      <w:marBottom w:val="0"/>
      <w:divBdr>
        <w:top w:val="none" w:sz="0" w:space="0" w:color="auto"/>
        <w:left w:val="none" w:sz="0" w:space="0" w:color="auto"/>
        <w:bottom w:val="none" w:sz="0" w:space="0" w:color="auto"/>
        <w:right w:val="none" w:sz="0" w:space="0" w:color="auto"/>
      </w:divBdr>
      <w:divsChild>
        <w:div w:id="792745470">
          <w:marLeft w:val="0"/>
          <w:marRight w:val="0"/>
          <w:marTop w:val="0"/>
          <w:marBottom w:val="0"/>
          <w:divBdr>
            <w:top w:val="none" w:sz="0" w:space="0" w:color="auto"/>
            <w:left w:val="none" w:sz="0" w:space="0" w:color="auto"/>
            <w:bottom w:val="none" w:sz="0" w:space="0" w:color="auto"/>
            <w:right w:val="none" w:sz="0" w:space="0" w:color="auto"/>
          </w:divBdr>
          <w:divsChild>
            <w:div w:id="1321424853">
              <w:marLeft w:val="0"/>
              <w:marRight w:val="0"/>
              <w:marTop w:val="0"/>
              <w:marBottom w:val="0"/>
              <w:divBdr>
                <w:top w:val="none" w:sz="0" w:space="0" w:color="auto"/>
                <w:left w:val="none" w:sz="0" w:space="0" w:color="auto"/>
                <w:bottom w:val="none" w:sz="0" w:space="0" w:color="auto"/>
                <w:right w:val="none" w:sz="0" w:space="0" w:color="auto"/>
              </w:divBdr>
            </w:div>
          </w:divsChild>
        </w:div>
        <w:div w:id="857547604">
          <w:marLeft w:val="0"/>
          <w:marRight w:val="0"/>
          <w:marTop w:val="0"/>
          <w:marBottom w:val="0"/>
          <w:divBdr>
            <w:top w:val="none" w:sz="0" w:space="0" w:color="auto"/>
            <w:left w:val="none" w:sz="0" w:space="0" w:color="auto"/>
            <w:bottom w:val="none" w:sz="0" w:space="0" w:color="auto"/>
            <w:right w:val="none" w:sz="0" w:space="0" w:color="auto"/>
          </w:divBdr>
          <w:divsChild>
            <w:div w:id="1326593880">
              <w:marLeft w:val="0"/>
              <w:marRight w:val="0"/>
              <w:marTop w:val="0"/>
              <w:marBottom w:val="0"/>
              <w:divBdr>
                <w:top w:val="none" w:sz="0" w:space="0" w:color="auto"/>
                <w:left w:val="none" w:sz="0" w:space="0" w:color="auto"/>
                <w:bottom w:val="none" w:sz="0" w:space="0" w:color="auto"/>
                <w:right w:val="none" w:sz="0" w:space="0" w:color="auto"/>
              </w:divBdr>
            </w:div>
          </w:divsChild>
        </w:div>
        <w:div w:id="1977296826">
          <w:marLeft w:val="0"/>
          <w:marRight w:val="0"/>
          <w:marTop w:val="0"/>
          <w:marBottom w:val="0"/>
          <w:divBdr>
            <w:top w:val="none" w:sz="0" w:space="0" w:color="auto"/>
            <w:left w:val="none" w:sz="0" w:space="0" w:color="auto"/>
            <w:bottom w:val="none" w:sz="0" w:space="0" w:color="auto"/>
            <w:right w:val="none" w:sz="0" w:space="0" w:color="auto"/>
          </w:divBdr>
          <w:divsChild>
            <w:div w:id="49368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20232">
      <w:bodyDiv w:val="1"/>
      <w:marLeft w:val="0"/>
      <w:marRight w:val="0"/>
      <w:marTop w:val="0"/>
      <w:marBottom w:val="0"/>
      <w:divBdr>
        <w:top w:val="none" w:sz="0" w:space="0" w:color="auto"/>
        <w:left w:val="none" w:sz="0" w:space="0" w:color="auto"/>
        <w:bottom w:val="none" w:sz="0" w:space="0" w:color="auto"/>
        <w:right w:val="none" w:sz="0" w:space="0" w:color="auto"/>
      </w:divBdr>
      <w:divsChild>
        <w:div w:id="1463382018">
          <w:marLeft w:val="0"/>
          <w:marRight w:val="0"/>
          <w:marTop w:val="0"/>
          <w:marBottom w:val="0"/>
          <w:divBdr>
            <w:top w:val="none" w:sz="0" w:space="0" w:color="auto"/>
            <w:left w:val="none" w:sz="0" w:space="0" w:color="auto"/>
            <w:bottom w:val="none" w:sz="0" w:space="0" w:color="auto"/>
            <w:right w:val="none" w:sz="0" w:space="0" w:color="auto"/>
          </w:divBdr>
          <w:divsChild>
            <w:div w:id="624582071">
              <w:marLeft w:val="0"/>
              <w:marRight w:val="0"/>
              <w:marTop w:val="0"/>
              <w:marBottom w:val="0"/>
              <w:divBdr>
                <w:top w:val="none" w:sz="0" w:space="0" w:color="auto"/>
                <w:left w:val="none" w:sz="0" w:space="0" w:color="auto"/>
                <w:bottom w:val="none" w:sz="0" w:space="0" w:color="auto"/>
                <w:right w:val="none" w:sz="0" w:space="0" w:color="auto"/>
              </w:divBdr>
              <w:divsChild>
                <w:div w:id="643195295">
                  <w:marLeft w:val="0"/>
                  <w:marRight w:val="0"/>
                  <w:marTop w:val="0"/>
                  <w:marBottom w:val="0"/>
                  <w:divBdr>
                    <w:top w:val="none" w:sz="0" w:space="0" w:color="auto"/>
                    <w:left w:val="none" w:sz="0" w:space="0" w:color="auto"/>
                    <w:bottom w:val="none" w:sz="0" w:space="0" w:color="auto"/>
                    <w:right w:val="none" w:sz="0" w:space="0" w:color="auto"/>
                  </w:divBdr>
                  <w:divsChild>
                    <w:div w:id="266888483">
                      <w:marLeft w:val="0"/>
                      <w:marRight w:val="0"/>
                      <w:marTop w:val="0"/>
                      <w:marBottom w:val="0"/>
                      <w:divBdr>
                        <w:top w:val="none" w:sz="0" w:space="0" w:color="auto"/>
                        <w:left w:val="none" w:sz="0" w:space="0" w:color="auto"/>
                        <w:bottom w:val="none" w:sz="0" w:space="0" w:color="auto"/>
                        <w:right w:val="none" w:sz="0" w:space="0" w:color="auto"/>
                      </w:divBdr>
                      <w:divsChild>
                        <w:div w:id="1081873760">
                          <w:marLeft w:val="0"/>
                          <w:marRight w:val="0"/>
                          <w:marTop w:val="0"/>
                          <w:marBottom w:val="0"/>
                          <w:divBdr>
                            <w:top w:val="none" w:sz="0" w:space="0" w:color="auto"/>
                            <w:left w:val="none" w:sz="0" w:space="0" w:color="auto"/>
                            <w:bottom w:val="none" w:sz="0" w:space="0" w:color="auto"/>
                            <w:right w:val="none" w:sz="0" w:space="0" w:color="auto"/>
                          </w:divBdr>
                          <w:divsChild>
                            <w:div w:id="768432089">
                              <w:marLeft w:val="0"/>
                              <w:marRight w:val="0"/>
                              <w:marTop w:val="0"/>
                              <w:marBottom w:val="0"/>
                              <w:divBdr>
                                <w:top w:val="none" w:sz="0" w:space="0" w:color="auto"/>
                                <w:left w:val="none" w:sz="0" w:space="0" w:color="auto"/>
                                <w:bottom w:val="none" w:sz="0" w:space="0" w:color="auto"/>
                                <w:right w:val="none" w:sz="0" w:space="0" w:color="auto"/>
                              </w:divBdr>
                              <w:divsChild>
                                <w:div w:id="196361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406912">
      <w:bodyDiv w:val="1"/>
      <w:marLeft w:val="0"/>
      <w:marRight w:val="0"/>
      <w:marTop w:val="0"/>
      <w:marBottom w:val="0"/>
      <w:divBdr>
        <w:top w:val="none" w:sz="0" w:space="0" w:color="auto"/>
        <w:left w:val="none" w:sz="0" w:space="0" w:color="auto"/>
        <w:bottom w:val="none" w:sz="0" w:space="0" w:color="auto"/>
        <w:right w:val="none" w:sz="0" w:space="0" w:color="auto"/>
      </w:divBdr>
      <w:divsChild>
        <w:div w:id="345406222">
          <w:marLeft w:val="0"/>
          <w:marRight w:val="0"/>
          <w:marTop w:val="0"/>
          <w:marBottom w:val="0"/>
          <w:divBdr>
            <w:top w:val="none" w:sz="0" w:space="0" w:color="auto"/>
            <w:left w:val="none" w:sz="0" w:space="0" w:color="auto"/>
            <w:bottom w:val="none" w:sz="0" w:space="0" w:color="auto"/>
            <w:right w:val="none" w:sz="0" w:space="0" w:color="auto"/>
          </w:divBdr>
          <w:divsChild>
            <w:div w:id="363674275">
              <w:marLeft w:val="0"/>
              <w:marRight w:val="0"/>
              <w:marTop w:val="0"/>
              <w:marBottom w:val="0"/>
              <w:divBdr>
                <w:top w:val="none" w:sz="0" w:space="0" w:color="auto"/>
                <w:left w:val="none" w:sz="0" w:space="0" w:color="auto"/>
                <w:bottom w:val="none" w:sz="0" w:space="0" w:color="auto"/>
                <w:right w:val="none" w:sz="0" w:space="0" w:color="auto"/>
              </w:divBdr>
            </w:div>
          </w:divsChild>
        </w:div>
        <w:div w:id="1751998675">
          <w:marLeft w:val="0"/>
          <w:marRight w:val="0"/>
          <w:marTop w:val="0"/>
          <w:marBottom w:val="0"/>
          <w:divBdr>
            <w:top w:val="none" w:sz="0" w:space="0" w:color="auto"/>
            <w:left w:val="none" w:sz="0" w:space="0" w:color="auto"/>
            <w:bottom w:val="none" w:sz="0" w:space="0" w:color="auto"/>
            <w:right w:val="none" w:sz="0" w:space="0" w:color="auto"/>
          </w:divBdr>
          <w:divsChild>
            <w:div w:id="1893688380">
              <w:marLeft w:val="0"/>
              <w:marRight w:val="0"/>
              <w:marTop w:val="0"/>
              <w:marBottom w:val="0"/>
              <w:divBdr>
                <w:top w:val="none" w:sz="0" w:space="0" w:color="auto"/>
                <w:left w:val="none" w:sz="0" w:space="0" w:color="auto"/>
                <w:bottom w:val="none" w:sz="0" w:space="0" w:color="auto"/>
                <w:right w:val="none" w:sz="0" w:space="0" w:color="auto"/>
              </w:divBdr>
            </w:div>
          </w:divsChild>
        </w:div>
        <w:div w:id="353961692">
          <w:marLeft w:val="0"/>
          <w:marRight w:val="0"/>
          <w:marTop w:val="0"/>
          <w:marBottom w:val="0"/>
          <w:divBdr>
            <w:top w:val="none" w:sz="0" w:space="0" w:color="auto"/>
            <w:left w:val="none" w:sz="0" w:space="0" w:color="auto"/>
            <w:bottom w:val="none" w:sz="0" w:space="0" w:color="auto"/>
            <w:right w:val="none" w:sz="0" w:space="0" w:color="auto"/>
          </w:divBdr>
          <w:divsChild>
            <w:div w:id="1115292169">
              <w:marLeft w:val="0"/>
              <w:marRight w:val="0"/>
              <w:marTop w:val="0"/>
              <w:marBottom w:val="0"/>
              <w:divBdr>
                <w:top w:val="none" w:sz="0" w:space="0" w:color="auto"/>
                <w:left w:val="none" w:sz="0" w:space="0" w:color="auto"/>
                <w:bottom w:val="none" w:sz="0" w:space="0" w:color="auto"/>
                <w:right w:val="none" w:sz="0" w:space="0" w:color="auto"/>
              </w:divBdr>
            </w:div>
          </w:divsChild>
        </w:div>
        <w:div w:id="377246963">
          <w:marLeft w:val="0"/>
          <w:marRight w:val="0"/>
          <w:marTop w:val="0"/>
          <w:marBottom w:val="0"/>
          <w:divBdr>
            <w:top w:val="none" w:sz="0" w:space="0" w:color="auto"/>
            <w:left w:val="none" w:sz="0" w:space="0" w:color="auto"/>
            <w:bottom w:val="none" w:sz="0" w:space="0" w:color="auto"/>
            <w:right w:val="none" w:sz="0" w:space="0" w:color="auto"/>
          </w:divBdr>
          <w:divsChild>
            <w:div w:id="1422532103">
              <w:marLeft w:val="0"/>
              <w:marRight w:val="0"/>
              <w:marTop w:val="0"/>
              <w:marBottom w:val="0"/>
              <w:divBdr>
                <w:top w:val="none" w:sz="0" w:space="0" w:color="auto"/>
                <w:left w:val="none" w:sz="0" w:space="0" w:color="auto"/>
                <w:bottom w:val="none" w:sz="0" w:space="0" w:color="auto"/>
                <w:right w:val="none" w:sz="0" w:space="0" w:color="auto"/>
              </w:divBdr>
            </w:div>
          </w:divsChild>
        </w:div>
        <w:div w:id="1794052532">
          <w:marLeft w:val="0"/>
          <w:marRight w:val="0"/>
          <w:marTop w:val="0"/>
          <w:marBottom w:val="0"/>
          <w:divBdr>
            <w:top w:val="none" w:sz="0" w:space="0" w:color="auto"/>
            <w:left w:val="none" w:sz="0" w:space="0" w:color="auto"/>
            <w:bottom w:val="none" w:sz="0" w:space="0" w:color="auto"/>
            <w:right w:val="none" w:sz="0" w:space="0" w:color="auto"/>
          </w:divBdr>
          <w:divsChild>
            <w:div w:id="1312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975593">
      <w:bodyDiv w:val="1"/>
      <w:marLeft w:val="0"/>
      <w:marRight w:val="0"/>
      <w:marTop w:val="0"/>
      <w:marBottom w:val="0"/>
      <w:divBdr>
        <w:top w:val="none" w:sz="0" w:space="0" w:color="auto"/>
        <w:left w:val="none" w:sz="0" w:space="0" w:color="auto"/>
        <w:bottom w:val="none" w:sz="0" w:space="0" w:color="auto"/>
        <w:right w:val="none" w:sz="0" w:space="0" w:color="auto"/>
      </w:divBdr>
      <w:divsChild>
        <w:div w:id="1643584652">
          <w:marLeft w:val="0"/>
          <w:marRight w:val="0"/>
          <w:marTop w:val="0"/>
          <w:marBottom w:val="0"/>
          <w:divBdr>
            <w:top w:val="none" w:sz="0" w:space="0" w:color="auto"/>
            <w:left w:val="none" w:sz="0" w:space="0" w:color="auto"/>
            <w:bottom w:val="none" w:sz="0" w:space="0" w:color="auto"/>
            <w:right w:val="none" w:sz="0" w:space="0" w:color="auto"/>
          </w:divBdr>
          <w:divsChild>
            <w:div w:id="15542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8828">
      <w:bodyDiv w:val="1"/>
      <w:marLeft w:val="0"/>
      <w:marRight w:val="0"/>
      <w:marTop w:val="0"/>
      <w:marBottom w:val="0"/>
      <w:divBdr>
        <w:top w:val="none" w:sz="0" w:space="0" w:color="auto"/>
        <w:left w:val="none" w:sz="0" w:space="0" w:color="auto"/>
        <w:bottom w:val="none" w:sz="0" w:space="0" w:color="auto"/>
        <w:right w:val="none" w:sz="0" w:space="0" w:color="auto"/>
      </w:divBdr>
      <w:divsChild>
        <w:div w:id="723607147">
          <w:marLeft w:val="0"/>
          <w:marRight w:val="0"/>
          <w:marTop w:val="0"/>
          <w:marBottom w:val="0"/>
          <w:divBdr>
            <w:top w:val="none" w:sz="0" w:space="0" w:color="auto"/>
            <w:left w:val="none" w:sz="0" w:space="0" w:color="auto"/>
            <w:bottom w:val="none" w:sz="0" w:space="0" w:color="auto"/>
            <w:right w:val="none" w:sz="0" w:space="0" w:color="auto"/>
          </w:divBdr>
          <w:divsChild>
            <w:div w:id="1366759824">
              <w:marLeft w:val="0"/>
              <w:marRight w:val="0"/>
              <w:marTop w:val="0"/>
              <w:marBottom w:val="0"/>
              <w:divBdr>
                <w:top w:val="none" w:sz="0" w:space="0" w:color="auto"/>
                <w:left w:val="none" w:sz="0" w:space="0" w:color="auto"/>
                <w:bottom w:val="none" w:sz="0" w:space="0" w:color="auto"/>
                <w:right w:val="none" w:sz="0" w:space="0" w:color="auto"/>
              </w:divBdr>
            </w:div>
          </w:divsChild>
        </w:div>
        <w:div w:id="561795939">
          <w:marLeft w:val="0"/>
          <w:marRight w:val="0"/>
          <w:marTop w:val="0"/>
          <w:marBottom w:val="0"/>
          <w:divBdr>
            <w:top w:val="none" w:sz="0" w:space="0" w:color="auto"/>
            <w:left w:val="none" w:sz="0" w:space="0" w:color="auto"/>
            <w:bottom w:val="none" w:sz="0" w:space="0" w:color="auto"/>
            <w:right w:val="none" w:sz="0" w:space="0" w:color="auto"/>
          </w:divBdr>
          <w:divsChild>
            <w:div w:id="477381691">
              <w:marLeft w:val="0"/>
              <w:marRight w:val="0"/>
              <w:marTop w:val="0"/>
              <w:marBottom w:val="0"/>
              <w:divBdr>
                <w:top w:val="none" w:sz="0" w:space="0" w:color="auto"/>
                <w:left w:val="none" w:sz="0" w:space="0" w:color="auto"/>
                <w:bottom w:val="none" w:sz="0" w:space="0" w:color="auto"/>
                <w:right w:val="none" w:sz="0" w:space="0" w:color="auto"/>
              </w:divBdr>
            </w:div>
          </w:divsChild>
        </w:div>
        <w:div w:id="1108888190">
          <w:marLeft w:val="0"/>
          <w:marRight w:val="0"/>
          <w:marTop w:val="0"/>
          <w:marBottom w:val="0"/>
          <w:divBdr>
            <w:top w:val="none" w:sz="0" w:space="0" w:color="auto"/>
            <w:left w:val="none" w:sz="0" w:space="0" w:color="auto"/>
            <w:bottom w:val="none" w:sz="0" w:space="0" w:color="auto"/>
            <w:right w:val="none" w:sz="0" w:space="0" w:color="auto"/>
          </w:divBdr>
          <w:divsChild>
            <w:div w:id="263659917">
              <w:marLeft w:val="0"/>
              <w:marRight w:val="0"/>
              <w:marTop w:val="0"/>
              <w:marBottom w:val="0"/>
              <w:divBdr>
                <w:top w:val="none" w:sz="0" w:space="0" w:color="auto"/>
                <w:left w:val="none" w:sz="0" w:space="0" w:color="auto"/>
                <w:bottom w:val="none" w:sz="0" w:space="0" w:color="auto"/>
                <w:right w:val="none" w:sz="0" w:space="0" w:color="auto"/>
              </w:divBdr>
            </w:div>
          </w:divsChild>
        </w:div>
        <w:div w:id="787696309">
          <w:marLeft w:val="0"/>
          <w:marRight w:val="0"/>
          <w:marTop w:val="0"/>
          <w:marBottom w:val="0"/>
          <w:divBdr>
            <w:top w:val="none" w:sz="0" w:space="0" w:color="auto"/>
            <w:left w:val="none" w:sz="0" w:space="0" w:color="auto"/>
            <w:bottom w:val="none" w:sz="0" w:space="0" w:color="auto"/>
            <w:right w:val="none" w:sz="0" w:space="0" w:color="auto"/>
          </w:divBdr>
          <w:divsChild>
            <w:div w:id="1991203954">
              <w:marLeft w:val="0"/>
              <w:marRight w:val="0"/>
              <w:marTop w:val="0"/>
              <w:marBottom w:val="0"/>
              <w:divBdr>
                <w:top w:val="none" w:sz="0" w:space="0" w:color="auto"/>
                <w:left w:val="none" w:sz="0" w:space="0" w:color="auto"/>
                <w:bottom w:val="none" w:sz="0" w:space="0" w:color="auto"/>
                <w:right w:val="none" w:sz="0" w:space="0" w:color="auto"/>
              </w:divBdr>
            </w:div>
          </w:divsChild>
        </w:div>
        <w:div w:id="1735351161">
          <w:marLeft w:val="0"/>
          <w:marRight w:val="0"/>
          <w:marTop w:val="0"/>
          <w:marBottom w:val="0"/>
          <w:divBdr>
            <w:top w:val="none" w:sz="0" w:space="0" w:color="auto"/>
            <w:left w:val="none" w:sz="0" w:space="0" w:color="auto"/>
            <w:bottom w:val="none" w:sz="0" w:space="0" w:color="auto"/>
            <w:right w:val="none" w:sz="0" w:space="0" w:color="auto"/>
          </w:divBdr>
          <w:divsChild>
            <w:div w:id="158075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714416">
      <w:bodyDiv w:val="1"/>
      <w:marLeft w:val="0"/>
      <w:marRight w:val="0"/>
      <w:marTop w:val="0"/>
      <w:marBottom w:val="0"/>
      <w:divBdr>
        <w:top w:val="none" w:sz="0" w:space="0" w:color="auto"/>
        <w:left w:val="none" w:sz="0" w:space="0" w:color="auto"/>
        <w:bottom w:val="none" w:sz="0" w:space="0" w:color="auto"/>
        <w:right w:val="none" w:sz="0" w:space="0" w:color="auto"/>
      </w:divBdr>
      <w:divsChild>
        <w:div w:id="1975715764">
          <w:marLeft w:val="0"/>
          <w:marRight w:val="0"/>
          <w:marTop w:val="0"/>
          <w:marBottom w:val="0"/>
          <w:divBdr>
            <w:top w:val="none" w:sz="0" w:space="0" w:color="auto"/>
            <w:left w:val="none" w:sz="0" w:space="0" w:color="auto"/>
            <w:bottom w:val="none" w:sz="0" w:space="0" w:color="auto"/>
            <w:right w:val="none" w:sz="0" w:space="0" w:color="auto"/>
          </w:divBdr>
          <w:divsChild>
            <w:div w:id="958607209">
              <w:marLeft w:val="0"/>
              <w:marRight w:val="0"/>
              <w:marTop w:val="0"/>
              <w:marBottom w:val="0"/>
              <w:divBdr>
                <w:top w:val="none" w:sz="0" w:space="0" w:color="auto"/>
                <w:left w:val="none" w:sz="0" w:space="0" w:color="auto"/>
                <w:bottom w:val="none" w:sz="0" w:space="0" w:color="auto"/>
                <w:right w:val="none" w:sz="0" w:space="0" w:color="auto"/>
              </w:divBdr>
            </w:div>
          </w:divsChild>
        </w:div>
        <w:div w:id="726033640">
          <w:marLeft w:val="0"/>
          <w:marRight w:val="0"/>
          <w:marTop w:val="0"/>
          <w:marBottom w:val="0"/>
          <w:divBdr>
            <w:top w:val="none" w:sz="0" w:space="0" w:color="auto"/>
            <w:left w:val="none" w:sz="0" w:space="0" w:color="auto"/>
            <w:bottom w:val="none" w:sz="0" w:space="0" w:color="auto"/>
            <w:right w:val="none" w:sz="0" w:space="0" w:color="auto"/>
          </w:divBdr>
          <w:divsChild>
            <w:div w:id="1488672705">
              <w:marLeft w:val="0"/>
              <w:marRight w:val="0"/>
              <w:marTop w:val="0"/>
              <w:marBottom w:val="0"/>
              <w:divBdr>
                <w:top w:val="none" w:sz="0" w:space="0" w:color="auto"/>
                <w:left w:val="none" w:sz="0" w:space="0" w:color="auto"/>
                <w:bottom w:val="none" w:sz="0" w:space="0" w:color="auto"/>
                <w:right w:val="none" w:sz="0" w:space="0" w:color="auto"/>
              </w:divBdr>
            </w:div>
          </w:divsChild>
        </w:div>
        <w:div w:id="315382664">
          <w:marLeft w:val="0"/>
          <w:marRight w:val="0"/>
          <w:marTop w:val="0"/>
          <w:marBottom w:val="0"/>
          <w:divBdr>
            <w:top w:val="none" w:sz="0" w:space="0" w:color="auto"/>
            <w:left w:val="none" w:sz="0" w:space="0" w:color="auto"/>
            <w:bottom w:val="none" w:sz="0" w:space="0" w:color="auto"/>
            <w:right w:val="none" w:sz="0" w:space="0" w:color="auto"/>
          </w:divBdr>
          <w:divsChild>
            <w:div w:id="1098332681">
              <w:marLeft w:val="0"/>
              <w:marRight w:val="0"/>
              <w:marTop w:val="0"/>
              <w:marBottom w:val="0"/>
              <w:divBdr>
                <w:top w:val="none" w:sz="0" w:space="0" w:color="auto"/>
                <w:left w:val="none" w:sz="0" w:space="0" w:color="auto"/>
                <w:bottom w:val="none" w:sz="0" w:space="0" w:color="auto"/>
                <w:right w:val="none" w:sz="0" w:space="0" w:color="auto"/>
              </w:divBdr>
            </w:div>
          </w:divsChild>
        </w:div>
        <w:div w:id="1894150152">
          <w:marLeft w:val="0"/>
          <w:marRight w:val="0"/>
          <w:marTop w:val="0"/>
          <w:marBottom w:val="0"/>
          <w:divBdr>
            <w:top w:val="none" w:sz="0" w:space="0" w:color="auto"/>
            <w:left w:val="none" w:sz="0" w:space="0" w:color="auto"/>
            <w:bottom w:val="none" w:sz="0" w:space="0" w:color="auto"/>
            <w:right w:val="none" w:sz="0" w:space="0" w:color="auto"/>
          </w:divBdr>
          <w:divsChild>
            <w:div w:id="1414819864">
              <w:marLeft w:val="0"/>
              <w:marRight w:val="0"/>
              <w:marTop w:val="0"/>
              <w:marBottom w:val="0"/>
              <w:divBdr>
                <w:top w:val="none" w:sz="0" w:space="0" w:color="auto"/>
                <w:left w:val="none" w:sz="0" w:space="0" w:color="auto"/>
                <w:bottom w:val="none" w:sz="0" w:space="0" w:color="auto"/>
                <w:right w:val="none" w:sz="0" w:space="0" w:color="auto"/>
              </w:divBdr>
            </w:div>
          </w:divsChild>
        </w:div>
        <w:div w:id="51005965">
          <w:marLeft w:val="0"/>
          <w:marRight w:val="0"/>
          <w:marTop w:val="0"/>
          <w:marBottom w:val="0"/>
          <w:divBdr>
            <w:top w:val="none" w:sz="0" w:space="0" w:color="auto"/>
            <w:left w:val="none" w:sz="0" w:space="0" w:color="auto"/>
            <w:bottom w:val="none" w:sz="0" w:space="0" w:color="auto"/>
            <w:right w:val="none" w:sz="0" w:space="0" w:color="auto"/>
          </w:divBdr>
          <w:divsChild>
            <w:div w:id="935013582">
              <w:marLeft w:val="0"/>
              <w:marRight w:val="0"/>
              <w:marTop w:val="0"/>
              <w:marBottom w:val="0"/>
              <w:divBdr>
                <w:top w:val="none" w:sz="0" w:space="0" w:color="auto"/>
                <w:left w:val="none" w:sz="0" w:space="0" w:color="auto"/>
                <w:bottom w:val="none" w:sz="0" w:space="0" w:color="auto"/>
                <w:right w:val="none" w:sz="0" w:space="0" w:color="auto"/>
              </w:divBdr>
            </w:div>
          </w:divsChild>
        </w:div>
        <w:div w:id="1437411426">
          <w:marLeft w:val="0"/>
          <w:marRight w:val="0"/>
          <w:marTop w:val="0"/>
          <w:marBottom w:val="0"/>
          <w:divBdr>
            <w:top w:val="none" w:sz="0" w:space="0" w:color="auto"/>
            <w:left w:val="none" w:sz="0" w:space="0" w:color="auto"/>
            <w:bottom w:val="none" w:sz="0" w:space="0" w:color="auto"/>
            <w:right w:val="none" w:sz="0" w:space="0" w:color="auto"/>
          </w:divBdr>
          <w:divsChild>
            <w:div w:id="628513450">
              <w:marLeft w:val="0"/>
              <w:marRight w:val="0"/>
              <w:marTop w:val="0"/>
              <w:marBottom w:val="0"/>
              <w:divBdr>
                <w:top w:val="none" w:sz="0" w:space="0" w:color="auto"/>
                <w:left w:val="none" w:sz="0" w:space="0" w:color="auto"/>
                <w:bottom w:val="none" w:sz="0" w:space="0" w:color="auto"/>
                <w:right w:val="none" w:sz="0" w:space="0" w:color="auto"/>
              </w:divBdr>
            </w:div>
          </w:divsChild>
        </w:div>
        <w:div w:id="57091769">
          <w:marLeft w:val="0"/>
          <w:marRight w:val="0"/>
          <w:marTop w:val="0"/>
          <w:marBottom w:val="0"/>
          <w:divBdr>
            <w:top w:val="none" w:sz="0" w:space="0" w:color="auto"/>
            <w:left w:val="none" w:sz="0" w:space="0" w:color="auto"/>
            <w:bottom w:val="none" w:sz="0" w:space="0" w:color="auto"/>
            <w:right w:val="none" w:sz="0" w:space="0" w:color="auto"/>
          </w:divBdr>
          <w:divsChild>
            <w:div w:id="298460486">
              <w:marLeft w:val="0"/>
              <w:marRight w:val="0"/>
              <w:marTop w:val="0"/>
              <w:marBottom w:val="0"/>
              <w:divBdr>
                <w:top w:val="none" w:sz="0" w:space="0" w:color="auto"/>
                <w:left w:val="none" w:sz="0" w:space="0" w:color="auto"/>
                <w:bottom w:val="none" w:sz="0" w:space="0" w:color="auto"/>
                <w:right w:val="none" w:sz="0" w:space="0" w:color="auto"/>
              </w:divBdr>
            </w:div>
          </w:divsChild>
        </w:div>
        <w:div w:id="345055800">
          <w:marLeft w:val="0"/>
          <w:marRight w:val="0"/>
          <w:marTop w:val="0"/>
          <w:marBottom w:val="0"/>
          <w:divBdr>
            <w:top w:val="none" w:sz="0" w:space="0" w:color="auto"/>
            <w:left w:val="none" w:sz="0" w:space="0" w:color="auto"/>
            <w:bottom w:val="none" w:sz="0" w:space="0" w:color="auto"/>
            <w:right w:val="none" w:sz="0" w:space="0" w:color="auto"/>
          </w:divBdr>
          <w:divsChild>
            <w:div w:id="926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844838">
      <w:bodyDiv w:val="1"/>
      <w:marLeft w:val="0"/>
      <w:marRight w:val="0"/>
      <w:marTop w:val="0"/>
      <w:marBottom w:val="0"/>
      <w:divBdr>
        <w:top w:val="none" w:sz="0" w:space="0" w:color="auto"/>
        <w:left w:val="none" w:sz="0" w:space="0" w:color="auto"/>
        <w:bottom w:val="none" w:sz="0" w:space="0" w:color="auto"/>
        <w:right w:val="none" w:sz="0" w:space="0" w:color="auto"/>
      </w:divBdr>
      <w:divsChild>
        <w:div w:id="697435896">
          <w:marLeft w:val="0"/>
          <w:marRight w:val="0"/>
          <w:marTop w:val="0"/>
          <w:marBottom w:val="0"/>
          <w:divBdr>
            <w:top w:val="none" w:sz="0" w:space="0" w:color="auto"/>
            <w:left w:val="none" w:sz="0" w:space="0" w:color="auto"/>
            <w:bottom w:val="none" w:sz="0" w:space="0" w:color="auto"/>
            <w:right w:val="none" w:sz="0" w:space="0" w:color="auto"/>
          </w:divBdr>
          <w:divsChild>
            <w:div w:id="988483533">
              <w:marLeft w:val="0"/>
              <w:marRight w:val="0"/>
              <w:marTop w:val="0"/>
              <w:marBottom w:val="0"/>
              <w:divBdr>
                <w:top w:val="none" w:sz="0" w:space="0" w:color="auto"/>
                <w:left w:val="none" w:sz="0" w:space="0" w:color="auto"/>
                <w:bottom w:val="none" w:sz="0" w:space="0" w:color="auto"/>
                <w:right w:val="none" w:sz="0" w:space="0" w:color="auto"/>
              </w:divBdr>
            </w:div>
          </w:divsChild>
        </w:div>
        <w:div w:id="743189904">
          <w:marLeft w:val="0"/>
          <w:marRight w:val="0"/>
          <w:marTop w:val="0"/>
          <w:marBottom w:val="0"/>
          <w:divBdr>
            <w:top w:val="none" w:sz="0" w:space="0" w:color="auto"/>
            <w:left w:val="none" w:sz="0" w:space="0" w:color="auto"/>
            <w:bottom w:val="none" w:sz="0" w:space="0" w:color="auto"/>
            <w:right w:val="none" w:sz="0" w:space="0" w:color="auto"/>
          </w:divBdr>
          <w:divsChild>
            <w:div w:id="684937580">
              <w:marLeft w:val="0"/>
              <w:marRight w:val="0"/>
              <w:marTop w:val="0"/>
              <w:marBottom w:val="0"/>
              <w:divBdr>
                <w:top w:val="none" w:sz="0" w:space="0" w:color="auto"/>
                <w:left w:val="none" w:sz="0" w:space="0" w:color="auto"/>
                <w:bottom w:val="none" w:sz="0" w:space="0" w:color="auto"/>
                <w:right w:val="none" w:sz="0" w:space="0" w:color="auto"/>
              </w:divBdr>
            </w:div>
          </w:divsChild>
        </w:div>
        <w:div w:id="1162962986">
          <w:marLeft w:val="0"/>
          <w:marRight w:val="0"/>
          <w:marTop w:val="0"/>
          <w:marBottom w:val="0"/>
          <w:divBdr>
            <w:top w:val="none" w:sz="0" w:space="0" w:color="auto"/>
            <w:left w:val="none" w:sz="0" w:space="0" w:color="auto"/>
            <w:bottom w:val="none" w:sz="0" w:space="0" w:color="auto"/>
            <w:right w:val="none" w:sz="0" w:space="0" w:color="auto"/>
          </w:divBdr>
          <w:divsChild>
            <w:div w:id="461312423">
              <w:marLeft w:val="0"/>
              <w:marRight w:val="0"/>
              <w:marTop w:val="0"/>
              <w:marBottom w:val="0"/>
              <w:divBdr>
                <w:top w:val="none" w:sz="0" w:space="0" w:color="auto"/>
                <w:left w:val="none" w:sz="0" w:space="0" w:color="auto"/>
                <w:bottom w:val="none" w:sz="0" w:space="0" w:color="auto"/>
                <w:right w:val="none" w:sz="0" w:space="0" w:color="auto"/>
              </w:divBdr>
            </w:div>
          </w:divsChild>
        </w:div>
        <w:div w:id="438572070">
          <w:marLeft w:val="0"/>
          <w:marRight w:val="0"/>
          <w:marTop w:val="0"/>
          <w:marBottom w:val="0"/>
          <w:divBdr>
            <w:top w:val="none" w:sz="0" w:space="0" w:color="auto"/>
            <w:left w:val="none" w:sz="0" w:space="0" w:color="auto"/>
            <w:bottom w:val="none" w:sz="0" w:space="0" w:color="auto"/>
            <w:right w:val="none" w:sz="0" w:space="0" w:color="auto"/>
          </w:divBdr>
          <w:divsChild>
            <w:div w:id="344527006">
              <w:marLeft w:val="0"/>
              <w:marRight w:val="0"/>
              <w:marTop w:val="0"/>
              <w:marBottom w:val="0"/>
              <w:divBdr>
                <w:top w:val="none" w:sz="0" w:space="0" w:color="auto"/>
                <w:left w:val="none" w:sz="0" w:space="0" w:color="auto"/>
                <w:bottom w:val="none" w:sz="0" w:space="0" w:color="auto"/>
                <w:right w:val="none" w:sz="0" w:space="0" w:color="auto"/>
              </w:divBdr>
            </w:div>
          </w:divsChild>
        </w:div>
        <w:div w:id="804279827">
          <w:marLeft w:val="0"/>
          <w:marRight w:val="0"/>
          <w:marTop w:val="0"/>
          <w:marBottom w:val="0"/>
          <w:divBdr>
            <w:top w:val="none" w:sz="0" w:space="0" w:color="auto"/>
            <w:left w:val="none" w:sz="0" w:space="0" w:color="auto"/>
            <w:bottom w:val="none" w:sz="0" w:space="0" w:color="auto"/>
            <w:right w:val="none" w:sz="0" w:space="0" w:color="auto"/>
          </w:divBdr>
          <w:divsChild>
            <w:div w:id="2137596578">
              <w:marLeft w:val="0"/>
              <w:marRight w:val="0"/>
              <w:marTop w:val="0"/>
              <w:marBottom w:val="0"/>
              <w:divBdr>
                <w:top w:val="none" w:sz="0" w:space="0" w:color="auto"/>
                <w:left w:val="none" w:sz="0" w:space="0" w:color="auto"/>
                <w:bottom w:val="none" w:sz="0" w:space="0" w:color="auto"/>
                <w:right w:val="none" w:sz="0" w:space="0" w:color="auto"/>
              </w:divBdr>
            </w:div>
          </w:divsChild>
        </w:div>
        <w:div w:id="262686851">
          <w:marLeft w:val="0"/>
          <w:marRight w:val="0"/>
          <w:marTop w:val="0"/>
          <w:marBottom w:val="0"/>
          <w:divBdr>
            <w:top w:val="none" w:sz="0" w:space="0" w:color="auto"/>
            <w:left w:val="none" w:sz="0" w:space="0" w:color="auto"/>
            <w:bottom w:val="none" w:sz="0" w:space="0" w:color="auto"/>
            <w:right w:val="none" w:sz="0" w:space="0" w:color="auto"/>
          </w:divBdr>
          <w:divsChild>
            <w:div w:id="106425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15315">
      <w:bodyDiv w:val="1"/>
      <w:marLeft w:val="0"/>
      <w:marRight w:val="0"/>
      <w:marTop w:val="0"/>
      <w:marBottom w:val="0"/>
      <w:divBdr>
        <w:top w:val="none" w:sz="0" w:space="0" w:color="auto"/>
        <w:left w:val="none" w:sz="0" w:space="0" w:color="auto"/>
        <w:bottom w:val="none" w:sz="0" w:space="0" w:color="auto"/>
        <w:right w:val="none" w:sz="0" w:space="0" w:color="auto"/>
      </w:divBdr>
    </w:div>
    <w:div w:id="187565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ir.tesla.com/_flysystem/s3/sec/000162828026003952/tsla-20251231-gen.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ir.tesla.com/_flysystem/s3/sec/000162828025003063/tsla-20241231-gen.pdf" TargetMode="External"/><Relationship Id="rId2" Type="http://schemas.openxmlformats.org/officeDocument/2006/relationships/numbering" Target="numbering.xml"/><Relationship Id="rId16" Type="http://schemas.openxmlformats.org/officeDocument/2006/relationships/hyperlink" Target="https://ir.tesla.com/_flysystem/s3/sec/000162828024002390/tsla-20231231-ge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ir.tesla.com/_flysystem/s3/sec/000095017023001409/tsla-20221231-gen.pdf" TargetMode="Externa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ir.tesla.com/_flysystem/s3/sec/000156459021004599/tsla-10k_20201231-gen.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a:t>Tesla Profitability Ratio Trends (2020–2024)</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Gross Profit Margin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Sheet1!$A$2:$A$6</c:f>
              <c:numCache>
                <c:formatCode>General</c:formatCode>
                <c:ptCount val="5"/>
                <c:pt idx="0">
                  <c:v>2020</c:v>
                </c:pt>
                <c:pt idx="1">
                  <c:v>2021</c:v>
                </c:pt>
                <c:pt idx="2">
                  <c:v>2022</c:v>
                </c:pt>
                <c:pt idx="3">
                  <c:v>2023</c:v>
                </c:pt>
                <c:pt idx="4">
                  <c:v>2024</c:v>
                </c:pt>
              </c:numCache>
            </c:numRef>
          </c:cat>
          <c:val>
            <c:numRef>
              <c:f>Sheet1!$B$2:$B$6</c:f>
              <c:numCache>
                <c:formatCode>General</c:formatCode>
                <c:ptCount val="5"/>
                <c:pt idx="0">
                  <c:v>21.02</c:v>
                </c:pt>
                <c:pt idx="1">
                  <c:v>25.28</c:v>
                </c:pt>
                <c:pt idx="2">
                  <c:v>25.6</c:v>
                </c:pt>
                <c:pt idx="3">
                  <c:v>18.25</c:v>
                </c:pt>
                <c:pt idx="4">
                  <c:v>17.86</c:v>
                </c:pt>
              </c:numCache>
            </c:numRef>
          </c:val>
          <c:smooth val="0"/>
          <c:extLst>
            <c:ext xmlns:c16="http://schemas.microsoft.com/office/drawing/2014/chart" uri="{C3380CC4-5D6E-409C-BE32-E72D297353CC}">
              <c16:uniqueId val="{00000000-F385-4BE3-A7FB-C255F9409A24}"/>
            </c:ext>
          </c:extLst>
        </c:ser>
        <c:ser>
          <c:idx val="1"/>
          <c:order val="1"/>
          <c:tx>
            <c:strRef>
              <c:f>Sheet1!$C$1</c:f>
              <c:strCache>
                <c:ptCount val="1"/>
                <c:pt idx="0">
                  <c:v>Net Profit Margin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Sheet1!$A$2:$A$6</c:f>
              <c:numCache>
                <c:formatCode>General</c:formatCode>
                <c:ptCount val="5"/>
                <c:pt idx="0">
                  <c:v>2020</c:v>
                </c:pt>
                <c:pt idx="1">
                  <c:v>2021</c:v>
                </c:pt>
                <c:pt idx="2">
                  <c:v>2022</c:v>
                </c:pt>
                <c:pt idx="3">
                  <c:v>2023</c:v>
                </c:pt>
                <c:pt idx="4">
                  <c:v>2024</c:v>
                </c:pt>
              </c:numCache>
            </c:numRef>
          </c:cat>
          <c:val>
            <c:numRef>
              <c:f>Sheet1!$C$2:$C$6</c:f>
              <c:numCache>
                <c:formatCode>General</c:formatCode>
                <c:ptCount val="5"/>
                <c:pt idx="0">
                  <c:v>2.29</c:v>
                </c:pt>
                <c:pt idx="1">
                  <c:v>10.25</c:v>
                </c:pt>
                <c:pt idx="2">
                  <c:v>15.41</c:v>
                </c:pt>
                <c:pt idx="3">
                  <c:v>15.5</c:v>
                </c:pt>
                <c:pt idx="4">
                  <c:v>7.26</c:v>
                </c:pt>
              </c:numCache>
            </c:numRef>
          </c:val>
          <c:smooth val="0"/>
          <c:extLst>
            <c:ext xmlns:c16="http://schemas.microsoft.com/office/drawing/2014/chart" uri="{C3380CC4-5D6E-409C-BE32-E72D297353CC}">
              <c16:uniqueId val="{00000001-F385-4BE3-A7FB-C255F9409A24}"/>
            </c:ext>
          </c:extLst>
        </c:ser>
        <c:ser>
          <c:idx val="2"/>
          <c:order val="2"/>
          <c:tx>
            <c:strRef>
              <c:f>Sheet1!$D$1</c:f>
              <c:strCache>
                <c:ptCount val="1"/>
                <c:pt idx="0">
                  <c:v>ROE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Sheet1!$A$2:$A$6</c:f>
              <c:numCache>
                <c:formatCode>General</c:formatCode>
                <c:ptCount val="5"/>
                <c:pt idx="0">
                  <c:v>2020</c:v>
                </c:pt>
                <c:pt idx="1">
                  <c:v>2021</c:v>
                </c:pt>
                <c:pt idx="2">
                  <c:v>2022</c:v>
                </c:pt>
                <c:pt idx="3">
                  <c:v>2023</c:v>
                </c:pt>
                <c:pt idx="4">
                  <c:v>2024</c:v>
                </c:pt>
              </c:numCache>
            </c:numRef>
          </c:cat>
          <c:val>
            <c:numRef>
              <c:f>Sheet1!$D$2:$D$6</c:f>
              <c:numCache>
                <c:formatCode>General</c:formatCode>
                <c:ptCount val="5"/>
                <c:pt idx="0">
                  <c:v>5</c:v>
                </c:pt>
                <c:pt idx="1">
                  <c:v>21.06</c:v>
                </c:pt>
                <c:pt idx="2">
                  <c:v>33.549999999999997</c:v>
                </c:pt>
                <c:pt idx="3">
                  <c:v>27.99</c:v>
                </c:pt>
                <c:pt idx="4">
                  <c:v>10.46</c:v>
                </c:pt>
              </c:numCache>
            </c:numRef>
          </c:val>
          <c:smooth val="0"/>
          <c:extLst>
            <c:ext xmlns:c16="http://schemas.microsoft.com/office/drawing/2014/chart" uri="{C3380CC4-5D6E-409C-BE32-E72D297353CC}">
              <c16:uniqueId val="{00000002-F385-4BE3-A7FB-C255F9409A24}"/>
            </c:ext>
          </c:extLst>
        </c:ser>
        <c:ser>
          <c:idx val="3"/>
          <c:order val="3"/>
          <c:tx>
            <c:strRef>
              <c:f>Sheet1!$E$1</c:f>
              <c:strCache>
                <c:ptCount val="1"/>
                <c:pt idx="0">
                  <c:v>ROCE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Sheet1!$A$2:$A$6</c:f>
              <c:numCache>
                <c:formatCode>General</c:formatCode>
                <c:ptCount val="5"/>
                <c:pt idx="0">
                  <c:v>2020</c:v>
                </c:pt>
                <c:pt idx="1">
                  <c:v>2021</c:v>
                </c:pt>
                <c:pt idx="2">
                  <c:v>2022</c:v>
                </c:pt>
                <c:pt idx="3">
                  <c:v>2023</c:v>
                </c:pt>
                <c:pt idx="4">
                  <c:v>2024</c:v>
                </c:pt>
              </c:numCache>
            </c:numRef>
          </c:cat>
          <c:val>
            <c:numRef>
              <c:f>Sheet1!$E$2:$E$6</c:f>
              <c:numCache>
                <c:formatCode>General</c:formatCode>
                <c:ptCount val="5"/>
                <c:pt idx="0">
                  <c:v>5.32</c:v>
                </c:pt>
                <c:pt idx="1">
                  <c:v>13.33</c:v>
                </c:pt>
                <c:pt idx="2">
                  <c:v>24.22</c:v>
                </c:pt>
                <c:pt idx="3">
                  <c:v>13.65</c:v>
                </c:pt>
                <c:pt idx="4">
                  <c:v>8.86</c:v>
                </c:pt>
              </c:numCache>
            </c:numRef>
          </c:val>
          <c:smooth val="0"/>
          <c:extLst>
            <c:ext xmlns:c16="http://schemas.microsoft.com/office/drawing/2014/chart" uri="{C3380CC4-5D6E-409C-BE32-E72D297353CC}">
              <c16:uniqueId val="{00000003-F385-4BE3-A7FB-C255F9409A24}"/>
            </c:ext>
          </c:extLst>
        </c:ser>
        <c:dLbls>
          <c:showLegendKey val="0"/>
          <c:showVal val="0"/>
          <c:showCatName val="0"/>
          <c:showSerName val="0"/>
          <c:showPercent val="0"/>
          <c:showBubbleSize val="0"/>
        </c:dLbls>
        <c:marker val="1"/>
        <c:smooth val="0"/>
        <c:axId val="-2022431984"/>
        <c:axId val="-2022427632"/>
      </c:lineChart>
      <c:catAx>
        <c:axId val="-2022431984"/>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27632"/>
        <c:crosses val="autoZero"/>
        <c:auto val="1"/>
        <c:lblAlgn val="ctr"/>
        <c:lblOffset val="100"/>
        <c:noMultiLvlLbl val="0"/>
      </c:catAx>
      <c:valAx>
        <c:axId val="-2022427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Ratio (%)</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31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a:t>Tesla Liquidity Ratio Trends (2020–2024)</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Sheet1!$F$1</c:f>
              <c:strCache>
                <c:ptCount val="1"/>
                <c:pt idx="0">
                  <c:v>Current Ratio</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Sheet1!$A$2:$A$6</c:f>
              <c:numCache>
                <c:formatCode>General</c:formatCode>
                <c:ptCount val="5"/>
                <c:pt idx="0">
                  <c:v>2020</c:v>
                </c:pt>
                <c:pt idx="1">
                  <c:v>2021</c:v>
                </c:pt>
                <c:pt idx="2">
                  <c:v>2022</c:v>
                </c:pt>
                <c:pt idx="3">
                  <c:v>2023</c:v>
                </c:pt>
                <c:pt idx="4">
                  <c:v>2024</c:v>
                </c:pt>
              </c:numCache>
            </c:numRef>
          </c:cat>
          <c:val>
            <c:numRef>
              <c:f>Sheet1!$F$2:$F$6</c:f>
              <c:numCache>
                <c:formatCode>General</c:formatCode>
                <c:ptCount val="5"/>
                <c:pt idx="0">
                  <c:v>1.88</c:v>
                </c:pt>
                <c:pt idx="1">
                  <c:v>1.38</c:v>
                </c:pt>
                <c:pt idx="2">
                  <c:v>1.53</c:v>
                </c:pt>
                <c:pt idx="3">
                  <c:v>1.73</c:v>
                </c:pt>
                <c:pt idx="4">
                  <c:v>2.0299999999999998</c:v>
                </c:pt>
              </c:numCache>
            </c:numRef>
          </c:val>
          <c:smooth val="0"/>
          <c:extLst>
            <c:ext xmlns:c16="http://schemas.microsoft.com/office/drawing/2014/chart" uri="{C3380CC4-5D6E-409C-BE32-E72D297353CC}">
              <c16:uniqueId val="{00000000-FDA2-4F1A-B8C8-85EF9288A6A1}"/>
            </c:ext>
          </c:extLst>
        </c:ser>
        <c:ser>
          <c:idx val="1"/>
          <c:order val="1"/>
          <c:tx>
            <c:strRef>
              <c:f>Sheet1!$G$1</c:f>
              <c:strCache>
                <c:ptCount val="1"/>
                <c:pt idx="0">
                  <c:v>Quick Ratio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Sheet1!$A$2:$A$6</c:f>
              <c:numCache>
                <c:formatCode>General</c:formatCode>
                <c:ptCount val="5"/>
                <c:pt idx="0">
                  <c:v>2020</c:v>
                </c:pt>
                <c:pt idx="1">
                  <c:v>2021</c:v>
                </c:pt>
                <c:pt idx="2">
                  <c:v>2022</c:v>
                </c:pt>
                <c:pt idx="3">
                  <c:v>2023</c:v>
                </c:pt>
                <c:pt idx="4">
                  <c:v>2024</c:v>
                </c:pt>
              </c:numCache>
            </c:numRef>
          </c:cat>
          <c:val>
            <c:numRef>
              <c:f>Sheet1!$G$2:$G$6</c:f>
              <c:numCache>
                <c:formatCode>General</c:formatCode>
                <c:ptCount val="5"/>
                <c:pt idx="0">
                  <c:v>1.59</c:v>
                </c:pt>
                <c:pt idx="1">
                  <c:v>1.0900000000000001</c:v>
                </c:pt>
                <c:pt idx="2">
                  <c:v>1.05</c:v>
                </c:pt>
                <c:pt idx="3">
                  <c:v>1.25</c:v>
                </c:pt>
                <c:pt idx="4">
                  <c:v>1.61</c:v>
                </c:pt>
              </c:numCache>
            </c:numRef>
          </c:val>
          <c:smooth val="0"/>
          <c:extLst>
            <c:ext xmlns:c16="http://schemas.microsoft.com/office/drawing/2014/chart" uri="{C3380CC4-5D6E-409C-BE32-E72D297353CC}">
              <c16:uniqueId val="{00000001-FDA2-4F1A-B8C8-85EF9288A6A1}"/>
            </c:ext>
          </c:extLst>
        </c:ser>
        <c:dLbls>
          <c:showLegendKey val="0"/>
          <c:showVal val="0"/>
          <c:showCatName val="0"/>
          <c:showSerName val="0"/>
          <c:showPercent val="0"/>
          <c:showBubbleSize val="0"/>
        </c:dLbls>
        <c:marker val="1"/>
        <c:smooth val="0"/>
        <c:axId val="-2022435248"/>
        <c:axId val="-2022434704"/>
      </c:lineChart>
      <c:catAx>
        <c:axId val="-2022435248"/>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34704"/>
        <c:crosses val="autoZero"/>
        <c:auto val="1"/>
        <c:lblAlgn val="ctr"/>
        <c:lblOffset val="100"/>
        <c:noMultiLvlLbl val="0"/>
      </c:catAx>
      <c:valAx>
        <c:axId val="-2022434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Ratio (Times)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35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a:t>Tesla Gearing and Debt Servicing Position (2020–2024)</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c:f>
              <c:strCache>
                <c:ptCount val="1"/>
                <c:pt idx="0">
                  <c:v>Year</c:v>
                </c:pt>
              </c:strCache>
            </c:strRef>
          </c:tx>
          <c:spPr>
            <a:solidFill>
              <a:schemeClr val="accent6"/>
            </a:solidFill>
            <a:ln>
              <a:noFill/>
            </a:ln>
            <a:effectLst/>
          </c:spPr>
          <c:invertIfNegative val="0"/>
          <c:val>
            <c:numRef>
              <c:f>Sheet1!$A$2:$A$6</c:f>
              <c:numCache>
                <c:formatCode>General</c:formatCode>
                <c:ptCount val="5"/>
                <c:pt idx="0">
                  <c:v>2020</c:v>
                </c:pt>
                <c:pt idx="1">
                  <c:v>2021</c:v>
                </c:pt>
                <c:pt idx="2">
                  <c:v>2022</c:v>
                </c:pt>
                <c:pt idx="3">
                  <c:v>2023</c:v>
                </c:pt>
                <c:pt idx="4">
                  <c:v>2024</c:v>
                </c:pt>
              </c:numCache>
            </c:numRef>
          </c:val>
          <c:extLst>
            <c:ext xmlns:c16="http://schemas.microsoft.com/office/drawing/2014/chart" uri="{C3380CC4-5D6E-409C-BE32-E72D297353CC}">
              <c16:uniqueId val="{00000000-3D51-404E-B339-10C3667DF836}"/>
            </c:ext>
          </c:extLst>
        </c:ser>
        <c:ser>
          <c:idx val="1"/>
          <c:order val="1"/>
          <c:tx>
            <c:strRef>
              <c:f>Sheet1!$K$1</c:f>
              <c:strCache>
                <c:ptCount val="1"/>
                <c:pt idx="0">
                  <c:v>Debt-to-Equity</c:v>
                </c:pt>
              </c:strCache>
            </c:strRef>
          </c:tx>
          <c:spPr>
            <a:solidFill>
              <a:schemeClr val="accent5"/>
            </a:solidFill>
            <a:ln>
              <a:noFill/>
            </a:ln>
            <a:effectLst/>
          </c:spPr>
          <c:invertIfNegative val="0"/>
          <c:val>
            <c:numRef>
              <c:f>Sheet1!$K$2:$K$6</c:f>
              <c:numCache>
                <c:formatCode>General</c:formatCode>
                <c:ptCount val="5"/>
                <c:pt idx="0">
                  <c:v>0.53</c:v>
                </c:pt>
                <c:pt idx="1">
                  <c:v>0.23</c:v>
                </c:pt>
                <c:pt idx="2">
                  <c:v>7.0000000000000007E-2</c:v>
                </c:pt>
                <c:pt idx="3">
                  <c:v>0.08</c:v>
                </c:pt>
                <c:pt idx="4">
                  <c:v>0.11</c:v>
                </c:pt>
              </c:numCache>
            </c:numRef>
          </c:val>
          <c:extLst>
            <c:ext xmlns:c16="http://schemas.microsoft.com/office/drawing/2014/chart" uri="{C3380CC4-5D6E-409C-BE32-E72D297353CC}">
              <c16:uniqueId val="{00000001-3D51-404E-B339-10C3667DF836}"/>
            </c:ext>
          </c:extLst>
        </c:ser>
        <c:dLbls>
          <c:showLegendKey val="0"/>
          <c:showVal val="0"/>
          <c:showCatName val="0"/>
          <c:showSerName val="0"/>
          <c:showPercent val="0"/>
          <c:showBubbleSize val="0"/>
        </c:dLbls>
        <c:gapWidth val="219"/>
        <c:overlap val="-27"/>
        <c:axId val="-2022427088"/>
        <c:axId val="-2022425456"/>
      </c:barChart>
      <c:lineChart>
        <c:grouping val="standard"/>
        <c:varyColors val="0"/>
        <c:ser>
          <c:idx val="2"/>
          <c:order val="2"/>
          <c:tx>
            <c:strRef>
              <c:f>Sheet1!$L$1</c:f>
              <c:strCache>
                <c:ptCount val="1"/>
                <c:pt idx="0">
                  <c:v>Interest Cover (x)</c:v>
                </c:pt>
              </c:strCache>
            </c:strRef>
          </c:tx>
          <c:spPr>
            <a:ln w="28575" cap="rnd">
              <a:solidFill>
                <a:schemeClr val="accent4"/>
              </a:solidFill>
              <a:round/>
            </a:ln>
            <a:effectLst/>
          </c:spPr>
          <c:marker>
            <c:symbol val="none"/>
          </c:marker>
          <c:val>
            <c:numRef>
              <c:f>Sheet1!$L$2:$L$6</c:f>
              <c:numCache>
                <c:formatCode>General</c:formatCode>
                <c:ptCount val="5"/>
                <c:pt idx="0">
                  <c:v>2.67</c:v>
                </c:pt>
                <c:pt idx="1">
                  <c:v>17.579999999999998</c:v>
                </c:pt>
                <c:pt idx="2">
                  <c:v>71.5</c:v>
                </c:pt>
                <c:pt idx="3">
                  <c:v>56.99</c:v>
                </c:pt>
                <c:pt idx="4">
                  <c:v>20.22</c:v>
                </c:pt>
              </c:numCache>
            </c:numRef>
          </c:val>
          <c:smooth val="0"/>
          <c:extLst>
            <c:ext xmlns:c16="http://schemas.microsoft.com/office/drawing/2014/chart" uri="{C3380CC4-5D6E-409C-BE32-E72D297353CC}">
              <c16:uniqueId val="{00000002-3D51-404E-B339-10C3667DF836}"/>
            </c:ext>
          </c:extLst>
        </c:ser>
        <c:dLbls>
          <c:showLegendKey val="0"/>
          <c:showVal val="0"/>
          <c:showCatName val="0"/>
          <c:showSerName val="0"/>
          <c:showPercent val="0"/>
          <c:showBubbleSize val="0"/>
        </c:dLbls>
        <c:marker val="1"/>
        <c:smooth val="0"/>
        <c:axId val="-2022441776"/>
        <c:axId val="-2022424368"/>
      </c:lineChart>
      <c:catAx>
        <c:axId val="-2022427088"/>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25456"/>
        <c:crosses val="autoZero"/>
        <c:auto val="1"/>
        <c:lblAlgn val="ctr"/>
        <c:lblOffset val="100"/>
        <c:noMultiLvlLbl val="0"/>
      </c:catAx>
      <c:valAx>
        <c:axId val="-2022425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Debt-to-Equity (Times)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27088"/>
        <c:crosses val="autoZero"/>
        <c:crossBetween val="between"/>
      </c:valAx>
      <c:valAx>
        <c:axId val="-2022424368"/>
        <c:scaling>
          <c:orientation val="minMax"/>
        </c:scaling>
        <c:delete val="0"/>
        <c:axPos val="r"/>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Interest Cover (Times)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41776"/>
        <c:crosses val="max"/>
        <c:crossBetween val="between"/>
      </c:valAx>
      <c:catAx>
        <c:axId val="-2022441776"/>
        <c:scaling>
          <c:orientation val="minMax"/>
        </c:scaling>
        <c:delete val="1"/>
        <c:axPos val="b"/>
        <c:majorTickMark val="out"/>
        <c:minorTickMark val="none"/>
        <c:tickLblPos val="nextTo"/>
        <c:crossAx val="-20224243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6D0D3-8BF1-4729-AC3A-0B2E03635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3</Pages>
  <Words>9810</Words>
  <Characters>55923</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Strategic CFO Challenge: Financial Performance Evaluation, Restructuring Strategy and Investment Appraisal of Tesla Inc.</vt:lpstr>
    </vt:vector>
  </TitlesOfParts>
  <Company/>
  <LinksUpToDate>false</LinksUpToDate>
  <CharactersWithSpaces>65602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CFO Challenge: Financial Performance Evaluation, Restructuring Strategy and Investment Appraisal of Tesla Inc.</dc:title>
  <dc:subject/>
  <dc:creator>HP</dc:creator>
  <cp:keywords/>
  <dc:description/>
  <cp:lastModifiedBy>Uttam Devshibhai Vaghamashi (2520138)</cp:lastModifiedBy>
  <cp:revision>112</cp:revision>
  <dcterms:created xsi:type="dcterms:W3CDTF">2026-04-22T12:45:00Z</dcterms:created>
  <dcterms:modified xsi:type="dcterms:W3CDTF">2026-04-24T09:16:00Z</dcterms:modified>
</cp:coreProperties>
</file>