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6D18C" w14:textId="77777777" w:rsidR="00B44E0C" w:rsidRPr="00D75D7A" w:rsidRDefault="00B44E0C" w:rsidP="00DE780F">
      <w:pPr>
        <w:jc w:val="center"/>
        <w:rPr>
          <w:b/>
          <w:color w:val="000000" w:themeColor="text1"/>
        </w:rPr>
      </w:pPr>
    </w:p>
    <w:p w14:paraId="6DDF31E0" w14:textId="77777777" w:rsidR="00B44E0C" w:rsidRPr="00D75D7A" w:rsidRDefault="00B44E0C" w:rsidP="00DE780F">
      <w:pPr>
        <w:jc w:val="center"/>
        <w:rPr>
          <w:b/>
          <w:color w:val="000000" w:themeColor="text1"/>
        </w:rPr>
      </w:pPr>
    </w:p>
    <w:p w14:paraId="444B41F4" w14:textId="77777777" w:rsidR="00B44E0C" w:rsidRPr="00D75D7A" w:rsidRDefault="00B44E0C" w:rsidP="00DE780F">
      <w:pPr>
        <w:jc w:val="center"/>
        <w:rPr>
          <w:b/>
          <w:color w:val="000000" w:themeColor="text1"/>
        </w:rPr>
      </w:pPr>
    </w:p>
    <w:p w14:paraId="30B089FB" w14:textId="77777777" w:rsidR="00B44E0C" w:rsidRPr="00D75D7A" w:rsidRDefault="00B44E0C" w:rsidP="00DE780F">
      <w:pPr>
        <w:jc w:val="center"/>
        <w:rPr>
          <w:b/>
          <w:color w:val="000000" w:themeColor="text1"/>
        </w:rPr>
      </w:pPr>
    </w:p>
    <w:p w14:paraId="742A4621" w14:textId="77777777" w:rsidR="00B44E0C" w:rsidRPr="00D75D7A" w:rsidRDefault="00B44E0C" w:rsidP="00DE780F">
      <w:pPr>
        <w:jc w:val="center"/>
        <w:rPr>
          <w:b/>
          <w:color w:val="000000" w:themeColor="text1"/>
        </w:rPr>
      </w:pPr>
    </w:p>
    <w:p w14:paraId="29FF2C62" w14:textId="77777777" w:rsidR="00B44E0C" w:rsidRPr="00D75D7A" w:rsidRDefault="00B44E0C" w:rsidP="00DE780F">
      <w:pPr>
        <w:jc w:val="center"/>
        <w:rPr>
          <w:b/>
          <w:color w:val="000000" w:themeColor="text1"/>
        </w:rPr>
      </w:pPr>
    </w:p>
    <w:p w14:paraId="5617757F" w14:textId="77777777" w:rsidR="00B44E0C" w:rsidRPr="00D75D7A" w:rsidRDefault="00B44E0C" w:rsidP="00DE780F">
      <w:pPr>
        <w:jc w:val="center"/>
        <w:rPr>
          <w:b/>
          <w:color w:val="000000" w:themeColor="text1"/>
        </w:rPr>
      </w:pPr>
    </w:p>
    <w:p w14:paraId="758B32E0" w14:textId="77777777" w:rsidR="00B44E0C" w:rsidRPr="00D75D7A" w:rsidRDefault="00B44E0C" w:rsidP="00DE780F">
      <w:pPr>
        <w:jc w:val="center"/>
        <w:rPr>
          <w:b/>
          <w:color w:val="000000" w:themeColor="text1"/>
        </w:rPr>
      </w:pPr>
    </w:p>
    <w:p w14:paraId="094FB8C8" w14:textId="77777777" w:rsidR="00D75D7A" w:rsidRPr="00D75D7A" w:rsidRDefault="00D75D7A" w:rsidP="00DE780F">
      <w:pPr>
        <w:jc w:val="center"/>
        <w:rPr>
          <w:b/>
          <w:color w:val="000000" w:themeColor="text1"/>
          <w:sz w:val="32"/>
          <w:szCs w:val="32"/>
        </w:rPr>
      </w:pPr>
      <w:r w:rsidRPr="00D75D7A">
        <w:rPr>
          <w:b/>
          <w:color w:val="000000" w:themeColor="text1"/>
          <w:sz w:val="32"/>
          <w:szCs w:val="32"/>
        </w:rPr>
        <w:t xml:space="preserve"> MODULE NAME:</w:t>
      </w:r>
    </w:p>
    <w:p w14:paraId="0A36DAFE" w14:textId="4A9D22E0" w:rsidR="00B44E0C" w:rsidRPr="00D75D7A" w:rsidRDefault="00B44E0C" w:rsidP="00DE780F">
      <w:pPr>
        <w:jc w:val="center"/>
        <w:rPr>
          <w:b/>
          <w:color w:val="000000" w:themeColor="text1"/>
          <w:sz w:val="32"/>
          <w:szCs w:val="32"/>
        </w:rPr>
      </w:pPr>
      <w:r w:rsidRPr="00D75D7A">
        <w:rPr>
          <w:b/>
          <w:color w:val="000000" w:themeColor="text1"/>
          <w:sz w:val="32"/>
          <w:szCs w:val="32"/>
        </w:rPr>
        <w:t>“Financial Management for the Hotel Industry”</w:t>
      </w:r>
    </w:p>
    <w:p w14:paraId="5DFB0499" w14:textId="6133CA72" w:rsidR="00D75D7A" w:rsidRPr="00D75D7A" w:rsidRDefault="00D75D7A" w:rsidP="00DE780F">
      <w:pPr>
        <w:jc w:val="center"/>
        <w:rPr>
          <w:b/>
          <w:color w:val="000000" w:themeColor="text1"/>
          <w:sz w:val="32"/>
          <w:szCs w:val="32"/>
        </w:rPr>
      </w:pPr>
      <w:r w:rsidRPr="00D75D7A">
        <w:rPr>
          <w:b/>
          <w:color w:val="000000" w:themeColor="text1"/>
          <w:sz w:val="32"/>
          <w:szCs w:val="32"/>
        </w:rPr>
        <w:t>Module code: BMIH5007</w:t>
      </w:r>
    </w:p>
    <w:p w14:paraId="757BEFFA" w14:textId="77777777" w:rsidR="00B44E0C" w:rsidRPr="00D75D7A" w:rsidRDefault="00B44E0C" w:rsidP="00DE780F">
      <w:pPr>
        <w:jc w:val="center"/>
        <w:rPr>
          <w:b/>
          <w:color w:val="000000" w:themeColor="text1"/>
          <w:sz w:val="32"/>
          <w:szCs w:val="32"/>
        </w:rPr>
      </w:pPr>
      <w:r w:rsidRPr="00D75D7A">
        <w:rPr>
          <w:b/>
          <w:color w:val="000000" w:themeColor="text1"/>
          <w:sz w:val="32"/>
          <w:szCs w:val="32"/>
        </w:rPr>
        <w:t>“Report Case Study: The Seacrest Lodge”</w:t>
      </w:r>
    </w:p>
    <w:p w14:paraId="64FD8E3B" w14:textId="77777777" w:rsidR="00DE780F" w:rsidRPr="00D75D7A" w:rsidRDefault="00B44E0C" w:rsidP="00DE780F">
      <w:pPr>
        <w:pBdr>
          <w:bottom w:val="single" w:sz="4" w:space="1" w:color="auto"/>
        </w:pBdr>
        <w:jc w:val="center"/>
        <w:rPr>
          <w:b/>
          <w:color w:val="000000" w:themeColor="text1"/>
          <w:sz w:val="32"/>
          <w:szCs w:val="32"/>
        </w:rPr>
      </w:pPr>
      <w:r w:rsidRPr="00D75D7A">
        <w:rPr>
          <w:b/>
          <w:color w:val="000000" w:themeColor="text1"/>
          <w:sz w:val="32"/>
          <w:szCs w:val="32"/>
        </w:rPr>
        <w:t xml:space="preserve">“Assessment 2” </w:t>
      </w:r>
    </w:p>
    <w:p w14:paraId="01979663" w14:textId="77777777" w:rsidR="00D75D7A" w:rsidRPr="00D75D7A" w:rsidRDefault="00D75D7A" w:rsidP="00DE780F">
      <w:pPr>
        <w:pBdr>
          <w:bottom w:val="single" w:sz="4" w:space="1" w:color="auto"/>
        </w:pBdr>
        <w:jc w:val="center"/>
        <w:rPr>
          <w:b/>
          <w:color w:val="000000" w:themeColor="text1"/>
          <w:sz w:val="32"/>
          <w:szCs w:val="32"/>
        </w:rPr>
      </w:pPr>
    </w:p>
    <w:p w14:paraId="2F5F25F7" w14:textId="62E73095" w:rsidR="00D75D7A" w:rsidRPr="00D75D7A" w:rsidRDefault="00D75D7A" w:rsidP="00DE780F">
      <w:pPr>
        <w:pBdr>
          <w:bottom w:val="single" w:sz="4" w:space="1" w:color="auto"/>
        </w:pBdr>
        <w:jc w:val="center"/>
        <w:rPr>
          <w:b/>
          <w:color w:val="000000" w:themeColor="text1"/>
          <w:sz w:val="32"/>
          <w:szCs w:val="32"/>
        </w:rPr>
      </w:pPr>
      <w:r w:rsidRPr="00D75D7A">
        <w:rPr>
          <w:b/>
          <w:color w:val="000000" w:themeColor="text1"/>
          <w:sz w:val="32"/>
          <w:szCs w:val="32"/>
        </w:rPr>
        <w:t>Student: Gina Stefanuta</w:t>
      </w:r>
    </w:p>
    <w:p w14:paraId="0D287AB4" w14:textId="589AC42B" w:rsidR="00D75D7A" w:rsidRPr="00D75D7A" w:rsidRDefault="00D75D7A" w:rsidP="00DE780F">
      <w:pPr>
        <w:pBdr>
          <w:bottom w:val="single" w:sz="4" w:space="1" w:color="auto"/>
        </w:pBdr>
        <w:jc w:val="center"/>
        <w:rPr>
          <w:b/>
          <w:color w:val="000000" w:themeColor="text1"/>
          <w:sz w:val="32"/>
          <w:szCs w:val="32"/>
        </w:rPr>
      </w:pPr>
      <w:r w:rsidRPr="00D75D7A">
        <w:rPr>
          <w:b/>
          <w:color w:val="000000" w:themeColor="text1"/>
          <w:sz w:val="32"/>
          <w:szCs w:val="32"/>
        </w:rPr>
        <w:t>Student ID: 2120011</w:t>
      </w:r>
    </w:p>
    <w:p w14:paraId="20A42FCB" w14:textId="6FD74A2F" w:rsidR="00D75D7A" w:rsidRPr="00D75D7A" w:rsidRDefault="00D75D7A" w:rsidP="00DE780F">
      <w:pPr>
        <w:pBdr>
          <w:bottom w:val="single" w:sz="4" w:space="1" w:color="auto"/>
        </w:pBdr>
        <w:jc w:val="center"/>
        <w:rPr>
          <w:b/>
          <w:color w:val="000000" w:themeColor="text1"/>
          <w:sz w:val="32"/>
          <w:szCs w:val="32"/>
        </w:rPr>
      </w:pPr>
      <w:r w:rsidRPr="00D75D7A">
        <w:rPr>
          <w:b/>
          <w:color w:val="000000" w:themeColor="text1"/>
          <w:sz w:val="32"/>
          <w:szCs w:val="32"/>
        </w:rPr>
        <w:t xml:space="preserve">Lecturer: Tristan Hawkins </w:t>
      </w:r>
    </w:p>
    <w:p w14:paraId="64128147" w14:textId="3AFB5F33" w:rsidR="00D75D7A" w:rsidRPr="00D75D7A" w:rsidRDefault="00D75D7A" w:rsidP="00DE780F">
      <w:pPr>
        <w:pBdr>
          <w:bottom w:val="single" w:sz="4" w:space="1" w:color="auto"/>
        </w:pBdr>
        <w:jc w:val="center"/>
        <w:rPr>
          <w:b/>
          <w:color w:val="000000" w:themeColor="text1"/>
          <w:sz w:val="32"/>
          <w:szCs w:val="32"/>
        </w:rPr>
      </w:pPr>
      <w:r w:rsidRPr="00D75D7A">
        <w:rPr>
          <w:b/>
          <w:color w:val="000000" w:themeColor="text1"/>
          <w:sz w:val="32"/>
          <w:szCs w:val="32"/>
        </w:rPr>
        <w:t>Word count: 2028</w:t>
      </w:r>
    </w:p>
    <w:p w14:paraId="596D58CB" w14:textId="77777777" w:rsidR="00D75D7A" w:rsidRPr="00D75D7A" w:rsidRDefault="00D75D7A" w:rsidP="00DE780F">
      <w:pPr>
        <w:pBdr>
          <w:bottom w:val="single" w:sz="4" w:space="1" w:color="auto"/>
        </w:pBdr>
        <w:jc w:val="center"/>
        <w:rPr>
          <w:b/>
          <w:color w:val="000000" w:themeColor="text1"/>
        </w:rPr>
      </w:pPr>
    </w:p>
    <w:p w14:paraId="1D8D078A" w14:textId="77777777" w:rsidR="00DE780F" w:rsidRPr="00D75D7A" w:rsidRDefault="00DE780F">
      <w:pPr>
        <w:rPr>
          <w:b/>
          <w:color w:val="000000" w:themeColor="text1"/>
        </w:rPr>
      </w:pPr>
      <w:r w:rsidRPr="00D75D7A">
        <w:rPr>
          <w:b/>
          <w:color w:val="000000" w:themeColor="text1"/>
        </w:rPr>
        <w:br w:type="page"/>
      </w:r>
    </w:p>
    <w:p w14:paraId="152916DD" w14:textId="1CE98339" w:rsidR="00DE780F" w:rsidRDefault="00DE780F" w:rsidP="00DE780F">
      <w:pPr>
        <w:jc w:val="center"/>
        <w:rPr>
          <w:b/>
          <w:color w:val="000000" w:themeColor="text1"/>
        </w:rPr>
      </w:pPr>
      <w:r w:rsidRPr="00D75D7A">
        <w:rPr>
          <w:b/>
          <w:color w:val="000000" w:themeColor="text1"/>
        </w:rPr>
        <w:lastRenderedPageBreak/>
        <w:t xml:space="preserve">Executive Summary </w:t>
      </w:r>
    </w:p>
    <w:p w14:paraId="5748EBE5" w14:textId="77777777" w:rsidR="00D75D7A" w:rsidRPr="00D75D7A" w:rsidRDefault="00D75D7A" w:rsidP="00DE780F">
      <w:pPr>
        <w:jc w:val="center"/>
        <w:rPr>
          <w:b/>
          <w:color w:val="000000" w:themeColor="text1"/>
        </w:rPr>
      </w:pPr>
    </w:p>
    <w:p w14:paraId="1989221A" w14:textId="591E376E" w:rsidR="006373B7" w:rsidRPr="00D75D7A" w:rsidRDefault="006373B7" w:rsidP="006373B7">
      <w:pPr>
        <w:pStyle w:val="NormalWeb"/>
        <w:spacing w:before="0" w:beforeAutospacing="0" w:after="0" w:afterAutospacing="0" w:line="360" w:lineRule="auto"/>
        <w:jc w:val="both"/>
        <w:rPr>
          <w:color w:val="000000" w:themeColor="text1"/>
        </w:rPr>
      </w:pPr>
      <w:r w:rsidRPr="00D75D7A">
        <w:rPr>
          <w:color w:val="000000" w:themeColor="text1"/>
        </w:rPr>
        <w:t>The identified applicability of the general financial management concept has been formulated for the financial evaluation support including the operating growth initiative approach on a proper basis. In this report mainly the financial performance analysis related to the business of Seacrest Lodge has been evaluated with the primary intention of recognising the operating compatibility and financial performance stability reasons. Additionally, it also represents the applications of decline Prophet reasons in this business including the application of turnaround strategy with the initiative of which the compatibility value and statutory growth can be maintained. </w:t>
      </w:r>
    </w:p>
    <w:p w14:paraId="455BE943" w14:textId="77777777" w:rsidR="006373B7" w:rsidRPr="00D75D7A" w:rsidRDefault="006373B7" w:rsidP="00DE780F">
      <w:pPr>
        <w:jc w:val="center"/>
        <w:rPr>
          <w:b/>
          <w:color w:val="000000" w:themeColor="text1"/>
        </w:rPr>
      </w:pPr>
    </w:p>
    <w:p w14:paraId="53976334" w14:textId="0FFDC2DB" w:rsidR="00B44E0C" w:rsidRPr="00D75D7A" w:rsidRDefault="00B44E0C" w:rsidP="00DE780F">
      <w:pPr>
        <w:jc w:val="center"/>
        <w:rPr>
          <w:b/>
          <w:color w:val="000000" w:themeColor="text1"/>
        </w:rPr>
      </w:pPr>
      <w:r w:rsidRPr="00D75D7A">
        <w:rPr>
          <w:b/>
          <w:color w:val="000000" w:themeColor="text1"/>
        </w:rPr>
        <w:br w:type="page"/>
      </w:r>
    </w:p>
    <w:sdt>
      <w:sdtPr>
        <w:rPr>
          <w:rFonts w:ascii="Times New Roman" w:eastAsia="Times New Roman" w:hAnsi="Times New Roman" w:cs="Times New Roman"/>
          <w:color w:val="000000" w:themeColor="text1"/>
          <w:sz w:val="24"/>
          <w:szCs w:val="24"/>
          <w:lang w:val="en-GB" w:eastAsia="en-IN"/>
        </w:rPr>
        <w:id w:val="-96402516"/>
        <w:docPartObj>
          <w:docPartGallery w:val="Table of Contents"/>
          <w:docPartUnique/>
        </w:docPartObj>
      </w:sdtPr>
      <w:sdtEndPr>
        <w:rPr>
          <w:b/>
          <w:bCs/>
          <w:noProof/>
        </w:rPr>
      </w:sdtEndPr>
      <w:sdtContent>
        <w:p w14:paraId="28236B17" w14:textId="23E90304" w:rsidR="00B44E0C" w:rsidRPr="00D75D7A" w:rsidRDefault="00B44E0C" w:rsidP="00B44E0C">
          <w:pPr>
            <w:pStyle w:val="TOCHeading"/>
            <w:jc w:val="center"/>
            <w:rPr>
              <w:rFonts w:ascii="Times New Roman" w:hAnsi="Times New Roman" w:cs="Times New Roman"/>
              <w:b/>
              <w:color w:val="000000" w:themeColor="text1"/>
              <w:sz w:val="24"/>
              <w:szCs w:val="24"/>
            </w:rPr>
          </w:pPr>
          <w:r w:rsidRPr="00D75D7A">
            <w:rPr>
              <w:rFonts w:ascii="Times New Roman" w:hAnsi="Times New Roman" w:cs="Times New Roman"/>
              <w:b/>
              <w:color w:val="000000" w:themeColor="text1"/>
              <w:sz w:val="24"/>
              <w:szCs w:val="24"/>
            </w:rPr>
            <w:t>Table of Contents</w:t>
          </w:r>
        </w:p>
        <w:p w14:paraId="2F053038" w14:textId="05258AC7" w:rsidR="00B9601A" w:rsidRPr="00D75D7A" w:rsidRDefault="00B44E0C">
          <w:pPr>
            <w:pStyle w:val="TOC1"/>
            <w:tabs>
              <w:tab w:val="right" w:leader="dot" w:pos="9350"/>
            </w:tabs>
            <w:rPr>
              <w:rFonts w:eastAsiaTheme="minorEastAsia"/>
              <w:noProof/>
              <w:color w:val="000000" w:themeColor="text1"/>
              <w:lang w:val="en-IN"/>
            </w:rPr>
          </w:pPr>
          <w:r w:rsidRPr="00D75D7A">
            <w:rPr>
              <w:color w:val="000000" w:themeColor="text1"/>
            </w:rPr>
            <w:fldChar w:fldCharType="begin"/>
          </w:r>
          <w:r w:rsidRPr="00D75D7A">
            <w:rPr>
              <w:color w:val="000000" w:themeColor="text1"/>
            </w:rPr>
            <w:instrText xml:space="preserve"> TOC \o "1-3" \h \z \u </w:instrText>
          </w:r>
          <w:r w:rsidRPr="00D75D7A">
            <w:rPr>
              <w:color w:val="000000" w:themeColor="text1"/>
            </w:rPr>
            <w:fldChar w:fldCharType="separate"/>
          </w:r>
          <w:hyperlink w:anchor="_Toc159518475" w:history="1">
            <w:r w:rsidR="00B9601A" w:rsidRPr="00D75D7A">
              <w:rPr>
                <w:rStyle w:val="Hyperlink"/>
                <w:noProof/>
                <w:color w:val="000000" w:themeColor="text1"/>
              </w:rPr>
              <w:t>1.0 “Introduction”</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_Toc159518475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4</w:t>
            </w:r>
            <w:r w:rsidR="00B9601A" w:rsidRPr="00D75D7A">
              <w:rPr>
                <w:noProof/>
                <w:webHidden/>
                <w:color w:val="000000" w:themeColor="text1"/>
              </w:rPr>
              <w:fldChar w:fldCharType="end"/>
            </w:r>
          </w:hyperlink>
        </w:p>
        <w:p w14:paraId="7517B0CD" w14:textId="5F803C49" w:rsidR="00B9601A" w:rsidRPr="00D75D7A" w:rsidRDefault="00000000">
          <w:pPr>
            <w:pStyle w:val="TOC2"/>
            <w:tabs>
              <w:tab w:val="right" w:leader="dot" w:pos="9350"/>
            </w:tabs>
            <w:rPr>
              <w:rFonts w:eastAsiaTheme="minorEastAsia"/>
              <w:noProof/>
              <w:color w:val="000000" w:themeColor="text1"/>
              <w:lang w:val="en-IN"/>
            </w:rPr>
          </w:pPr>
          <w:hyperlink w:anchor="_Toc159518476" w:history="1">
            <w:r w:rsidR="00B9601A" w:rsidRPr="00D75D7A">
              <w:rPr>
                <w:rStyle w:val="Hyperlink"/>
                <w:noProof/>
                <w:color w:val="000000" w:themeColor="text1"/>
              </w:rPr>
              <w:t>1.1 “Background of report”</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_Toc159518476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4</w:t>
            </w:r>
            <w:r w:rsidR="00B9601A" w:rsidRPr="00D75D7A">
              <w:rPr>
                <w:noProof/>
                <w:webHidden/>
                <w:color w:val="000000" w:themeColor="text1"/>
              </w:rPr>
              <w:fldChar w:fldCharType="end"/>
            </w:r>
          </w:hyperlink>
        </w:p>
        <w:p w14:paraId="28E6AE39" w14:textId="71FB4DC6" w:rsidR="00B9601A" w:rsidRPr="00D75D7A" w:rsidRDefault="00000000">
          <w:pPr>
            <w:pStyle w:val="TOC2"/>
            <w:tabs>
              <w:tab w:val="right" w:leader="dot" w:pos="9350"/>
            </w:tabs>
            <w:rPr>
              <w:rFonts w:eastAsiaTheme="minorEastAsia"/>
              <w:noProof/>
              <w:color w:val="000000" w:themeColor="text1"/>
              <w:lang w:val="en-IN"/>
            </w:rPr>
          </w:pPr>
          <w:hyperlink w:anchor="_Toc159518477" w:history="1">
            <w:r w:rsidR="00B9601A" w:rsidRPr="00D75D7A">
              <w:rPr>
                <w:rStyle w:val="Hyperlink"/>
                <w:noProof/>
                <w:color w:val="000000" w:themeColor="text1"/>
              </w:rPr>
              <w:t>1.2 “Objective of report”</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_Toc159518477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4</w:t>
            </w:r>
            <w:r w:rsidR="00B9601A" w:rsidRPr="00D75D7A">
              <w:rPr>
                <w:noProof/>
                <w:webHidden/>
                <w:color w:val="000000" w:themeColor="text1"/>
              </w:rPr>
              <w:fldChar w:fldCharType="end"/>
            </w:r>
          </w:hyperlink>
        </w:p>
        <w:p w14:paraId="34B67D06" w14:textId="6E209EF6" w:rsidR="00B9601A" w:rsidRPr="00D75D7A" w:rsidRDefault="00000000">
          <w:pPr>
            <w:pStyle w:val="TOC1"/>
            <w:tabs>
              <w:tab w:val="right" w:leader="dot" w:pos="9350"/>
            </w:tabs>
            <w:rPr>
              <w:rFonts w:eastAsiaTheme="minorEastAsia"/>
              <w:noProof/>
              <w:color w:val="000000" w:themeColor="text1"/>
              <w:lang w:val="en-IN"/>
            </w:rPr>
          </w:pPr>
          <w:hyperlink w:anchor="_Toc159518478" w:history="1">
            <w:r w:rsidR="00B9601A" w:rsidRPr="00D75D7A">
              <w:rPr>
                <w:rStyle w:val="Hyperlink"/>
                <w:noProof/>
                <w:color w:val="000000" w:themeColor="text1"/>
              </w:rPr>
              <w:t>2.0 Discussions</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_Toc159518478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4</w:t>
            </w:r>
            <w:r w:rsidR="00B9601A" w:rsidRPr="00D75D7A">
              <w:rPr>
                <w:noProof/>
                <w:webHidden/>
                <w:color w:val="000000" w:themeColor="text1"/>
              </w:rPr>
              <w:fldChar w:fldCharType="end"/>
            </w:r>
          </w:hyperlink>
        </w:p>
        <w:p w14:paraId="57E7317C" w14:textId="2D472954" w:rsidR="00B9601A" w:rsidRPr="00D75D7A" w:rsidRDefault="00000000">
          <w:pPr>
            <w:pStyle w:val="TOC2"/>
            <w:tabs>
              <w:tab w:val="right" w:leader="dot" w:pos="9350"/>
            </w:tabs>
            <w:rPr>
              <w:rFonts w:eastAsiaTheme="minorEastAsia"/>
              <w:noProof/>
              <w:color w:val="000000" w:themeColor="text1"/>
              <w:lang w:val="en-IN"/>
            </w:rPr>
          </w:pPr>
          <w:hyperlink w:anchor="_Toc159518479" w:history="1">
            <w:r w:rsidR="00B9601A" w:rsidRPr="00D75D7A">
              <w:rPr>
                <w:rStyle w:val="Hyperlink"/>
                <w:noProof/>
                <w:color w:val="000000" w:themeColor="text1"/>
              </w:rPr>
              <w:t>2.1 “Analysis of Financial performance for Seacrest Lodge for three financial periods”</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_Toc159518479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4</w:t>
            </w:r>
            <w:r w:rsidR="00B9601A" w:rsidRPr="00D75D7A">
              <w:rPr>
                <w:noProof/>
                <w:webHidden/>
                <w:color w:val="000000" w:themeColor="text1"/>
              </w:rPr>
              <w:fldChar w:fldCharType="end"/>
            </w:r>
          </w:hyperlink>
        </w:p>
        <w:p w14:paraId="5B6247E0" w14:textId="7E5FC320" w:rsidR="00B9601A" w:rsidRPr="00D75D7A" w:rsidRDefault="00000000">
          <w:pPr>
            <w:pStyle w:val="TOC2"/>
            <w:tabs>
              <w:tab w:val="right" w:leader="dot" w:pos="9350"/>
            </w:tabs>
            <w:rPr>
              <w:rFonts w:eastAsiaTheme="minorEastAsia"/>
              <w:noProof/>
              <w:color w:val="000000" w:themeColor="text1"/>
              <w:lang w:val="en-IN"/>
            </w:rPr>
          </w:pPr>
          <w:hyperlink w:anchor="_Toc159518480" w:history="1">
            <w:r w:rsidR="00B9601A" w:rsidRPr="00D75D7A">
              <w:rPr>
                <w:rStyle w:val="Hyperlink"/>
                <w:noProof/>
                <w:color w:val="000000" w:themeColor="text1"/>
              </w:rPr>
              <w:t>2.2 “Key reasons regarding profit declining position in business”</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_Toc159518480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6</w:t>
            </w:r>
            <w:r w:rsidR="00B9601A" w:rsidRPr="00D75D7A">
              <w:rPr>
                <w:noProof/>
                <w:webHidden/>
                <w:color w:val="000000" w:themeColor="text1"/>
              </w:rPr>
              <w:fldChar w:fldCharType="end"/>
            </w:r>
          </w:hyperlink>
        </w:p>
        <w:p w14:paraId="646C3071" w14:textId="0ECBA9AE" w:rsidR="00B9601A" w:rsidRPr="00D75D7A" w:rsidRDefault="00000000">
          <w:pPr>
            <w:pStyle w:val="TOC2"/>
            <w:tabs>
              <w:tab w:val="right" w:leader="dot" w:pos="9350"/>
            </w:tabs>
            <w:rPr>
              <w:rFonts w:eastAsiaTheme="minorEastAsia"/>
              <w:noProof/>
              <w:color w:val="000000" w:themeColor="text1"/>
              <w:lang w:val="en-IN"/>
            </w:rPr>
          </w:pPr>
          <w:hyperlink w:anchor="_Toc159518481" w:history="1">
            <w:r w:rsidR="00B9601A" w:rsidRPr="00D75D7A">
              <w:rPr>
                <w:rStyle w:val="Hyperlink"/>
                <w:noProof/>
                <w:color w:val="000000" w:themeColor="text1"/>
              </w:rPr>
              <w:t>2.3 “Applied comprehensive turnaround strategy to revitalise lodge’s financial health”</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_Toc159518481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7</w:t>
            </w:r>
            <w:r w:rsidR="00B9601A" w:rsidRPr="00D75D7A">
              <w:rPr>
                <w:noProof/>
                <w:webHidden/>
                <w:color w:val="000000" w:themeColor="text1"/>
              </w:rPr>
              <w:fldChar w:fldCharType="end"/>
            </w:r>
          </w:hyperlink>
        </w:p>
        <w:p w14:paraId="258B579D" w14:textId="3896682B" w:rsidR="00B9601A" w:rsidRPr="00D75D7A" w:rsidRDefault="00000000">
          <w:pPr>
            <w:pStyle w:val="TOC1"/>
            <w:tabs>
              <w:tab w:val="right" w:leader="dot" w:pos="9350"/>
            </w:tabs>
            <w:rPr>
              <w:rFonts w:eastAsiaTheme="minorEastAsia"/>
              <w:noProof/>
              <w:color w:val="000000" w:themeColor="text1"/>
              <w:lang w:val="en-IN"/>
            </w:rPr>
          </w:pPr>
          <w:hyperlink w:anchor="_Toc159518482" w:history="1">
            <w:r w:rsidR="00B9601A" w:rsidRPr="00D75D7A">
              <w:rPr>
                <w:rStyle w:val="Hyperlink"/>
                <w:noProof/>
                <w:color w:val="000000" w:themeColor="text1"/>
              </w:rPr>
              <w:t>3.0 Recommendation</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_Toc159518482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8</w:t>
            </w:r>
            <w:r w:rsidR="00B9601A" w:rsidRPr="00D75D7A">
              <w:rPr>
                <w:noProof/>
                <w:webHidden/>
                <w:color w:val="000000" w:themeColor="text1"/>
              </w:rPr>
              <w:fldChar w:fldCharType="end"/>
            </w:r>
          </w:hyperlink>
        </w:p>
        <w:p w14:paraId="6DACDF79" w14:textId="49C7E096" w:rsidR="00B9601A" w:rsidRPr="00D75D7A" w:rsidRDefault="00000000">
          <w:pPr>
            <w:pStyle w:val="TOC1"/>
            <w:tabs>
              <w:tab w:val="right" w:leader="dot" w:pos="9350"/>
            </w:tabs>
            <w:rPr>
              <w:rFonts w:eastAsiaTheme="minorEastAsia"/>
              <w:noProof/>
              <w:color w:val="000000" w:themeColor="text1"/>
              <w:lang w:val="en-IN"/>
            </w:rPr>
          </w:pPr>
          <w:hyperlink w:anchor="_Toc159518483" w:history="1">
            <w:r w:rsidR="00B9601A" w:rsidRPr="00D75D7A">
              <w:rPr>
                <w:rStyle w:val="Hyperlink"/>
                <w:noProof/>
                <w:color w:val="000000" w:themeColor="text1"/>
              </w:rPr>
              <w:t>4.0 Conclusions</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_Toc159518483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9</w:t>
            </w:r>
            <w:r w:rsidR="00B9601A" w:rsidRPr="00D75D7A">
              <w:rPr>
                <w:noProof/>
                <w:webHidden/>
                <w:color w:val="000000" w:themeColor="text1"/>
              </w:rPr>
              <w:fldChar w:fldCharType="end"/>
            </w:r>
          </w:hyperlink>
        </w:p>
        <w:p w14:paraId="1C062310" w14:textId="23E8EFF0" w:rsidR="00B9601A" w:rsidRPr="00D75D7A" w:rsidRDefault="00000000">
          <w:pPr>
            <w:pStyle w:val="TOC1"/>
            <w:tabs>
              <w:tab w:val="right" w:leader="dot" w:pos="9350"/>
            </w:tabs>
            <w:rPr>
              <w:rFonts w:eastAsiaTheme="minorEastAsia"/>
              <w:noProof/>
              <w:color w:val="000000" w:themeColor="text1"/>
              <w:lang w:val="en-IN"/>
            </w:rPr>
          </w:pPr>
          <w:hyperlink w:anchor="_Toc159518484" w:history="1">
            <w:r w:rsidR="00B9601A" w:rsidRPr="00D75D7A">
              <w:rPr>
                <w:rStyle w:val="Hyperlink"/>
                <w:noProof/>
                <w:color w:val="000000" w:themeColor="text1"/>
              </w:rPr>
              <w:t>References</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_Toc159518484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10</w:t>
            </w:r>
            <w:r w:rsidR="00B9601A" w:rsidRPr="00D75D7A">
              <w:rPr>
                <w:noProof/>
                <w:webHidden/>
                <w:color w:val="000000" w:themeColor="text1"/>
              </w:rPr>
              <w:fldChar w:fldCharType="end"/>
            </w:r>
          </w:hyperlink>
        </w:p>
        <w:p w14:paraId="327BEB43" w14:textId="64BDD88E" w:rsidR="00B9601A" w:rsidRPr="00D75D7A" w:rsidRDefault="00000000">
          <w:pPr>
            <w:pStyle w:val="TOC1"/>
            <w:tabs>
              <w:tab w:val="right" w:leader="dot" w:pos="9350"/>
            </w:tabs>
            <w:rPr>
              <w:rFonts w:eastAsiaTheme="minorEastAsia"/>
              <w:noProof/>
              <w:color w:val="000000" w:themeColor="text1"/>
              <w:lang w:val="en-IN"/>
            </w:rPr>
          </w:pPr>
          <w:hyperlink w:anchor="_Toc159518485" w:history="1">
            <w:r w:rsidR="00B9601A" w:rsidRPr="00D75D7A">
              <w:rPr>
                <w:rStyle w:val="Hyperlink"/>
                <w:noProof/>
                <w:color w:val="000000" w:themeColor="text1"/>
              </w:rPr>
              <w:t>Appendix</w:t>
            </w:r>
            <w:r w:rsidR="00B9601A" w:rsidRPr="00D75D7A">
              <w:rPr>
                <w:noProof/>
                <w:webHidden/>
                <w:color w:val="000000" w:themeColor="text1"/>
              </w:rPr>
              <w:tab/>
            </w:r>
            <w:r w:rsidR="00B9601A" w:rsidRPr="00D75D7A">
              <w:rPr>
                <w:noProof/>
                <w:webHidden/>
                <w:color w:val="000000" w:themeColor="text1"/>
              </w:rPr>
              <w:fldChar w:fldCharType="begin"/>
            </w:r>
            <w:r w:rsidR="00B9601A" w:rsidRPr="00D75D7A">
              <w:rPr>
                <w:noProof/>
                <w:webHidden/>
                <w:color w:val="000000" w:themeColor="text1"/>
              </w:rPr>
              <w:instrText xml:space="preserve"> PAGEREF _Toc159518485 \h </w:instrText>
            </w:r>
            <w:r w:rsidR="00B9601A" w:rsidRPr="00D75D7A">
              <w:rPr>
                <w:noProof/>
                <w:webHidden/>
                <w:color w:val="000000" w:themeColor="text1"/>
              </w:rPr>
            </w:r>
            <w:r w:rsidR="00B9601A" w:rsidRPr="00D75D7A">
              <w:rPr>
                <w:noProof/>
                <w:webHidden/>
                <w:color w:val="000000" w:themeColor="text1"/>
              </w:rPr>
              <w:fldChar w:fldCharType="separate"/>
            </w:r>
            <w:r w:rsidR="00B9601A" w:rsidRPr="00D75D7A">
              <w:rPr>
                <w:noProof/>
                <w:webHidden/>
                <w:color w:val="000000" w:themeColor="text1"/>
              </w:rPr>
              <w:t>11</w:t>
            </w:r>
            <w:r w:rsidR="00B9601A" w:rsidRPr="00D75D7A">
              <w:rPr>
                <w:noProof/>
                <w:webHidden/>
                <w:color w:val="000000" w:themeColor="text1"/>
              </w:rPr>
              <w:fldChar w:fldCharType="end"/>
            </w:r>
          </w:hyperlink>
        </w:p>
        <w:p w14:paraId="71D01F21" w14:textId="2514EE42" w:rsidR="00B44E0C" w:rsidRPr="00D75D7A" w:rsidRDefault="00B44E0C">
          <w:pPr>
            <w:rPr>
              <w:color w:val="000000" w:themeColor="text1"/>
            </w:rPr>
          </w:pPr>
          <w:r w:rsidRPr="00D75D7A">
            <w:rPr>
              <w:b/>
              <w:bCs/>
              <w:noProof/>
              <w:color w:val="000000" w:themeColor="text1"/>
            </w:rPr>
            <w:fldChar w:fldCharType="end"/>
          </w:r>
        </w:p>
      </w:sdtContent>
    </w:sdt>
    <w:p w14:paraId="43AF5538" w14:textId="77777777" w:rsidR="00B44E0C" w:rsidRPr="00D75D7A" w:rsidRDefault="00B44E0C">
      <w:pPr>
        <w:rPr>
          <w:b/>
          <w:color w:val="000000" w:themeColor="text1"/>
        </w:rPr>
      </w:pPr>
      <w:r w:rsidRPr="00D75D7A">
        <w:rPr>
          <w:b/>
          <w:color w:val="000000" w:themeColor="text1"/>
        </w:rPr>
        <w:br w:type="page"/>
      </w:r>
    </w:p>
    <w:p w14:paraId="00000001" w14:textId="788459F0" w:rsidR="001D6D78" w:rsidRPr="00D75D7A" w:rsidRDefault="007E7E5E" w:rsidP="00B44E0C">
      <w:pPr>
        <w:pStyle w:val="Heading1"/>
        <w:rPr>
          <w:color w:val="000000" w:themeColor="text1"/>
        </w:rPr>
      </w:pPr>
      <w:bookmarkStart w:id="0" w:name="_Toc159518475"/>
      <w:r w:rsidRPr="00D75D7A">
        <w:rPr>
          <w:color w:val="000000" w:themeColor="text1"/>
        </w:rPr>
        <w:lastRenderedPageBreak/>
        <w:t xml:space="preserve">1.0 </w:t>
      </w:r>
      <w:r w:rsidR="00B44E0C" w:rsidRPr="00D75D7A">
        <w:rPr>
          <w:color w:val="000000" w:themeColor="text1"/>
        </w:rPr>
        <w:t>“</w:t>
      </w:r>
      <w:r w:rsidRPr="00D75D7A">
        <w:rPr>
          <w:color w:val="000000" w:themeColor="text1"/>
        </w:rPr>
        <w:t>Introduction</w:t>
      </w:r>
      <w:r w:rsidR="00B44E0C" w:rsidRPr="00D75D7A">
        <w:rPr>
          <w:color w:val="000000" w:themeColor="text1"/>
        </w:rPr>
        <w:t>”</w:t>
      </w:r>
      <w:bookmarkEnd w:id="0"/>
    </w:p>
    <w:p w14:paraId="00000002" w14:textId="36438F37" w:rsidR="001D6D78" w:rsidRPr="00D75D7A" w:rsidRDefault="007E7E5E" w:rsidP="00B44E0C">
      <w:pPr>
        <w:pStyle w:val="Heading2"/>
        <w:rPr>
          <w:color w:val="000000" w:themeColor="text1"/>
        </w:rPr>
      </w:pPr>
      <w:bookmarkStart w:id="1" w:name="_Toc159518476"/>
      <w:r w:rsidRPr="00D75D7A">
        <w:rPr>
          <w:color w:val="000000" w:themeColor="text1"/>
        </w:rPr>
        <w:t xml:space="preserve">1.1 </w:t>
      </w:r>
      <w:r w:rsidR="00B44E0C" w:rsidRPr="00D75D7A">
        <w:rPr>
          <w:color w:val="000000" w:themeColor="text1"/>
        </w:rPr>
        <w:t>“</w:t>
      </w:r>
      <w:r w:rsidRPr="00D75D7A">
        <w:rPr>
          <w:color w:val="000000" w:themeColor="text1"/>
        </w:rPr>
        <w:t>Background of report</w:t>
      </w:r>
      <w:r w:rsidR="00B44E0C" w:rsidRPr="00D75D7A">
        <w:rPr>
          <w:color w:val="000000" w:themeColor="text1"/>
        </w:rPr>
        <w:t>”</w:t>
      </w:r>
      <w:bookmarkEnd w:id="1"/>
      <w:r w:rsidRPr="00D75D7A">
        <w:rPr>
          <w:color w:val="000000" w:themeColor="text1"/>
        </w:rPr>
        <w:t xml:space="preserve"> </w:t>
      </w:r>
    </w:p>
    <w:p w14:paraId="00000003" w14:textId="0D527AC4" w:rsidR="001D6D78" w:rsidRPr="00D75D7A" w:rsidRDefault="007E7E5E">
      <w:pPr>
        <w:rPr>
          <w:color w:val="000000" w:themeColor="text1"/>
        </w:rPr>
      </w:pPr>
      <w:r w:rsidRPr="00D75D7A">
        <w:rPr>
          <w:color w:val="000000" w:themeColor="text1"/>
        </w:rPr>
        <w:t xml:space="preserve">According to the general accounting approach, the identified contemporary positions related to the maintenance and formulation of contemporary accounting concepts have been initiated for operating development and performance measurement purposes. Under the general Financial Management concept, a significant level of importance regarding individual accounting details is necessary for the operating development determination purpose that manages the structural growth including the governance approach on a formulated basis (Drury, 2022). As per the general operating engagement the maintenance of positive accounting details is structured for performance development including formulation support purposes </w:t>
      </w:r>
      <w:r w:rsidR="00B44E0C" w:rsidRPr="00D75D7A">
        <w:rPr>
          <w:color w:val="000000" w:themeColor="text1"/>
        </w:rPr>
        <w:t>formulates</w:t>
      </w:r>
      <w:r w:rsidRPr="00D75D7A">
        <w:rPr>
          <w:color w:val="000000" w:themeColor="text1"/>
        </w:rPr>
        <w:t xml:space="preserve"> business growth on a sustainable basis. In this report, mainly the financial position and non-financial attributes of the business of </w:t>
      </w:r>
      <w:r w:rsidRPr="00D75D7A">
        <w:rPr>
          <w:b/>
          <w:color w:val="000000" w:themeColor="text1"/>
        </w:rPr>
        <w:t xml:space="preserve">Seacrest Lodge </w:t>
      </w:r>
      <w:r w:rsidRPr="00D75D7A">
        <w:rPr>
          <w:color w:val="000000" w:themeColor="text1"/>
        </w:rPr>
        <w:t xml:space="preserve">have been evaluated with different operating support. </w:t>
      </w:r>
    </w:p>
    <w:p w14:paraId="00000004" w14:textId="7D9AF7C1" w:rsidR="001D6D78" w:rsidRPr="00D75D7A" w:rsidRDefault="007E7E5E" w:rsidP="00B44E0C">
      <w:pPr>
        <w:pStyle w:val="Heading2"/>
        <w:rPr>
          <w:color w:val="000000" w:themeColor="text1"/>
        </w:rPr>
      </w:pPr>
      <w:bookmarkStart w:id="2" w:name="_Toc159518477"/>
      <w:r w:rsidRPr="00D75D7A">
        <w:rPr>
          <w:color w:val="000000" w:themeColor="text1"/>
        </w:rPr>
        <w:t xml:space="preserve">1.2 </w:t>
      </w:r>
      <w:r w:rsidR="00B44E0C" w:rsidRPr="00D75D7A">
        <w:rPr>
          <w:color w:val="000000" w:themeColor="text1"/>
        </w:rPr>
        <w:t>“</w:t>
      </w:r>
      <w:r w:rsidRPr="00D75D7A">
        <w:rPr>
          <w:color w:val="000000" w:themeColor="text1"/>
        </w:rPr>
        <w:t>Objective of report</w:t>
      </w:r>
      <w:r w:rsidR="00B44E0C" w:rsidRPr="00D75D7A">
        <w:rPr>
          <w:color w:val="000000" w:themeColor="text1"/>
        </w:rPr>
        <w:t>”</w:t>
      </w:r>
      <w:bookmarkEnd w:id="2"/>
      <w:r w:rsidRPr="00D75D7A">
        <w:rPr>
          <w:color w:val="000000" w:themeColor="text1"/>
        </w:rPr>
        <w:t xml:space="preserve"> </w:t>
      </w:r>
    </w:p>
    <w:p w14:paraId="00000005" w14:textId="77777777" w:rsidR="001D6D78" w:rsidRPr="00D75D7A" w:rsidRDefault="007E7E5E">
      <w:pPr>
        <w:numPr>
          <w:ilvl w:val="0"/>
          <w:numId w:val="2"/>
        </w:numPr>
        <w:rPr>
          <w:color w:val="000000" w:themeColor="text1"/>
        </w:rPr>
      </w:pPr>
      <w:r w:rsidRPr="00D75D7A">
        <w:rPr>
          <w:color w:val="000000" w:themeColor="text1"/>
        </w:rPr>
        <w:t>To evaluate the present financial position of Seacrest Lodge</w:t>
      </w:r>
    </w:p>
    <w:p w14:paraId="00000006" w14:textId="77777777" w:rsidR="001D6D78" w:rsidRPr="00D75D7A" w:rsidRDefault="007E7E5E">
      <w:pPr>
        <w:numPr>
          <w:ilvl w:val="0"/>
          <w:numId w:val="2"/>
        </w:numPr>
        <w:rPr>
          <w:color w:val="000000" w:themeColor="text1"/>
        </w:rPr>
      </w:pPr>
      <w:r w:rsidRPr="00D75D7A">
        <w:rPr>
          <w:color w:val="000000" w:themeColor="text1"/>
        </w:rPr>
        <w:t>To identify the marketing position and non-financial approach of Seacrest Lodge</w:t>
      </w:r>
    </w:p>
    <w:p w14:paraId="00000007" w14:textId="77777777" w:rsidR="001D6D78" w:rsidRPr="00D75D7A" w:rsidRDefault="007E7E5E">
      <w:pPr>
        <w:numPr>
          <w:ilvl w:val="0"/>
          <w:numId w:val="2"/>
        </w:numPr>
        <w:rPr>
          <w:color w:val="000000" w:themeColor="text1"/>
        </w:rPr>
      </w:pPr>
      <w:r w:rsidRPr="00D75D7A">
        <w:rPr>
          <w:color w:val="000000" w:themeColor="text1"/>
        </w:rPr>
        <w:t>To recognise the reasons for the declined profit position in Seacrest Lodge</w:t>
      </w:r>
    </w:p>
    <w:p w14:paraId="00000008" w14:textId="77777777" w:rsidR="001D6D78" w:rsidRPr="00D75D7A" w:rsidRDefault="007E7E5E">
      <w:pPr>
        <w:numPr>
          <w:ilvl w:val="0"/>
          <w:numId w:val="2"/>
        </w:numPr>
        <w:rPr>
          <w:color w:val="000000" w:themeColor="text1"/>
        </w:rPr>
      </w:pPr>
      <w:r w:rsidRPr="00D75D7A">
        <w:rPr>
          <w:color w:val="000000" w:themeColor="text1"/>
        </w:rPr>
        <w:t>To evaluate and propose positive strategic initiatives for Seacrest Lodge</w:t>
      </w:r>
    </w:p>
    <w:p w14:paraId="00000009" w14:textId="77777777" w:rsidR="001D6D78" w:rsidRPr="00D75D7A" w:rsidRDefault="007E7E5E" w:rsidP="00B44E0C">
      <w:pPr>
        <w:pStyle w:val="Heading1"/>
        <w:rPr>
          <w:color w:val="000000" w:themeColor="text1"/>
        </w:rPr>
      </w:pPr>
      <w:bookmarkStart w:id="3" w:name="_Toc159518478"/>
      <w:r w:rsidRPr="00D75D7A">
        <w:rPr>
          <w:color w:val="000000" w:themeColor="text1"/>
        </w:rPr>
        <w:t>2.0 Discussions</w:t>
      </w:r>
      <w:bookmarkEnd w:id="3"/>
    </w:p>
    <w:p w14:paraId="0000000A" w14:textId="77777777" w:rsidR="001D6D78" w:rsidRPr="00D75D7A" w:rsidRDefault="007E7E5E" w:rsidP="00B44E0C">
      <w:pPr>
        <w:pStyle w:val="Heading2"/>
        <w:rPr>
          <w:color w:val="000000" w:themeColor="text1"/>
        </w:rPr>
      </w:pPr>
      <w:bookmarkStart w:id="4" w:name="_Toc159518479"/>
      <w:r w:rsidRPr="00D75D7A">
        <w:rPr>
          <w:color w:val="000000" w:themeColor="text1"/>
        </w:rPr>
        <w:t>2.1 “Analysis of Financial performance for Seacrest Lodge for three financial periods”</w:t>
      </w:r>
      <w:bookmarkEnd w:id="4"/>
    </w:p>
    <w:p w14:paraId="0000000C" w14:textId="66C99BC7" w:rsidR="001D6D78" w:rsidRPr="00D75D7A" w:rsidRDefault="007E7E5E">
      <w:pPr>
        <w:rPr>
          <w:color w:val="000000" w:themeColor="text1"/>
        </w:rPr>
      </w:pPr>
      <w:r w:rsidRPr="00D75D7A">
        <w:rPr>
          <w:color w:val="000000" w:themeColor="text1"/>
        </w:rPr>
        <w:t>An optimised position of an individual business related to both financial and non-financial aspects can be measured with the processing of positive strategic measuring tools that formulate the value development position on a formulated basis. The initiative of ratio analysis is identified as an initiated strategic tool with the formulation of which the general growth including the operating position of the business has been measured with benchmarking support (</w:t>
      </w:r>
      <w:r w:rsidRPr="00D75D7A">
        <w:rPr>
          <w:color w:val="000000" w:themeColor="text1"/>
          <w:highlight w:val="white"/>
        </w:rPr>
        <w:t>Breuer and Pfingsten, 2022)</w:t>
      </w:r>
      <w:r w:rsidRPr="00D75D7A">
        <w:rPr>
          <w:color w:val="000000" w:themeColor="text1"/>
        </w:rPr>
        <w:t xml:space="preserve">. The applicability of benchmarking is identified as a comparative processing approach that has been initiated for operating compatibility and formulated growth support. As per the basic operating position and performance, the general </w:t>
      </w:r>
      <w:r w:rsidR="00197626" w:rsidRPr="00D75D7A">
        <w:rPr>
          <w:color w:val="000000" w:themeColor="text1"/>
        </w:rPr>
        <w:t>financial position</w:t>
      </w:r>
      <w:r w:rsidRPr="00D75D7A">
        <w:rPr>
          <w:color w:val="000000" w:themeColor="text1"/>
        </w:rPr>
        <w:t xml:space="preserve"> analysis for the business of </w:t>
      </w:r>
      <w:r w:rsidRPr="00D75D7A">
        <w:rPr>
          <w:b/>
          <w:color w:val="000000" w:themeColor="text1"/>
        </w:rPr>
        <w:t xml:space="preserve">Seacrest Lodge </w:t>
      </w:r>
      <w:r w:rsidRPr="00D75D7A">
        <w:rPr>
          <w:color w:val="000000" w:themeColor="text1"/>
        </w:rPr>
        <w:t>has been provided</w:t>
      </w:r>
      <w:r w:rsidR="00197626" w:rsidRPr="00D75D7A">
        <w:rPr>
          <w:color w:val="000000" w:themeColor="text1"/>
        </w:rPr>
        <w:t xml:space="preserve"> that indicates the optimised accounting positioning growth</w:t>
      </w:r>
      <w:r w:rsidRPr="00D75D7A">
        <w:rPr>
          <w:color w:val="000000" w:themeColor="text1"/>
        </w:rPr>
        <w:t xml:space="preserve">. </w:t>
      </w:r>
      <w:r w:rsidR="00197626" w:rsidRPr="00D75D7A">
        <w:rPr>
          <w:b/>
          <w:color w:val="000000" w:themeColor="text1"/>
        </w:rPr>
        <w:t>(Calculation in appendix part)</w:t>
      </w:r>
    </w:p>
    <w:p w14:paraId="1E50C5C9" w14:textId="77777777" w:rsidR="006E34D7" w:rsidRPr="00D75D7A" w:rsidRDefault="006E34D7">
      <w:pPr>
        <w:rPr>
          <w:color w:val="000000" w:themeColor="text1"/>
        </w:rPr>
      </w:pPr>
    </w:p>
    <w:p w14:paraId="00000011" w14:textId="540406CB" w:rsidR="001D6D78" w:rsidRPr="00D75D7A" w:rsidRDefault="007E7E5E">
      <w:pPr>
        <w:rPr>
          <w:color w:val="000000" w:themeColor="text1"/>
        </w:rPr>
      </w:pPr>
      <w:r w:rsidRPr="00D75D7A">
        <w:rPr>
          <w:color w:val="000000" w:themeColor="text1"/>
        </w:rPr>
        <w:lastRenderedPageBreak/>
        <w:t xml:space="preserve">The fundamental measurement and operating analysis regarding </w:t>
      </w:r>
      <w:r w:rsidR="00197626" w:rsidRPr="00D75D7A">
        <w:rPr>
          <w:color w:val="000000" w:themeColor="text1"/>
        </w:rPr>
        <w:t>net profit</w:t>
      </w:r>
      <w:r w:rsidRPr="00D75D7A">
        <w:rPr>
          <w:color w:val="000000" w:themeColor="text1"/>
        </w:rPr>
        <w:t xml:space="preserve"> analysis has been initiated for the operating engagement and financial measurement in the context of the basic earning position that formulates the value initiative position in a formulated order. As per the basic measurement approach, the present earning position of the business represents a significant level of declined approach compared to the earlier period indicating t</w:t>
      </w:r>
      <w:r w:rsidR="00197626" w:rsidRPr="00D75D7A">
        <w:rPr>
          <w:color w:val="000000" w:themeColor="text1"/>
        </w:rPr>
        <w:t>he declined level from 25% to (-</w:t>
      </w:r>
      <w:r w:rsidRPr="00D75D7A">
        <w:rPr>
          <w:color w:val="000000" w:themeColor="text1"/>
        </w:rPr>
        <w:t>15.79%) which indicates an insufficient market demand position compared to the present market demand (</w:t>
      </w:r>
      <w:r w:rsidRPr="00D75D7A">
        <w:rPr>
          <w:color w:val="000000" w:themeColor="text1"/>
          <w:highlight w:val="white"/>
        </w:rPr>
        <w:t xml:space="preserve">Zhang </w:t>
      </w:r>
      <w:r w:rsidRPr="00D75D7A">
        <w:rPr>
          <w:i/>
          <w:color w:val="000000" w:themeColor="text1"/>
          <w:highlight w:val="white"/>
        </w:rPr>
        <w:t xml:space="preserve">et al., </w:t>
      </w:r>
      <w:r w:rsidRPr="00D75D7A">
        <w:rPr>
          <w:color w:val="000000" w:themeColor="text1"/>
          <w:highlight w:val="white"/>
        </w:rPr>
        <w:t>2020)</w:t>
      </w:r>
      <w:r w:rsidRPr="00D75D7A">
        <w:rPr>
          <w:color w:val="000000" w:themeColor="text1"/>
        </w:rPr>
        <w:t>. The general operating crisis and a declining standard of living position mainly declined the position of earnings for this business.</w:t>
      </w:r>
    </w:p>
    <w:p w14:paraId="00000016" w14:textId="0BCBDA68" w:rsidR="001D6D78" w:rsidRPr="00D75D7A" w:rsidRDefault="007E7E5E">
      <w:pPr>
        <w:rPr>
          <w:color w:val="000000" w:themeColor="text1"/>
        </w:rPr>
      </w:pPr>
      <w:r w:rsidRPr="00D75D7A">
        <w:rPr>
          <w:color w:val="000000" w:themeColor="text1"/>
        </w:rPr>
        <w:t xml:space="preserve">The general measurement of </w:t>
      </w:r>
      <w:r w:rsidR="00197626" w:rsidRPr="00D75D7A">
        <w:rPr>
          <w:color w:val="000000" w:themeColor="text1"/>
        </w:rPr>
        <w:t>Current ratio</w:t>
      </w:r>
      <w:r w:rsidRPr="00D75D7A">
        <w:rPr>
          <w:color w:val="000000" w:themeColor="text1"/>
        </w:rPr>
        <w:t xml:space="preserve"> analysis </w:t>
      </w:r>
      <w:r w:rsidR="00197626" w:rsidRPr="00D75D7A">
        <w:rPr>
          <w:color w:val="000000" w:themeColor="text1"/>
        </w:rPr>
        <w:t xml:space="preserve">is also identified for the measuring support of business financial </w:t>
      </w:r>
      <w:proofErr w:type="gramStart"/>
      <w:r w:rsidR="00197626" w:rsidRPr="00D75D7A">
        <w:rPr>
          <w:color w:val="000000" w:themeColor="text1"/>
        </w:rPr>
        <w:t>position</w:t>
      </w:r>
      <w:proofErr w:type="gramEnd"/>
      <w:r w:rsidR="00197626" w:rsidRPr="00D75D7A">
        <w:rPr>
          <w:color w:val="000000" w:themeColor="text1"/>
        </w:rPr>
        <w:t xml:space="preserve"> and it </w:t>
      </w:r>
      <w:r w:rsidRPr="00D75D7A">
        <w:rPr>
          <w:color w:val="000000" w:themeColor="text1"/>
        </w:rPr>
        <w:t>indicates the liquidity position of the business associated with the current assets position. As per the general evaluated structure, this analysis mainly represents a huge level of declining approach from the position of 5 times growth to 1 time in the present period. A significant level of loss related to the current assets position and an unethical expansion of the current liability position mainly formulates this negative approach that mainly declined the liquidity level of the business in a non-sufficient order (</w:t>
      </w:r>
      <w:proofErr w:type="spellStart"/>
      <w:r w:rsidRPr="00D75D7A">
        <w:rPr>
          <w:color w:val="000000" w:themeColor="text1"/>
          <w:highlight w:val="white"/>
        </w:rPr>
        <w:t>Osazevbaru</w:t>
      </w:r>
      <w:proofErr w:type="spellEnd"/>
      <w:r w:rsidRPr="00D75D7A">
        <w:rPr>
          <w:color w:val="000000" w:themeColor="text1"/>
          <w:highlight w:val="white"/>
        </w:rPr>
        <w:t xml:space="preserve"> </w:t>
      </w:r>
      <w:r w:rsidRPr="00D75D7A">
        <w:rPr>
          <w:i/>
          <w:color w:val="000000" w:themeColor="text1"/>
          <w:highlight w:val="white"/>
        </w:rPr>
        <w:t>et al.,</w:t>
      </w:r>
      <w:r w:rsidRPr="00D75D7A">
        <w:rPr>
          <w:color w:val="000000" w:themeColor="text1"/>
          <w:highlight w:val="white"/>
        </w:rPr>
        <w:t xml:space="preserve"> 2021)</w:t>
      </w:r>
      <w:r w:rsidRPr="00D75D7A">
        <w:rPr>
          <w:color w:val="000000" w:themeColor="text1"/>
        </w:rPr>
        <w:t>.</w:t>
      </w:r>
    </w:p>
    <w:p w14:paraId="0000001B" w14:textId="705016F7" w:rsidR="001D6D78" w:rsidRPr="00D75D7A" w:rsidRDefault="007E7E5E">
      <w:pPr>
        <w:rPr>
          <w:color w:val="000000" w:themeColor="text1"/>
        </w:rPr>
      </w:pPr>
      <w:r w:rsidRPr="00D75D7A">
        <w:rPr>
          <w:color w:val="000000" w:themeColor="text1"/>
        </w:rPr>
        <w:t xml:space="preserve">Fundamental measurement regarding </w:t>
      </w:r>
      <w:r w:rsidR="00197626" w:rsidRPr="00D75D7A">
        <w:rPr>
          <w:color w:val="000000" w:themeColor="text1"/>
        </w:rPr>
        <w:t>Debt-equity</w:t>
      </w:r>
      <w:r w:rsidRPr="00D75D7A">
        <w:rPr>
          <w:color w:val="000000" w:themeColor="text1"/>
        </w:rPr>
        <w:t xml:space="preserve"> analysis</w:t>
      </w:r>
      <w:r w:rsidR="00197626" w:rsidRPr="00D75D7A">
        <w:rPr>
          <w:color w:val="000000" w:themeColor="text1"/>
        </w:rPr>
        <w:t xml:space="preserve"> </w:t>
      </w:r>
      <w:proofErr w:type="gramStart"/>
      <w:r w:rsidR="00197626" w:rsidRPr="00D75D7A">
        <w:rPr>
          <w:color w:val="000000" w:themeColor="text1"/>
        </w:rPr>
        <w:t>are</w:t>
      </w:r>
      <w:proofErr w:type="gramEnd"/>
      <w:r w:rsidR="00197626" w:rsidRPr="00D75D7A">
        <w:rPr>
          <w:color w:val="000000" w:themeColor="text1"/>
        </w:rPr>
        <w:t xml:space="preserve"> initiated for the measurement of capital positioning support of the business that</w:t>
      </w:r>
      <w:r w:rsidRPr="00D75D7A">
        <w:rPr>
          <w:color w:val="000000" w:themeColor="text1"/>
        </w:rPr>
        <w:t xml:space="preserve"> has been initiated for the evaluated </w:t>
      </w:r>
      <w:r w:rsidR="00197626" w:rsidRPr="00D75D7A">
        <w:rPr>
          <w:color w:val="000000" w:themeColor="text1"/>
        </w:rPr>
        <w:t>capital value development in</w:t>
      </w:r>
      <w:r w:rsidRPr="00D75D7A">
        <w:rPr>
          <w:color w:val="000000" w:themeColor="text1"/>
        </w:rPr>
        <w:t xml:space="preserve"> a formulated basis that structured the operating growth including the marketing initiatives in a proper basis. As per the basic engagement, the measurement of this indicates an expanded approach from the level of 2.41 times to 5.00 times currently indicating a positive expansion of the equity capital position of the business in the present period (</w:t>
      </w:r>
      <w:r w:rsidRPr="00D75D7A">
        <w:rPr>
          <w:color w:val="000000" w:themeColor="text1"/>
          <w:highlight w:val="white"/>
        </w:rPr>
        <w:t>OKOCHA and JEROH, 2024)</w:t>
      </w:r>
      <w:r w:rsidRPr="00D75D7A">
        <w:rPr>
          <w:color w:val="000000" w:themeColor="text1"/>
        </w:rPr>
        <w:t>. The engagement of this approach represents positive development including the formulated operating support for measuring the business statutory growth initiatives on a formulated basis.</w:t>
      </w:r>
    </w:p>
    <w:p w14:paraId="00000020" w14:textId="746A0E35" w:rsidR="001D6D78" w:rsidRPr="00D75D7A" w:rsidRDefault="007E7E5E">
      <w:pPr>
        <w:rPr>
          <w:b/>
          <w:color w:val="000000" w:themeColor="text1"/>
        </w:rPr>
      </w:pPr>
      <w:r w:rsidRPr="00D75D7A">
        <w:rPr>
          <w:color w:val="000000" w:themeColor="text1"/>
        </w:rPr>
        <w:t xml:space="preserve">As per the general measuring approach the formulation and maintenance of </w:t>
      </w:r>
      <w:r w:rsidR="00197626" w:rsidRPr="00D75D7A">
        <w:rPr>
          <w:color w:val="000000" w:themeColor="text1"/>
        </w:rPr>
        <w:t>return on assets</w:t>
      </w:r>
      <w:r w:rsidRPr="00D75D7A">
        <w:rPr>
          <w:color w:val="000000" w:themeColor="text1"/>
        </w:rPr>
        <w:t xml:space="preserve"> analysis have been initiated for the general evaluation of the current returning position of the business associated with the general level of total assets structure that brings the compatibility growth support. </w:t>
      </w:r>
      <w:r w:rsidR="00197626" w:rsidRPr="00D75D7A">
        <w:rPr>
          <w:color w:val="000000" w:themeColor="text1"/>
        </w:rPr>
        <w:t xml:space="preserve">It is also applied for formulating the financial health development initiatives that is sustainable for structuring the business values in a proper basis. </w:t>
      </w:r>
      <w:r w:rsidRPr="00D75D7A">
        <w:rPr>
          <w:color w:val="000000" w:themeColor="text1"/>
        </w:rPr>
        <w:t xml:space="preserve">As per the general analysis support it can be identified that in 2021, while the rate of return was 13.95% in the present period </w:t>
      </w:r>
      <w:r w:rsidRPr="00D75D7A">
        <w:rPr>
          <w:color w:val="000000" w:themeColor="text1"/>
        </w:rPr>
        <w:lastRenderedPageBreak/>
        <w:t xml:space="preserve">of 2023 it declined to the level of (-8.10%) due to an insufficient level of earnings that needs to be revised by the management presently for the operating accountability and progressive support.” </w:t>
      </w:r>
    </w:p>
    <w:p w14:paraId="00000025" w14:textId="0F49029E" w:rsidR="001D6D78" w:rsidRPr="00D75D7A" w:rsidRDefault="007E7E5E">
      <w:pPr>
        <w:rPr>
          <w:color w:val="000000" w:themeColor="text1"/>
        </w:rPr>
      </w:pPr>
      <w:r w:rsidRPr="00D75D7A">
        <w:rPr>
          <w:color w:val="000000" w:themeColor="text1"/>
        </w:rPr>
        <w:t xml:space="preserve">According to the present operating position the applied engagement of </w:t>
      </w:r>
      <w:r w:rsidR="00197626" w:rsidRPr="00D75D7A">
        <w:rPr>
          <w:color w:val="000000" w:themeColor="text1"/>
        </w:rPr>
        <w:t>Return on equity</w:t>
      </w:r>
      <w:r w:rsidRPr="00D75D7A">
        <w:rPr>
          <w:color w:val="000000" w:themeColor="text1"/>
        </w:rPr>
        <w:t xml:space="preserve"> analysis has been initiated for the measuring support including the earning compatibility initiative position of the business with the formulation of equity structure that formulates the value growth positioning support (Seal and Rohde, 2019). As per the present analysis, the measurement support of these results indicates the growth position from 48.38% to the level of (-50.00%) is non-optimised and indicates the requisition of an accounting development approach in the upcoming period with market statutory support.</w:t>
      </w:r>
    </w:p>
    <w:p w14:paraId="0000002E" w14:textId="1CD51E30" w:rsidR="001D6D78" w:rsidRPr="00D75D7A" w:rsidRDefault="007E7E5E">
      <w:pPr>
        <w:rPr>
          <w:color w:val="000000" w:themeColor="text1"/>
        </w:rPr>
      </w:pPr>
      <w:r w:rsidRPr="00D75D7A">
        <w:rPr>
          <w:color w:val="000000" w:themeColor="text1"/>
        </w:rPr>
        <w:t>The formulated support and present analysis regarding the applied occupancy rate have been initiated for the general understanding support of the earning position of the hotel business concerning market demand and ARR defines the room rate position with the present operating structure as well. As per the analysis present occupancy rate declined to 50% and ARR up to £210, which indicates the requisition support of operating growth including the optimised operating development initiatives mainly needed in this business presently for the operating compatibility initiatives.</w:t>
      </w:r>
    </w:p>
    <w:p w14:paraId="11659B58" w14:textId="030EDFA4" w:rsidR="00197626" w:rsidRPr="00D75D7A" w:rsidRDefault="00197626" w:rsidP="00197626">
      <w:pPr>
        <w:rPr>
          <w:color w:val="000000" w:themeColor="text1"/>
        </w:rPr>
      </w:pPr>
      <w:r w:rsidRPr="00D75D7A">
        <w:rPr>
          <w:color w:val="000000" w:themeColor="text1"/>
        </w:rPr>
        <w:t>The fundamental indications regarding the above measuring support and the overall financial statement details of the business represent that compared to the earlier position the present year performance structure of the business is declining which is not incompetent to maintain the compatibility and competitive advantage gain support. A certain volume of uncertainty including the decline in customer engagement mainly initiates a certain volume of challenging approaches in the business that need to be eliminated positively for future values.</w:t>
      </w:r>
    </w:p>
    <w:p w14:paraId="0000002F" w14:textId="77777777" w:rsidR="001D6D78" w:rsidRPr="00D75D7A" w:rsidRDefault="007E7E5E" w:rsidP="00B44E0C">
      <w:pPr>
        <w:pStyle w:val="Heading2"/>
        <w:rPr>
          <w:color w:val="000000" w:themeColor="text1"/>
        </w:rPr>
      </w:pPr>
      <w:bookmarkStart w:id="5" w:name="_Toc159518480"/>
      <w:r w:rsidRPr="00D75D7A">
        <w:rPr>
          <w:color w:val="000000" w:themeColor="text1"/>
        </w:rPr>
        <w:t>2.2 “Key reasons regarding profit declining position in business”</w:t>
      </w:r>
      <w:bookmarkEnd w:id="5"/>
    </w:p>
    <w:p w14:paraId="00000030" w14:textId="303C7012" w:rsidR="001D6D78" w:rsidRPr="00D75D7A" w:rsidRDefault="007E7E5E">
      <w:pPr>
        <w:rPr>
          <w:color w:val="000000" w:themeColor="text1"/>
        </w:rPr>
      </w:pPr>
      <w:r w:rsidRPr="00D75D7A">
        <w:rPr>
          <w:color w:val="000000" w:themeColor="text1"/>
        </w:rPr>
        <w:t xml:space="preserve">According to the basic performance initiatives including the compatibility approach every business is required to provide primary importance for both financial and nonfinancial attributes on a formulated basis with the general intention of managing the operating growth and value initiative position. In association with the present operating structure, a huge level of financial decline is mainly noticed related to the business of </w:t>
      </w:r>
      <w:r w:rsidRPr="00D75D7A">
        <w:rPr>
          <w:b/>
          <w:color w:val="000000" w:themeColor="text1"/>
        </w:rPr>
        <w:t xml:space="preserve">The Seacrest Lodge, </w:t>
      </w:r>
      <w:r w:rsidRPr="00D75D7A">
        <w:rPr>
          <w:color w:val="000000" w:themeColor="text1"/>
        </w:rPr>
        <w:t xml:space="preserve">which needs to be initiated and restructured properly for future growth. As per the general detailing structure in the present </w:t>
      </w:r>
      <w:r w:rsidRPr="00D75D7A">
        <w:rPr>
          <w:color w:val="000000" w:themeColor="text1"/>
        </w:rPr>
        <w:lastRenderedPageBreak/>
        <w:t>position the UK hospitality business due to several reasons faced un</w:t>
      </w:r>
      <w:r w:rsidR="00B44E0C" w:rsidRPr="00D75D7A">
        <w:rPr>
          <w:color w:val="000000" w:themeColor="text1"/>
        </w:rPr>
        <w:t>-</w:t>
      </w:r>
      <w:r w:rsidRPr="00D75D7A">
        <w:rPr>
          <w:color w:val="000000" w:themeColor="text1"/>
        </w:rPr>
        <w:t xml:space="preserve">optimised challenges that imposed a negative impact on the profit position (Walker, 2021). </w:t>
      </w:r>
    </w:p>
    <w:p w14:paraId="00000031" w14:textId="0EBCC1D3" w:rsidR="001D6D78" w:rsidRPr="00D75D7A" w:rsidRDefault="007E7E5E">
      <w:pPr>
        <w:rPr>
          <w:color w:val="000000" w:themeColor="text1"/>
        </w:rPr>
      </w:pPr>
      <w:r w:rsidRPr="00D75D7A">
        <w:rPr>
          <w:color w:val="000000" w:themeColor="text1"/>
        </w:rPr>
        <w:t>As per the basic engagement under “the present position due to the Russia-Ukraine war, the level of labour market charges significantly expanded which initiated a certain level of operating crisis and employment issues in business operations. Associated with the formulated level of such expansions the general volume of operating growth and the marketing position are mainly negatively impacted which ultimately declines the earning competencies (</w:t>
      </w:r>
      <w:r w:rsidRPr="00D75D7A">
        <w:rPr>
          <w:color w:val="000000" w:themeColor="text1"/>
          <w:highlight w:val="white"/>
        </w:rPr>
        <w:t xml:space="preserve">Hamza </w:t>
      </w:r>
      <w:r w:rsidRPr="00D75D7A">
        <w:rPr>
          <w:i/>
          <w:color w:val="000000" w:themeColor="text1"/>
          <w:highlight w:val="white"/>
        </w:rPr>
        <w:t>et al.,</w:t>
      </w:r>
      <w:r w:rsidRPr="00D75D7A">
        <w:rPr>
          <w:color w:val="000000" w:themeColor="text1"/>
          <w:highlight w:val="white"/>
        </w:rPr>
        <w:t xml:space="preserve"> 2023)</w:t>
      </w:r>
      <w:r w:rsidRPr="00D75D7A">
        <w:rPr>
          <w:color w:val="000000" w:themeColor="text1"/>
        </w:rPr>
        <w:t xml:space="preserve">. As per the general engagement in the UK with the Brexit referendum, the level of trade initiatives including visa-related issues is rapidly expanding initiating a certain level of declining approach related to tourist engagement position. Associated with the present operating structure, the reasons for the pandemic also declined the customer engagement position in the hospitality sector which initiated a certain level of operating challenges in the business revenue and </w:t>
      </w:r>
      <w:r w:rsidR="00B44E0C" w:rsidRPr="00D75D7A">
        <w:rPr>
          <w:color w:val="000000" w:themeColor="text1"/>
        </w:rPr>
        <w:t>earnings</w:t>
      </w:r>
      <w:r w:rsidRPr="00D75D7A">
        <w:rPr>
          <w:color w:val="000000" w:themeColor="text1"/>
        </w:rPr>
        <w:t xml:space="preserve"> position. Under the present position, the government of the UK mainly expanded the level of corporate taxation charges up to 25% imposing a certain level of negative approach related to the earning compatibility initiative (</w:t>
      </w:r>
      <w:proofErr w:type="spellStart"/>
      <w:r w:rsidRPr="00D75D7A">
        <w:rPr>
          <w:color w:val="000000" w:themeColor="text1"/>
          <w:highlight w:val="white"/>
        </w:rPr>
        <w:t>Enoidem</w:t>
      </w:r>
      <w:proofErr w:type="spellEnd"/>
      <w:r w:rsidRPr="00D75D7A">
        <w:rPr>
          <w:color w:val="000000" w:themeColor="text1"/>
          <w:highlight w:val="white"/>
        </w:rPr>
        <w:t xml:space="preserve"> </w:t>
      </w:r>
      <w:r w:rsidRPr="00D75D7A">
        <w:rPr>
          <w:i/>
          <w:color w:val="000000" w:themeColor="text1"/>
          <w:highlight w:val="white"/>
        </w:rPr>
        <w:t xml:space="preserve">et al., </w:t>
      </w:r>
      <w:r w:rsidRPr="00D75D7A">
        <w:rPr>
          <w:color w:val="000000" w:themeColor="text1"/>
          <w:highlight w:val="white"/>
        </w:rPr>
        <w:t>2023)</w:t>
      </w:r>
      <w:r w:rsidRPr="00D75D7A">
        <w:rPr>
          <w:color w:val="000000" w:themeColor="text1"/>
        </w:rPr>
        <w:t xml:space="preserve">. Associated with the present operating position the general level of inflation also initiated a certain level of negative approach concerning the price-rise issues that mainly declined the operating accountability including the market insufficiencies in the present operating position. According to the present operating structure, the borrowing compatibility level is also negatively impacted in most UK businesses as the interest charges position is expanded to the level of 6.25% which mainly formulates the operating crisis.” </w:t>
      </w:r>
    </w:p>
    <w:p w14:paraId="00000032" w14:textId="77777777" w:rsidR="001D6D78" w:rsidRPr="00D75D7A" w:rsidRDefault="007E7E5E">
      <w:pPr>
        <w:rPr>
          <w:color w:val="000000" w:themeColor="text1"/>
        </w:rPr>
      </w:pPr>
      <w:r w:rsidRPr="00D75D7A">
        <w:rPr>
          <w:color w:val="000000" w:themeColor="text1"/>
        </w:rPr>
        <w:t xml:space="preserve">Concerning the present operating approach and external factors of this business, some of the internal factors like the current revenue position, costing burden </w:t>
      </w:r>
      <w:proofErr w:type="gramStart"/>
      <w:r w:rsidRPr="00D75D7A">
        <w:rPr>
          <w:color w:val="000000" w:themeColor="text1"/>
        </w:rPr>
        <w:t>and also</w:t>
      </w:r>
      <w:proofErr w:type="gramEnd"/>
      <w:r w:rsidRPr="00D75D7A">
        <w:rPr>
          <w:color w:val="000000" w:themeColor="text1"/>
        </w:rPr>
        <w:t xml:space="preserve"> the insufficient labour approach mainly initiate a certain level of challenging approach for the operating growth and profit position approach in the business. Associated with the expanded costing position the current market capital structure of the business also initiates a certain level of financial obstacles to the business that need to be formulated and optimised for the business positioning support (</w:t>
      </w:r>
      <w:proofErr w:type="spellStart"/>
      <w:r w:rsidRPr="00D75D7A">
        <w:rPr>
          <w:color w:val="000000" w:themeColor="text1"/>
        </w:rPr>
        <w:t>Atrill</w:t>
      </w:r>
      <w:proofErr w:type="spellEnd"/>
      <w:r w:rsidRPr="00D75D7A">
        <w:rPr>
          <w:color w:val="000000" w:themeColor="text1"/>
        </w:rPr>
        <w:t xml:space="preserve"> and McLaney, 2021). Under the present position, operating growth and the performance structure mainly indicate the requisition support of certain development initiatives as both are initiating a certain level of challenge approach for the business optimised performance approach. </w:t>
      </w:r>
    </w:p>
    <w:p w14:paraId="00000033" w14:textId="77777777" w:rsidR="001D6D78" w:rsidRPr="00D75D7A" w:rsidRDefault="007E7E5E" w:rsidP="00B44E0C">
      <w:pPr>
        <w:pStyle w:val="Heading2"/>
        <w:rPr>
          <w:color w:val="000000" w:themeColor="text1"/>
        </w:rPr>
      </w:pPr>
      <w:bookmarkStart w:id="6" w:name="_Toc159518481"/>
      <w:r w:rsidRPr="00D75D7A">
        <w:rPr>
          <w:color w:val="000000" w:themeColor="text1"/>
        </w:rPr>
        <w:t xml:space="preserve">2.3 “Applied comprehensive turnaround strategy to revitalise lodge’s financial </w:t>
      </w:r>
      <w:proofErr w:type="gramStart"/>
      <w:r w:rsidRPr="00D75D7A">
        <w:rPr>
          <w:color w:val="000000" w:themeColor="text1"/>
        </w:rPr>
        <w:t>health”</w:t>
      </w:r>
      <w:bookmarkEnd w:id="6"/>
      <w:proofErr w:type="gramEnd"/>
      <w:r w:rsidRPr="00D75D7A">
        <w:rPr>
          <w:color w:val="000000" w:themeColor="text1"/>
        </w:rPr>
        <w:t xml:space="preserve"> </w:t>
      </w:r>
    </w:p>
    <w:p w14:paraId="00000034" w14:textId="7E3E54DD" w:rsidR="001D6D78" w:rsidRPr="00D75D7A" w:rsidRDefault="007E7E5E">
      <w:pPr>
        <w:rPr>
          <w:color w:val="000000" w:themeColor="text1"/>
        </w:rPr>
      </w:pPr>
      <w:r w:rsidRPr="00D75D7A">
        <w:rPr>
          <w:color w:val="000000" w:themeColor="text1"/>
        </w:rPr>
        <w:lastRenderedPageBreak/>
        <w:t xml:space="preserve">According to the basic operating structure and based on the present operating earning position of the business it can be evaluated that the level of performance structure of this business is required to be reformulated properly for the operating accountability and optimised performance development initiative reasons. It can also be recognised that the operating value of the business indicates the insufficient approach and the applied initiative of turnaround strategy for the business will be accountable for gaining the performance development initiatives in a compatible order. To initiate this strategic </w:t>
      </w:r>
      <w:r w:rsidR="00B44E0C" w:rsidRPr="00D75D7A">
        <w:rPr>
          <w:color w:val="000000" w:themeColor="text1"/>
        </w:rPr>
        <w:t>approach,</w:t>
      </w:r>
      <w:r w:rsidRPr="00D75D7A">
        <w:rPr>
          <w:color w:val="000000" w:themeColor="text1"/>
        </w:rPr>
        <w:t xml:space="preserve"> the following initiative is mainly required. </w:t>
      </w:r>
    </w:p>
    <w:p w14:paraId="00000035" w14:textId="462D6EA1" w:rsidR="001D6D78" w:rsidRPr="00D75D7A" w:rsidRDefault="007E7E5E">
      <w:pPr>
        <w:numPr>
          <w:ilvl w:val="0"/>
          <w:numId w:val="4"/>
        </w:numPr>
        <w:rPr>
          <w:color w:val="000000" w:themeColor="text1"/>
        </w:rPr>
      </w:pPr>
      <w:r w:rsidRPr="00D75D7A">
        <w:rPr>
          <w:color w:val="000000" w:themeColor="text1"/>
        </w:rPr>
        <w:t xml:space="preserve">Applied initiative and formulation of the </w:t>
      </w:r>
      <w:r w:rsidRPr="00D75D7A">
        <w:rPr>
          <w:b/>
          <w:color w:val="000000" w:themeColor="text1"/>
        </w:rPr>
        <w:t xml:space="preserve">Triage </w:t>
      </w:r>
      <w:r w:rsidRPr="00D75D7A">
        <w:rPr>
          <w:color w:val="000000" w:themeColor="text1"/>
        </w:rPr>
        <w:t xml:space="preserve">strategy is one of the significant operating development initiatives </w:t>
      </w:r>
      <w:r w:rsidR="00B05177" w:rsidRPr="00D75D7A">
        <w:rPr>
          <w:color w:val="000000" w:themeColor="text1"/>
        </w:rPr>
        <w:t>with the application of which a positive fast tracks incoming workflow by priority are initiated so the most critical work is attended to first</w:t>
      </w:r>
      <w:r w:rsidRPr="00D75D7A">
        <w:rPr>
          <w:color w:val="000000" w:themeColor="text1"/>
        </w:rPr>
        <w:t xml:space="preserve"> (</w:t>
      </w:r>
      <w:proofErr w:type="spellStart"/>
      <w:r w:rsidRPr="00D75D7A">
        <w:rPr>
          <w:color w:val="000000" w:themeColor="text1"/>
          <w:highlight w:val="white"/>
        </w:rPr>
        <w:t>Osazevbaru</w:t>
      </w:r>
      <w:proofErr w:type="spellEnd"/>
      <w:r w:rsidRPr="00D75D7A">
        <w:rPr>
          <w:color w:val="000000" w:themeColor="text1"/>
          <w:highlight w:val="white"/>
        </w:rPr>
        <w:t xml:space="preserve"> and </w:t>
      </w:r>
      <w:proofErr w:type="spellStart"/>
      <w:r w:rsidRPr="00D75D7A">
        <w:rPr>
          <w:color w:val="000000" w:themeColor="text1"/>
          <w:highlight w:val="white"/>
        </w:rPr>
        <w:t>Imasuen</w:t>
      </w:r>
      <w:proofErr w:type="spellEnd"/>
      <w:r w:rsidRPr="00D75D7A">
        <w:rPr>
          <w:color w:val="000000" w:themeColor="text1"/>
          <w:highlight w:val="white"/>
        </w:rPr>
        <w:t>, 2022)</w:t>
      </w:r>
      <w:r w:rsidRPr="00D75D7A">
        <w:rPr>
          <w:color w:val="000000" w:themeColor="text1"/>
        </w:rPr>
        <w:t xml:space="preserve">. With the initiative, the operating growth including the business flexibility approach can be managed.  </w:t>
      </w:r>
    </w:p>
    <w:p w14:paraId="00000036" w14:textId="0FB554D0" w:rsidR="001D6D78" w:rsidRPr="00D75D7A" w:rsidRDefault="007E7E5E">
      <w:pPr>
        <w:numPr>
          <w:ilvl w:val="0"/>
          <w:numId w:val="4"/>
        </w:numPr>
        <w:rPr>
          <w:color w:val="000000" w:themeColor="text1"/>
        </w:rPr>
      </w:pPr>
      <w:r w:rsidRPr="00D75D7A">
        <w:rPr>
          <w:color w:val="000000" w:themeColor="text1"/>
        </w:rPr>
        <w:t xml:space="preserve">Importance the formulated approach of the initiated engagement of </w:t>
      </w:r>
      <w:r w:rsidRPr="00D75D7A">
        <w:rPr>
          <w:b/>
          <w:color w:val="000000" w:themeColor="text1"/>
        </w:rPr>
        <w:t xml:space="preserve">Replacement </w:t>
      </w:r>
      <w:r w:rsidRPr="00D75D7A">
        <w:rPr>
          <w:color w:val="000000" w:themeColor="text1"/>
        </w:rPr>
        <w:t xml:space="preserve">concept is one of the optimised strategic approaches for the business operating development that can be formulated for </w:t>
      </w:r>
      <w:r w:rsidR="00B05177" w:rsidRPr="00D75D7A">
        <w:rPr>
          <w:color w:val="000000" w:themeColor="text1"/>
        </w:rPr>
        <w:t>avoidance of uncertain engagements related to business operation with managing a positive resource allocation support</w:t>
      </w:r>
      <w:r w:rsidRPr="00D75D7A">
        <w:rPr>
          <w:color w:val="000000" w:themeColor="text1"/>
        </w:rPr>
        <w:t xml:space="preserve">. </w:t>
      </w:r>
    </w:p>
    <w:p w14:paraId="00000037" w14:textId="2B98F3AF" w:rsidR="001D6D78" w:rsidRPr="00D75D7A" w:rsidRDefault="007E7E5E">
      <w:pPr>
        <w:numPr>
          <w:ilvl w:val="0"/>
          <w:numId w:val="4"/>
        </w:numPr>
        <w:rPr>
          <w:color w:val="000000" w:themeColor="text1"/>
        </w:rPr>
      </w:pPr>
      <w:r w:rsidRPr="00D75D7A">
        <w:rPr>
          <w:color w:val="000000" w:themeColor="text1"/>
        </w:rPr>
        <w:t xml:space="preserve">Under the present position, the applied initiative of </w:t>
      </w:r>
      <w:r w:rsidRPr="00D75D7A">
        <w:rPr>
          <w:b/>
          <w:color w:val="000000" w:themeColor="text1"/>
        </w:rPr>
        <w:t xml:space="preserve">asset retrenchment </w:t>
      </w:r>
      <w:r w:rsidRPr="00D75D7A">
        <w:rPr>
          <w:color w:val="000000" w:themeColor="text1"/>
        </w:rPr>
        <w:t xml:space="preserve">also needs to be initiated in the business for operating growth and formulated development purposes </w:t>
      </w:r>
      <w:r w:rsidR="00B05177" w:rsidRPr="00D75D7A">
        <w:rPr>
          <w:color w:val="000000" w:themeColor="text1"/>
        </w:rPr>
        <w:t>It is initiated with the eliminating all the goods and services that aren't profitable for the company. It also entails removing company from a market where it can no longer survive</w:t>
      </w:r>
      <w:r w:rsidRPr="00D75D7A">
        <w:rPr>
          <w:color w:val="000000" w:themeColor="text1"/>
        </w:rPr>
        <w:t xml:space="preserve"> (</w:t>
      </w:r>
      <w:r w:rsidRPr="00D75D7A">
        <w:rPr>
          <w:color w:val="000000" w:themeColor="text1"/>
          <w:highlight w:val="white"/>
        </w:rPr>
        <w:t>Dutta</w:t>
      </w:r>
      <w:r w:rsidRPr="00D75D7A">
        <w:rPr>
          <w:i/>
          <w:color w:val="000000" w:themeColor="text1"/>
          <w:highlight w:val="white"/>
        </w:rPr>
        <w:t xml:space="preserve"> et al.,</w:t>
      </w:r>
      <w:r w:rsidRPr="00D75D7A">
        <w:rPr>
          <w:color w:val="000000" w:themeColor="text1"/>
          <w:highlight w:val="white"/>
        </w:rPr>
        <w:t xml:space="preserve"> 2022)</w:t>
      </w:r>
      <w:r w:rsidRPr="00D75D7A">
        <w:rPr>
          <w:color w:val="000000" w:themeColor="text1"/>
        </w:rPr>
        <w:t xml:space="preserve">. </w:t>
      </w:r>
    </w:p>
    <w:p w14:paraId="00000038" w14:textId="0EA770AF" w:rsidR="001D6D78" w:rsidRPr="00D75D7A" w:rsidRDefault="007E7E5E">
      <w:pPr>
        <w:numPr>
          <w:ilvl w:val="0"/>
          <w:numId w:val="4"/>
        </w:numPr>
        <w:rPr>
          <w:color w:val="000000" w:themeColor="text1"/>
        </w:rPr>
      </w:pPr>
      <w:r w:rsidRPr="00D75D7A">
        <w:rPr>
          <w:color w:val="000000" w:themeColor="text1"/>
        </w:rPr>
        <w:t xml:space="preserve">A positive structure and formulation regarding the </w:t>
      </w:r>
      <w:r w:rsidRPr="00D75D7A">
        <w:rPr>
          <w:b/>
          <w:color w:val="000000" w:themeColor="text1"/>
        </w:rPr>
        <w:t xml:space="preserve">promotional processing </w:t>
      </w:r>
      <w:r w:rsidRPr="00D75D7A">
        <w:rPr>
          <w:color w:val="000000" w:themeColor="text1"/>
        </w:rPr>
        <w:t>approach needed to be initiated in this business for the optimised value deve</w:t>
      </w:r>
      <w:r w:rsidR="00437652" w:rsidRPr="00D75D7A">
        <w:rPr>
          <w:color w:val="000000" w:themeColor="text1"/>
        </w:rPr>
        <w:t xml:space="preserve">lopment processing purpose. </w:t>
      </w:r>
      <w:r w:rsidR="006373B7" w:rsidRPr="00D75D7A">
        <w:rPr>
          <w:color w:val="000000" w:themeColor="text1"/>
        </w:rPr>
        <w:t>Additionally,</w:t>
      </w:r>
      <w:r w:rsidR="00437652" w:rsidRPr="00D75D7A">
        <w:rPr>
          <w:color w:val="000000" w:themeColor="text1"/>
        </w:rPr>
        <w:t xml:space="preserve"> it also provides </w:t>
      </w:r>
      <w:r w:rsidR="006373B7" w:rsidRPr="00D75D7A">
        <w:rPr>
          <w:color w:val="000000" w:themeColor="text1"/>
        </w:rPr>
        <w:t>a positive market development opportunity</w:t>
      </w:r>
      <w:r w:rsidR="00437652" w:rsidRPr="00D75D7A">
        <w:rPr>
          <w:color w:val="000000" w:themeColor="text1"/>
        </w:rPr>
        <w:t xml:space="preserve"> that manage the progressive growth including the value progressive support in a sustainable basis</w:t>
      </w:r>
      <w:r w:rsidRPr="00D75D7A">
        <w:rPr>
          <w:color w:val="000000" w:themeColor="text1"/>
        </w:rPr>
        <w:t xml:space="preserve">. </w:t>
      </w:r>
    </w:p>
    <w:p w14:paraId="00000039" w14:textId="77777777" w:rsidR="001D6D78" w:rsidRPr="00D75D7A" w:rsidRDefault="007E7E5E" w:rsidP="00B44E0C">
      <w:pPr>
        <w:pStyle w:val="Heading1"/>
        <w:rPr>
          <w:color w:val="000000" w:themeColor="text1"/>
        </w:rPr>
      </w:pPr>
      <w:bookmarkStart w:id="7" w:name="_Toc159518482"/>
      <w:r w:rsidRPr="00D75D7A">
        <w:rPr>
          <w:color w:val="000000" w:themeColor="text1"/>
        </w:rPr>
        <w:t>3.0 Recommendation</w:t>
      </w:r>
      <w:bookmarkEnd w:id="7"/>
    </w:p>
    <w:p w14:paraId="0000003A" w14:textId="77777777" w:rsidR="001D6D78" w:rsidRPr="00D75D7A" w:rsidRDefault="007E7E5E">
      <w:pPr>
        <w:rPr>
          <w:color w:val="000000" w:themeColor="text1"/>
        </w:rPr>
      </w:pPr>
      <w:r w:rsidRPr="00D75D7A">
        <w:rPr>
          <w:color w:val="000000" w:themeColor="text1"/>
        </w:rPr>
        <w:t xml:space="preserve">Under the present operating position with the applied initiative of Triage strategy, Replacement concept, asset retrenchment support </w:t>
      </w:r>
      <w:proofErr w:type="gramStart"/>
      <w:r w:rsidRPr="00D75D7A">
        <w:rPr>
          <w:color w:val="000000" w:themeColor="text1"/>
        </w:rPr>
        <w:t>and also</w:t>
      </w:r>
      <w:proofErr w:type="gramEnd"/>
      <w:r w:rsidRPr="00D75D7A">
        <w:rPr>
          <w:color w:val="000000" w:themeColor="text1"/>
        </w:rPr>
        <w:t xml:space="preserve"> with the initiative of promotional processing the overall operating growth including the revenue formulation approach of the business mainly needs </w:t>
      </w:r>
      <w:r w:rsidRPr="00D75D7A">
        <w:rPr>
          <w:color w:val="000000" w:themeColor="text1"/>
        </w:rPr>
        <w:lastRenderedPageBreak/>
        <w:t xml:space="preserve">to be initiated in a proper basis for the optimised value development processing purpose. Even the management of the business also needs to formulate the internal operating culture on a progressive basis for the initiative of business consistency in a compatible manner. </w:t>
      </w:r>
    </w:p>
    <w:p w14:paraId="0000003B" w14:textId="77777777" w:rsidR="001D6D78" w:rsidRPr="00D75D7A" w:rsidRDefault="007E7E5E" w:rsidP="00B44E0C">
      <w:pPr>
        <w:pStyle w:val="Heading1"/>
        <w:rPr>
          <w:color w:val="000000" w:themeColor="text1"/>
        </w:rPr>
      </w:pPr>
      <w:bookmarkStart w:id="8" w:name="_Toc159518483"/>
      <w:r w:rsidRPr="00D75D7A">
        <w:rPr>
          <w:color w:val="000000" w:themeColor="text1"/>
        </w:rPr>
        <w:t>4.0 Conclusions</w:t>
      </w:r>
      <w:bookmarkEnd w:id="8"/>
    </w:p>
    <w:p w14:paraId="0000003C" w14:textId="77777777" w:rsidR="001D6D78" w:rsidRPr="00D75D7A" w:rsidRDefault="007E7E5E">
      <w:pPr>
        <w:rPr>
          <w:color w:val="000000" w:themeColor="text1"/>
        </w:rPr>
      </w:pPr>
      <w:r w:rsidRPr="00D75D7A">
        <w:rPr>
          <w:color w:val="000000" w:themeColor="text1"/>
        </w:rPr>
        <w:t xml:space="preserve">In summary, it is mainly identified that the present operating position and financial performance structure for the business of </w:t>
      </w:r>
      <w:r w:rsidRPr="00D75D7A">
        <w:rPr>
          <w:b/>
          <w:color w:val="000000" w:themeColor="text1"/>
        </w:rPr>
        <w:t xml:space="preserve">Seacrest Lodge </w:t>
      </w:r>
      <w:r w:rsidRPr="00D75D7A">
        <w:rPr>
          <w:color w:val="000000" w:themeColor="text1"/>
        </w:rPr>
        <w:t xml:space="preserve">mainly represent the declined operating structure and financial formulation approach that need to be revised with the performance development support. Under the present position, a declined level of marketing demand including insufficient operating compatibility mainly imposes some negative impacts on the operating position. According to the present performance approach the initiated turnaround strategy is optimised for the business to initiate the operating development including the operating growth processing approach in a formulated manner.  Even the management of the business also needs to manage the operating value initiative position on a progressive basis for the performance initiative purpose as well. </w:t>
      </w:r>
    </w:p>
    <w:p w14:paraId="0000003D" w14:textId="77777777" w:rsidR="001D6D78" w:rsidRPr="00D75D7A" w:rsidRDefault="001D6D78">
      <w:pPr>
        <w:rPr>
          <w:b/>
          <w:color w:val="000000" w:themeColor="text1"/>
        </w:rPr>
      </w:pPr>
    </w:p>
    <w:p w14:paraId="15A93D09" w14:textId="77777777" w:rsidR="006373B7" w:rsidRPr="00D75D7A" w:rsidRDefault="006373B7">
      <w:pPr>
        <w:rPr>
          <w:b/>
          <w:color w:val="000000" w:themeColor="text1"/>
        </w:rPr>
      </w:pPr>
      <w:r w:rsidRPr="00D75D7A">
        <w:rPr>
          <w:color w:val="000000" w:themeColor="text1"/>
        </w:rPr>
        <w:br w:type="page"/>
      </w:r>
    </w:p>
    <w:p w14:paraId="1F2F0ADA" w14:textId="4F55479D" w:rsidR="001D6D78" w:rsidRPr="00D75D7A" w:rsidRDefault="00B44E0C" w:rsidP="00B44E0C">
      <w:pPr>
        <w:pStyle w:val="Heading1"/>
        <w:rPr>
          <w:color w:val="000000" w:themeColor="text1"/>
        </w:rPr>
      </w:pPr>
      <w:bookmarkStart w:id="9" w:name="_Toc159518484"/>
      <w:r w:rsidRPr="00D75D7A">
        <w:rPr>
          <w:color w:val="000000" w:themeColor="text1"/>
        </w:rPr>
        <w:lastRenderedPageBreak/>
        <w:t>References</w:t>
      </w:r>
      <w:bookmarkEnd w:id="9"/>
      <w:r w:rsidRPr="00D75D7A">
        <w:rPr>
          <w:color w:val="000000" w:themeColor="text1"/>
        </w:rPr>
        <w:t xml:space="preserve"> </w:t>
      </w:r>
    </w:p>
    <w:p w14:paraId="53C378AB" w14:textId="77777777" w:rsidR="00B44E0C" w:rsidRPr="00D75D7A" w:rsidRDefault="00B44E0C" w:rsidP="00B44E0C">
      <w:pPr>
        <w:pStyle w:val="NoSpacing"/>
        <w:spacing w:line="360" w:lineRule="auto"/>
        <w:rPr>
          <w:color w:val="000000" w:themeColor="text1"/>
          <w:lang w:val="en-US"/>
        </w:rPr>
      </w:pPr>
      <w:proofErr w:type="spellStart"/>
      <w:r w:rsidRPr="00D75D7A">
        <w:rPr>
          <w:color w:val="000000" w:themeColor="text1"/>
          <w:lang w:val="en-US"/>
        </w:rPr>
        <w:t>Atrill</w:t>
      </w:r>
      <w:proofErr w:type="spellEnd"/>
      <w:r w:rsidRPr="00D75D7A">
        <w:rPr>
          <w:color w:val="000000" w:themeColor="text1"/>
          <w:lang w:val="en-US"/>
        </w:rPr>
        <w:t xml:space="preserve"> P, McLaney E (2021) Management Accounting for Decision Makers, FT Prentice Hall</w:t>
      </w:r>
    </w:p>
    <w:p w14:paraId="0CF911F7" w14:textId="77777777" w:rsidR="00B44E0C" w:rsidRPr="00D75D7A" w:rsidRDefault="00B44E0C" w:rsidP="00B44E0C">
      <w:pPr>
        <w:pStyle w:val="NoSpacing"/>
        <w:spacing w:line="360" w:lineRule="auto"/>
        <w:rPr>
          <w:color w:val="000000" w:themeColor="text1"/>
          <w:shd w:val="clear" w:color="auto" w:fill="FFFFFF"/>
        </w:rPr>
      </w:pPr>
      <w:r w:rsidRPr="00D75D7A">
        <w:rPr>
          <w:color w:val="000000" w:themeColor="text1"/>
          <w:shd w:val="clear" w:color="auto" w:fill="FFFFFF"/>
        </w:rPr>
        <w:t>Breuer, W. and Pfingsten, A., 2022. Non-standard issues in business finance: an overview. </w:t>
      </w:r>
      <w:r w:rsidRPr="00D75D7A">
        <w:rPr>
          <w:i/>
          <w:iCs/>
          <w:color w:val="000000" w:themeColor="text1"/>
          <w:shd w:val="clear" w:color="auto" w:fill="FFFFFF"/>
        </w:rPr>
        <w:t>Journal of Business Economics</w:t>
      </w:r>
      <w:r w:rsidRPr="00D75D7A">
        <w:rPr>
          <w:color w:val="000000" w:themeColor="text1"/>
          <w:shd w:val="clear" w:color="auto" w:fill="FFFFFF"/>
        </w:rPr>
        <w:t>, </w:t>
      </w:r>
      <w:r w:rsidRPr="00D75D7A">
        <w:rPr>
          <w:i/>
          <w:iCs/>
          <w:color w:val="000000" w:themeColor="text1"/>
          <w:shd w:val="clear" w:color="auto" w:fill="FFFFFF"/>
        </w:rPr>
        <w:t>92</w:t>
      </w:r>
      <w:r w:rsidRPr="00D75D7A">
        <w:rPr>
          <w:color w:val="000000" w:themeColor="text1"/>
          <w:shd w:val="clear" w:color="auto" w:fill="FFFFFF"/>
        </w:rPr>
        <w:t>(9), pp.1417-1430.</w:t>
      </w:r>
    </w:p>
    <w:p w14:paraId="4A32DC0A" w14:textId="77777777" w:rsidR="00B44E0C" w:rsidRPr="00D75D7A" w:rsidRDefault="00B44E0C" w:rsidP="00B44E0C">
      <w:pPr>
        <w:pStyle w:val="NoSpacing"/>
        <w:spacing w:line="360" w:lineRule="auto"/>
        <w:rPr>
          <w:color w:val="000000" w:themeColor="text1"/>
        </w:rPr>
      </w:pPr>
      <w:r w:rsidRPr="00D75D7A">
        <w:rPr>
          <w:color w:val="000000" w:themeColor="text1"/>
        </w:rPr>
        <w:t>Drury, C. 2022. Management and Cost Accounting. 9th Ed. Cengage Learning.</w:t>
      </w:r>
    </w:p>
    <w:p w14:paraId="1C304506" w14:textId="77777777" w:rsidR="00B44E0C" w:rsidRPr="00D75D7A" w:rsidRDefault="00B44E0C" w:rsidP="00B44E0C">
      <w:pPr>
        <w:pStyle w:val="NoSpacing"/>
        <w:spacing w:line="360" w:lineRule="auto"/>
        <w:rPr>
          <w:color w:val="000000" w:themeColor="text1"/>
        </w:rPr>
      </w:pPr>
      <w:r w:rsidRPr="00D75D7A">
        <w:rPr>
          <w:color w:val="000000" w:themeColor="text1"/>
          <w:shd w:val="clear" w:color="auto" w:fill="FFFFFF"/>
        </w:rPr>
        <w:t>Dutta, S.R., Sen, S.S. and Mukherjee, T., 2022. Stock liquidity and capital structure: Evidence from NSE listed top 100 non-finance Indian firms. </w:t>
      </w:r>
      <w:r w:rsidRPr="00D75D7A">
        <w:rPr>
          <w:i/>
          <w:iCs/>
          <w:color w:val="000000" w:themeColor="text1"/>
          <w:shd w:val="clear" w:color="auto" w:fill="FFFFFF"/>
        </w:rPr>
        <w:t>Orissa Journal of Commerce</w:t>
      </w:r>
      <w:r w:rsidRPr="00D75D7A">
        <w:rPr>
          <w:color w:val="000000" w:themeColor="text1"/>
          <w:shd w:val="clear" w:color="auto" w:fill="FFFFFF"/>
        </w:rPr>
        <w:t>, </w:t>
      </w:r>
      <w:r w:rsidRPr="00D75D7A">
        <w:rPr>
          <w:i/>
          <w:iCs/>
          <w:color w:val="000000" w:themeColor="text1"/>
          <w:shd w:val="clear" w:color="auto" w:fill="FFFFFF"/>
        </w:rPr>
        <w:t>43</w:t>
      </w:r>
      <w:r w:rsidRPr="00D75D7A">
        <w:rPr>
          <w:color w:val="000000" w:themeColor="text1"/>
          <w:shd w:val="clear" w:color="auto" w:fill="FFFFFF"/>
        </w:rPr>
        <w:t>(1), pp.38-54.</w:t>
      </w:r>
    </w:p>
    <w:p w14:paraId="02D4C569" w14:textId="77777777" w:rsidR="00B44E0C" w:rsidRPr="00D75D7A" w:rsidRDefault="00B44E0C" w:rsidP="00B44E0C">
      <w:pPr>
        <w:pStyle w:val="NoSpacing"/>
        <w:spacing w:line="360" w:lineRule="auto"/>
        <w:rPr>
          <w:color w:val="000000" w:themeColor="text1"/>
          <w:shd w:val="clear" w:color="auto" w:fill="FFFFFF"/>
        </w:rPr>
      </w:pPr>
      <w:proofErr w:type="spellStart"/>
      <w:r w:rsidRPr="00D75D7A">
        <w:rPr>
          <w:color w:val="000000" w:themeColor="text1"/>
          <w:shd w:val="clear" w:color="auto" w:fill="FFFFFF"/>
        </w:rPr>
        <w:t>Enoidem</w:t>
      </w:r>
      <w:proofErr w:type="spellEnd"/>
      <w:r w:rsidRPr="00D75D7A">
        <w:rPr>
          <w:color w:val="000000" w:themeColor="text1"/>
          <w:shd w:val="clear" w:color="auto" w:fill="FFFFFF"/>
        </w:rPr>
        <w:t xml:space="preserve">, K.L., Akpan, D.C., </w:t>
      </w:r>
      <w:proofErr w:type="spellStart"/>
      <w:r w:rsidRPr="00D75D7A">
        <w:rPr>
          <w:color w:val="000000" w:themeColor="text1"/>
          <w:shd w:val="clear" w:color="auto" w:fill="FFFFFF"/>
        </w:rPr>
        <w:t>Akinninyi</w:t>
      </w:r>
      <w:proofErr w:type="spellEnd"/>
      <w:r w:rsidRPr="00D75D7A">
        <w:rPr>
          <w:color w:val="000000" w:themeColor="text1"/>
          <w:shd w:val="clear" w:color="auto" w:fill="FFFFFF"/>
        </w:rPr>
        <w:t xml:space="preserve">, P.E. and </w:t>
      </w:r>
      <w:proofErr w:type="spellStart"/>
      <w:r w:rsidRPr="00D75D7A">
        <w:rPr>
          <w:color w:val="000000" w:themeColor="text1"/>
          <w:shd w:val="clear" w:color="auto" w:fill="FFFFFF"/>
        </w:rPr>
        <w:t>Nsentip</w:t>
      </w:r>
      <w:proofErr w:type="spellEnd"/>
      <w:r w:rsidRPr="00D75D7A">
        <w:rPr>
          <w:color w:val="000000" w:themeColor="text1"/>
          <w:shd w:val="clear" w:color="auto" w:fill="FFFFFF"/>
        </w:rPr>
        <w:t>, E.B., 2023. Board Monitoring Mechanisms and Earnings Management of Listed Non-Finance Firms in Nigeria. </w:t>
      </w:r>
      <w:r w:rsidRPr="00D75D7A">
        <w:rPr>
          <w:i/>
          <w:iCs/>
          <w:color w:val="000000" w:themeColor="text1"/>
          <w:shd w:val="clear" w:color="auto" w:fill="FFFFFF"/>
        </w:rPr>
        <w:t>European Journal of Business and Innovation Research</w:t>
      </w:r>
      <w:r w:rsidRPr="00D75D7A">
        <w:rPr>
          <w:color w:val="000000" w:themeColor="text1"/>
          <w:shd w:val="clear" w:color="auto" w:fill="FFFFFF"/>
        </w:rPr>
        <w:t>, </w:t>
      </w:r>
      <w:r w:rsidRPr="00D75D7A">
        <w:rPr>
          <w:i/>
          <w:iCs/>
          <w:color w:val="000000" w:themeColor="text1"/>
          <w:shd w:val="clear" w:color="auto" w:fill="FFFFFF"/>
        </w:rPr>
        <w:t>11</w:t>
      </w:r>
      <w:r w:rsidRPr="00D75D7A">
        <w:rPr>
          <w:color w:val="000000" w:themeColor="text1"/>
          <w:shd w:val="clear" w:color="auto" w:fill="FFFFFF"/>
        </w:rPr>
        <w:t>(6), pp.33-53.</w:t>
      </w:r>
    </w:p>
    <w:p w14:paraId="37A5F289" w14:textId="77777777" w:rsidR="00B44E0C" w:rsidRPr="00D75D7A" w:rsidRDefault="00B44E0C" w:rsidP="00B44E0C">
      <w:pPr>
        <w:pStyle w:val="NoSpacing"/>
        <w:spacing w:line="360" w:lineRule="auto"/>
        <w:rPr>
          <w:color w:val="000000" w:themeColor="text1"/>
          <w:shd w:val="clear" w:color="auto" w:fill="FFFFFF"/>
        </w:rPr>
      </w:pPr>
      <w:r w:rsidRPr="00D75D7A">
        <w:rPr>
          <w:color w:val="000000" w:themeColor="text1"/>
          <w:shd w:val="clear" w:color="auto" w:fill="FFFFFF"/>
        </w:rPr>
        <w:t xml:space="preserve">Hamza, S., </w:t>
      </w:r>
      <w:proofErr w:type="spellStart"/>
      <w:r w:rsidRPr="00D75D7A">
        <w:rPr>
          <w:color w:val="000000" w:themeColor="text1"/>
          <w:shd w:val="clear" w:color="auto" w:fill="FFFFFF"/>
        </w:rPr>
        <w:t>Alinoor</w:t>
      </w:r>
      <w:proofErr w:type="spellEnd"/>
      <w:r w:rsidRPr="00D75D7A">
        <w:rPr>
          <w:color w:val="000000" w:themeColor="text1"/>
          <w:shd w:val="clear" w:color="auto" w:fill="FFFFFF"/>
        </w:rPr>
        <w:t>, M., Abdi, W., Nyabuti, A. and Okiro, K., 2023. Influence of Financial Distress on Financial Risk Hedging Practices of Listed Non-Finance Firms in Kenya. </w:t>
      </w:r>
      <w:r w:rsidRPr="00D75D7A">
        <w:rPr>
          <w:i/>
          <w:iCs/>
          <w:color w:val="000000" w:themeColor="text1"/>
          <w:shd w:val="clear" w:color="auto" w:fill="FFFFFF"/>
        </w:rPr>
        <w:t>Journal of Economics, Finance and Business Analytics</w:t>
      </w:r>
      <w:r w:rsidRPr="00D75D7A">
        <w:rPr>
          <w:color w:val="000000" w:themeColor="text1"/>
          <w:shd w:val="clear" w:color="auto" w:fill="FFFFFF"/>
        </w:rPr>
        <w:t>, </w:t>
      </w:r>
      <w:r w:rsidRPr="00D75D7A">
        <w:rPr>
          <w:i/>
          <w:iCs/>
          <w:color w:val="000000" w:themeColor="text1"/>
          <w:shd w:val="clear" w:color="auto" w:fill="FFFFFF"/>
        </w:rPr>
        <w:t>1</w:t>
      </w:r>
      <w:r w:rsidRPr="00D75D7A">
        <w:rPr>
          <w:color w:val="000000" w:themeColor="text1"/>
          <w:shd w:val="clear" w:color="auto" w:fill="FFFFFF"/>
        </w:rPr>
        <w:t>(2), pp.1-10.</w:t>
      </w:r>
    </w:p>
    <w:p w14:paraId="74563DBF" w14:textId="77777777" w:rsidR="00B44E0C" w:rsidRPr="00D75D7A" w:rsidRDefault="00B44E0C" w:rsidP="00B44E0C">
      <w:pPr>
        <w:pStyle w:val="NoSpacing"/>
        <w:spacing w:line="360" w:lineRule="auto"/>
        <w:rPr>
          <w:color w:val="000000" w:themeColor="text1"/>
          <w:shd w:val="clear" w:color="auto" w:fill="FFFFFF"/>
        </w:rPr>
      </w:pPr>
      <w:r w:rsidRPr="00D75D7A">
        <w:rPr>
          <w:color w:val="000000" w:themeColor="text1"/>
          <w:shd w:val="clear" w:color="auto" w:fill="FFFFFF"/>
        </w:rPr>
        <w:t>OKOCHA, B.N. and JEROH, E., 2024. Tax shield and the value of listed non-finance entities in Nigeria.</w:t>
      </w:r>
    </w:p>
    <w:p w14:paraId="2B8BC046" w14:textId="77777777" w:rsidR="00B44E0C" w:rsidRPr="00D75D7A" w:rsidRDefault="00B44E0C" w:rsidP="00B44E0C">
      <w:pPr>
        <w:pStyle w:val="NoSpacing"/>
        <w:spacing w:line="360" w:lineRule="auto"/>
        <w:rPr>
          <w:color w:val="000000" w:themeColor="text1"/>
          <w:shd w:val="clear" w:color="auto" w:fill="FFFFFF"/>
        </w:rPr>
      </w:pPr>
      <w:proofErr w:type="spellStart"/>
      <w:r w:rsidRPr="00D75D7A">
        <w:rPr>
          <w:color w:val="000000" w:themeColor="text1"/>
          <w:shd w:val="clear" w:color="auto" w:fill="FFFFFF"/>
        </w:rPr>
        <w:t>Osazevbaru</w:t>
      </w:r>
      <w:proofErr w:type="spellEnd"/>
      <w:r w:rsidRPr="00D75D7A">
        <w:rPr>
          <w:color w:val="000000" w:themeColor="text1"/>
          <w:shd w:val="clear" w:color="auto" w:fill="FFFFFF"/>
        </w:rPr>
        <w:t xml:space="preserve">, H.O. and </w:t>
      </w:r>
      <w:proofErr w:type="spellStart"/>
      <w:r w:rsidRPr="00D75D7A">
        <w:rPr>
          <w:color w:val="000000" w:themeColor="text1"/>
          <w:shd w:val="clear" w:color="auto" w:fill="FFFFFF"/>
        </w:rPr>
        <w:t>Imasuen</w:t>
      </w:r>
      <w:proofErr w:type="spellEnd"/>
      <w:r w:rsidRPr="00D75D7A">
        <w:rPr>
          <w:color w:val="000000" w:themeColor="text1"/>
          <w:shd w:val="clear" w:color="auto" w:fill="FFFFFF"/>
        </w:rPr>
        <w:t xml:space="preserve">, F.O., 2022. Board Leadership Structure, Board Diligence, And Firms’ strategic Cash Flow Decision </w:t>
      </w:r>
      <w:proofErr w:type="gramStart"/>
      <w:r w:rsidRPr="00D75D7A">
        <w:rPr>
          <w:color w:val="000000" w:themeColor="text1"/>
          <w:shd w:val="clear" w:color="auto" w:fill="FFFFFF"/>
        </w:rPr>
        <w:t>In</w:t>
      </w:r>
      <w:proofErr w:type="gramEnd"/>
      <w:r w:rsidRPr="00D75D7A">
        <w:rPr>
          <w:color w:val="000000" w:themeColor="text1"/>
          <w:shd w:val="clear" w:color="auto" w:fill="FFFFFF"/>
        </w:rPr>
        <w:t xml:space="preserve"> Nigerian Non-Finance Companies. </w:t>
      </w:r>
      <w:r w:rsidRPr="00D75D7A">
        <w:rPr>
          <w:i/>
          <w:iCs/>
          <w:color w:val="000000" w:themeColor="text1"/>
          <w:shd w:val="clear" w:color="auto" w:fill="FFFFFF"/>
        </w:rPr>
        <w:t>Journal of Academic Research in Economics</w:t>
      </w:r>
      <w:r w:rsidRPr="00D75D7A">
        <w:rPr>
          <w:color w:val="000000" w:themeColor="text1"/>
          <w:shd w:val="clear" w:color="auto" w:fill="FFFFFF"/>
        </w:rPr>
        <w:t>, </w:t>
      </w:r>
      <w:r w:rsidRPr="00D75D7A">
        <w:rPr>
          <w:i/>
          <w:iCs/>
          <w:color w:val="000000" w:themeColor="text1"/>
          <w:shd w:val="clear" w:color="auto" w:fill="FFFFFF"/>
        </w:rPr>
        <w:t>14</w:t>
      </w:r>
      <w:r w:rsidRPr="00D75D7A">
        <w:rPr>
          <w:color w:val="000000" w:themeColor="text1"/>
          <w:shd w:val="clear" w:color="auto" w:fill="FFFFFF"/>
        </w:rPr>
        <w:t>(2).</w:t>
      </w:r>
    </w:p>
    <w:p w14:paraId="2B5C08E2" w14:textId="77777777" w:rsidR="00B44E0C" w:rsidRPr="00D75D7A" w:rsidRDefault="00B44E0C" w:rsidP="00B44E0C">
      <w:pPr>
        <w:pStyle w:val="NoSpacing"/>
        <w:spacing w:line="360" w:lineRule="auto"/>
        <w:rPr>
          <w:color w:val="000000" w:themeColor="text1"/>
          <w:shd w:val="clear" w:color="auto" w:fill="FFFFFF"/>
        </w:rPr>
      </w:pPr>
      <w:proofErr w:type="spellStart"/>
      <w:r w:rsidRPr="00D75D7A">
        <w:rPr>
          <w:color w:val="000000" w:themeColor="text1"/>
          <w:shd w:val="clear" w:color="auto" w:fill="FFFFFF"/>
        </w:rPr>
        <w:t>Osazevbaru</w:t>
      </w:r>
      <w:proofErr w:type="spellEnd"/>
      <w:r w:rsidRPr="00D75D7A">
        <w:rPr>
          <w:color w:val="000000" w:themeColor="text1"/>
          <w:shd w:val="clear" w:color="auto" w:fill="FFFFFF"/>
        </w:rPr>
        <w:t xml:space="preserve">, H.O., </w:t>
      </w:r>
      <w:proofErr w:type="spellStart"/>
      <w:r w:rsidRPr="00D75D7A">
        <w:rPr>
          <w:color w:val="000000" w:themeColor="text1"/>
          <w:shd w:val="clear" w:color="auto" w:fill="FFFFFF"/>
        </w:rPr>
        <w:t>Odiri</w:t>
      </w:r>
      <w:proofErr w:type="spellEnd"/>
      <w:r w:rsidRPr="00D75D7A">
        <w:rPr>
          <w:color w:val="000000" w:themeColor="text1"/>
          <w:shd w:val="clear" w:color="auto" w:fill="FFFFFF"/>
        </w:rPr>
        <w:t>, V.I.O. and Yahaya, G.H., 2021. Corporate social responsibility and the performance of non-finance firms in Nigeria. </w:t>
      </w:r>
      <w:r w:rsidRPr="00D75D7A">
        <w:rPr>
          <w:i/>
          <w:iCs/>
          <w:color w:val="000000" w:themeColor="text1"/>
          <w:shd w:val="clear" w:color="auto" w:fill="FFFFFF"/>
        </w:rPr>
        <w:t>International Journal of Business and Economics Research</w:t>
      </w:r>
      <w:r w:rsidRPr="00D75D7A">
        <w:rPr>
          <w:color w:val="000000" w:themeColor="text1"/>
          <w:shd w:val="clear" w:color="auto" w:fill="FFFFFF"/>
        </w:rPr>
        <w:t>, </w:t>
      </w:r>
      <w:r w:rsidRPr="00D75D7A">
        <w:rPr>
          <w:i/>
          <w:iCs/>
          <w:color w:val="000000" w:themeColor="text1"/>
          <w:shd w:val="clear" w:color="auto" w:fill="FFFFFF"/>
        </w:rPr>
        <w:t>10</w:t>
      </w:r>
      <w:r w:rsidRPr="00D75D7A">
        <w:rPr>
          <w:color w:val="000000" w:themeColor="text1"/>
          <w:shd w:val="clear" w:color="auto" w:fill="FFFFFF"/>
        </w:rPr>
        <w:t>(6), p.218.</w:t>
      </w:r>
    </w:p>
    <w:p w14:paraId="04CD9C93" w14:textId="77777777" w:rsidR="00B44E0C" w:rsidRPr="00D75D7A" w:rsidRDefault="00B44E0C" w:rsidP="00B44E0C">
      <w:pPr>
        <w:pStyle w:val="NoSpacing"/>
        <w:spacing w:line="360" w:lineRule="auto"/>
        <w:rPr>
          <w:color w:val="000000" w:themeColor="text1"/>
          <w:lang w:val="en-US"/>
        </w:rPr>
      </w:pPr>
      <w:r w:rsidRPr="00D75D7A">
        <w:rPr>
          <w:color w:val="000000" w:themeColor="text1"/>
          <w:lang w:val="en-US"/>
        </w:rPr>
        <w:t xml:space="preserve">Seal, W.B. and Rohde, C. 2019. </w:t>
      </w:r>
      <w:r w:rsidRPr="00D75D7A">
        <w:rPr>
          <w:i/>
          <w:iCs/>
          <w:color w:val="000000" w:themeColor="text1"/>
          <w:lang w:val="en-US"/>
        </w:rPr>
        <w:t>Management accounting</w:t>
      </w:r>
      <w:r w:rsidRPr="00D75D7A">
        <w:rPr>
          <w:color w:val="000000" w:themeColor="text1"/>
          <w:lang w:val="en-US"/>
        </w:rPr>
        <w:t xml:space="preserve">. London: </w:t>
      </w:r>
      <w:proofErr w:type="spellStart"/>
      <w:r w:rsidRPr="00D75D7A">
        <w:rPr>
          <w:color w:val="000000" w:themeColor="text1"/>
          <w:lang w:val="en-US"/>
        </w:rPr>
        <w:t>Mcgraw-Hill</w:t>
      </w:r>
      <w:proofErr w:type="spellEnd"/>
      <w:r w:rsidRPr="00D75D7A">
        <w:rPr>
          <w:color w:val="000000" w:themeColor="text1"/>
          <w:lang w:val="en-US"/>
        </w:rPr>
        <w:t xml:space="preserve"> Education.</w:t>
      </w:r>
    </w:p>
    <w:p w14:paraId="5EFC580A" w14:textId="77777777" w:rsidR="00B44E0C" w:rsidRPr="00D75D7A" w:rsidRDefault="00B44E0C" w:rsidP="00B44E0C">
      <w:pPr>
        <w:pStyle w:val="NoSpacing"/>
        <w:spacing w:line="360" w:lineRule="auto"/>
        <w:rPr>
          <w:color w:val="000000" w:themeColor="text1"/>
          <w:lang w:val="en-US"/>
        </w:rPr>
      </w:pPr>
      <w:r w:rsidRPr="00D75D7A">
        <w:rPr>
          <w:color w:val="000000" w:themeColor="text1"/>
          <w:lang w:val="en-US"/>
        </w:rPr>
        <w:t>Walker J (2021) Introduction to Hospitality, Harlow, Pearson</w:t>
      </w:r>
    </w:p>
    <w:p w14:paraId="11CA7105" w14:textId="77777777" w:rsidR="00B44E0C" w:rsidRPr="00D75D7A" w:rsidRDefault="00B44E0C" w:rsidP="00B44E0C">
      <w:pPr>
        <w:pStyle w:val="NoSpacing"/>
        <w:spacing w:line="360" w:lineRule="auto"/>
        <w:rPr>
          <w:color w:val="000000" w:themeColor="text1"/>
          <w:shd w:val="clear" w:color="auto" w:fill="FFFFFF"/>
        </w:rPr>
      </w:pPr>
      <w:r w:rsidRPr="00D75D7A">
        <w:rPr>
          <w:color w:val="000000" w:themeColor="text1"/>
          <w:shd w:val="clear" w:color="auto" w:fill="FFFFFF"/>
        </w:rPr>
        <w:t>Zhang, Y.F., Namazi, M., Guo, Y.Q. and Li, X., 2020. Finance business partnering and manufacturing firms’ performance: A mediating role of non-financial performance. </w:t>
      </w:r>
      <w:r w:rsidRPr="00D75D7A">
        <w:rPr>
          <w:i/>
          <w:iCs/>
          <w:color w:val="000000" w:themeColor="text1"/>
          <w:shd w:val="clear" w:color="auto" w:fill="FFFFFF"/>
        </w:rPr>
        <w:t>Journal of Business Economics and Management</w:t>
      </w:r>
      <w:r w:rsidRPr="00D75D7A">
        <w:rPr>
          <w:color w:val="000000" w:themeColor="text1"/>
          <w:shd w:val="clear" w:color="auto" w:fill="FFFFFF"/>
        </w:rPr>
        <w:t>, </w:t>
      </w:r>
      <w:r w:rsidRPr="00D75D7A">
        <w:rPr>
          <w:i/>
          <w:iCs/>
          <w:color w:val="000000" w:themeColor="text1"/>
          <w:shd w:val="clear" w:color="auto" w:fill="FFFFFF"/>
        </w:rPr>
        <w:t>21</w:t>
      </w:r>
      <w:r w:rsidRPr="00D75D7A">
        <w:rPr>
          <w:color w:val="000000" w:themeColor="text1"/>
          <w:shd w:val="clear" w:color="auto" w:fill="FFFFFF"/>
        </w:rPr>
        <w:t>(2), pp.473-496.</w:t>
      </w:r>
    </w:p>
    <w:p w14:paraId="0A0899A2" w14:textId="77777777" w:rsidR="00B44E0C" w:rsidRPr="00D75D7A" w:rsidRDefault="00B44E0C">
      <w:pPr>
        <w:rPr>
          <w:color w:val="000000" w:themeColor="text1"/>
        </w:rPr>
      </w:pPr>
    </w:p>
    <w:p w14:paraId="0000003F" w14:textId="77777777" w:rsidR="001D6D78" w:rsidRPr="00D75D7A" w:rsidRDefault="001D6D78">
      <w:pPr>
        <w:rPr>
          <w:b/>
          <w:color w:val="000000" w:themeColor="text1"/>
        </w:rPr>
      </w:pPr>
    </w:p>
    <w:p w14:paraId="00000040" w14:textId="33BEABD9" w:rsidR="006E34D7" w:rsidRPr="00D75D7A" w:rsidRDefault="006E34D7">
      <w:pPr>
        <w:rPr>
          <w:b/>
          <w:color w:val="000000" w:themeColor="text1"/>
        </w:rPr>
      </w:pPr>
      <w:r w:rsidRPr="00D75D7A">
        <w:rPr>
          <w:b/>
          <w:color w:val="000000" w:themeColor="text1"/>
        </w:rPr>
        <w:br w:type="page"/>
      </w:r>
    </w:p>
    <w:p w14:paraId="34D36BEA" w14:textId="146E88FB" w:rsidR="001D6D78" w:rsidRPr="00D75D7A" w:rsidRDefault="006E34D7" w:rsidP="006373B7">
      <w:pPr>
        <w:pStyle w:val="Heading1"/>
        <w:rPr>
          <w:color w:val="000000" w:themeColor="text1"/>
        </w:rPr>
      </w:pPr>
      <w:bookmarkStart w:id="10" w:name="_Toc159518485"/>
      <w:r w:rsidRPr="00D75D7A">
        <w:rPr>
          <w:color w:val="000000" w:themeColor="text1"/>
        </w:rPr>
        <w:lastRenderedPageBreak/>
        <w:t>Appendix</w:t>
      </w:r>
      <w:bookmarkEnd w:id="10"/>
      <w:r w:rsidRPr="00D75D7A">
        <w:rPr>
          <w:color w:val="000000" w:themeColor="text1"/>
        </w:rPr>
        <w:t xml:space="preserve"> </w:t>
      </w:r>
    </w:p>
    <w:p w14:paraId="0183AC6A" w14:textId="77777777" w:rsidR="006E34D7" w:rsidRPr="00D75D7A" w:rsidRDefault="006E34D7" w:rsidP="006E34D7">
      <w:pPr>
        <w:rPr>
          <w:b/>
          <w:color w:val="000000" w:themeColor="text1"/>
        </w:rPr>
      </w:pPr>
      <w:r w:rsidRPr="00D75D7A">
        <w:rPr>
          <w:b/>
          <w:color w:val="000000" w:themeColor="text1"/>
        </w:rPr>
        <w:t>“Net profit ratio = (Net profit/revenue) x 100”</w:t>
      </w:r>
    </w:p>
    <w:p w14:paraId="3379FDE7" w14:textId="77777777" w:rsidR="006E34D7" w:rsidRPr="00D75D7A" w:rsidRDefault="006E34D7" w:rsidP="006E34D7">
      <w:pPr>
        <w:numPr>
          <w:ilvl w:val="0"/>
          <w:numId w:val="1"/>
        </w:numPr>
        <w:rPr>
          <w:color w:val="000000" w:themeColor="text1"/>
        </w:rPr>
      </w:pPr>
      <w:r w:rsidRPr="00D75D7A">
        <w:rPr>
          <w:color w:val="000000" w:themeColor="text1"/>
        </w:rPr>
        <w:t>“For 2021: (300000 / 1200000) x 100 = 25%”</w:t>
      </w:r>
    </w:p>
    <w:p w14:paraId="6A0E64E1" w14:textId="77777777" w:rsidR="006E34D7" w:rsidRPr="00D75D7A" w:rsidRDefault="006E34D7" w:rsidP="006E34D7">
      <w:pPr>
        <w:numPr>
          <w:ilvl w:val="0"/>
          <w:numId w:val="1"/>
        </w:numPr>
        <w:rPr>
          <w:color w:val="000000" w:themeColor="text1"/>
        </w:rPr>
      </w:pPr>
      <w:r w:rsidRPr="00D75D7A">
        <w:rPr>
          <w:color w:val="000000" w:themeColor="text1"/>
        </w:rPr>
        <w:t>“For 2022: (150000 / 1100000) x 100 = 13.63%”</w:t>
      </w:r>
    </w:p>
    <w:p w14:paraId="4540E889" w14:textId="6C551A4C" w:rsidR="006E34D7" w:rsidRPr="00D75D7A" w:rsidRDefault="006E34D7" w:rsidP="006E34D7">
      <w:pPr>
        <w:numPr>
          <w:ilvl w:val="0"/>
          <w:numId w:val="1"/>
        </w:numPr>
        <w:rPr>
          <w:color w:val="000000" w:themeColor="text1"/>
        </w:rPr>
      </w:pPr>
      <w:r w:rsidRPr="00D75D7A">
        <w:rPr>
          <w:color w:val="000000" w:themeColor="text1"/>
        </w:rPr>
        <w:t>“For 2023: (-150000 / 950000) x 100 = (-15.79%)”</w:t>
      </w:r>
    </w:p>
    <w:p w14:paraId="2B45097F" w14:textId="77777777" w:rsidR="006E34D7" w:rsidRPr="00D75D7A" w:rsidRDefault="006E34D7" w:rsidP="006E34D7">
      <w:pPr>
        <w:rPr>
          <w:b/>
          <w:color w:val="000000" w:themeColor="text1"/>
        </w:rPr>
      </w:pPr>
      <w:r w:rsidRPr="00D75D7A">
        <w:rPr>
          <w:b/>
          <w:color w:val="000000" w:themeColor="text1"/>
        </w:rPr>
        <w:t>“Current ratio = (Current assets / Current liabilities)”</w:t>
      </w:r>
    </w:p>
    <w:p w14:paraId="128A264E" w14:textId="77777777" w:rsidR="006E34D7" w:rsidRPr="00D75D7A" w:rsidRDefault="006E34D7" w:rsidP="006E34D7">
      <w:pPr>
        <w:numPr>
          <w:ilvl w:val="0"/>
          <w:numId w:val="3"/>
        </w:numPr>
        <w:rPr>
          <w:color w:val="000000" w:themeColor="text1"/>
        </w:rPr>
      </w:pPr>
      <w:r w:rsidRPr="00D75D7A">
        <w:rPr>
          <w:color w:val="000000" w:themeColor="text1"/>
        </w:rPr>
        <w:t>“For 2021: (150000 / 30000) = 5.00:1”</w:t>
      </w:r>
    </w:p>
    <w:p w14:paraId="58EC37A8" w14:textId="77777777" w:rsidR="006E34D7" w:rsidRPr="00D75D7A" w:rsidRDefault="006E34D7" w:rsidP="006E34D7">
      <w:pPr>
        <w:numPr>
          <w:ilvl w:val="0"/>
          <w:numId w:val="3"/>
        </w:numPr>
        <w:rPr>
          <w:color w:val="000000" w:themeColor="text1"/>
        </w:rPr>
      </w:pPr>
      <w:r w:rsidRPr="00D75D7A">
        <w:rPr>
          <w:color w:val="000000" w:themeColor="text1"/>
        </w:rPr>
        <w:t>“For 2022: (120000 / 40000) = 3.00:1”</w:t>
      </w:r>
    </w:p>
    <w:p w14:paraId="79200025" w14:textId="77777777" w:rsidR="006E34D7" w:rsidRPr="00D75D7A" w:rsidRDefault="006E34D7" w:rsidP="006E34D7">
      <w:pPr>
        <w:numPr>
          <w:ilvl w:val="0"/>
          <w:numId w:val="3"/>
        </w:numPr>
        <w:rPr>
          <w:color w:val="000000" w:themeColor="text1"/>
        </w:rPr>
      </w:pPr>
      <w:r w:rsidRPr="00D75D7A">
        <w:rPr>
          <w:color w:val="000000" w:themeColor="text1"/>
        </w:rPr>
        <w:t>“For 2023: (50000 / 50000) = 1.00:1”</w:t>
      </w:r>
    </w:p>
    <w:p w14:paraId="5BB27CA8" w14:textId="77777777" w:rsidR="006E34D7" w:rsidRPr="00D75D7A" w:rsidRDefault="006E34D7" w:rsidP="006E34D7">
      <w:pPr>
        <w:rPr>
          <w:b/>
          <w:color w:val="000000" w:themeColor="text1"/>
        </w:rPr>
      </w:pPr>
      <w:r w:rsidRPr="00D75D7A">
        <w:rPr>
          <w:b/>
          <w:color w:val="000000" w:themeColor="text1"/>
        </w:rPr>
        <w:t>“Debt-equity ratio = (Long-term debt/equity)”</w:t>
      </w:r>
    </w:p>
    <w:p w14:paraId="6965248D" w14:textId="77777777" w:rsidR="006E34D7" w:rsidRPr="00D75D7A" w:rsidRDefault="006E34D7" w:rsidP="006E34D7">
      <w:pPr>
        <w:numPr>
          <w:ilvl w:val="0"/>
          <w:numId w:val="6"/>
        </w:numPr>
        <w:rPr>
          <w:color w:val="000000" w:themeColor="text1"/>
        </w:rPr>
      </w:pPr>
      <w:r w:rsidRPr="00D75D7A">
        <w:rPr>
          <w:color w:val="000000" w:themeColor="text1"/>
        </w:rPr>
        <w:t>“For 2021 = (1500000 / 620000) = 2.41.”</w:t>
      </w:r>
    </w:p>
    <w:p w14:paraId="68382829" w14:textId="77777777" w:rsidR="006E34D7" w:rsidRPr="00D75D7A" w:rsidRDefault="006E34D7" w:rsidP="006E34D7">
      <w:pPr>
        <w:numPr>
          <w:ilvl w:val="0"/>
          <w:numId w:val="6"/>
        </w:numPr>
        <w:rPr>
          <w:color w:val="000000" w:themeColor="text1"/>
        </w:rPr>
      </w:pPr>
      <w:r w:rsidRPr="00D75D7A">
        <w:rPr>
          <w:color w:val="000000" w:themeColor="text1"/>
        </w:rPr>
        <w:t>“For 2022 = (1500000 / 580000) = 2.58.”</w:t>
      </w:r>
    </w:p>
    <w:p w14:paraId="4D699F29" w14:textId="77777777" w:rsidR="006E34D7" w:rsidRPr="00D75D7A" w:rsidRDefault="006E34D7" w:rsidP="006E34D7">
      <w:pPr>
        <w:numPr>
          <w:ilvl w:val="0"/>
          <w:numId w:val="6"/>
        </w:numPr>
        <w:rPr>
          <w:color w:val="000000" w:themeColor="text1"/>
        </w:rPr>
      </w:pPr>
      <w:r w:rsidRPr="00D75D7A">
        <w:rPr>
          <w:color w:val="000000" w:themeColor="text1"/>
        </w:rPr>
        <w:t>“For 2023 = (1500000 / 300000) = 5.00.”</w:t>
      </w:r>
    </w:p>
    <w:p w14:paraId="680BC1CE" w14:textId="77777777" w:rsidR="006E34D7" w:rsidRPr="00D75D7A" w:rsidRDefault="006E34D7" w:rsidP="006E34D7">
      <w:pPr>
        <w:rPr>
          <w:b/>
          <w:color w:val="000000" w:themeColor="text1"/>
        </w:rPr>
      </w:pPr>
      <w:r w:rsidRPr="00D75D7A">
        <w:rPr>
          <w:b/>
          <w:color w:val="000000" w:themeColor="text1"/>
        </w:rPr>
        <w:t>“Return on assets (ROA) = (Net profit / Total assets) x 100”</w:t>
      </w:r>
    </w:p>
    <w:p w14:paraId="2616FAD7" w14:textId="77777777" w:rsidR="006E34D7" w:rsidRPr="00D75D7A" w:rsidRDefault="006E34D7" w:rsidP="006E34D7">
      <w:pPr>
        <w:numPr>
          <w:ilvl w:val="0"/>
          <w:numId w:val="9"/>
        </w:numPr>
        <w:rPr>
          <w:color w:val="000000" w:themeColor="text1"/>
        </w:rPr>
      </w:pPr>
      <w:r w:rsidRPr="00D75D7A">
        <w:rPr>
          <w:color w:val="000000" w:themeColor="text1"/>
        </w:rPr>
        <w:t>“For 2021 = (300000 / 2150000) x 100 = 13.95%”</w:t>
      </w:r>
    </w:p>
    <w:p w14:paraId="5AA1DF5F" w14:textId="77777777" w:rsidR="006E34D7" w:rsidRPr="00D75D7A" w:rsidRDefault="006E34D7" w:rsidP="006E34D7">
      <w:pPr>
        <w:numPr>
          <w:ilvl w:val="0"/>
          <w:numId w:val="9"/>
        </w:numPr>
        <w:rPr>
          <w:color w:val="000000" w:themeColor="text1"/>
        </w:rPr>
      </w:pPr>
      <w:r w:rsidRPr="00D75D7A">
        <w:rPr>
          <w:color w:val="000000" w:themeColor="text1"/>
        </w:rPr>
        <w:t>“For 2022 = (150000 / 2120000) x 100 = 7.07%”</w:t>
      </w:r>
    </w:p>
    <w:p w14:paraId="0F03347A" w14:textId="77777777" w:rsidR="006E34D7" w:rsidRPr="00D75D7A" w:rsidRDefault="006E34D7" w:rsidP="006E34D7">
      <w:pPr>
        <w:numPr>
          <w:ilvl w:val="0"/>
          <w:numId w:val="9"/>
        </w:numPr>
        <w:rPr>
          <w:color w:val="000000" w:themeColor="text1"/>
        </w:rPr>
      </w:pPr>
      <w:r w:rsidRPr="00D75D7A">
        <w:rPr>
          <w:color w:val="000000" w:themeColor="text1"/>
        </w:rPr>
        <w:t>“For 2023 = (-150000 / 1850000) x 100 = (-8.10%)”</w:t>
      </w:r>
    </w:p>
    <w:p w14:paraId="0900F48E" w14:textId="77777777" w:rsidR="006E34D7" w:rsidRPr="00D75D7A" w:rsidRDefault="006E34D7" w:rsidP="006E34D7">
      <w:pPr>
        <w:rPr>
          <w:b/>
          <w:color w:val="000000" w:themeColor="text1"/>
        </w:rPr>
      </w:pPr>
      <w:r w:rsidRPr="00D75D7A">
        <w:rPr>
          <w:b/>
          <w:color w:val="000000" w:themeColor="text1"/>
        </w:rPr>
        <w:t>“Return on equity (ROE) = (Net profit / Total equity) x 100”</w:t>
      </w:r>
    </w:p>
    <w:p w14:paraId="04B2A2F6" w14:textId="77777777" w:rsidR="006E34D7" w:rsidRPr="00D75D7A" w:rsidRDefault="006E34D7" w:rsidP="006E34D7">
      <w:pPr>
        <w:numPr>
          <w:ilvl w:val="0"/>
          <w:numId w:val="7"/>
        </w:numPr>
        <w:rPr>
          <w:color w:val="000000" w:themeColor="text1"/>
        </w:rPr>
      </w:pPr>
      <w:r w:rsidRPr="00D75D7A">
        <w:rPr>
          <w:color w:val="000000" w:themeColor="text1"/>
        </w:rPr>
        <w:t>“For 2021 = (300000 / 620000) x 100 = 48.38%”</w:t>
      </w:r>
    </w:p>
    <w:p w14:paraId="542273C2" w14:textId="77777777" w:rsidR="006E34D7" w:rsidRPr="00D75D7A" w:rsidRDefault="006E34D7" w:rsidP="006E34D7">
      <w:pPr>
        <w:numPr>
          <w:ilvl w:val="0"/>
          <w:numId w:val="7"/>
        </w:numPr>
        <w:rPr>
          <w:color w:val="000000" w:themeColor="text1"/>
        </w:rPr>
      </w:pPr>
      <w:r w:rsidRPr="00D75D7A">
        <w:rPr>
          <w:color w:val="000000" w:themeColor="text1"/>
        </w:rPr>
        <w:t xml:space="preserve">“For 2022 = (150000 / 580000) x 100 = 25.86%” </w:t>
      </w:r>
    </w:p>
    <w:p w14:paraId="48BFC2C0" w14:textId="77777777" w:rsidR="006E34D7" w:rsidRPr="00D75D7A" w:rsidRDefault="006E34D7" w:rsidP="006E34D7">
      <w:pPr>
        <w:numPr>
          <w:ilvl w:val="0"/>
          <w:numId w:val="7"/>
        </w:numPr>
        <w:rPr>
          <w:color w:val="000000" w:themeColor="text1"/>
        </w:rPr>
      </w:pPr>
      <w:r w:rsidRPr="00D75D7A">
        <w:rPr>
          <w:color w:val="000000" w:themeColor="text1"/>
        </w:rPr>
        <w:t>“For 2023 = (-150000 / 300000) x 100 = (-50.00%)”</w:t>
      </w:r>
    </w:p>
    <w:p w14:paraId="7F9F2174" w14:textId="77777777" w:rsidR="006E34D7" w:rsidRPr="00D75D7A" w:rsidRDefault="006E34D7" w:rsidP="006E34D7">
      <w:pPr>
        <w:rPr>
          <w:b/>
          <w:color w:val="000000" w:themeColor="text1"/>
        </w:rPr>
      </w:pPr>
      <w:r w:rsidRPr="00D75D7A">
        <w:rPr>
          <w:b/>
          <w:color w:val="000000" w:themeColor="text1"/>
        </w:rPr>
        <w:t xml:space="preserve">“Occupancy rate position” </w:t>
      </w:r>
    </w:p>
    <w:p w14:paraId="16D359F3" w14:textId="77777777" w:rsidR="006E34D7" w:rsidRPr="00D75D7A" w:rsidRDefault="006E34D7" w:rsidP="006E34D7">
      <w:pPr>
        <w:numPr>
          <w:ilvl w:val="0"/>
          <w:numId w:val="8"/>
        </w:numPr>
        <w:rPr>
          <w:color w:val="000000" w:themeColor="text1"/>
        </w:rPr>
      </w:pPr>
      <w:r w:rsidRPr="00D75D7A">
        <w:rPr>
          <w:color w:val="000000" w:themeColor="text1"/>
        </w:rPr>
        <w:t xml:space="preserve">“For 2021 = 65%” </w:t>
      </w:r>
    </w:p>
    <w:p w14:paraId="452E8E07" w14:textId="77777777" w:rsidR="006E34D7" w:rsidRPr="00D75D7A" w:rsidRDefault="006E34D7" w:rsidP="006E34D7">
      <w:pPr>
        <w:numPr>
          <w:ilvl w:val="0"/>
          <w:numId w:val="8"/>
        </w:numPr>
        <w:rPr>
          <w:color w:val="000000" w:themeColor="text1"/>
        </w:rPr>
      </w:pPr>
      <w:r w:rsidRPr="00D75D7A">
        <w:rPr>
          <w:color w:val="000000" w:themeColor="text1"/>
        </w:rPr>
        <w:t>“For 2022 = 60%”</w:t>
      </w:r>
    </w:p>
    <w:p w14:paraId="260B78B6" w14:textId="77777777" w:rsidR="006E34D7" w:rsidRPr="00D75D7A" w:rsidRDefault="006E34D7" w:rsidP="006E34D7">
      <w:pPr>
        <w:numPr>
          <w:ilvl w:val="0"/>
          <w:numId w:val="8"/>
        </w:numPr>
        <w:rPr>
          <w:color w:val="000000" w:themeColor="text1"/>
        </w:rPr>
      </w:pPr>
      <w:r w:rsidRPr="00D75D7A">
        <w:rPr>
          <w:color w:val="000000" w:themeColor="text1"/>
        </w:rPr>
        <w:t xml:space="preserve">“For 2023 = 50%” </w:t>
      </w:r>
    </w:p>
    <w:p w14:paraId="2122B39D" w14:textId="77777777" w:rsidR="006E34D7" w:rsidRPr="00D75D7A" w:rsidRDefault="006E34D7" w:rsidP="006E34D7">
      <w:pPr>
        <w:rPr>
          <w:b/>
          <w:color w:val="000000" w:themeColor="text1"/>
        </w:rPr>
      </w:pPr>
      <w:r w:rsidRPr="00D75D7A">
        <w:rPr>
          <w:b/>
          <w:color w:val="000000" w:themeColor="text1"/>
        </w:rPr>
        <w:t xml:space="preserve">“Average room rate position (ARR)” </w:t>
      </w:r>
    </w:p>
    <w:p w14:paraId="4B514B2D" w14:textId="77777777" w:rsidR="006E34D7" w:rsidRPr="00D75D7A" w:rsidRDefault="006E34D7" w:rsidP="006E34D7">
      <w:pPr>
        <w:numPr>
          <w:ilvl w:val="0"/>
          <w:numId w:val="5"/>
        </w:numPr>
        <w:rPr>
          <w:color w:val="000000" w:themeColor="text1"/>
        </w:rPr>
      </w:pPr>
      <w:r w:rsidRPr="00D75D7A">
        <w:rPr>
          <w:color w:val="000000" w:themeColor="text1"/>
        </w:rPr>
        <w:t>“For 2021: £260”</w:t>
      </w:r>
    </w:p>
    <w:p w14:paraId="08BDDF95" w14:textId="77777777" w:rsidR="006E34D7" w:rsidRPr="00D75D7A" w:rsidRDefault="006E34D7" w:rsidP="006E34D7">
      <w:pPr>
        <w:numPr>
          <w:ilvl w:val="0"/>
          <w:numId w:val="5"/>
        </w:numPr>
        <w:rPr>
          <w:color w:val="000000" w:themeColor="text1"/>
        </w:rPr>
      </w:pPr>
      <w:r w:rsidRPr="00D75D7A">
        <w:rPr>
          <w:color w:val="000000" w:themeColor="text1"/>
        </w:rPr>
        <w:t>“For 2022: £240”</w:t>
      </w:r>
    </w:p>
    <w:p w14:paraId="77370F9F" w14:textId="77777777" w:rsidR="006E34D7" w:rsidRPr="00D75D7A" w:rsidRDefault="006E34D7" w:rsidP="006E34D7">
      <w:pPr>
        <w:numPr>
          <w:ilvl w:val="0"/>
          <w:numId w:val="5"/>
        </w:numPr>
        <w:rPr>
          <w:color w:val="000000" w:themeColor="text1"/>
        </w:rPr>
      </w:pPr>
      <w:r w:rsidRPr="00D75D7A">
        <w:rPr>
          <w:color w:val="000000" w:themeColor="text1"/>
        </w:rPr>
        <w:t xml:space="preserve">“For 2023: £210” </w:t>
      </w:r>
    </w:p>
    <w:sectPr w:rsidR="006E34D7" w:rsidRPr="00D75D7A">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C8651" w14:textId="77777777" w:rsidR="00B507DD" w:rsidRDefault="00B507DD" w:rsidP="00B44E0C">
      <w:pPr>
        <w:spacing w:line="240" w:lineRule="auto"/>
      </w:pPr>
      <w:r>
        <w:separator/>
      </w:r>
    </w:p>
  </w:endnote>
  <w:endnote w:type="continuationSeparator" w:id="0">
    <w:p w14:paraId="17EFAF4A" w14:textId="77777777" w:rsidR="00B507DD" w:rsidRDefault="00B507DD" w:rsidP="00B44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269641"/>
      <w:docPartObj>
        <w:docPartGallery w:val="Page Numbers (Bottom of Page)"/>
        <w:docPartUnique/>
      </w:docPartObj>
    </w:sdtPr>
    <w:sdtEndPr>
      <w:rPr>
        <w:noProof/>
      </w:rPr>
    </w:sdtEndPr>
    <w:sdtContent>
      <w:p w14:paraId="4017F31F" w14:textId="56EB1352" w:rsidR="00B44E0C" w:rsidRDefault="00B44E0C">
        <w:pPr>
          <w:pStyle w:val="Footer"/>
          <w:jc w:val="right"/>
        </w:pPr>
        <w:r>
          <w:fldChar w:fldCharType="begin"/>
        </w:r>
        <w:r>
          <w:instrText xml:space="preserve"> PAGE   \* MERGEFORMAT </w:instrText>
        </w:r>
        <w:r>
          <w:fldChar w:fldCharType="separate"/>
        </w:r>
        <w:r w:rsidR="00B9601A">
          <w:rPr>
            <w:noProof/>
          </w:rPr>
          <w:t>11</w:t>
        </w:r>
        <w:r>
          <w:rPr>
            <w:noProof/>
          </w:rPr>
          <w:fldChar w:fldCharType="end"/>
        </w:r>
      </w:p>
    </w:sdtContent>
  </w:sdt>
  <w:p w14:paraId="365750E2" w14:textId="77777777" w:rsidR="00B44E0C" w:rsidRDefault="00B44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F8948" w14:textId="77777777" w:rsidR="00B507DD" w:rsidRDefault="00B507DD" w:rsidP="00B44E0C">
      <w:pPr>
        <w:spacing w:line="240" w:lineRule="auto"/>
      </w:pPr>
      <w:r>
        <w:separator/>
      </w:r>
    </w:p>
  </w:footnote>
  <w:footnote w:type="continuationSeparator" w:id="0">
    <w:p w14:paraId="628C8E09" w14:textId="77777777" w:rsidR="00B507DD" w:rsidRDefault="00B507DD" w:rsidP="00B44E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0AFDE" w14:textId="17282D55" w:rsidR="00B44E0C" w:rsidRDefault="00B44E0C">
    <w:pPr>
      <w:pStyle w:val="Header"/>
    </w:pPr>
    <w:r>
      <w:rPr>
        <w:noProof/>
        <w:lang w:val="en-IN"/>
      </w:rPr>
      <w:drawing>
        <wp:inline distT="0" distB="0" distL="0" distR="0" wp14:anchorId="7B5FC3CF" wp14:editId="23E7C34D">
          <wp:extent cx="1504412" cy="648586"/>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567439" cy="6757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00C78"/>
    <w:multiLevelType w:val="multilevel"/>
    <w:tmpl w:val="02166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1E3A0D"/>
    <w:multiLevelType w:val="multilevel"/>
    <w:tmpl w:val="780AA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721994"/>
    <w:multiLevelType w:val="multilevel"/>
    <w:tmpl w:val="DE4ED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3028A5"/>
    <w:multiLevelType w:val="multilevel"/>
    <w:tmpl w:val="E7240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25D5711"/>
    <w:multiLevelType w:val="multilevel"/>
    <w:tmpl w:val="FB767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177D9D"/>
    <w:multiLevelType w:val="multilevel"/>
    <w:tmpl w:val="6B948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B36076"/>
    <w:multiLevelType w:val="multilevel"/>
    <w:tmpl w:val="D6308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8D67F17"/>
    <w:multiLevelType w:val="multilevel"/>
    <w:tmpl w:val="E0EC5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B772D0"/>
    <w:multiLevelType w:val="multilevel"/>
    <w:tmpl w:val="BF72F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8513618">
    <w:abstractNumId w:val="7"/>
  </w:num>
  <w:num w:numId="2" w16cid:durableId="594561965">
    <w:abstractNumId w:val="0"/>
  </w:num>
  <w:num w:numId="3" w16cid:durableId="578683377">
    <w:abstractNumId w:val="1"/>
  </w:num>
  <w:num w:numId="4" w16cid:durableId="838543539">
    <w:abstractNumId w:val="8"/>
  </w:num>
  <w:num w:numId="5" w16cid:durableId="67965913">
    <w:abstractNumId w:val="2"/>
  </w:num>
  <w:num w:numId="6" w16cid:durableId="1716855503">
    <w:abstractNumId w:val="6"/>
  </w:num>
  <w:num w:numId="7" w16cid:durableId="443888394">
    <w:abstractNumId w:val="5"/>
  </w:num>
  <w:num w:numId="8" w16cid:durableId="12075529">
    <w:abstractNumId w:val="3"/>
  </w:num>
  <w:num w:numId="9" w16cid:durableId="1036126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D78"/>
    <w:rsid w:val="00197626"/>
    <w:rsid w:val="001D6D78"/>
    <w:rsid w:val="00437652"/>
    <w:rsid w:val="006373B7"/>
    <w:rsid w:val="006E34D7"/>
    <w:rsid w:val="007E7E5E"/>
    <w:rsid w:val="0099772E"/>
    <w:rsid w:val="00B05177"/>
    <w:rsid w:val="00B44E0C"/>
    <w:rsid w:val="00B507DD"/>
    <w:rsid w:val="00B9601A"/>
    <w:rsid w:val="00D75D7A"/>
    <w:rsid w:val="00DE78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52421"/>
  <w15:docId w15:val="{DB8BBF6D-92B7-4CAB-8DEF-A38CF00E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B44E0C"/>
    <w:pPr>
      <w:outlineLvl w:val="0"/>
    </w:pPr>
    <w:rPr>
      <w:b/>
    </w:rPr>
  </w:style>
  <w:style w:type="paragraph" w:styleId="Heading2">
    <w:name w:val="heading 2"/>
    <w:basedOn w:val="Normal"/>
    <w:next w:val="Normal"/>
    <w:rsid w:val="00B44E0C"/>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B44E0C"/>
    <w:pPr>
      <w:spacing w:line="240" w:lineRule="auto"/>
    </w:pPr>
    <w:rPr>
      <w:lang w:val="en-GB"/>
    </w:rPr>
  </w:style>
  <w:style w:type="paragraph" w:styleId="TOCHeading">
    <w:name w:val="TOC Heading"/>
    <w:basedOn w:val="Heading1"/>
    <w:next w:val="Normal"/>
    <w:uiPriority w:val="39"/>
    <w:unhideWhenUsed/>
    <w:qFormat/>
    <w:rsid w:val="00B44E0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44E0C"/>
    <w:pPr>
      <w:spacing w:after="100"/>
    </w:pPr>
  </w:style>
  <w:style w:type="paragraph" w:styleId="TOC2">
    <w:name w:val="toc 2"/>
    <w:basedOn w:val="Normal"/>
    <w:next w:val="Normal"/>
    <w:autoRedefine/>
    <w:uiPriority w:val="39"/>
    <w:unhideWhenUsed/>
    <w:rsid w:val="00B44E0C"/>
    <w:pPr>
      <w:spacing w:after="100"/>
      <w:ind w:left="240"/>
    </w:pPr>
  </w:style>
  <w:style w:type="character" w:styleId="Hyperlink">
    <w:name w:val="Hyperlink"/>
    <w:basedOn w:val="DefaultParagraphFont"/>
    <w:uiPriority w:val="99"/>
    <w:unhideWhenUsed/>
    <w:rsid w:val="00B44E0C"/>
    <w:rPr>
      <w:color w:val="0000FF" w:themeColor="hyperlink"/>
      <w:u w:val="single"/>
    </w:rPr>
  </w:style>
  <w:style w:type="paragraph" w:styleId="Header">
    <w:name w:val="header"/>
    <w:basedOn w:val="Normal"/>
    <w:link w:val="HeaderChar"/>
    <w:uiPriority w:val="99"/>
    <w:unhideWhenUsed/>
    <w:rsid w:val="00B44E0C"/>
    <w:pPr>
      <w:tabs>
        <w:tab w:val="center" w:pos="4513"/>
        <w:tab w:val="right" w:pos="9026"/>
      </w:tabs>
      <w:spacing w:line="240" w:lineRule="auto"/>
    </w:pPr>
  </w:style>
  <w:style w:type="character" w:customStyle="1" w:styleId="HeaderChar">
    <w:name w:val="Header Char"/>
    <w:basedOn w:val="DefaultParagraphFont"/>
    <w:link w:val="Header"/>
    <w:uiPriority w:val="99"/>
    <w:rsid w:val="00B44E0C"/>
    <w:rPr>
      <w:lang w:val="en-GB"/>
    </w:rPr>
  </w:style>
  <w:style w:type="paragraph" w:styleId="Footer">
    <w:name w:val="footer"/>
    <w:basedOn w:val="Normal"/>
    <w:link w:val="FooterChar"/>
    <w:uiPriority w:val="99"/>
    <w:unhideWhenUsed/>
    <w:rsid w:val="00B44E0C"/>
    <w:pPr>
      <w:tabs>
        <w:tab w:val="center" w:pos="4513"/>
        <w:tab w:val="right" w:pos="9026"/>
      </w:tabs>
      <w:spacing w:line="240" w:lineRule="auto"/>
    </w:pPr>
  </w:style>
  <w:style w:type="character" w:customStyle="1" w:styleId="FooterChar">
    <w:name w:val="Footer Char"/>
    <w:basedOn w:val="DefaultParagraphFont"/>
    <w:link w:val="Footer"/>
    <w:uiPriority w:val="99"/>
    <w:rsid w:val="00B44E0C"/>
    <w:rPr>
      <w:lang w:val="en-GB"/>
    </w:rPr>
  </w:style>
  <w:style w:type="paragraph" w:styleId="NormalWeb">
    <w:name w:val="Normal (Web)"/>
    <w:basedOn w:val="Normal"/>
    <w:uiPriority w:val="99"/>
    <w:semiHidden/>
    <w:unhideWhenUsed/>
    <w:rsid w:val="006373B7"/>
    <w:pPr>
      <w:spacing w:before="100" w:beforeAutospacing="1" w:after="100" w:afterAutospacing="1" w:line="240" w:lineRule="auto"/>
      <w:jc w:val="left"/>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687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AA3F6-077E-41C9-9EBE-026CB28CF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2854</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Stefanuta</cp:lastModifiedBy>
  <cp:revision>3</cp:revision>
  <dcterms:created xsi:type="dcterms:W3CDTF">2024-02-15T06:12:00Z</dcterms:created>
  <dcterms:modified xsi:type="dcterms:W3CDTF">2024-02-26T21:30:00Z</dcterms:modified>
</cp:coreProperties>
</file>