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7A5120">
      <w:pPr>
        <w:tabs>
          <w:tab w:val="left" w:pos="6540"/>
        </w:tabs>
        <w:spacing w:line="360" w:lineRule="auto"/>
        <w:rPr>
          <w:rFonts w:ascii="Arial" w:hAnsi="Arial" w:cs="Arial"/>
          <w:sz w:val="28"/>
          <w:szCs w:val="28"/>
        </w:rPr>
      </w:pPr>
    </w:p>
    <w:p w14:paraId="4FC9800F" w14:textId="03A9AE2B"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8908B9">
        <w:rPr>
          <w:rFonts w:ascii="Arial" w:hAnsi="Arial" w:cs="Arial"/>
          <w:sz w:val="28"/>
          <w:szCs w:val="28"/>
          <w:lang w:val="nl-NL"/>
        </w:rPr>
        <w:t xml:space="preserve">  Sharon Barnett</w:t>
      </w:r>
    </w:p>
    <w:p w14:paraId="16C5D4A2" w14:textId="4586E481" w:rsidR="00ED1049" w:rsidRPr="00814A9E" w:rsidRDefault="00ED1049" w:rsidP="007A5120">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8908B9">
        <w:rPr>
          <w:rFonts w:ascii="Arial" w:hAnsi="Arial" w:cs="Arial"/>
          <w:sz w:val="28"/>
          <w:szCs w:val="28"/>
          <w:lang w:val="nl-NL"/>
        </w:rPr>
        <w:t xml:space="preserve"> 2217515</w:t>
      </w:r>
    </w:p>
    <w:p w14:paraId="3E7B146F" w14:textId="01E393CD"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w:t>
      </w:r>
      <w:r w:rsidRPr="007A5120">
        <w:rPr>
          <w:rFonts w:ascii="Arial" w:hAnsi="Arial" w:cs="Arial"/>
          <w:sz w:val="28"/>
          <w:szCs w:val="28"/>
          <w:lang w:val="nl-NL"/>
        </w:rPr>
        <w:t xml:space="preserve"> </w:t>
      </w:r>
      <w:hyperlink r:id="rId13" w:history="1">
        <w:r w:rsidR="007A5120" w:rsidRPr="007A5120">
          <w:rPr>
            <w:rStyle w:val="Hyperlink"/>
            <w:rFonts w:ascii="Segoe UI" w:hAnsi="Segoe UI" w:cs="Segoe UI"/>
            <w:color w:val="1D2125"/>
            <w:sz w:val="23"/>
            <w:szCs w:val="23"/>
            <w:u w:val="none"/>
          </w:rPr>
          <w:t xml:space="preserve">Independent Project </w:t>
        </w:r>
      </w:hyperlink>
    </w:p>
    <w:p w14:paraId="12CBB668" w14:textId="56992F2A"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7A5120" w:rsidRPr="007A5120">
        <w:rPr>
          <w:rFonts w:ascii="Arial" w:hAnsi="Arial" w:cs="Arial"/>
          <w:sz w:val="28"/>
          <w:szCs w:val="28"/>
        </w:rPr>
        <w:t>BMHP6020</w:t>
      </w:r>
    </w:p>
    <w:p w14:paraId="2C2175CB" w14:textId="2309FF53" w:rsidR="00ED1049" w:rsidRDefault="006D2642" w:rsidP="00ED1049">
      <w:pPr>
        <w:tabs>
          <w:tab w:val="left" w:pos="6540"/>
        </w:tabs>
        <w:spacing w:line="360" w:lineRule="auto"/>
        <w:ind w:left="426"/>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7A5120">
        <w:rPr>
          <w:rFonts w:ascii="Arial" w:hAnsi="Arial" w:cs="Arial"/>
          <w:sz w:val="28"/>
          <w:szCs w:val="28"/>
        </w:rPr>
        <w:t xml:space="preserve"> </w:t>
      </w:r>
      <w:r w:rsidR="007A5120" w:rsidRPr="007A5120">
        <w:rPr>
          <w:rFonts w:ascii="Arial" w:hAnsi="Arial" w:cs="Arial"/>
        </w:rPr>
        <w:t>Bianca Sanfilippo</w:t>
      </w:r>
      <w:r w:rsidR="007A5120">
        <w:t xml:space="preserve"> </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367DB1">
        <w:trPr>
          <w:trHeight w:val="6583"/>
          <w:jc w:val="center"/>
        </w:trPr>
        <w:tc>
          <w:tcPr>
            <w:tcW w:w="4530" w:type="dxa"/>
          </w:tcPr>
          <w:p w14:paraId="505098AA" w14:textId="77777777" w:rsidR="00EB6F36" w:rsidRDefault="00EB6F36" w:rsidP="007A5120">
            <w:pPr>
              <w:tabs>
                <w:tab w:val="left" w:pos="1044"/>
              </w:tabs>
              <w:rPr>
                <w:rFonts w:ascii="Arial" w:hAnsi="Arial" w:cs="Arial"/>
                <w:noProof/>
              </w:rPr>
            </w:pPr>
          </w:p>
          <w:p w14:paraId="7C84B224" w14:textId="3B7AF0F4" w:rsidR="0001504F" w:rsidRPr="00EB6F36" w:rsidRDefault="0001504F" w:rsidP="00B67824">
            <w:pPr>
              <w:rPr>
                <w:rFonts w:ascii="Arial" w:hAnsi="Arial" w:cs="Arial"/>
                <w:noProof/>
              </w:rPr>
            </w:pPr>
            <w:r w:rsidRPr="0001504F">
              <w:rPr>
                <w:rFonts w:ascii="Arial" w:hAnsi="Arial" w:cs="Arial"/>
                <w:noProof/>
              </w:rPr>
              <w:drawing>
                <wp:inline distT="0" distB="0" distL="0" distR="0" wp14:anchorId="66D4AB00" wp14:editId="430F552F">
                  <wp:extent cx="2730500" cy="33718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730500" cy="3371850"/>
                          </a:xfrm>
                          <a:prstGeom prst="rect">
                            <a:avLst/>
                          </a:prstGeom>
                        </pic:spPr>
                      </pic:pic>
                    </a:graphicData>
                  </a:graphic>
                </wp:inline>
              </w:drawing>
            </w:r>
          </w:p>
        </w:tc>
        <w:tc>
          <w:tcPr>
            <w:tcW w:w="416" w:type="dxa"/>
            <w:vMerge w:val="restart"/>
          </w:tcPr>
          <w:p w14:paraId="09B2FC2D" w14:textId="77777777" w:rsidR="00346FFA" w:rsidRPr="00EB6F36" w:rsidRDefault="00346FFA" w:rsidP="00B67824">
            <w:pPr>
              <w:rPr>
                <w:rFonts w:ascii="Arial" w:hAnsi="Arial" w:cs="Arial"/>
                <w:noProof/>
              </w:rPr>
            </w:pPr>
          </w:p>
        </w:tc>
        <w:tc>
          <w:tcPr>
            <w:tcW w:w="4497" w:type="dxa"/>
            <w:vMerge w:val="restart"/>
          </w:tcPr>
          <w:p w14:paraId="32810FCF" w14:textId="38EA2049" w:rsidR="00B67824" w:rsidRDefault="008E2D05" w:rsidP="00367DB1">
            <w:pPr>
              <w:pStyle w:val="Heading1"/>
              <w:spacing w:after="0"/>
              <w:rPr>
                <w:rFonts w:ascii="Arial" w:hAnsi="Arial" w:cs="Arial"/>
              </w:rPr>
            </w:pPr>
            <w:r w:rsidRPr="008E2D05">
              <w:rPr>
                <w:rFonts w:ascii="Arial" w:hAnsi="Arial" w:cs="Arial"/>
              </w:rPr>
              <w:t>The Impact of Social Isolation On Older Adults' Physical and Mental Health in The United Kingdom</w:t>
            </w:r>
          </w:p>
          <w:p w14:paraId="197497D8" w14:textId="77777777" w:rsidR="00367DB1" w:rsidRPr="00367DB1" w:rsidRDefault="00367DB1" w:rsidP="00367DB1"/>
          <w:p w14:paraId="646D5584" w14:textId="0AAB447F" w:rsidR="00367DB1" w:rsidRPr="00367DB1" w:rsidRDefault="008E2D05" w:rsidP="00367DB1">
            <w:pPr>
              <w:spacing w:after="0"/>
              <w:rPr>
                <w:rFonts w:ascii="Arial" w:hAnsi="Arial" w:cs="Arial"/>
              </w:rPr>
            </w:pPr>
            <w:r w:rsidRPr="008E2D05">
              <w:rPr>
                <w:rFonts w:ascii="Arial" w:hAnsi="Arial" w:cs="Arial"/>
              </w:rPr>
              <w:t>The aim of this study is to explore the impact of social isolation on the physical and mental health of adults aged 65 years and above in the United Kingdom. This study aims to examin</w:t>
            </w:r>
            <w:r w:rsidR="00834235">
              <w:rPr>
                <w:rFonts w:ascii="Arial" w:hAnsi="Arial" w:cs="Arial"/>
              </w:rPr>
              <w:t>e</w:t>
            </w:r>
            <w:r w:rsidRPr="008E2D05">
              <w:rPr>
                <w:rFonts w:ascii="Arial" w:hAnsi="Arial" w:cs="Arial"/>
              </w:rPr>
              <w:t xml:space="preserve"> the mechanisms of mediation, namely: depression, sleep quality and physical activity</w:t>
            </w:r>
            <w:r w:rsidR="009E3C67">
              <w:rPr>
                <w:rFonts w:ascii="Arial" w:hAnsi="Arial" w:cs="Arial"/>
              </w:rPr>
              <w:t>; and moderation, such as living conditions and socioeconomic status,</w:t>
            </w:r>
            <w:r w:rsidRPr="008E2D05">
              <w:rPr>
                <w:rFonts w:ascii="Arial" w:hAnsi="Arial" w:cs="Arial"/>
              </w:rPr>
              <w:t xml:space="preserve"> in the context of social </w:t>
            </w:r>
            <w:r w:rsidR="00346AC5">
              <w:rPr>
                <w:rFonts w:ascii="Arial" w:hAnsi="Arial" w:cs="Arial"/>
              </w:rPr>
              <w:t>isolation's</w:t>
            </w:r>
            <w:r w:rsidRPr="008E2D05">
              <w:rPr>
                <w:rFonts w:ascii="Arial" w:hAnsi="Arial" w:cs="Arial"/>
              </w:rPr>
              <w:t xml:space="preserve"> impact on health outcomes. The report will </w:t>
            </w:r>
            <w:proofErr w:type="gramStart"/>
            <w:r w:rsidRPr="008E2D05">
              <w:rPr>
                <w:rFonts w:ascii="Arial" w:hAnsi="Arial" w:cs="Arial"/>
              </w:rPr>
              <w:t>inform</w:t>
            </w:r>
            <w:proofErr w:type="gramEnd"/>
            <w:r w:rsidRPr="008E2D05">
              <w:rPr>
                <w:rFonts w:ascii="Arial" w:hAnsi="Arial" w:cs="Arial"/>
              </w:rPr>
              <w:t xml:space="preserve"> evidence-based recommendations for people involved in healthcare, government policies and community-based groups and organisations to work to reduce social </w:t>
            </w:r>
            <w:r w:rsidRPr="009E3C67">
              <w:rPr>
                <w:rFonts w:ascii="Arial" w:hAnsi="Arial" w:cs="Arial"/>
              </w:rPr>
              <w:t xml:space="preserve">isolation amongst older adults </w:t>
            </w:r>
            <w:r w:rsidR="001F12E0" w:rsidRPr="009E3C67">
              <w:rPr>
                <w:rFonts w:ascii="Arial" w:hAnsi="Arial" w:cs="Arial"/>
              </w:rPr>
              <w:t>(GOV.UK , 2023)</w:t>
            </w:r>
          </w:p>
        </w:tc>
        <w:tc>
          <w:tcPr>
            <w:tcW w:w="360" w:type="dxa"/>
            <w:vMerge w:val="restart"/>
          </w:tcPr>
          <w:p w14:paraId="51769EE4" w14:textId="77777777" w:rsidR="00346FFA" w:rsidRPr="00EB6F36" w:rsidRDefault="00346FFA" w:rsidP="00B67824">
            <w:pPr>
              <w:rPr>
                <w:rFonts w:ascii="Arial" w:hAnsi="Arial" w:cs="Arial"/>
                <w:noProof/>
              </w:rPr>
            </w:pPr>
          </w:p>
        </w:tc>
        <w:tc>
          <w:tcPr>
            <w:tcW w:w="4587" w:type="dxa"/>
            <w:vAlign w:val="center"/>
          </w:tcPr>
          <w:p w14:paraId="4EBA66EC" w14:textId="304CBCC4" w:rsidR="00346FFA" w:rsidRPr="00EB6F36" w:rsidRDefault="0001504F" w:rsidP="0001504F">
            <w:pPr>
              <w:rPr>
                <w:rFonts w:ascii="Arial" w:hAnsi="Arial" w:cs="Arial"/>
                <w:noProof/>
              </w:rPr>
            </w:pPr>
            <w:r>
              <w:rPr>
                <w:rFonts w:ascii="Arial" w:hAnsi="Arial" w:cs="Arial"/>
                <w:noProof/>
              </w:rPr>
              <w:drawing>
                <wp:inline distT="0" distB="0" distL="0" distR="0" wp14:anchorId="63F8B558" wp14:editId="6570B7EC">
                  <wp:extent cx="2772410" cy="4258310"/>
                  <wp:effectExtent l="0" t="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72410" cy="4258310"/>
                          </a:xfrm>
                          <a:prstGeom prst="rect">
                            <a:avLst/>
                          </a:prstGeom>
                          <a:noFill/>
                        </pic:spPr>
                      </pic:pic>
                    </a:graphicData>
                  </a:graphic>
                </wp:inline>
              </w:drawing>
            </w:r>
          </w:p>
        </w:tc>
      </w:tr>
      <w:tr w:rsidR="00346FFA" w:rsidRPr="00EB6F36" w14:paraId="6595EC5A" w14:textId="77777777" w:rsidTr="007A5120">
        <w:trPr>
          <w:trHeight w:val="272"/>
          <w:jc w:val="center"/>
        </w:trPr>
        <w:tc>
          <w:tcPr>
            <w:tcW w:w="4530"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497"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87"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367DB1">
        <w:trPr>
          <w:trHeight w:val="473"/>
          <w:jc w:val="center"/>
        </w:trPr>
        <w:tc>
          <w:tcPr>
            <w:tcW w:w="4530" w:type="dxa"/>
            <w:vMerge w:val="restart"/>
          </w:tcPr>
          <w:p w14:paraId="43992006" w14:textId="367E5DB2" w:rsidR="00B67824" w:rsidRDefault="008E2D05" w:rsidP="00367DB1">
            <w:pPr>
              <w:pStyle w:val="Heading1"/>
              <w:spacing w:after="0"/>
              <w:rPr>
                <w:rFonts w:ascii="Arial" w:hAnsi="Arial" w:cs="Arial"/>
              </w:rPr>
            </w:pPr>
            <w:r w:rsidRPr="008E2D05">
              <w:rPr>
                <w:rFonts w:ascii="Arial" w:hAnsi="Arial" w:cs="Arial"/>
              </w:rPr>
              <w:t>Research Methodology</w:t>
            </w:r>
          </w:p>
          <w:p w14:paraId="1C4E5AE3" w14:textId="77777777" w:rsidR="00367DB1" w:rsidRPr="00367DB1" w:rsidRDefault="00367DB1" w:rsidP="00367DB1"/>
          <w:p w14:paraId="3FCEE657" w14:textId="3A431068" w:rsidR="008E2D05" w:rsidRPr="008E2D05" w:rsidRDefault="008E2D05" w:rsidP="00367DB1">
            <w:pPr>
              <w:spacing w:after="0"/>
              <w:rPr>
                <w:rFonts w:ascii="Arial" w:hAnsi="Arial" w:cs="Arial"/>
              </w:rPr>
            </w:pPr>
            <w:r w:rsidRPr="008E2D05">
              <w:rPr>
                <w:rFonts w:ascii="Arial" w:hAnsi="Arial" w:cs="Arial"/>
              </w:rPr>
              <w:t xml:space="preserve">This research is </w:t>
            </w:r>
            <w:r w:rsidR="00346AC5">
              <w:rPr>
                <w:rFonts w:ascii="Arial" w:hAnsi="Arial" w:cs="Arial"/>
              </w:rPr>
              <w:t xml:space="preserve">a </w:t>
            </w:r>
            <w:r w:rsidRPr="008E2D05">
              <w:rPr>
                <w:rFonts w:ascii="Arial" w:hAnsi="Arial" w:cs="Arial"/>
              </w:rPr>
              <w:t>secondary research design with</w:t>
            </w:r>
            <w:r w:rsidR="00346AC5">
              <w:rPr>
                <w:rFonts w:ascii="Arial" w:hAnsi="Arial" w:cs="Arial"/>
              </w:rPr>
              <w:t xml:space="preserve"> a</w:t>
            </w:r>
            <w:r w:rsidRPr="008E2D05">
              <w:rPr>
                <w:rFonts w:ascii="Arial" w:hAnsi="Arial" w:cs="Arial"/>
              </w:rPr>
              <w:t xml:space="preserve"> systematic literature review</w:t>
            </w:r>
            <w:r w:rsidR="00346AC5">
              <w:rPr>
                <w:rFonts w:ascii="Arial" w:hAnsi="Arial" w:cs="Arial"/>
              </w:rPr>
              <w:t xml:space="preserve">  (SLR)</w:t>
            </w:r>
            <w:r w:rsidRPr="008E2D05">
              <w:rPr>
                <w:rFonts w:ascii="Arial" w:hAnsi="Arial" w:cs="Arial"/>
              </w:rPr>
              <w:t xml:space="preserve">. </w:t>
            </w:r>
            <w:r w:rsidR="009E3C67">
              <w:rPr>
                <w:rFonts w:ascii="Arial" w:hAnsi="Arial" w:cs="Arial"/>
              </w:rPr>
              <w:t xml:space="preserve">The research process of an SLR provides a researcher with the opportunity to gather, </w:t>
            </w:r>
            <w:proofErr w:type="spellStart"/>
            <w:r w:rsidR="009E3C67">
              <w:rPr>
                <w:rFonts w:ascii="Arial" w:hAnsi="Arial" w:cs="Arial"/>
              </w:rPr>
              <w:t>analyse</w:t>
            </w:r>
            <w:proofErr w:type="spellEnd"/>
            <w:r w:rsidR="009E3C67">
              <w:rPr>
                <w:rFonts w:ascii="Arial" w:hAnsi="Arial" w:cs="Arial"/>
              </w:rPr>
              <w:t xml:space="preserve">, and integrate </w:t>
            </w:r>
            <w:r w:rsidRPr="008E2D05">
              <w:rPr>
                <w:rFonts w:ascii="Arial" w:hAnsi="Arial" w:cs="Arial"/>
              </w:rPr>
              <w:t xml:space="preserve">evidence from several published studies in a systematic and </w:t>
            </w:r>
            <w:r w:rsidRPr="009E3C67">
              <w:rPr>
                <w:rFonts w:ascii="Arial" w:hAnsi="Arial" w:cs="Arial"/>
              </w:rPr>
              <w:t>transparent way (Snyder,</w:t>
            </w:r>
            <w:r w:rsidR="009E3C67">
              <w:rPr>
                <w:rFonts w:ascii="Arial" w:hAnsi="Arial" w:cs="Arial"/>
              </w:rPr>
              <w:t xml:space="preserve"> </w:t>
            </w:r>
            <w:r w:rsidRPr="009E3C67">
              <w:rPr>
                <w:rFonts w:ascii="Arial" w:hAnsi="Arial" w:cs="Arial"/>
              </w:rPr>
              <w:t>2019)</w:t>
            </w:r>
            <w:r w:rsidR="009E3C67">
              <w:rPr>
                <w:rFonts w:ascii="Arial" w:hAnsi="Arial" w:cs="Arial"/>
              </w:rPr>
              <w:t>.</w:t>
            </w:r>
            <w:r w:rsidRPr="009E3C67">
              <w:rPr>
                <w:rFonts w:ascii="Arial" w:hAnsi="Arial" w:cs="Arial"/>
              </w:rPr>
              <w:t xml:space="preserve"> </w:t>
            </w:r>
            <w:r w:rsidR="00346AC5" w:rsidRPr="009E3C67">
              <w:rPr>
                <w:rFonts w:ascii="Arial" w:hAnsi="Arial" w:cs="Arial"/>
              </w:rPr>
              <w:t>T</w:t>
            </w:r>
            <w:r w:rsidRPr="009E3C67">
              <w:rPr>
                <w:rFonts w:ascii="Arial" w:hAnsi="Arial" w:cs="Arial"/>
              </w:rPr>
              <w:t xml:space="preserve">he study </w:t>
            </w:r>
            <w:r w:rsidRPr="008E2D05">
              <w:rPr>
                <w:rFonts w:ascii="Arial" w:hAnsi="Arial" w:cs="Arial"/>
              </w:rPr>
              <w:t xml:space="preserve">relies on </w:t>
            </w:r>
            <w:r w:rsidR="0043683E">
              <w:rPr>
                <w:rFonts w:ascii="Arial" w:hAnsi="Arial" w:cs="Arial"/>
              </w:rPr>
              <w:t xml:space="preserve">an academic analysis of the literature on social isolation </w:t>
            </w:r>
            <w:r w:rsidR="0043683E">
              <w:rPr>
                <w:rFonts w:ascii="Arial" w:hAnsi="Arial" w:cs="Arial"/>
              </w:rPr>
              <w:lastRenderedPageBreak/>
              <w:t>and health outcomes among</w:t>
            </w:r>
            <w:r w:rsidRPr="008E2D05">
              <w:rPr>
                <w:rFonts w:ascii="Arial" w:hAnsi="Arial" w:cs="Arial"/>
              </w:rPr>
              <w:t xml:space="preserve"> older adults in the United Kingdom.</w:t>
            </w:r>
          </w:p>
          <w:p w14:paraId="7F677CE8" w14:textId="77777777" w:rsidR="008E2D05" w:rsidRPr="008E2D05" w:rsidRDefault="008E2D05" w:rsidP="00367DB1">
            <w:pPr>
              <w:spacing w:after="0"/>
              <w:rPr>
                <w:rFonts w:ascii="Arial" w:hAnsi="Arial" w:cs="Arial"/>
              </w:rPr>
            </w:pPr>
          </w:p>
          <w:p w14:paraId="388333B3" w14:textId="2024287F" w:rsidR="00EB6F36" w:rsidRDefault="008E2D05" w:rsidP="00367DB1">
            <w:pPr>
              <w:spacing w:after="0"/>
              <w:rPr>
                <w:rFonts w:ascii="Arial" w:hAnsi="Arial" w:cs="Arial"/>
              </w:rPr>
            </w:pPr>
            <w:r w:rsidRPr="008E2D05">
              <w:rPr>
                <w:rFonts w:ascii="Arial" w:hAnsi="Arial" w:cs="Arial"/>
              </w:rPr>
              <w:t>Results from a systematic review approach are less likely to be affected by researcher bias as the search and selection process are predefined and only relevant and quality evidence</w:t>
            </w:r>
            <w:r w:rsidR="00346AC5">
              <w:rPr>
                <w:rFonts w:ascii="Arial" w:hAnsi="Arial" w:cs="Arial"/>
              </w:rPr>
              <w:t xml:space="preserve"> are</w:t>
            </w:r>
            <w:r w:rsidRPr="008E2D05">
              <w:rPr>
                <w:rFonts w:ascii="Arial" w:hAnsi="Arial" w:cs="Arial"/>
              </w:rPr>
              <w:t xml:space="preserve"> entered </w:t>
            </w:r>
            <w:r w:rsidRPr="009E3C67">
              <w:rPr>
                <w:rFonts w:ascii="Arial" w:hAnsi="Arial" w:cs="Arial"/>
              </w:rPr>
              <w:t>into the study</w:t>
            </w:r>
            <w:r w:rsidR="008A373F" w:rsidRPr="009E3C67">
              <w:rPr>
                <w:rFonts w:ascii="Arial" w:hAnsi="Arial" w:cs="Arial"/>
              </w:rPr>
              <w:t xml:space="preserve"> </w:t>
            </w:r>
            <w:r w:rsidR="000B7CE1" w:rsidRPr="009E3C67">
              <w:rPr>
                <w:rFonts w:ascii="Arial" w:hAnsi="Arial" w:cs="Arial"/>
              </w:rPr>
              <w:t>(Nair &amp; Borkar, 2025)</w:t>
            </w:r>
            <w:r w:rsidRPr="009E3C67">
              <w:rPr>
                <w:rFonts w:ascii="Arial" w:hAnsi="Arial" w:cs="Arial"/>
              </w:rPr>
              <w:t xml:space="preserve">. The approach is especially well suited for exploring patterns and trends for the impact of social isolation on </w:t>
            </w:r>
            <w:r w:rsidRPr="008E2D05">
              <w:rPr>
                <w:rFonts w:ascii="Arial" w:hAnsi="Arial" w:cs="Arial"/>
              </w:rPr>
              <w:t>senior adults.</w:t>
            </w:r>
          </w:p>
          <w:p w14:paraId="5DC46BF7" w14:textId="77777777" w:rsidR="00EB6F36" w:rsidRPr="00EB6F36" w:rsidRDefault="00EB6F36" w:rsidP="00367DB1">
            <w:pPr>
              <w:spacing w:after="0"/>
              <w:rPr>
                <w:rFonts w:ascii="Arial" w:hAnsi="Arial" w:cs="Arial"/>
              </w:rPr>
            </w:pPr>
          </w:p>
          <w:p w14:paraId="766CB3C2" w14:textId="24E786B8" w:rsidR="00EB6F36" w:rsidRPr="00EB6F36" w:rsidRDefault="00EB6F36" w:rsidP="00367DB1">
            <w:pPr>
              <w:spacing w:after="0"/>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497"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87" w:type="dxa"/>
            <w:vMerge w:val="restart"/>
          </w:tcPr>
          <w:p w14:paraId="7C994393" w14:textId="3207DEC7" w:rsidR="00B67824" w:rsidRPr="009E3C67" w:rsidRDefault="008E2D05" w:rsidP="00367DB1">
            <w:pPr>
              <w:pStyle w:val="Heading1"/>
              <w:spacing w:after="0"/>
              <w:rPr>
                <w:rFonts w:ascii="Arial" w:hAnsi="Arial" w:cs="Arial"/>
                <w:color w:val="auto"/>
              </w:rPr>
            </w:pPr>
            <w:r w:rsidRPr="009E3C67">
              <w:rPr>
                <w:rFonts w:ascii="Arial" w:hAnsi="Arial" w:cs="Arial"/>
                <w:color w:val="auto"/>
              </w:rPr>
              <w:t>Data Analysis Method</w:t>
            </w:r>
          </w:p>
          <w:p w14:paraId="365A7A1A" w14:textId="77777777" w:rsidR="0022145F" w:rsidRPr="009E3C67" w:rsidRDefault="0022145F" w:rsidP="0022145F"/>
          <w:p w14:paraId="1F726C21" w14:textId="7123D279" w:rsidR="004642F0" w:rsidRPr="009E3C67" w:rsidRDefault="0043683E" w:rsidP="00367DB1">
            <w:pPr>
              <w:spacing w:after="0"/>
              <w:rPr>
                <w:rFonts w:ascii="Arial" w:hAnsi="Arial" w:cs="Arial"/>
              </w:rPr>
            </w:pPr>
            <w:r>
              <w:rPr>
                <w:rFonts w:ascii="Arial" w:hAnsi="Arial" w:cs="Arial"/>
              </w:rPr>
              <w:t>Thematic</w:t>
            </w:r>
            <w:r w:rsidR="008E2D05" w:rsidRPr="009E3C67">
              <w:rPr>
                <w:rFonts w:ascii="Arial" w:hAnsi="Arial" w:cs="Arial"/>
              </w:rPr>
              <w:t xml:space="preserve"> analysis will be adopted to analyse the selected literature. Thematic analysis is a common qualitative analysis technique that can help the researcher identify patterns in a set of data, organise them and interpret them (Braun and Clarke, 202</w:t>
            </w:r>
            <w:r w:rsidR="00FE041A" w:rsidRPr="009E3C67">
              <w:rPr>
                <w:rFonts w:ascii="Arial" w:hAnsi="Arial" w:cs="Arial"/>
              </w:rPr>
              <w:t>5</w:t>
            </w:r>
            <w:r w:rsidR="008E2D05" w:rsidRPr="009E3C67">
              <w:rPr>
                <w:rFonts w:ascii="Arial" w:hAnsi="Arial" w:cs="Arial"/>
              </w:rPr>
              <w:t xml:space="preserve">). This is appropriate given the goals of finding ways to </w:t>
            </w:r>
            <w:proofErr w:type="spellStart"/>
            <w:r>
              <w:rPr>
                <w:rFonts w:ascii="Arial" w:hAnsi="Arial" w:cs="Arial"/>
              </w:rPr>
              <w:t>synthesise</w:t>
            </w:r>
            <w:proofErr w:type="spellEnd"/>
            <w:r w:rsidR="008E2D05" w:rsidRPr="009E3C67">
              <w:rPr>
                <w:rFonts w:ascii="Arial" w:hAnsi="Arial" w:cs="Arial"/>
              </w:rPr>
              <w:t xml:space="preserve"> results from the various studies and draw convergence themes about social isolation and health outcomes. </w:t>
            </w:r>
            <w:r w:rsidR="008E2D05" w:rsidRPr="009E3C67">
              <w:rPr>
                <w:rFonts w:ascii="Arial" w:hAnsi="Arial" w:cs="Arial"/>
              </w:rPr>
              <w:lastRenderedPageBreak/>
              <w:t>The analysis process will consist of reading the selected studies</w:t>
            </w:r>
            <w:r>
              <w:rPr>
                <w:rFonts w:ascii="Arial" w:hAnsi="Arial" w:cs="Arial"/>
              </w:rPr>
              <w:t>, identifying potentially relevant findings, coding (recurring) concepts, grouping codes and themes,</w:t>
            </w:r>
            <w:r w:rsidR="008E2D05" w:rsidRPr="009E3C67">
              <w:rPr>
                <w:rFonts w:ascii="Arial" w:hAnsi="Arial" w:cs="Arial"/>
              </w:rPr>
              <w:t xml:space="preserve"> and interpreting these themes in terms of the research aims (Braun and Clarke, 202</w:t>
            </w:r>
            <w:r w:rsidR="000B7CE1" w:rsidRPr="009E3C67">
              <w:rPr>
                <w:rFonts w:ascii="Arial" w:hAnsi="Arial" w:cs="Arial"/>
              </w:rPr>
              <w:t>5</w:t>
            </w:r>
            <w:r w:rsidR="008E2D05" w:rsidRPr="009E3C67">
              <w:rPr>
                <w:rFonts w:ascii="Arial" w:hAnsi="Arial" w:cs="Arial"/>
              </w:rPr>
              <w:t>). Items that are likely to be present</w:t>
            </w:r>
            <w:r>
              <w:rPr>
                <w:rFonts w:ascii="Arial" w:hAnsi="Arial" w:cs="Arial"/>
              </w:rPr>
              <w:t xml:space="preserve"> but not required include</w:t>
            </w:r>
            <w:r w:rsidR="008E2D05" w:rsidRPr="009E3C67">
              <w:rPr>
                <w:rFonts w:ascii="Arial" w:hAnsi="Arial" w:cs="Arial"/>
              </w:rPr>
              <w:t xml:space="preserve"> physical outcomes, mental outcomes, depression, sleep, physical activity, social support, socioeconomic</w:t>
            </w:r>
            <w:r>
              <w:rPr>
                <w:rFonts w:ascii="Arial" w:hAnsi="Arial" w:cs="Arial"/>
              </w:rPr>
              <w:t xml:space="preserve"> status, and </w:t>
            </w:r>
            <w:r w:rsidR="008E2D05" w:rsidRPr="009E3C67">
              <w:rPr>
                <w:rFonts w:ascii="Arial" w:hAnsi="Arial" w:cs="Arial"/>
              </w:rPr>
              <w:t xml:space="preserve">living arrangements. The thematic analysis approach will </w:t>
            </w:r>
            <w:r>
              <w:rPr>
                <w:rFonts w:ascii="Arial" w:hAnsi="Arial" w:cs="Arial"/>
              </w:rPr>
              <w:t xml:space="preserve">provide a clear understanding of the persistent situation of social isolation amongst </w:t>
            </w:r>
            <w:r w:rsidR="008E2D05" w:rsidRPr="009E3C67">
              <w:rPr>
                <w:rFonts w:ascii="Arial" w:hAnsi="Arial" w:cs="Arial"/>
              </w:rPr>
              <w:t>older adults in the UK.</w:t>
            </w:r>
          </w:p>
          <w:p w14:paraId="450F34BB" w14:textId="77777777" w:rsidR="0022145F" w:rsidRPr="009E3C67" w:rsidRDefault="0022145F" w:rsidP="00367DB1">
            <w:pPr>
              <w:spacing w:after="0"/>
              <w:rPr>
                <w:rFonts w:ascii="Arial" w:hAnsi="Arial" w:cs="Arial"/>
              </w:rPr>
            </w:pPr>
          </w:p>
          <w:p w14:paraId="4C454AE4" w14:textId="77777777" w:rsidR="0022145F" w:rsidRPr="009E3C67" w:rsidRDefault="0022145F" w:rsidP="00367DB1">
            <w:pPr>
              <w:spacing w:after="0"/>
              <w:rPr>
                <w:rFonts w:ascii="Arial" w:hAnsi="Arial" w:cs="Arial"/>
              </w:rPr>
            </w:pPr>
          </w:p>
          <w:p w14:paraId="03AADF4C" w14:textId="57F8333A" w:rsidR="00B67824" w:rsidRPr="009E3C67" w:rsidRDefault="008E2D05" w:rsidP="00367DB1">
            <w:pPr>
              <w:pStyle w:val="Heading1"/>
              <w:spacing w:after="0"/>
              <w:rPr>
                <w:rFonts w:ascii="Arial" w:hAnsi="Arial" w:cs="Arial"/>
                <w:color w:val="auto"/>
              </w:rPr>
            </w:pPr>
            <w:r w:rsidRPr="009E3C67">
              <w:rPr>
                <w:rFonts w:ascii="Arial" w:hAnsi="Arial" w:cs="Arial"/>
                <w:color w:val="auto"/>
              </w:rPr>
              <w:t>Ethical Considerations</w:t>
            </w:r>
          </w:p>
          <w:p w14:paraId="484076CD" w14:textId="77777777" w:rsidR="0022145F" w:rsidRPr="009E3C67" w:rsidRDefault="0022145F" w:rsidP="0022145F"/>
          <w:p w14:paraId="4D4507A7" w14:textId="36DAB73F" w:rsidR="00B67824" w:rsidRPr="009E3C67" w:rsidRDefault="00EB6F36" w:rsidP="00367DB1">
            <w:pPr>
              <w:spacing w:after="0"/>
              <w:rPr>
                <w:rFonts w:ascii="Arial" w:hAnsi="Arial" w:cs="Arial"/>
              </w:rPr>
            </w:pPr>
            <w:r w:rsidRPr="009E3C67">
              <w:rPr>
                <w:rFonts w:ascii="Arial" w:hAnsi="Arial" w:cs="Arial"/>
              </w:rPr>
              <w:t>Write about the Ethical considerations for your research project.</w:t>
            </w:r>
          </w:p>
        </w:tc>
      </w:tr>
      <w:tr w:rsidR="004642F0" w:rsidRPr="00EB6F36" w14:paraId="7D852EB3" w14:textId="77777777" w:rsidTr="007A5120">
        <w:trPr>
          <w:trHeight w:val="60"/>
          <w:jc w:val="center"/>
        </w:trPr>
        <w:tc>
          <w:tcPr>
            <w:tcW w:w="4530"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497"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87"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367DB1">
        <w:trPr>
          <w:trHeight w:val="204"/>
          <w:jc w:val="center"/>
        </w:trPr>
        <w:tc>
          <w:tcPr>
            <w:tcW w:w="4530"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497" w:type="dxa"/>
          </w:tcPr>
          <w:p w14:paraId="1F9B8F03" w14:textId="0C49608A" w:rsidR="00EB6F36" w:rsidRDefault="008E2D05" w:rsidP="00367DB1">
            <w:pPr>
              <w:pStyle w:val="Heading1"/>
              <w:spacing w:after="0"/>
              <w:rPr>
                <w:rFonts w:ascii="Arial" w:hAnsi="Arial" w:cs="Arial"/>
              </w:rPr>
            </w:pPr>
            <w:r w:rsidRPr="008E2D05">
              <w:rPr>
                <w:rFonts w:ascii="Arial" w:hAnsi="Arial" w:cs="Arial"/>
              </w:rPr>
              <w:t>Data Collection Method</w:t>
            </w:r>
          </w:p>
          <w:p w14:paraId="6D241DDC" w14:textId="77777777" w:rsidR="0022145F" w:rsidRPr="0022145F" w:rsidRDefault="0022145F" w:rsidP="0022145F"/>
          <w:p w14:paraId="51E8C11C" w14:textId="77777777" w:rsidR="008E2D05" w:rsidRPr="008E2D05" w:rsidRDefault="008E2D05" w:rsidP="00367DB1">
            <w:pPr>
              <w:spacing w:after="0"/>
              <w:rPr>
                <w:rFonts w:ascii="Arial" w:hAnsi="Arial" w:cs="Arial"/>
              </w:rPr>
            </w:pPr>
            <w:r w:rsidRPr="008E2D05">
              <w:rPr>
                <w:rFonts w:ascii="Arial" w:hAnsi="Arial" w:cs="Arial"/>
              </w:rPr>
              <w:t xml:space="preserve">Data will be collected through a systematic search of academic literature using electronic databases including </w:t>
            </w:r>
            <w:r w:rsidRPr="008E2D05">
              <w:rPr>
                <w:rFonts w:ascii="Arial" w:hAnsi="Arial" w:cs="Arial"/>
                <w:bCs/>
              </w:rPr>
              <w:t>Google Scholar</w:t>
            </w:r>
            <w:r w:rsidRPr="008E2D05">
              <w:rPr>
                <w:rFonts w:ascii="Arial" w:hAnsi="Arial" w:cs="Arial"/>
              </w:rPr>
              <w:t xml:space="preserve">, </w:t>
            </w:r>
            <w:r w:rsidRPr="008E2D05">
              <w:rPr>
                <w:rFonts w:ascii="Arial" w:hAnsi="Arial" w:cs="Arial"/>
                <w:bCs/>
              </w:rPr>
              <w:t>ProQuest</w:t>
            </w:r>
            <w:r w:rsidRPr="008E2D05">
              <w:rPr>
                <w:rFonts w:ascii="Arial" w:hAnsi="Arial" w:cs="Arial"/>
              </w:rPr>
              <w:t xml:space="preserve">, and the </w:t>
            </w:r>
            <w:r w:rsidRPr="008E2D05">
              <w:rPr>
                <w:rFonts w:ascii="Arial" w:hAnsi="Arial" w:cs="Arial"/>
                <w:bCs/>
              </w:rPr>
              <w:t>UWTSD Online Library</w:t>
            </w:r>
            <w:r w:rsidRPr="008E2D05">
              <w:rPr>
                <w:rFonts w:ascii="Arial" w:hAnsi="Arial" w:cs="Arial"/>
              </w:rPr>
              <w:t xml:space="preserve">. These databases provide access to </w:t>
            </w:r>
            <w:r w:rsidRPr="008E2D05">
              <w:rPr>
                <w:rFonts w:ascii="Arial" w:hAnsi="Arial" w:cs="Arial"/>
              </w:rPr>
              <w:lastRenderedPageBreak/>
              <w:t>peer-reviewed studies relevant to health and social care research.</w:t>
            </w:r>
          </w:p>
          <w:p w14:paraId="69453FC9" w14:textId="77777777" w:rsidR="008E2D05" w:rsidRPr="008E2D05" w:rsidRDefault="008E2D05" w:rsidP="00367DB1">
            <w:pPr>
              <w:spacing w:after="0"/>
              <w:rPr>
                <w:rFonts w:ascii="Arial" w:hAnsi="Arial" w:cs="Arial"/>
              </w:rPr>
            </w:pPr>
            <w:r w:rsidRPr="008E2D05">
              <w:rPr>
                <w:rFonts w:ascii="Arial" w:hAnsi="Arial" w:cs="Arial"/>
              </w:rPr>
              <w:t>Search terms will include:</w:t>
            </w:r>
          </w:p>
          <w:p w14:paraId="20AD0273" w14:textId="77777777" w:rsidR="008E2D05" w:rsidRPr="008E2D05" w:rsidRDefault="008E2D05" w:rsidP="00367DB1">
            <w:pPr>
              <w:numPr>
                <w:ilvl w:val="0"/>
                <w:numId w:val="8"/>
              </w:numPr>
              <w:spacing w:after="0"/>
              <w:rPr>
                <w:rFonts w:ascii="Arial" w:hAnsi="Arial" w:cs="Arial"/>
              </w:rPr>
            </w:pPr>
            <w:r w:rsidRPr="008E2D05">
              <w:rPr>
                <w:rFonts w:ascii="Arial" w:hAnsi="Arial" w:cs="Arial"/>
              </w:rPr>
              <w:t>Social isolation among older adults in the UK</w:t>
            </w:r>
          </w:p>
          <w:p w14:paraId="2843B5FE" w14:textId="77777777" w:rsidR="008E2D05" w:rsidRPr="008E2D05" w:rsidRDefault="008E2D05" w:rsidP="00367DB1">
            <w:pPr>
              <w:numPr>
                <w:ilvl w:val="0"/>
                <w:numId w:val="8"/>
              </w:numPr>
              <w:spacing w:after="0"/>
              <w:rPr>
                <w:rFonts w:ascii="Arial" w:hAnsi="Arial" w:cs="Arial"/>
              </w:rPr>
            </w:pPr>
            <w:r w:rsidRPr="008E2D05">
              <w:rPr>
                <w:rFonts w:ascii="Arial" w:hAnsi="Arial" w:cs="Arial"/>
              </w:rPr>
              <w:t>Loneliness and elderly health outcomes</w:t>
            </w:r>
          </w:p>
          <w:p w14:paraId="48A99E4D" w14:textId="4BCC5A3A" w:rsidR="008E2D05" w:rsidRPr="008E2D05" w:rsidRDefault="008E2D05" w:rsidP="00367DB1">
            <w:pPr>
              <w:numPr>
                <w:ilvl w:val="0"/>
                <w:numId w:val="8"/>
              </w:numPr>
              <w:spacing w:after="0"/>
              <w:rPr>
                <w:rFonts w:ascii="Arial" w:hAnsi="Arial" w:cs="Arial"/>
              </w:rPr>
            </w:pPr>
            <w:r w:rsidRPr="008E2D05">
              <w:rPr>
                <w:rFonts w:ascii="Arial" w:hAnsi="Arial" w:cs="Arial"/>
              </w:rPr>
              <w:t>Mental health effects of social isolation</w:t>
            </w:r>
            <w:r w:rsidR="00346AC5">
              <w:rPr>
                <w:rFonts w:ascii="Arial" w:hAnsi="Arial" w:cs="Arial"/>
              </w:rPr>
              <w:t xml:space="preserve"> </w:t>
            </w:r>
            <w:r w:rsidR="00346AC5" w:rsidRPr="00346AC5">
              <w:rPr>
                <w:rFonts w:ascii="Arial" w:hAnsi="Arial" w:cs="Arial"/>
              </w:rPr>
              <w:t>(WHO, 2021)</w:t>
            </w:r>
          </w:p>
          <w:p w14:paraId="2E2ABF53" w14:textId="77777777" w:rsidR="008E2D05" w:rsidRPr="008E2D05" w:rsidRDefault="008E2D05" w:rsidP="00367DB1">
            <w:pPr>
              <w:numPr>
                <w:ilvl w:val="0"/>
                <w:numId w:val="8"/>
              </w:numPr>
              <w:spacing w:after="0"/>
              <w:rPr>
                <w:rFonts w:ascii="Arial" w:hAnsi="Arial" w:cs="Arial"/>
              </w:rPr>
            </w:pPr>
            <w:r w:rsidRPr="008E2D05">
              <w:rPr>
                <w:rFonts w:ascii="Arial" w:hAnsi="Arial" w:cs="Arial"/>
              </w:rPr>
              <w:t>Physical health consequences of loneliness</w:t>
            </w:r>
          </w:p>
          <w:p w14:paraId="38FA9457" w14:textId="77777777" w:rsidR="008E2D05" w:rsidRPr="008E2D05" w:rsidRDefault="008E2D05" w:rsidP="00367DB1">
            <w:pPr>
              <w:numPr>
                <w:ilvl w:val="0"/>
                <w:numId w:val="8"/>
              </w:numPr>
              <w:spacing w:after="0"/>
              <w:rPr>
                <w:rFonts w:ascii="Arial" w:hAnsi="Arial" w:cs="Arial"/>
              </w:rPr>
            </w:pPr>
            <w:r w:rsidRPr="008E2D05">
              <w:rPr>
                <w:rFonts w:ascii="Arial" w:hAnsi="Arial" w:cs="Arial"/>
              </w:rPr>
              <w:t>Older adults aged 65+ in the United Kingdom</w:t>
            </w:r>
          </w:p>
          <w:p w14:paraId="0019A87F" w14:textId="77777777" w:rsidR="008E2D05" w:rsidRPr="008E2D05" w:rsidRDefault="008E2D05" w:rsidP="00367DB1">
            <w:pPr>
              <w:spacing w:after="0"/>
              <w:rPr>
                <w:rFonts w:ascii="Arial" w:hAnsi="Arial" w:cs="Arial"/>
                <w:b/>
                <w:bCs/>
              </w:rPr>
            </w:pPr>
            <w:r w:rsidRPr="008E2D05">
              <w:rPr>
                <w:rFonts w:ascii="Arial" w:hAnsi="Arial" w:cs="Arial"/>
                <w:b/>
                <w:bCs/>
              </w:rPr>
              <w:t>Inclusion Criteria</w:t>
            </w:r>
          </w:p>
          <w:p w14:paraId="7361D046" w14:textId="77777777" w:rsidR="008E2D05" w:rsidRPr="008E2D05" w:rsidRDefault="008E2D05" w:rsidP="00367DB1">
            <w:pPr>
              <w:numPr>
                <w:ilvl w:val="0"/>
                <w:numId w:val="9"/>
              </w:numPr>
              <w:spacing w:after="0"/>
              <w:rPr>
                <w:rFonts w:ascii="Arial" w:hAnsi="Arial" w:cs="Arial"/>
              </w:rPr>
            </w:pPr>
            <w:r w:rsidRPr="008E2D05">
              <w:rPr>
                <w:rFonts w:ascii="Arial" w:hAnsi="Arial" w:cs="Arial"/>
              </w:rPr>
              <w:t>Peer-reviewed journal articles</w:t>
            </w:r>
          </w:p>
          <w:p w14:paraId="0A7FF9DB" w14:textId="77777777" w:rsidR="008E2D05" w:rsidRPr="008E2D05" w:rsidRDefault="008E2D05" w:rsidP="00367DB1">
            <w:pPr>
              <w:numPr>
                <w:ilvl w:val="0"/>
                <w:numId w:val="9"/>
              </w:numPr>
              <w:spacing w:after="0"/>
              <w:rPr>
                <w:rFonts w:ascii="Arial" w:hAnsi="Arial" w:cs="Arial"/>
              </w:rPr>
            </w:pPr>
            <w:r w:rsidRPr="008E2D05">
              <w:rPr>
                <w:rFonts w:ascii="Arial" w:hAnsi="Arial" w:cs="Arial"/>
              </w:rPr>
              <w:t>Published between 2015 and 2026</w:t>
            </w:r>
          </w:p>
          <w:p w14:paraId="6AA10160" w14:textId="77777777" w:rsidR="008E2D05" w:rsidRPr="008E2D05" w:rsidRDefault="008E2D05" w:rsidP="00367DB1">
            <w:pPr>
              <w:numPr>
                <w:ilvl w:val="0"/>
                <w:numId w:val="9"/>
              </w:numPr>
              <w:spacing w:after="0"/>
              <w:rPr>
                <w:rFonts w:ascii="Arial" w:hAnsi="Arial" w:cs="Arial"/>
              </w:rPr>
            </w:pPr>
            <w:r w:rsidRPr="008E2D05">
              <w:rPr>
                <w:rFonts w:ascii="Arial" w:hAnsi="Arial" w:cs="Arial"/>
              </w:rPr>
              <w:t>Written in English</w:t>
            </w:r>
          </w:p>
          <w:p w14:paraId="3DBEB045" w14:textId="77777777" w:rsidR="008E2D05" w:rsidRPr="008E2D05" w:rsidRDefault="008E2D05" w:rsidP="00367DB1">
            <w:pPr>
              <w:numPr>
                <w:ilvl w:val="0"/>
                <w:numId w:val="9"/>
              </w:numPr>
              <w:spacing w:after="0"/>
              <w:rPr>
                <w:rFonts w:ascii="Arial" w:hAnsi="Arial" w:cs="Arial"/>
              </w:rPr>
            </w:pPr>
            <w:r w:rsidRPr="008E2D05">
              <w:rPr>
                <w:rFonts w:ascii="Arial" w:hAnsi="Arial" w:cs="Arial"/>
              </w:rPr>
              <w:t>Focused on adults aged 65 years and above</w:t>
            </w:r>
          </w:p>
          <w:p w14:paraId="577D0C39" w14:textId="77777777" w:rsidR="008E2D05" w:rsidRPr="008E2D05" w:rsidRDefault="008E2D05" w:rsidP="00367DB1">
            <w:pPr>
              <w:numPr>
                <w:ilvl w:val="0"/>
                <w:numId w:val="9"/>
              </w:numPr>
              <w:spacing w:after="0"/>
              <w:rPr>
                <w:rFonts w:ascii="Arial" w:hAnsi="Arial" w:cs="Arial"/>
              </w:rPr>
            </w:pPr>
            <w:r w:rsidRPr="008E2D05">
              <w:rPr>
                <w:rFonts w:ascii="Arial" w:hAnsi="Arial" w:cs="Arial"/>
              </w:rPr>
              <w:t>Conducted within the United Kingdom</w:t>
            </w:r>
          </w:p>
          <w:p w14:paraId="734AD9A5" w14:textId="77777777" w:rsidR="008E2D05" w:rsidRPr="008E2D05" w:rsidRDefault="008E2D05" w:rsidP="00367DB1">
            <w:pPr>
              <w:spacing w:after="0"/>
              <w:rPr>
                <w:rFonts w:ascii="Arial" w:hAnsi="Arial" w:cs="Arial"/>
                <w:b/>
                <w:bCs/>
              </w:rPr>
            </w:pPr>
            <w:r w:rsidRPr="008E2D05">
              <w:rPr>
                <w:rFonts w:ascii="Arial" w:hAnsi="Arial" w:cs="Arial"/>
                <w:b/>
                <w:bCs/>
              </w:rPr>
              <w:t>Exclusion Criteria</w:t>
            </w:r>
          </w:p>
          <w:p w14:paraId="198C8136" w14:textId="77777777" w:rsidR="008E2D05" w:rsidRPr="008E2D05" w:rsidRDefault="008E2D05" w:rsidP="00367DB1">
            <w:pPr>
              <w:numPr>
                <w:ilvl w:val="0"/>
                <w:numId w:val="10"/>
              </w:numPr>
              <w:spacing w:after="0"/>
              <w:rPr>
                <w:rFonts w:ascii="Arial" w:hAnsi="Arial" w:cs="Arial"/>
              </w:rPr>
            </w:pPr>
            <w:r w:rsidRPr="008E2D05">
              <w:rPr>
                <w:rFonts w:ascii="Arial" w:hAnsi="Arial" w:cs="Arial"/>
              </w:rPr>
              <w:t>Studies published before 2015</w:t>
            </w:r>
          </w:p>
          <w:p w14:paraId="3E45A83E" w14:textId="77777777" w:rsidR="008E2D05" w:rsidRPr="008E2D05" w:rsidRDefault="008E2D05" w:rsidP="00367DB1">
            <w:pPr>
              <w:numPr>
                <w:ilvl w:val="0"/>
                <w:numId w:val="10"/>
              </w:numPr>
              <w:spacing w:after="0"/>
              <w:rPr>
                <w:rFonts w:ascii="Arial" w:hAnsi="Arial" w:cs="Arial"/>
              </w:rPr>
            </w:pPr>
            <w:r w:rsidRPr="008E2D05">
              <w:rPr>
                <w:rFonts w:ascii="Arial" w:hAnsi="Arial" w:cs="Arial"/>
              </w:rPr>
              <w:t>Participants younger than 65 years</w:t>
            </w:r>
          </w:p>
          <w:p w14:paraId="5E4641EA" w14:textId="77777777" w:rsidR="0001504F" w:rsidRDefault="008E2D05" w:rsidP="00367DB1">
            <w:pPr>
              <w:numPr>
                <w:ilvl w:val="0"/>
                <w:numId w:val="10"/>
              </w:numPr>
              <w:spacing w:after="0"/>
              <w:rPr>
                <w:rFonts w:ascii="Arial" w:hAnsi="Arial" w:cs="Arial"/>
              </w:rPr>
            </w:pPr>
            <w:r w:rsidRPr="008E2D05">
              <w:rPr>
                <w:rFonts w:ascii="Arial" w:hAnsi="Arial" w:cs="Arial"/>
              </w:rPr>
              <w:t>Research conducted outside the UK</w:t>
            </w:r>
          </w:p>
          <w:p w14:paraId="2DCA1991" w14:textId="4421C318" w:rsidR="00EB6F36" w:rsidRPr="0001504F" w:rsidRDefault="008E2D05" w:rsidP="00367DB1">
            <w:pPr>
              <w:numPr>
                <w:ilvl w:val="0"/>
                <w:numId w:val="10"/>
              </w:numPr>
              <w:spacing w:after="0"/>
              <w:rPr>
                <w:rFonts w:ascii="Arial" w:hAnsi="Arial" w:cs="Arial"/>
              </w:rPr>
            </w:pPr>
            <w:r w:rsidRPr="0001504F">
              <w:rPr>
                <w:rFonts w:ascii="Arial" w:hAnsi="Arial" w:cs="Arial"/>
              </w:rPr>
              <w:t>Non-peer-reviewed publications</w:t>
            </w:r>
          </w:p>
          <w:p w14:paraId="6C24B37D" w14:textId="77777777" w:rsidR="00EB6F36" w:rsidRPr="00EB6F36" w:rsidRDefault="00EB6F36" w:rsidP="00367DB1">
            <w:pPr>
              <w:spacing w:after="0"/>
              <w:rPr>
                <w:rFonts w:ascii="Arial" w:hAnsi="Arial" w:cs="Arial"/>
                <w:noProof/>
              </w:rPr>
            </w:pPr>
          </w:p>
        </w:tc>
        <w:tc>
          <w:tcPr>
            <w:tcW w:w="360" w:type="dxa"/>
            <w:vMerge/>
          </w:tcPr>
          <w:p w14:paraId="5706C323" w14:textId="77777777" w:rsidR="004642F0" w:rsidRPr="00EB6F36" w:rsidRDefault="004642F0" w:rsidP="00B67824">
            <w:pPr>
              <w:rPr>
                <w:rFonts w:ascii="Arial" w:hAnsi="Arial" w:cs="Arial"/>
                <w:noProof/>
              </w:rPr>
            </w:pPr>
          </w:p>
        </w:tc>
        <w:tc>
          <w:tcPr>
            <w:tcW w:w="4587"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59E1137" w14:textId="77777777" w:rsidR="0001504F" w:rsidRDefault="0001504F">
      <w:pPr>
        <w:rPr>
          <w:rFonts w:ascii="Arial" w:hAnsi="Arial" w:cs="Arial"/>
          <w:b/>
          <w:bCs/>
          <w:sz w:val="28"/>
          <w:szCs w:val="28"/>
        </w:rPr>
      </w:pPr>
      <w:r>
        <w:rPr>
          <w:rFonts w:ascii="Arial" w:hAnsi="Arial" w:cs="Arial"/>
          <w:b/>
          <w:bCs/>
          <w:sz w:val="28"/>
          <w:szCs w:val="28"/>
        </w:rPr>
        <w:br w:type="page"/>
      </w:r>
    </w:p>
    <w:p w14:paraId="489BBCE1" w14:textId="1BC09197" w:rsidR="00ED1049" w:rsidRPr="0043683E" w:rsidRDefault="00ED1049" w:rsidP="008908B9">
      <w:pPr>
        <w:rPr>
          <w:rFonts w:ascii="Arial" w:hAnsi="Arial" w:cs="Arial"/>
          <w:b/>
          <w:bCs/>
          <w:sz w:val="28"/>
          <w:szCs w:val="28"/>
        </w:rPr>
      </w:pPr>
      <w:r w:rsidRPr="0043683E">
        <w:rPr>
          <w:rFonts w:ascii="Arial" w:hAnsi="Arial" w:cs="Arial"/>
          <w:b/>
          <w:bCs/>
          <w:sz w:val="28"/>
          <w:szCs w:val="28"/>
        </w:rPr>
        <w:lastRenderedPageBreak/>
        <w:t>References</w:t>
      </w:r>
    </w:p>
    <w:p w14:paraId="66BC1A23" w14:textId="77777777" w:rsidR="0043683E" w:rsidRPr="0043683E" w:rsidRDefault="0043683E" w:rsidP="0043683E">
      <w:pPr>
        <w:rPr>
          <w:rFonts w:ascii="Arial" w:hAnsi="Arial" w:cs="Arial"/>
          <w:sz w:val="24"/>
          <w:szCs w:val="24"/>
          <w:lang w:val="en-GB"/>
        </w:rPr>
      </w:pPr>
      <w:r w:rsidRPr="0043683E">
        <w:rPr>
          <w:rFonts w:ascii="Arial" w:hAnsi="Arial" w:cs="Arial"/>
          <w:sz w:val="24"/>
          <w:szCs w:val="24"/>
          <w:lang w:val="en-GB"/>
        </w:rPr>
        <w:t>Braun, V. and Clarke, V. (2022) ‘Toward good practice in thematic analysis: Avoiding common problems and be(com)</w:t>
      </w:r>
      <w:proofErr w:type="spellStart"/>
      <w:r w:rsidRPr="0043683E">
        <w:rPr>
          <w:rFonts w:ascii="Arial" w:hAnsi="Arial" w:cs="Arial"/>
          <w:sz w:val="24"/>
          <w:szCs w:val="24"/>
          <w:lang w:val="en-GB"/>
        </w:rPr>
        <w:t>ing</w:t>
      </w:r>
      <w:proofErr w:type="spellEnd"/>
      <w:r w:rsidRPr="0043683E">
        <w:rPr>
          <w:rFonts w:ascii="Arial" w:hAnsi="Arial" w:cs="Arial"/>
          <w:sz w:val="24"/>
          <w:szCs w:val="24"/>
          <w:lang w:val="en-GB"/>
        </w:rPr>
        <w:t xml:space="preserve"> </w:t>
      </w:r>
      <w:proofErr w:type="spellStart"/>
      <w:r w:rsidRPr="0043683E">
        <w:rPr>
          <w:rFonts w:ascii="Arial" w:hAnsi="Arial" w:cs="Arial"/>
          <w:sz w:val="24"/>
          <w:szCs w:val="24"/>
          <w:lang w:val="en-GB"/>
        </w:rPr>
        <w:t>a</w:t>
      </w:r>
      <w:r w:rsidRPr="0043683E">
        <w:rPr>
          <w:rFonts w:ascii="Arial" w:hAnsi="Arial" w:cs="Arial"/>
          <w:i/>
          <w:iCs/>
          <w:sz w:val="24"/>
          <w:szCs w:val="24"/>
          <w:lang w:val="en-GB"/>
        </w:rPr>
        <w:t>knowing</w:t>
      </w:r>
      <w:r w:rsidRPr="0043683E">
        <w:rPr>
          <w:rFonts w:ascii="Arial" w:hAnsi="Arial" w:cs="Arial"/>
          <w:sz w:val="24"/>
          <w:szCs w:val="24"/>
          <w:lang w:val="en-GB"/>
        </w:rPr>
        <w:t>researcher</w:t>
      </w:r>
      <w:proofErr w:type="spellEnd"/>
      <w:r w:rsidRPr="0043683E">
        <w:rPr>
          <w:rFonts w:ascii="Arial" w:hAnsi="Arial" w:cs="Arial"/>
          <w:sz w:val="24"/>
          <w:szCs w:val="24"/>
          <w:lang w:val="en-GB"/>
        </w:rPr>
        <w:t xml:space="preserve">’, </w:t>
      </w:r>
      <w:r w:rsidRPr="0043683E">
        <w:rPr>
          <w:rFonts w:ascii="Arial" w:hAnsi="Arial" w:cs="Arial"/>
          <w:i/>
          <w:iCs/>
          <w:sz w:val="24"/>
          <w:szCs w:val="24"/>
          <w:lang w:val="en-GB"/>
        </w:rPr>
        <w:t>International Journal of Transgender Health</w:t>
      </w:r>
      <w:r w:rsidRPr="0043683E">
        <w:rPr>
          <w:rFonts w:ascii="Arial" w:hAnsi="Arial" w:cs="Arial"/>
          <w:sz w:val="24"/>
          <w:szCs w:val="24"/>
          <w:lang w:val="en-GB"/>
        </w:rPr>
        <w:t xml:space="preserve">, 24(1), pp. 1–6. doi:10.1080/26895269.2022.2129597. </w:t>
      </w:r>
    </w:p>
    <w:p w14:paraId="40CD67E7" w14:textId="77777777" w:rsidR="0043683E" w:rsidRPr="0043683E" w:rsidRDefault="0043683E" w:rsidP="008A373F">
      <w:pPr>
        <w:ind w:left="720" w:hanging="720"/>
        <w:rPr>
          <w:rFonts w:ascii="Arial" w:hAnsi="Arial" w:cs="Arial"/>
          <w:sz w:val="24"/>
          <w:szCs w:val="24"/>
          <w:lang w:val="en-GB"/>
        </w:rPr>
      </w:pPr>
    </w:p>
    <w:p w14:paraId="4FB311FA" w14:textId="77777777" w:rsidR="0043683E" w:rsidRPr="0043683E" w:rsidRDefault="0043683E" w:rsidP="0043683E">
      <w:pPr>
        <w:ind w:left="720" w:hanging="720"/>
        <w:rPr>
          <w:rFonts w:ascii="Arial" w:hAnsi="Arial" w:cs="Arial"/>
          <w:sz w:val="24"/>
          <w:szCs w:val="24"/>
          <w:lang w:val="en-GB"/>
        </w:rPr>
      </w:pPr>
      <w:r w:rsidRPr="0043683E">
        <w:rPr>
          <w:rFonts w:ascii="Arial" w:hAnsi="Arial" w:cs="Arial"/>
          <w:sz w:val="24"/>
          <w:szCs w:val="24"/>
          <w:lang w:val="en-GB"/>
        </w:rPr>
        <w:t xml:space="preserve">GOV.UK (2023) </w:t>
      </w:r>
      <w:r w:rsidRPr="0043683E">
        <w:rPr>
          <w:rFonts w:ascii="Arial" w:hAnsi="Arial" w:cs="Arial"/>
          <w:i/>
          <w:iCs/>
          <w:sz w:val="24"/>
          <w:szCs w:val="24"/>
          <w:lang w:val="en-GB"/>
        </w:rPr>
        <w:t>Tackling loneliness annual report March 2023: The fourth year - GOV.UK</w:t>
      </w:r>
      <w:r w:rsidRPr="0043683E">
        <w:rPr>
          <w:rFonts w:ascii="Arial" w:hAnsi="Arial" w:cs="Arial"/>
          <w:sz w:val="24"/>
          <w:szCs w:val="24"/>
          <w:lang w:val="en-GB"/>
        </w:rPr>
        <w:t xml:space="preserve">. Available at: </w:t>
      </w:r>
    </w:p>
    <w:p w14:paraId="23C595F0" w14:textId="77777777" w:rsidR="0043683E" w:rsidRPr="0043683E" w:rsidRDefault="0043683E" w:rsidP="0043683E">
      <w:pPr>
        <w:rPr>
          <w:rFonts w:ascii="Arial" w:hAnsi="Arial" w:cs="Arial"/>
          <w:sz w:val="24"/>
          <w:szCs w:val="24"/>
          <w:lang w:val="en-GB"/>
        </w:rPr>
      </w:pPr>
      <w:r w:rsidRPr="0043683E">
        <w:rPr>
          <w:rFonts w:ascii="Arial" w:hAnsi="Arial" w:cs="Arial"/>
          <w:sz w:val="24"/>
          <w:szCs w:val="24"/>
          <w:lang w:val="en-GB"/>
        </w:rPr>
        <w:t xml:space="preserve">https://www.gov.uk/government/publications/loneliness-annual-report-the-fourth-year/tackling-loneliness-annual-report-march-2023-the-fourth-year (Accessed: 30 June 2026). </w:t>
      </w:r>
    </w:p>
    <w:p w14:paraId="0B3D74B6" w14:textId="77777777" w:rsidR="0043683E" w:rsidRPr="0043683E" w:rsidRDefault="0043683E" w:rsidP="008A373F">
      <w:pPr>
        <w:ind w:left="720" w:hanging="720"/>
        <w:rPr>
          <w:rFonts w:ascii="Arial" w:hAnsi="Arial" w:cs="Arial"/>
          <w:sz w:val="24"/>
          <w:szCs w:val="24"/>
          <w:lang w:val="en-GB"/>
        </w:rPr>
      </w:pPr>
    </w:p>
    <w:p w14:paraId="69C27BE6" w14:textId="22EB8802" w:rsidR="000B7CE1" w:rsidRPr="0043683E" w:rsidRDefault="008A373F" w:rsidP="008A373F">
      <w:pPr>
        <w:ind w:left="720" w:hanging="720"/>
        <w:rPr>
          <w:rFonts w:ascii="Arial" w:hAnsi="Arial" w:cs="Arial"/>
          <w:i/>
          <w:iCs/>
          <w:sz w:val="24"/>
          <w:szCs w:val="24"/>
          <w:lang w:val="en-GB"/>
        </w:rPr>
      </w:pPr>
      <w:r w:rsidRPr="0043683E">
        <w:rPr>
          <w:rFonts w:ascii="Arial" w:hAnsi="Arial" w:cs="Arial"/>
          <w:sz w:val="24"/>
          <w:szCs w:val="24"/>
          <w:lang w:val="en-GB"/>
        </w:rPr>
        <w:t xml:space="preserve">Nair, A.S. and Borkar, N.K. (2025) ‘Various biases in systematic review and meta-analysis and their assessment’, </w:t>
      </w:r>
      <w:r w:rsidRPr="0043683E">
        <w:rPr>
          <w:rFonts w:ascii="Arial" w:hAnsi="Arial" w:cs="Arial"/>
          <w:i/>
          <w:iCs/>
          <w:sz w:val="24"/>
          <w:szCs w:val="24"/>
          <w:lang w:val="en-GB"/>
        </w:rPr>
        <w:t xml:space="preserve">Indian Journal of </w:t>
      </w:r>
    </w:p>
    <w:p w14:paraId="3B0ECBA5" w14:textId="3B488FD4" w:rsidR="008A373F" w:rsidRPr="0043683E" w:rsidRDefault="008A373F" w:rsidP="008A373F">
      <w:pPr>
        <w:ind w:left="720" w:hanging="720"/>
        <w:rPr>
          <w:rFonts w:ascii="Arial" w:hAnsi="Arial" w:cs="Arial"/>
          <w:sz w:val="24"/>
          <w:szCs w:val="24"/>
          <w:lang w:val="en-GB"/>
        </w:rPr>
      </w:pPr>
      <w:r w:rsidRPr="0043683E">
        <w:rPr>
          <w:rFonts w:ascii="Arial" w:hAnsi="Arial" w:cs="Arial"/>
          <w:i/>
          <w:iCs/>
          <w:sz w:val="24"/>
          <w:szCs w:val="24"/>
          <w:lang w:val="en-GB"/>
        </w:rPr>
        <w:t>Anaesthesia</w:t>
      </w:r>
      <w:r w:rsidRPr="0043683E">
        <w:rPr>
          <w:rFonts w:ascii="Arial" w:hAnsi="Arial" w:cs="Arial"/>
          <w:sz w:val="24"/>
          <w:szCs w:val="24"/>
          <w:lang w:val="en-GB"/>
        </w:rPr>
        <w:t xml:space="preserve">, 69(1), pp. 138–142. doi:10.4103/ija.ija_1212_24. </w:t>
      </w:r>
    </w:p>
    <w:p w14:paraId="270C4250" w14:textId="77777777" w:rsidR="003961F3" w:rsidRPr="0043683E" w:rsidRDefault="003961F3" w:rsidP="0043683E">
      <w:pPr>
        <w:rPr>
          <w:rFonts w:ascii="Arial" w:hAnsi="Arial" w:cs="Arial"/>
          <w:sz w:val="24"/>
          <w:szCs w:val="24"/>
        </w:rPr>
      </w:pPr>
    </w:p>
    <w:p w14:paraId="4A7E15BA" w14:textId="77777777" w:rsidR="00FE041A" w:rsidRPr="0043683E" w:rsidRDefault="00FE041A" w:rsidP="00FE041A">
      <w:pPr>
        <w:ind w:left="720" w:hanging="720"/>
        <w:rPr>
          <w:rFonts w:ascii="Arial" w:hAnsi="Arial" w:cs="Arial"/>
          <w:sz w:val="24"/>
          <w:szCs w:val="24"/>
          <w:lang w:val="en-GB"/>
        </w:rPr>
      </w:pPr>
      <w:r w:rsidRPr="0043683E">
        <w:rPr>
          <w:rFonts w:ascii="Arial" w:hAnsi="Arial" w:cs="Arial"/>
          <w:sz w:val="24"/>
          <w:szCs w:val="24"/>
          <w:lang w:val="en-GB"/>
        </w:rPr>
        <w:t xml:space="preserve">Snyder, H. (2019) ‘Literature review as a research methodology: An overview and guidelines’, </w:t>
      </w:r>
      <w:r w:rsidRPr="0043683E">
        <w:rPr>
          <w:rFonts w:ascii="Arial" w:hAnsi="Arial" w:cs="Arial"/>
          <w:i/>
          <w:iCs/>
          <w:sz w:val="24"/>
          <w:szCs w:val="24"/>
          <w:lang w:val="en-GB"/>
        </w:rPr>
        <w:t>Journal of Business Research</w:t>
      </w:r>
      <w:r w:rsidRPr="0043683E">
        <w:rPr>
          <w:rFonts w:ascii="Arial" w:hAnsi="Arial" w:cs="Arial"/>
          <w:sz w:val="24"/>
          <w:szCs w:val="24"/>
          <w:lang w:val="en-GB"/>
        </w:rPr>
        <w:t xml:space="preserve">, 104, pp. </w:t>
      </w:r>
    </w:p>
    <w:p w14:paraId="14C3F5C9" w14:textId="79E7BE57" w:rsidR="00FE041A" w:rsidRPr="0043683E" w:rsidRDefault="00FE041A" w:rsidP="00FE041A">
      <w:pPr>
        <w:ind w:left="720" w:hanging="720"/>
        <w:rPr>
          <w:rFonts w:ascii="Arial" w:hAnsi="Arial" w:cs="Arial"/>
          <w:sz w:val="24"/>
          <w:szCs w:val="24"/>
          <w:lang w:val="en-GB"/>
        </w:rPr>
      </w:pPr>
      <w:r w:rsidRPr="0043683E">
        <w:rPr>
          <w:rFonts w:ascii="Arial" w:hAnsi="Arial" w:cs="Arial"/>
          <w:sz w:val="24"/>
          <w:szCs w:val="24"/>
          <w:lang w:val="en-GB"/>
        </w:rPr>
        <w:t xml:space="preserve">333–339. doi:10.1016/j.jbusres.2019.07.039. </w:t>
      </w:r>
    </w:p>
    <w:p w14:paraId="6BAC1FE2" w14:textId="77777777" w:rsidR="00FE041A" w:rsidRPr="0043683E" w:rsidRDefault="00FE041A" w:rsidP="0001504F">
      <w:pPr>
        <w:ind w:left="720" w:hanging="720"/>
        <w:rPr>
          <w:rFonts w:ascii="Arial" w:hAnsi="Arial" w:cs="Arial"/>
          <w:sz w:val="24"/>
          <w:szCs w:val="24"/>
        </w:rPr>
      </w:pPr>
    </w:p>
    <w:p w14:paraId="1F7E6CB0" w14:textId="0FCCF11E" w:rsidR="00346AC5" w:rsidRPr="0043683E" w:rsidRDefault="00346AC5" w:rsidP="00346AC5">
      <w:pPr>
        <w:ind w:left="720" w:hanging="720"/>
        <w:rPr>
          <w:rFonts w:ascii="Arial" w:hAnsi="Arial" w:cs="Arial"/>
          <w:sz w:val="24"/>
          <w:szCs w:val="24"/>
          <w:lang w:val="en-GB"/>
        </w:rPr>
      </w:pPr>
      <w:r w:rsidRPr="0043683E">
        <w:rPr>
          <w:rFonts w:ascii="Arial" w:hAnsi="Arial" w:cs="Arial"/>
          <w:sz w:val="24"/>
          <w:szCs w:val="24"/>
          <w:lang w:val="en-GB"/>
        </w:rPr>
        <w:t xml:space="preserve">WHO </w:t>
      </w:r>
      <w:r w:rsidRPr="0043683E">
        <w:rPr>
          <w:rFonts w:ascii="Arial" w:hAnsi="Arial" w:cs="Arial"/>
          <w:sz w:val="24"/>
          <w:szCs w:val="24"/>
          <w:lang w:val="en-GB"/>
        </w:rPr>
        <w:t>(</w:t>
      </w:r>
      <w:r w:rsidRPr="0043683E">
        <w:rPr>
          <w:rFonts w:ascii="Arial" w:hAnsi="Arial" w:cs="Arial"/>
          <w:sz w:val="24"/>
          <w:szCs w:val="24"/>
          <w:lang w:val="en-GB"/>
        </w:rPr>
        <w:t>2021</w:t>
      </w:r>
      <w:r w:rsidRPr="0043683E">
        <w:rPr>
          <w:rFonts w:ascii="Arial" w:hAnsi="Arial" w:cs="Arial"/>
          <w:sz w:val="24"/>
          <w:szCs w:val="24"/>
          <w:lang w:val="en-GB"/>
        </w:rPr>
        <w:t xml:space="preserve">) </w:t>
      </w:r>
      <w:r w:rsidRPr="0043683E">
        <w:rPr>
          <w:rFonts w:ascii="Arial" w:hAnsi="Arial" w:cs="Arial"/>
          <w:i/>
          <w:iCs/>
          <w:sz w:val="24"/>
          <w:szCs w:val="24"/>
          <w:lang w:val="en-GB"/>
        </w:rPr>
        <w:t>Social isolation and loneliness among older people: Advocacy brief</w:t>
      </w:r>
      <w:r w:rsidRPr="0043683E">
        <w:rPr>
          <w:rFonts w:ascii="Arial" w:hAnsi="Arial" w:cs="Arial"/>
          <w:sz w:val="24"/>
          <w:szCs w:val="24"/>
          <w:lang w:val="en-GB"/>
        </w:rPr>
        <w:t xml:space="preserve">. Available at: https://www.who.int/publications/i/item/9789240030749 (Accessed: </w:t>
      </w:r>
      <w:r w:rsidRPr="0043683E">
        <w:rPr>
          <w:rFonts w:ascii="Arial" w:hAnsi="Arial" w:cs="Arial"/>
          <w:sz w:val="24"/>
          <w:szCs w:val="24"/>
          <w:lang w:val="en-GB"/>
        </w:rPr>
        <w:t>30</w:t>
      </w:r>
      <w:r w:rsidRPr="0043683E">
        <w:rPr>
          <w:rFonts w:ascii="Arial" w:hAnsi="Arial" w:cs="Arial"/>
          <w:sz w:val="24"/>
          <w:szCs w:val="24"/>
          <w:lang w:val="en-GB"/>
        </w:rPr>
        <w:t xml:space="preserve"> Ju</w:t>
      </w:r>
      <w:r w:rsidRPr="0043683E">
        <w:rPr>
          <w:rFonts w:ascii="Arial" w:hAnsi="Arial" w:cs="Arial"/>
          <w:sz w:val="24"/>
          <w:szCs w:val="24"/>
          <w:lang w:val="en-GB"/>
        </w:rPr>
        <w:t xml:space="preserve">ne </w:t>
      </w:r>
      <w:r w:rsidRPr="0043683E">
        <w:rPr>
          <w:rFonts w:ascii="Arial" w:hAnsi="Arial" w:cs="Arial"/>
          <w:sz w:val="24"/>
          <w:szCs w:val="24"/>
          <w:lang w:val="en-GB"/>
        </w:rPr>
        <w:t xml:space="preserve">2026). </w:t>
      </w:r>
    </w:p>
    <w:p w14:paraId="41EFB069" w14:textId="77777777" w:rsidR="00346AC5" w:rsidRPr="00346AC5" w:rsidRDefault="00346AC5" w:rsidP="0001504F">
      <w:pPr>
        <w:ind w:left="720" w:hanging="720"/>
        <w:rPr>
          <w:rFonts w:ascii="Arial" w:hAnsi="Arial" w:cs="Arial"/>
          <w:color w:val="EE0000"/>
          <w:sz w:val="24"/>
          <w:szCs w:val="24"/>
        </w:rPr>
      </w:pPr>
    </w:p>
    <w:sectPr w:rsidR="00346AC5" w:rsidRPr="00346AC5" w:rsidSect="00C46111">
      <w:headerReference w:type="default" r:id="rId16"/>
      <w:headerReference w:type="first" r:id="rId17"/>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8E762" w14:textId="77777777" w:rsidR="00AC3C3A" w:rsidRDefault="00AC3C3A" w:rsidP="00D210FA">
      <w:pPr>
        <w:spacing w:after="0"/>
      </w:pPr>
      <w:r>
        <w:separator/>
      </w:r>
    </w:p>
  </w:endnote>
  <w:endnote w:type="continuationSeparator" w:id="0">
    <w:p w14:paraId="76651882" w14:textId="77777777" w:rsidR="00AC3C3A" w:rsidRDefault="00AC3C3A"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1DCD92" w14:textId="77777777" w:rsidR="00AC3C3A" w:rsidRDefault="00AC3C3A" w:rsidP="00D210FA">
      <w:pPr>
        <w:spacing w:after="0"/>
      </w:pPr>
      <w:r>
        <w:separator/>
      </w:r>
    </w:p>
  </w:footnote>
  <w:footnote w:type="continuationSeparator" w:id="0">
    <w:p w14:paraId="5749BA5E" w14:textId="77777777" w:rsidR="00AC3C3A" w:rsidRDefault="00AC3C3A"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AED3EFB"/>
    <w:multiLevelType w:val="multilevel"/>
    <w:tmpl w:val="BA7C9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6A7151CD"/>
    <w:multiLevelType w:val="multilevel"/>
    <w:tmpl w:val="F24264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2B02697"/>
    <w:multiLevelType w:val="multilevel"/>
    <w:tmpl w:val="61EC0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55784326">
    <w:abstractNumId w:val="2"/>
  </w:num>
  <w:num w:numId="2" w16cid:durableId="1580794067">
    <w:abstractNumId w:val="0"/>
  </w:num>
  <w:num w:numId="3" w16cid:durableId="859776478">
    <w:abstractNumId w:val="8"/>
  </w:num>
  <w:num w:numId="4" w16cid:durableId="638191066">
    <w:abstractNumId w:val="9"/>
  </w:num>
  <w:num w:numId="5" w16cid:durableId="1873613603">
    <w:abstractNumId w:val="4"/>
  </w:num>
  <w:num w:numId="6" w16cid:durableId="301471456">
    <w:abstractNumId w:val="3"/>
  </w:num>
  <w:num w:numId="7" w16cid:durableId="1253123468">
    <w:abstractNumId w:val="5"/>
  </w:num>
  <w:num w:numId="8" w16cid:durableId="1269047769">
    <w:abstractNumId w:val="7"/>
  </w:num>
  <w:num w:numId="9" w16cid:durableId="707223328">
    <w:abstractNumId w:val="6"/>
  </w:num>
  <w:num w:numId="10" w16cid:durableId="12493160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oNotDisplayPageBoundaries/>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3C19"/>
    <w:rsid w:val="00002366"/>
    <w:rsid w:val="0001504F"/>
    <w:rsid w:val="00023293"/>
    <w:rsid w:val="00061977"/>
    <w:rsid w:val="0008782A"/>
    <w:rsid w:val="000A065A"/>
    <w:rsid w:val="000B7CE1"/>
    <w:rsid w:val="00106FC5"/>
    <w:rsid w:val="00120DEC"/>
    <w:rsid w:val="001233B0"/>
    <w:rsid w:val="00123C19"/>
    <w:rsid w:val="00172251"/>
    <w:rsid w:val="001C55B6"/>
    <w:rsid w:val="001D6CC4"/>
    <w:rsid w:val="001F12E0"/>
    <w:rsid w:val="00206405"/>
    <w:rsid w:val="0022145F"/>
    <w:rsid w:val="00253267"/>
    <w:rsid w:val="002823CD"/>
    <w:rsid w:val="00287787"/>
    <w:rsid w:val="00291685"/>
    <w:rsid w:val="002B0A3D"/>
    <w:rsid w:val="003007A7"/>
    <w:rsid w:val="003257E1"/>
    <w:rsid w:val="00325DEC"/>
    <w:rsid w:val="00346AC5"/>
    <w:rsid w:val="00346FFA"/>
    <w:rsid w:val="00367DB1"/>
    <w:rsid w:val="003961F3"/>
    <w:rsid w:val="003A3069"/>
    <w:rsid w:val="003C20B5"/>
    <w:rsid w:val="003E545F"/>
    <w:rsid w:val="003F03D2"/>
    <w:rsid w:val="003F1E1A"/>
    <w:rsid w:val="004045E5"/>
    <w:rsid w:val="00421496"/>
    <w:rsid w:val="00422C27"/>
    <w:rsid w:val="0043683E"/>
    <w:rsid w:val="0044367C"/>
    <w:rsid w:val="004642F0"/>
    <w:rsid w:val="00500564"/>
    <w:rsid w:val="0051102B"/>
    <w:rsid w:val="00514251"/>
    <w:rsid w:val="00560587"/>
    <w:rsid w:val="005838BC"/>
    <w:rsid w:val="005B57E1"/>
    <w:rsid w:val="005E61E0"/>
    <w:rsid w:val="005F0F31"/>
    <w:rsid w:val="006024ED"/>
    <w:rsid w:val="0061793F"/>
    <w:rsid w:val="0062123A"/>
    <w:rsid w:val="006605F8"/>
    <w:rsid w:val="006676A1"/>
    <w:rsid w:val="006833BD"/>
    <w:rsid w:val="006A4C12"/>
    <w:rsid w:val="006D2642"/>
    <w:rsid w:val="006E2D42"/>
    <w:rsid w:val="0070358D"/>
    <w:rsid w:val="00720FEE"/>
    <w:rsid w:val="00751CB3"/>
    <w:rsid w:val="00764B6F"/>
    <w:rsid w:val="007A5120"/>
    <w:rsid w:val="007C7319"/>
    <w:rsid w:val="007D43B3"/>
    <w:rsid w:val="007F20B4"/>
    <w:rsid w:val="007F525E"/>
    <w:rsid w:val="0082695D"/>
    <w:rsid w:val="0083044C"/>
    <w:rsid w:val="00834235"/>
    <w:rsid w:val="0085182D"/>
    <w:rsid w:val="00867E5F"/>
    <w:rsid w:val="008709F5"/>
    <w:rsid w:val="00877A91"/>
    <w:rsid w:val="00884E86"/>
    <w:rsid w:val="008908B9"/>
    <w:rsid w:val="008927FF"/>
    <w:rsid w:val="008A373F"/>
    <w:rsid w:val="008B0F18"/>
    <w:rsid w:val="008E2D05"/>
    <w:rsid w:val="008E3921"/>
    <w:rsid w:val="0090027B"/>
    <w:rsid w:val="00905238"/>
    <w:rsid w:val="0094702A"/>
    <w:rsid w:val="00967DAB"/>
    <w:rsid w:val="00990E76"/>
    <w:rsid w:val="00991A53"/>
    <w:rsid w:val="00996F4E"/>
    <w:rsid w:val="009D5F93"/>
    <w:rsid w:val="009E3C67"/>
    <w:rsid w:val="009F71FE"/>
    <w:rsid w:val="00A31F33"/>
    <w:rsid w:val="00A70A62"/>
    <w:rsid w:val="00A71DA8"/>
    <w:rsid w:val="00AB1210"/>
    <w:rsid w:val="00AB770D"/>
    <w:rsid w:val="00AC3C3A"/>
    <w:rsid w:val="00AF2088"/>
    <w:rsid w:val="00AF5FB0"/>
    <w:rsid w:val="00B0080A"/>
    <w:rsid w:val="00B03EE4"/>
    <w:rsid w:val="00B0538C"/>
    <w:rsid w:val="00B37AB8"/>
    <w:rsid w:val="00B418DE"/>
    <w:rsid w:val="00B47FE7"/>
    <w:rsid w:val="00B67824"/>
    <w:rsid w:val="00BE15BA"/>
    <w:rsid w:val="00C20ED0"/>
    <w:rsid w:val="00C348A8"/>
    <w:rsid w:val="00C46111"/>
    <w:rsid w:val="00C83332"/>
    <w:rsid w:val="00C95E04"/>
    <w:rsid w:val="00CB2890"/>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D0F03"/>
    <w:rsid w:val="00ED1049"/>
    <w:rsid w:val="00EE19D9"/>
    <w:rsid w:val="00EF26FC"/>
    <w:rsid w:val="00F17A76"/>
    <w:rsid w:val="00F37523"/>
    <w:rsid w:val="00F50168"/>
    <w:rsid w:val="00F50D34"/>
    <w:rsid w:val="00F61360"/>
    <w:rsid w:val="00FC538A"/>
    <w:rsid w:val="00FE041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customStyle="1" w:styleId="Hashtag1">
    <w:name w:val="Hashtag1"/>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customStyle="1" w:styleId="UnresolvedMention1">
    <w:name w:val="Unresolved Mention1"/>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semiHidden/>
    <w:unhideWhenUsed/>
    <w:rsid w:val="007A512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33715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course/view.php?id=9619"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4B57259-87FF-4298-ADA6-DBB99B5A2A3C}">
  <ds:schemaRefs>
    <ds:schemaRef ds:uri="http://schemas.openxmlformats.org/officeDocument/2006/bibliography"/>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Education brochure.dotx</Template>
  <TotalTime>0</TotalTime>
  <Pages>4</Pages>
  <Words>726</Words>
  <Characters>4140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2026-07-06T01:03:00Z</dcterms:created>
  <dcterms:modified xsi:type="dcterms:W3CDTF">2026-07-06T01:03:00Z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ccf2bf7e-e6f8-4e35-bdd4-8f83ddbc4f35</vt:lpwstr>
  </property>
</Properties>
</file>