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33237" w14:textId="7A573AE4" w:rsidR="00950B60" w:rsidRPr="00D175C8" w:rsidRDefault="00950B60" w:rsidP="00013FA3">
      <w:pPr>
        <w:spacing w:line="720" w:lineRule="auto"/>
        <w:jc w:val="center"/>
        <w:rPr>
          <w:b/>
          <w:bCs/>
          <w:sz w:val="40"/>
          <w:szCs w:val="40"/>
        </w:rPr>
      </w:pPr>
      <w:r w:rsidRPr="00D175C8">
        <w:rPr>
          <w:b/>
          <w:bCs/>
          <w:sz w:val="40"/>
          <w:szCs w:val="40"/>
        </w:rPr>
        <w:t>Module Title –</w:t>
      </w:r>
      <w:r w:rsidR="00013FA3">
        <w:rPr>
          <w:b/>
          <w:bCs/>
          <w:sz w:val="40"/>
          <w:szCs w:val="40"/>
        </w:rPr>
        <w:t xml:space="preserve"> Introduction to </w:t>
      </w:r>
      <w:r>
        <w:rPr>
          <w:b/>
          <w:bCs/>
          <w:sz w:val="40"/>
          <w:szCs w:val="40"/>
        </w:rPr>
        <w:t>Public Health</w:t>
      </w:r>
    </w:p>
    <w:p w14:paraId="70CA5513" w14:textId="501BCFA9" w:rsidR="00950B60" w:rsidRPr="006567D4" w:rsidRDefault="00950B60" w:rsidP="00013FA3">
      <w:pPr>
        <w:spacing w:line="720" w:lineRule="auto"/>
        <w:jc w:val="center"/>
        <w:rPr>
          <w:b/>
          <w:bCs/>
          <w:sz w:val="44"/>
          <w:szCs w:val="44"/>
        </w:rPr>
      </w:pPr>
      <w:r w:rsidRPr="65DF7158">
        <w:rPr>
          <w:rFonts w:ascii="Arial" w:hAnsi="Arial" w:cs="Arial"/>
          <w:b/>
          <w:bCs/>
          <w:sz w:val="44"/>
          <w:szCs w:val="44"/>
        </w:rPr>
        <w:t xml:space="preserve">Student </w:t>
      </w:r>
      <w:r w:rsidRPr="26B42DA4">
        <w:rPr>
          <w:rFonts w:ascii="Arial" w:hAnsi="Arial" w:cs="Arial"/>
          <w:b/>
          <w:bCs/>
          <w:sz w:val="44"/>
          <w:szCs w:val="44"/>
        </w:rPr>
        <w:t>Stud</w:t>
      </w:r>
      <w:r>
        <w:rPr>
          <w:rFonts w:ascii="Arial" w:hAnsi="Arial" w:cs="Arial"/>
          <w:b/>
          <w:bCs/>
          <w:sz w:val="44"/>
          <w:szCs w:val="44"/>
        </w:rPr>
        <w:t>y</w:t>
      </w:r>
      <w:r w:rsidRPr="26B42DA4">
        <w:rPr>
          <w:b/>
          <w:bCs/>
          <w:sz w:val="44"/>
          <w:szCs w:val="44"/>
        </w:rPr>
        <w:t xml:space="preserve"> Module Code – LCHS</w:t>
      </w:r>
      <w:r w:rsidR="00013FA3">
        <w:rPr>
          <w:b/>
          <w:bCs/>
          <w:sz w:val="44"/>
          <w:szCs w:val="44"/>
        </w:rPr>
        <w:t>4008</w:t>
      </w:r>
    </w:p>
    <w:p w14:paraId="1D2EA5BA" w14:textId="77777777" w:rsidR="00950B60" w:rsidRPr="006567D4" w:rsidRDefault="00950B60" w:rsidP="00013FA3">
      <w:pPr>
        <w:spacing w:line="720" w:lineRule="auto"/>
        <w:jc w:val="center"/>
        <w:rPr>
          <w:rFonts w:ascii="Arial" w:hAnsi="Arial" w:cs="Arial"/>
          <w:b/>
          <w:bCs/>
          <w:sz w:val="44"/>
          <w:szCs w:val="44"/>
        </w:rPr>
      </w:pPr>
      <w:r w:rsidRPr="65DF7158">
        <w:rPr>
          <w:rFonts w:ascii="Arial" w:hAnsi="Arial" w:cs="Arial"/>
          <w:b/>
          <w:bCs/>
          <w:sz w:val="44"/>
          <w:szCs w:val="44"/>
        </w:rPr>
        <w:t xml:space="preserve">Name – </w:t>
      </w:r>
      <w:r>
        <w:rPr>
          <w:rFonts w:ascii="Arial" w:hAnsi="Arial" w:cs="Arial"/>
          <w:b/>
          <w:bCs/>
          <w:sz w:val="44"/>
          <w:szCs w:val="44"/>
        </w:rPr>
        <w:t>Tayyaba Arshad</w:t>
      </w:r>
    </w:p>
    <w:p w14:paraId="219892BC" w14:textId="55FA6614" w:rsidR="00950B60" w:rsidRPr="006567D4" w:rsidRDefault="00950B60" w:rsidP="00013FA3">
      <w:pPr>
        <w:spacing w:line="720" w:lineRule="auto"/>
        <w:jc w:val="center"/>
        <w:rPr>
          <w:rFonts w:ascii="Arial" w:hAnsi="Arial" w:cs="Arial"/>
          <w:b/>
          <w:bCs/>
          <w:sz w:val="44"/>
          <w:szCs w:val="44"/>
        </w:rPr>
      </w:pPr>
      <w:r w:rsidRPr="65DF7158">
        <w:rPr>
          <w:rFonts w:ascii="Arial" w:hAnsi="Arial" w:cs="Arial"/>
          <w:b/>
          <w:bCs/>
          <w:sz w:val="44"/>
          <w:szCs w:val="44"/>
        </w:rPr>
        <w:lastRenderedPageBreak/>
        <w:t xml:space="preserve">Number – </w:t>
      </w:r>
      <w:r>
        <w:rPr>
          <w:rFonts w:ascii="Arial" w:hAnsi="Arial" w:cs="Arial"/>
          <w:b/>
          <w:bCs/>
          <w:sz w:val="44"/>
          <w:szCs w:val="44"/>
        </w:rPr>
        <w:t>2437578</w:t>
      </w:r>
    </w:p>
    <w:p w14:paraId="7541F8AE" w14:textId="26EAD94E" w:rsidR="00950B60" w:rsidRPr="006567D4" w:rsidRDefault="00950B60" w:rsidP="00013FA3">
      <w:pPr>
        <w:spacing w:line="720" w:lineRule="auto"/>
        <w:jc w:val="center"/>
        <w:rPr>
          <w:rFonts w:ascii="Arial" w:hAnsi="Arial" w:cs="Arial"/>
          <w:b/>
          <w:bCs/>
          <w:sz w:val="44"/>
          <w:szCs w:val="44"/>
        </w:rPr>
      </w:pPr>
      <w:r w:rsidRPr="006567D4">
        <w:rPr>
          <w:rFonts w:ascii="Arial" w:hAnsi="Arial" w:cs="Arial"/>
          <w:b/>
          <w:sz w:val="44"/>
          <w:szCs w:val="44"/>
        </w:rPr>
        <w:t>Lecturer’s Name</w:t>
      </w:r>
    </w:p>
    <w:p w14:paraId="767C9684" w14:textId="77777777" w:rsidR="00BF3DB0" w:rsidRDefault="00013FA3" w:rsidP="00BF3DB0">
      <w:pPr>
        <w:spacing w:line="720" w:lineRule="auto"/>
        <w:jc w:val="center"/>
        <w:rPr>
          <w:rFonts w:ascii="Arial" w:hAnsi="Arial" w:cs="Arial"/>
          <w:b/>
          <w:sz w:val="44"/>
          <w:szCs w:val="44"/>
        </w:rPr>
      </w:pPr>
      <w:r>
        <w:rPr>
          <w:rFonts w:ascii="Arial" w:hAnsi="Arial" w:cs="Arial"/>
          <w:b/>
          <w:sz w:val="44"/>
          <w:szCs w:val="44"/>
        </w:rPr>
        <w:t>Gillian Weaver</w:t>
      </w:r>
    </w:p>
    <w:p w14:paraId="25A0B4C4" w14:textId="7F6DD2E5" w:rsidR="00950B60" w:rsidRPr="00BF3DB0" w:rsidRDefault="00950B60" w:rsidP="00BF3DB0">
      <w:pPr>
        <w:spacing w:line="720" w:lineRule="auto"/>
        <w:jc w:val="center"/>
        <w:rPr>
          <w:rFonts w:ascii="Arial" w:hAnsi="Arial" w:cs="Arial"/>
          <w:b/>
          <w:sz w:val="44"/>
          <w:szCs w:val="44"/>
        </w:rPr>
      </w:pPr>
      <w:r w:rsidRPr="006567D4">
        <w:rPr>
          <w:rFonts w:ascii="Arial" w:hAnsi="Arial" w:cs="Arial"/>
          <w:b/>
          <w:sz w:val="44"/>
          <w:szCs w:val="44"/>
        </w:rPr>
        <w:lastRenderedPageBreak/>
        <w:t>Date</w:t>
      </w:r>
      <w:r w:rsidR="00BF3DB0">
        <w:rPr>
          <w:rFonts w:ascii="Arial" w:hAnsi="Arial" w:cs="Arial"/>
          <w:b/>
          <w:sz w:val="44"/>
          <w:szCs w:val="44"/>
        </w:rPr>
        <w:t xml:space="preserve"> 18</w:t>
      </w:r>
      <w:r w:rsidR="00BF3DB0" w:rsidRPr="00BF3DB0">
        <w:rPr>
          <w:rFonts w:ascii="Arial" w:hAnsi="Arial" w:cs="Arial"/>
          <w:b/>
          <w:sz w:val="44"/>
          <w:szCs w:val="44"/>
          <w:vertAlign w:val="superscript"/>
        </w:rPr>
        <w:t>th</w:t>
      </w:r>
      <w:r w:rsidR="00BF3DB0">
        <w:rPr>
          <w:rFonts w:ascii="Arial" w:hAnsi="Arial" w:cs="Arial"/>
          <w:b/>
          <w:sz w:val="44"/>
          <w:szCs w:val="44"/>
        </w:rPr>
        <w:t xml:space="preserve"> November 2025</w:t>
      </w:r>
    </w:p>
    <w:p w14:paraId="2A81E2A3" w14:textId="77777777" w:rsidR="00AB541F" w:rsidRDefault="00AB541F" w:rsidP="00BF1E21">
      <w:pPr>
        <w:rPr>
          <w:rFonts w:ascii="Arial" w:hAnsi="Arial" w:cs="Arial"/>
          <w:b/>
          <w:bCs/>
        </w:rPr>
      </w:pPr>
    </w:p>
    <w:p w14:paraId="6254239E" w14:textId="77777777" w:rsidR="00AB541F" w:rsidRDefault="00AB541F" w:rsidP="00BF1E21">
      <w:pPr>
        <w:rPr>
          <w:rFonts w:ascii="Arial" w:hAnsi="Arial" w:cs="Arial"/>
          <w:b/>
          <w:bCs/>
        </w:rPr>
      </w:pPr>
    </w:p>
    <w:p w14:paraId="7BC62609" w14:textId="77777777" w:rsidR="002A0AB6" w:rsidRDefault="002A0AB6" w:rsidP="002A0AB6">
      <w:pPr>
        <w:rPr>
          <w:rFonts w:ascii="Arial" w:hAnsi="Arial" w:cs="Arial"/>
          <w:b/>
          <w:bCs/>
        </w:rPr>
      </w:pPr>
    </w:p>
    <w:p w14:paraId="5FA6874F" w14:textId="77777777" w:rsidR="002A0AB6" w:rsidRDefault="002A0AB6" w:rsidP="002A0AB6">
      <w:pPr>
        <w:rPr>
          <w:rFonts w:ascii="Arial" w:hAnsi="Arial" w:cs="Arial"/>
          <w:b/>
          <w:bCs/>
        </w:rPr>
      </w:pPr>
    </w:p>
    <w:p w14:paraId="1F53778E" w14:textId="7BAE0FF1" w:rsidR="00AB541F" w:rsidRPr="00AF589A" w:rsidRDefault="00F9775E" w:rsidP="002A0AB6">
      <w:pPr>
        <w:rPr>
          <w:rFonts w:ascii="Arial" w:hAnsi="Arial" w:cs="Arial"/>
          <w:b/>
          <w:bCs/>
          <w:sz w:val="40"/>
          <w:szCs w:val="40"/>
        </w:rPr>
      </w:pPr>
      <w:r w:rsidRPr="00AF589A">
        <w:rPr>
          <w:rFonts w:ascii="Arial" w:hAnsi="Arial" w:cs="Arial"/>
          <w:b/>
          <w:bCs/>
          <w:sz w:val="40"/>
          <w:szCs w:val="40"/>
        </w:rPr>
        <w:t>Content</w:t>
      </w:r>
      <w:r w:rsidR="00AF589A">
        <w:rPr>
          <w:rFonts w:ascii="Arial" w:hAnsi="Arial" w:cs="Arial"/>
          <w:b/>
          <w:bCs/>
          <w:sz w:val="40"/>
          <w:szCs w:val="40"/>
        </w:rPr>
        <w:t>s</w:t>
      </w:r>
      <w:r w:rsidRPr="00AF589A">
        <w:rPr>
          <w:rFonts w:ascii="Arial" w:hAnsi="Arial" w:cs="Arial"/>
          <w:b/>
          <w:bCs/>
          <w:sz w:val="40"/>
          <w:szCs w:val="40"/>
        </w:rPr>
        <w:t xml:space="preserve"> Page</w:t>
      </w:r>
    </w:p>
    <w:p w14:paraId="53D58FD5" w14:textId="77777777" w:rsidR="00C025FC" w:rsidRDefault="00C025FC" w:rsidP="00AF589A">
      <w:pPr>
        <w:jc w:val="both"/>
        <w:rPr>
          <w:rFonts w:ascii="Arial" w:hAnsi="Arial" w:cs="Arial"/>
          <w:sz w:val="48"/>
          <w:szCs w:val="48"/>
        </w:rPr>
      </w:pPr>
    </w:p>
    <w:p w14:paraId="2C99B95F" w14:textId="50DFFD01" w:rsidR="00F9775E" w:rsidRPr="00AF589A" w:rsidRDefault="00F9775E" w:rsidP="00AF589A">
      <w:pPr>
        <w:jc w:val="both"/>
        <w:rPr>
          <w:rFonts w:ascii="Arial" w:hAnsi="Arial" w:cs="Arial"/>
          <w:sz w:val="48"/>
          <w:szCs w:val="48"/>
        </w:rPr>
      </w:pPr>
      <w:r w:rsidRPr="00AF589A">
        <w:rPr>
          <w:rFonts w:ascii="Arial" w:hAnsi="Arial" w:cs="Arial"/>
          <w:sz w:val="48"/>
          <w:szCs w:val="48"/>
        </w:rPr>
        <w:t>Introduction</w:t>
      </w:r>
      <w:r w:rsidR="002E5C5B">
        <w:rPr>
          <w:rFonts w:ascii="Arial" w:hAnsi="Arial" w:cs="Arial"/>
          <w:sz w:val="48"/>
          <w:szCs w:val="48"/>
        </w:rPr>
        <w:t xml:space="preserve"> – Page 3</w:t>
      </w:r>
    </w:p>
    <w:p w14:paraId="5C77FA21" w14:textId="3C567833" w:rsidR="00F9775E" w:rsidRPr="00AF589A" w:rsidRDefault="00F9775E" w:rsidP="00AF589A">
      <w:pPr>
        <w:rPr>
          <w:rFonts w:ascii="Arial" w:hAnsi="Arial" w:cs="Arial"/>
          <w:sz w:val="48"/>
          <w:szCs w:val="48"/>
        </w:rPr>
      </w:pPr>
      <w:r w:rsidRPr="00AF589A">
        <w:rPr>
          <w:rFonts w:ascii="Arial" w:hAnsi="Arial" w:cs="Arial"/>
          <w:sz w:val="48"/>
          <w:szCs w:val="48"/>
        </w:rPr>
        <w:t>Symptoms</w:t>
      </w:r>
      <w:r w:rsidR="002E5C5B">
        <w:rPr>
          <w:rFonts w:ascii="Arial" w:hAnsi="Arial" w:cs="Arial"/>
          <w:sz w:val="48"/>
          <w:szCs w:val="48"/>
        </w:rPr>
        <w:t xml:space="preserve"> – Page 3</w:t>
      </w:r>
    </w:p>
    <w:p w14:paraId="731239E8" w14:textId="3EA79BFA" w:rsidR="00F9775E" w:rsidRPr="00AF589A" w:rsidRDefault="00F9775E" w:rsidP="00AF589A">
      <w:pPr>
        <w:rPr>
          <w:rFonts w:ascii="Arial" w:hAnsi="Arial" w:cs="Arial"/>
          <w:sz w:val="48"/>
          <w:szCs w:val="48"/>
        </w:rPr>
      </w:pPr>
      <w:r w:rsidRPr="00AF589A">
        <w:rPr>
          <w:rFonts w:ascii="Arial" w:hAnsi="Arial" w:cs="Arial"/>
          <w:sz w:val="48"/>
          <w:szCs w:val="48"/>
        </w:rPr>
        <w:t xml:space="preserve">Main Body </w:t>
      </w:r>
      <w:r w:rsidR="002E5C5B">
        <w:rPr>
          <w:rFonts w:ascii="Arial" w:hAnsi="Arial" w:cs="Arial"/>
          <w:sz w:val="48"/>
          <w:szCs w:val="48"/>
        </w:rPr>
        <w:t>– Page 3</w:t>
      </w:r>
    </w:p>
    <w:p w14:paraId="0B7AF260" w14:textId="04991850" w:rsidR="00717B0E" w:rsidRPr="00AF589A" w:rsidRDefault="00717B0E" w:rsidP="00AF589A">
      <w:pPr>
        <w:rPr>
          <w:rFonts w:ascii="Arial" w:hAnsi="Arial" w:cs="Arial"/>
          <w:sz w:val="48"/>
          <w:szCs w:val="48"/>
        </w:rPr>
      </w:pPr>
      <w:r w:rsidRPr="00AF589A">
        <w:rPr>
          <w:rFonts w:ascii="Arial" w:hAnsi="Arial" w:cs="Arial"/>
          <w:sz w:val="48"/>
          <w:szCs w:val="48"/>
        </w:rPr>
        <w:lastRenderedPageBreak/>
        <w:t>Control Measures</w:t>
      </w:r>
      <w:r w:rsidR="002E5C5B">
        <w:rPr>
          <w:rFonts w:ascii="Arial" w:hAnsi="Arial" w:cs="Arial"/>
          <w:sz w:val="48"/>
          <w:szCs w:val="48"/>
        </w:rPr>
        <w:t xml:space="preserve"> – Page 4</w:t>
      </w:r>
    </w:p>
    <w:p w14:paraId="727596A3" w14:textId="2FEED687" w:rsidR="00AF589A" w:rsidRPr="00AF589A" w:rsidRDefault="00AF589A" w:rsidP="00AF589A">
      <w:pPr>
        <w:rPr>
          <w:rFonts w:ascii="Arial" w:hAnsi="Arial" w:cs="Arial"/>
          <w:sz w:val="48"/>
          <w:szCs w:val="48"/>
        </w:rPr>
      </w:pPr>
      <w:r w:rsidRPr="00AF589A">
        <w:rPr>
          <w:rFonts w:ascii="Arial" w:hAnsi="Arial" w:cs="Arial"/>
          <w:sz w:val="48"/>
          <w:szCs w:val="48"/>
        </w:rPr>
        <w:t>Factors Influencing Health and Well-being</w:t>
      </w:r>
      <w:r w:rsidR="002E5C5B">
        <w:rPr>
          <w:rFonts w:ascii="Arial" w:hAnsi="Arial" w:cs="Arial"/>
          <w:sz w:val="48"/>
          <w:szCs w:val="48"/>
        </w:rPr>
        <w:t xml:space="preserve"> – Page 5</w:t>
      </w:r>
    </w:p>
    <w:p w14:paraId="0514804D" w14:textId="2679D4DE" w:rsidR="00AF589A" w:rsidRDefault="00AF589A" w:rsidP="00AF589A">
      <w:pPr>
        <w:rPr>
          <w:rFonts w:ascii="Arial" w:hAnsi="Arial" w:cs="Arial"/>
          <w:sz w:val="48"/>
          <w:szCs w:val="48"/>
        </w:rPr>
      </w:pPr>
      <w:r w:rsidRPr="00AF589A">
        <w:rPr>
          <w:rFonts w:ascii="Arial" w:hAnsi="Arial" w:cs="Arial"/>
          <w:sz w:val="48"/>
          <w:szCs w:val="48"/>
        </w:rPr>
        <w:t>Conclusion</w:t>
      </w:r>
      <w:r w:rsidR="002E5C5B">
        <w:rPr>
          <w:rFonts w:ascii="Arial" w:hAnsi="Arial" w:cs="Arial"/>
          <w:sz w:val="48"/>
          <w:szCs w:val="48"/>
        </w:rPr>
        <w:t xml:space="preserve"> - Page 3</w:t>
      </w:r>
    </w:p>
    <w:p w14:paraId="7F7DD05D" w14:textId="2B50D78D" w:rsidR="002E5C5B" w:rsidRPr="00AF589A" w:rsidRDefault="002E5C5B" w:rsidP="00AF589A">
      <w:pPr>
        <w:rPr>
          <w:rFonts w:ascii="Arial" w:hAnsi="Arial" w:cs="Arial"/>
          <w:sz w:val="48"/>
          <w:szCs w:val="48"/>
        </w:rPr>
      </w:pPr>
      <w:r>
        <w:rPr>
          <w:rFonts w:ascii="Arial" w:hAnsi="Arial" w:cs="Arial"/>
          <w:sz w:val="48"/>
          <w:szCs w:val="48"/>
        </w:rPr>
        <w:t xml:space="preserve">References – Page </w:t>
      </w:r>
      <w:r w:rsidR="00084A18">
        <w:rPr>
          <w:rFonts w:ascii="Arial" w:hAnsi="Arial" w:cs="Arial"/>
          <w:sz w:val="48"/>
          <w:szCs w:val="48"/>
        </w:rPr>
        <w:t>8</w:t>
      </w:r>
    </w:p>
    <w:p w14:paraId="1457416C" w14:textId="77777777" w:rsidR="00AF589A" w:rsidRDefault="00AF589A" w:rsidP="00BF1E21">
      <w:pPr>
        <w:rPr>
          <w:rFonts w:ascii="Arial" w:hAnsi="Arial" w:cs="Arial"/>
          <w:b/>
          <w:bCs/>
        </w:rPr>
      </w:pPr>
    </w:p>
    <w:p w14:paraId="6DFDAC0A" w14:textId="77777777" w:rsidR="00717B0E" w:rsidRDefault="00717B0E" w:rsidP="00BF1E21">
      <w:pPr>
        <w:rPr>
          <w:rFonts w:ascii="Arial" w:hAnsi="Arial" w:cs="Arial"/>
          <w:b/>
          <w:bCs/>
        </w:rPr>
      </w:pPr>
    </w:p>
    <w:p w14:paraId="0E7BB22E" w14:textId="77777777" w:rsidR="00717B0E" w:rsidRDefault="00717B0E" w:rsidP="00BF1E21">
      <w:pPr>
        <w:rPr>
          <w:rFonts w:ascii="Arial" w:hAnsi="Arial" w:cs="Arial"/>
          <w:b/>
          <w:bCs/>
        </w:rPr>
      </w:pPr>
    </w:p>
    <w:p w14:paraId="7586D145" w14:textId="77777777" w:rsidR="00F9775E" w:rsidRDefault="00F9775E" w:rsidP="00BF1E21">
      <w:pPr>
        <w:rPr>
          <w:rFonts w:ascii="Arial" w:hAnsi="Arial" w:cs="Arial"/>
          <w:b/>
          <w:bCs/>
        </w:rPr>
      </w:pPr>
    </w:p>
    <w:p w14:paraId="0223D474" w14:textId="77777777" w:rsidR="00AB541F" w:rsidRDefault="00AB541F" w:rsidP="00BF1E21">
      <w:pPr>
        <w:rPr>
          <w:rFonts w:ascii="Arial" w:hAnsi="Arial" w:cs="Arial"/>
          <w:b/>
          <w:bCs/>
        </w:rPr>
      </w:pPr>
    </w:p>
    <w:p w14:paraId="3A934B8A" w14:textId="77777777" w:rsidR="00AB541F" w:rsidRDefault="00AB541F" w:rsidP="00BF1E21">
      <w:pPr>
        <w:rPr>
          <w:rFonts w:ascii="Arial" w:hAnsi="Arial" w:cs="Arial"/>
          <w:b/>
          <w:bCs/>
        </w:rPr>
      </w:pPr>
    </w:p>
    <w:p w14:paraId="1E8C515E" w14:textId="77777777" w:rsidR="00AB541F" w:rsidRDefault="00AB541F" w:rsidP="00BF1E21">
      <w:pPr>
        <w:rPr>
          <w:rFonts w:ascii="Arial" w:hAnsi="Arial" w:cs="Arial"/>
          <w:b/>
          <w:bCs/>
        </w:rPr>
      </w:pPr>
    </w:p>
    <w:p w14:paraId="741B2259" w14:textId="77777777" w:rsidR="00AB541F" w:rsidRDefault="00AB541F" w:rsidP="00BF1E21">
      <w:pPr>
        <w:rPr>
          <w:rFonts w:ascii="Arial" w:hAnsi="Arial" w:cs="Arial"/>
          <w:b/>
          <w:bCs/>
        </w:rPr>
      </w:pPr>
    </w:p>
    <w:p w14:paraId="6D28DAB7" w14:textId="77777777" w:rsidR="00AB541F" w:rsidRDefault="00AB541F" w:rsidP="00BF1E21">
      <w:pPr>
        <w:rPr>
          <w:rFonts w:ascii="Arial" w:hAnsi="Arial" w:cs="Arial"/>
          <w:b/>
          <w:bCs/>
        </w:rPr>
      </w:pPr>
    </w:p>
    <w:p w14:paraId="7CE09186" w14:textId="77777777" w:rsidR="00AB541F" w:rsidRDefault="00AB541F" w:rsidP="00BF1E21">
      <w:pPr>
        <w:rPr>
          <w:rFonts w:ascii="Arial" w:hAnsi="Arial" w:cs="Arial"/>
          <w:b/>
          <w:bCs/>
        </w:rPr>
      </w:pPr>
    </w:p>
    <w:p w14:paraId="626D90BF" w14:textId="77777777" w:rsidR="00AB541F" w:rsidRDefault="00AB541F" w:rsidP="00BF1E21">
      <w:pPr>
        <w:rPr>
          <w:rFonts w:ascii="Arial" w:hAnsi="Arial" w:cs="Arial"/>
          <w:b/>
          <w:bCs/>
        </w:rPr>
      </w:pPr>
    </w:p>
    <w:p w14:paraId="3D10A0A1" w14:textId="77777777" w:rsidR="00AB541F" w:rsidRDefault="00AB541F" w:rsidP="00BF1E21">
      <w:pPr>
        <w:rPr>
          <w:rFonts w:ascii="Arial" w:hAnsi="Arial" w:cs="Arial"/>
          <w:b/>
          <w:bCs/>
        </w:rPr>
      </w:pPr>
    </w:p>
    <w:p w14:paraId="2EE90D3A" w14:textId="77777777" w:rsidR="00A1212F" w:rsidRDefault="00A1212F" w:rsidP="00BF1E21">
      <w:pPr>
        <w:rPr>
          <w:rFonts w:ascii="Arial" w:hAnsi="Arial" w:cs="Arial"/>
          <w:b/>
          <w:bCs/>
        </w:rPr>
      </w:pPr>
    </w:p>
    <w:p w14:paraId="0C5072FA" w14:textId="77777777" w:rsidR="002A0AB6" w:rsidRDefault="002A0AB6" w:rsidP="00842986">
      <w:pPr>
        <w:spacing w:line="360" w:lineRule="auto"/>
        <w:rPr>
          <w:rFonts w:ascii="Arial" w:hAnsi="Arial" w:cs="Arial"/>
          <w:b/>
          <w:bCs/>
        </w:rPr>
      </w:pPr>
    </w:p>
    <w:p w14:paraId="08E77342" w14:textId="77777777" w:rsidR="006B5009" w:rsidRDefault="006B5009" w:rsidP="00842986">
      <w:pPr>
        <w:spacing w:line="360" w:lineRule="auto"/>
        <w:rPr>
          <w:rFonts w:ascii="Arial" w:hAnsi="Arial" w:cs="Arial"/>
          <w:b/>
          <w:bCs/>
          <w:sz w:val="22"/>
          <w:szCs w:val="22"/>
        </w:rPr>
      </w:pPr>
    </w:p>
    <w:p w14:paraId="7A629705" w14:textId="77777777" w:rsidR="006B5009" w:rsidRDefault="006B5009" w:rsidP="00842986">
      <w:pPr>
        <w:spacing w:line="360" w:lineRule="auto"/>
        <w:rPr>
          <w:rFonts w:ascii="Arial" w:hAnsi="Arial" w:cs="Arial"/>
          <w:b/>
          <w:bCs/>
          <w:sz w:val="22"/>
          <w:szCs w:val="22"/>
        </w:rPr>
      </w:pPr>
    </w:p>
    <w:p w14:paraId="58558406" w14:textId="323D729C"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 xml:space="preserve">Introduction </w:t>
      </w:r>
    </w:p>
    <w:p w14:paraId="7EE22CEA" w14:textId="77777777" w:rsidR="00455D56" w:rsidRPr="00A1212F" w:rsidRDefault="00BF1E21" w:rsidP="00842986">
      <w:pPr>
        <w:spacing w:line="360" w:lineRule="auto"/>
        <w:rPr>
          <w:rFonts w:ascii="Arial" w:hAnsi="Arial" w:cs="Arial"/>
          <w:sz w:val="22"/>
          <w:szCs w:val="22"/>
        </w:rPr>
      </w:pPr>
      <w:r w:rsidRPr="00A1212F">
        <w:rPr>
          <w:rFonts w:ascii="Arial" w:hAnsi="Arial" w:cs="Arial"/>
          <w:sz w:val="22"/>
          <w:szCs w:val="22"/>
        </w:rPr>
        <w:t xml:space="preserve">Bowel cancer, </w:t>
      </w:r>
      <w:r w:rsidR="00E36A56" w:rsidRPr="00A1212F">
        <w:rPr>
          <w:rFonts w:ascii="Arial" w:hAnsi="Arial" w:cs="Arial"/>
          <w:sz w:val="22"/>
          <w:szCs w:val="22"/>
        </w:rPr>
        <w:t xml:space="preserve">is </w:t>
      </w:r>
      <w:r w:rsidRPr="00A1212F">
        <w:rPr>
          <w:rFonts w:ascii="Arial" w:hAnsi="Arial" w:cs="Arial"/>
          <w:sz w:val="22"/>
          <w:szCs w:val="22"/>
        </w:rPr>
        <w:t xml:space="preserve">also known as colorectal cancer, is a </w:t>
      </w:r>
      <w:r w:rsidR="00E36A56" w:rsidRPr="00A1212F">
        <w:rPr>
          <w:rFonts w:ascii="Arial" w:hAnsi="Arial" w:cs="Arial"/>
          <w:sz w:val="22"/>
          <w:szCs w:val="22"/>
        </w:rPr>
        <w:t>spreading</w:t>
      </w:r>
      <w:r w:rsidRPr="00A1212F">
        <w:rPr>
          <w:rFonts w:ascii="Arial" w:hAnsi="Arial" w:cs="Arial"/>
          <w:sz w:val="22"/>
          <w:szCs w:val="22"/>
        </w:rPr>
        <w:t xml:space="preserve"> condition affecting the colon or rectum. It is the fourth most common cancer in the UK, accounting for approximately 44,100 new cases annually—around 120 diagnoses per day (Cancer Research UK, 2024). </w:t>
      </w:r>
    </w:p>
    <w:p w14:paraId="1242421A" w14:textId="4937B4CE" w:rsidR="00A835B6" w:rsidRPr="00A1212F" w:rsidRDefault="00BF1E21" w:rsidP="00842986">
      <w:pPr>
        <w:spacing w:line="360" w:lineRule="auto"/>
        <w:rPr>
          <w:rFonts w:ascii="Arial" w:hAnsi="Arial" w:cs="Arial"/>
          <w:sz w:val="22"/>
          <w:szCs w:val="22"/>
        </w:rPr>
      </w:pPr>
      <w:r w:rsidRPr="00A1212F">
        <w:rPr>
          <w:rFonts w:ascii="Arial" w:hAnsi="Arial" w:cs="Arial"/>
          <w:b/>
          <w:bCs/>
          <w:sz w:val="22"/>
          <w:szCs w:val="22"/>
        </w:rPr>
        <w:lastRenderedPageBreak/>
        <w:t>Symptoms</w:t>
      </w:r>
      <w:r w:rsidRPr="00A1212F">
        <w:rPr>
          <w:rFonts w:ascii="Arial" w:hAnsi="Arial" w:cs="Arial"/>
          <w:sz w:val="22"/>
          <w:szCs w:val="22"/>
        </w:rPr>
        <w:t xml:space="preserve"> </w:t>
      </w:r>
      <w:r w:rsidR="00100045" w:rsidRPr="00A1212F">
        <w:rPr>
          <w:rFonts w:ascii="Arial" w:hAnsi="Arial" w:cs="Arial"/>
          <w:sz w:val="22"/>
          <w:szCs w:val="22"/>
        </w:rPr>
        <w:t>– Bowel Canc</w:t>
      </w:r>
      <w:r w:rsidR="005E0F0C" w:rsidRPr="00A1212F">
        <w:rPr>
          <w:rFonts w:ascii="Arial" w:hAnsi="Arial" w:cs="Arial"/>
          <w:sz w:val="22"/>
          <w:szCs w:val="22"/>
        </w:rPr>
        <w:t xml:space="preserve">er symptoms </w:t>
      </w:r>
      <w:r w:rsidRPr="00A1212F">
        <w:rPr>
          <w:rFonts w:ascii="Arial" w:hAnsi="Arial" w:cs="Arial"/>
          <w:sz w:val="22"/>
          <w:szCs w:val="22"/>
        </w:rPr>
        <w:t>include persistent changes in bowel habits</w:t>
      </w:r>
      <w:r w:rsidR="005E0F0C" w:rsidRPr="00A1212F">
        <w:rPr>
          <w:rFonts w:ascii="Arial" w:hAnsi="Arial" w:cs="Arial"/>
          <w:sz w:val="22"/>
          <w:szCs w:val="22"/>
        </w:rPr>
        <w:t xml:space="preserve"> which means frequent use of the toilet</w:t>
      </w:r>
      <w:r w:rsidRPr="00A1212F">
        <w:rPr>
          <w:rFonts w:ascii="Arial" w:hAnsi="Arial" w:cs="Arial"/>
          <w:sz w:val="22"/>
          <w:szCs w:val="22"/>
        </w:rPr>
        <w:t>, rectal bleeding</w:t>
      </w:r>
      <w:r w:rsidR="00E42A20" w:rsidRPr="00A1212F">
        <w:rPr>
          <w:rFonts w:ascii="Arial" w:hAnsi="Arial" w:cs="Arial"/>
          <w:sz w:val="22"/>
          <w:szCs w:val="22"/>
        </w:rPr>
        <w:t xml:space="preserve"> </w:t>
      </w:r>
      <w:r w:rsidR="005E0F0C" w:rsidRPr="00A1212F">
        <w:rPr>
          <w:rFonts w:ascii="Arial" w:hAnsi="Arial" w:cs="Arial"/>
          <w:sz w:val="22"/>
          <w:szCs w:val="22"/>
        </w:rPr>
        <w:t>(bleeding from your bottom)</w:t>
      </w:r>
      <w:r w:rsidRPr="00A1212F">
        <w:rPr>
          <w:rFonts w:ascii="Arial" w:hAnsi="Arial" w:cs="Arial"/>
          <w:sz w:val="22"/>
          <w:szCs w:val="22"/>
        </w:rPr>
        <w:t>, abdominal pain, and unexplained weight loss. Th</w:t>
      </w:r>
      <w:r w:rsidR="00E42A20" w:rsidRPr="00A1212F">
        <w:rPr>
          <w:rFonts w:ascii="Arial" w:hAnsi="Arial" w:cs="Arial"/>
          <w:sz w:val="22"/>
          <w:szCs w:val="22"/>
        </w:rPr>
        <w:t>is</w:t>
      </w:r>
      <w:r w:rsidRPr="00A1212F">
        <w:rPr>
          <w:rFonts w:ascii="Arial" w:hAnsi="Arial" w:cs="Arial"/>
          <w:sz w:val="22"/>
          <w:szCs w:val="22"/>
        </w:rPr>
        <w:t xml:space="preserve"> disease </w:t>
      </w:r>
      <w:r w:rsidR="00455D56" w:rsidRPr="00A1212F">
        <w:rPr>
          <w:rFonts w:ascii="Arial" w:hAnsi="Arial" w:cs="Arial"/>
          <w:sz w:val="22"/>
          <w:szCs w:val="22"/>
        </w:rPr>
        <w:t>primarily</w:t>
      </w:r>
      <w:r w:rsidRPr="00A1212F">
        <w:rPr>
          <w:rFonts w:ascii="Arial" w:hAnsi="Arial" w:cs="Arial"/>
          <w:sz w:val="22"/>
          <w:szCs w:val="22"/>
        </w:rPr>
        <w:t xml:space="preserve"> affects individuals over 50, although more than 2,600 cases are diagnosed in people under 50 each year (Been Let Down, 2025). </w:t>
      </w:r>
      <w:r w:rsidR="00AE2BAE" w:rsidRPr="00A1212F">
        <w:rPr>
          <w:rFonts w:ascii="Arial" w:hAnsi="Arial" w:cs="Arial"/>
          <w:sz w:val="22"/>
          <w:szCs w:val="22"/>
        </w:rPr>
        <w:t>Internationally</w:t>
      </w:r>
      <w:r w:rsidRPr="00A1212F">
        <w:rPr>
          <w:rFonts w:ascii="Arial" w:hAnsi="Arial" w:cs="Arial"/>
          <w:sz w:val="22"/>
          <w:szCs w:val="22"/>
        </w:rPr>
        <w:t xml:space="preserve">, colorectal cancer is the third most common cancer, with over 1.9 million new cases and 935,000 deaths reported in 2020 (World Health Organization, 2023). In the UK, bowel cancer causes approximately 17,400 deaths annually (Cancer Research UK, 2024). Despite its </w:t>
      </w:r>
      <w:r w:rsidR="00CB7912" w:rsidRPr="00A1212F">
        <w:rPr>
          <w:rFonts w:ascii="Arial" w:hAnsi="Arial" w:cs="Arial"/>
          <w:sz w:val="22"/>
          <w:szCs w:val="22"/>
        </w:rPr>
        <w:t>frequency</w:t>
      </w:r>
      <w:r w:rsidRPr="00A1212F">
        <w:rPr>
          <w:rFonts w:ascii="Arial" w:hAnsi="Arial" w:cs="Arial"/>
          <w:sz w:val="22"/>
          <w:szCs w:val="22"/>
        </w:rPr>
        <w:t>, 54% of cases are considered preventable through lifestyle changes and early screening. These statistics highlight the urgency of addressing bowel cancer through public health initiatives and healthcare system support.</w:t>
      </w:r>
      <w:r w:rsidR="00144BCE" w:rsidRPr="00A1212F">
        <w:rPr>
          <w:rFonts w:ascii="Arial" w:hAnsi="Arial" w:cs="Arial"/>
          <w:sz w:val="22"/>
          <w:szCs w:val="22"/>
        </w:rPr>
        <w:t xml:space="preserve"> </w:t>
      </w:r>
    </w:p>
    <w:p w14:paraId="195161DF" w14:textId="54840570"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Main Body</w:t>
      </w:r>
    </w:p>
    <w:p w14:paraId="62246527" w14:textId="77777777"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Impact on Individuals</w:t>
      </w:r>
    </w:p>
    <w:p w14:paraId="29496B67" w14:textId="7A1C18E9"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lastRenderedPageBreak/>
        <w:t xml:space="preserve">Bowel cancer has </w:t>
      </w:r>
      <w:r w:rsidR="004325DC" w:rsidRPr="00A1212F">
        <w:rPr>
          <w:rFonts w:ascii="Arial" w:hAnsi="Arial" w:cs="Arial"/>
          <w:sz w:val="22"/>
          <w:szCs w:val="22"/>
        </w:rPr>
        <w:t>deep</w:t>
      </w:r>
      <w:r w:rsidRPr="00A1212F">
        <w:rPr>
          <w:rFonts w:ascii="Arial" w:hAnsi="Arial" w:cs="Arial"/>
          <w:sz w:val="22"/>
          <w:szCs w:val="22"/>
        </w:rPr>
        <w:t xml:space="preserve"> physical, emotional, and social consequences for individuals. Physically, patients often undergo </w:t>
      </w:r>
      <w:r w:rsidR="004325DC" w:rsidRPr="00A1212F">
        <w:rPr>
          <w:rFonts w:ascii="Arial" w:hAnsi="Arial" w:cs="Arial"/>
          <w:sz w:val="22"/>
          <w:szCs w:val="22"/>
        </w:rPr>
        <w:t>persistent</w:t>
      </w:r>
      <w:r w:rsidRPr="00A1212F">
        <w:rPr>
          <w:rFonts w:ascii="Arial" w:hAnsi="Arial" w:cs="Arial"/>
          <w:sz w:val="22"/>
          <w:szCs w:val="22"/>
        </w:rPr>
        <w:t xml:space="preserve"> treatments such as surgery, chemotherapy, and radiotherapy. These interventions can lead to long-term complications including bowel dysfunction, fatigue, and neuropathy. For example, surgical removal of part of the colon may result in a stoma</w:t>
      </w:r>
      <w:r w:rsidR="00A730E7" w:rsidRPr="00A1212F">
        <w:rPr>
          <w:rFonts w:ascii="Arial" w:hAnsi="Arial" w:cs="Arial"/>
          <w:sz w:val="22"/>
          <w:szCs w:val="22"/>
        </w:rPr>
        <w:t xml:space="preserve"> </w:t>
      </w:r>
      <w:r w:rsidR="007D14B0" w:rsidRPr="00A1212F">
        <w:rPr>
          <w:rFonts w:ascii="Arial" w:hAnsi="Arial" w:cs="Arial"/>
          <w:sz w:val="22"/>
          <w:szCs w:val="22"/>
        </w:rPr>
        <w:t>(a bag where the waste</w:t>
      </w:r>
      <w:r w:rsidR="00B001B7" w:rsidRPr="00A1212F">
        <w:rPr>
          <w:rFonts w:ascii="Arial" w:hAnsi="Arial" w:cs="Arial"/>
          <w:sz w:val="22"/>
          <w:szCs w:val="22"/>
        </w:rPr>
        <w:t xml:space="preserve"> will be collected into)</w:t>
      </w:r>
      <w:r w:rsidRPr="00A1212F">
        <w:rPr>
          <w:rFonts w:ascii="Arial" w:hAnsi="Arial" w:cs="Arial"/>
          <w:sz w:val="22"/>
          <w:szCs w:val="22"/>
        </w:rPr>
        <w:t>, which can significantly alter a patient’s lifestyle and self-image.</w:t>
      </w:r>
    </w:p>
    <w:p w14:paraId="00AA06EB"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Psychologically, the diagnosis and treatment process can trigger anxiety, depression, and fear of recurrence. Survivors frequently report emotional distress and social isolation, particularly when dealing with visible changes like stomas or hair loss from chemotherapy. Employment challenges are also common, as ongoing health issues may limit work capacity or lead to discrimination.</w:t>
      </w:r>
    </w:p>
    <w:p w14:paraId="15D81734"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Socially, bowel cancer can strain relationships and reduce participation in community activities. The stigma surrounding bowel symptoms often discourages open discussion, delaying diagnosis and increas</w:t>
      </w:r>
      <w:r w:rsidRPr="00A1212F">
        <w:rPr>
          <w:rFonts w:ascii="Arial" w:hAnsi="Arial" w:cs="Arial"/>
          <w:sz w:val="22"/>
          <w:szCs w:val="22"/>
        </w:rPr>
        <w:lastRenderedPageBreak/>
        <w:t>ing emotional burden. Support groups and counselling services play a crucial role in helping patients navigate these challenges.</w:t>
      </w:r>
    </w:p>
    <w:p w14:paraId="1DFED15A" w14:textId="77777777"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Impact on the NHS</w:t>
      </w:r>
    </w:p>
    <w:p w14:paraId="53B23629"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The NHS faces significant pressure from bowel cancer in terms of diagnosis, treatment, and long-term care. According to the National Bowel Cancer Audit, only 40% of cases are diagnosed at early stages (1 and 2), limiting treatment success and increasing costs (Bowel Cancer UK, 2025). Late-stage diagnoses often require emergency surgeries and intensive care, which are more resource-intensive and less effective.</w:t>
      </w:r>
    </w:p>
    <w:p w14:paraId="76D49786"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 xml:space="preserve">Financially, bowel cancer contributes substantially to NHS cancer care costs. Treatment involves multidisciplinary teams, advanced imaging, surgical procedures, and prolonged hospital stays. The NHS Bowel Cancer Screening Programme (BCSP) aims to detect cancer early, but uptake varies by region and </w:t>
      </w:r>
      <w:r w:rsidRPr="00A1212F">
        <w:rPr>
          <w:rFonts w:ascii="Arial" w:hAnsi="Arial" w:cs="Arial"/>
          <w:sz w:val="22"/>
          <w:szCs w:val="22"/>
        </w:rPr>
        <w:lastRenderedPageBreak/>
        <w:t>demographic group. In 2021–2022, screening coverage was below target in several areas, highlighting inequalities in access (</w:t>
      </w:r>
      <w:hyperlink r:id="rId8" w:tgtFrame="_blank" w:history="1">
        <w:r w:rsidRPr="00A1212F">
          <w:rPr>
            <w:rStyle w:val="Hyperlink"/>
            <w:rFonts w:ascii="Arial" w:hAnsi="Arial" w:cs="Arial"/>
            <w:sz w:val="22"/>
            <w:szCs w:val="22"/>
          </w:rPr>
          <w:t>GOV.UK</w:t>
        </w:r>
      </w:hyperlink>
      <w:r w:rsidRPr="00A1212F">
        <w:rPr>
          <w:rFonts w:ascii="Arial" w:hAnsi="Arial" w:cs="Arial"/>
          <w:sz w:val="22"/>
          <w:szCs w:val="22"/>
        </w:rPr>
        <w:t>, 2024).</w:t>
      </w:r>
    </w:p>
    <w:p w14:paraId="54C5E2EB"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Workforce shortages further exacerbate the issue. Delays in diagnostic procedures such as colonoscopies and CT scans can postpone treatment, worsening outcomes. Additionally, medical negligence claims related to missed diagnoses reveal systemic gaps in care delivery (Been Let Down, 2025). Addressing these challenges requires investment in infrastructure, training, and equitable access to services.</w:t>
      </w:r>
    </w:p>
    <w:p w14:paraId="469F394C" w14:textId="77777777"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Control Measures</w:t>
      </w:r>
    </w:p>
    <w:p w14:paraId="6565EFF9" w14:textId="4263E0C2"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Screening and Early Detection</w:t>
      </w:r>
      <w:r w:rsidRPr="00A1212F">
        <w:rPr>
          <w:rFonts w:ascii="Arial" w:hAnsi="Arial" w:cs="Arial"/>
          <w:sz w:val="22"/>
          <w:szCs w:val="22"/>
        </w:rPr>
        <w:t> </w:t>
      </w:r>
      <w:r w:rsidR="00A17130" w:rsidRPr="00A1212F">
        <w:rPr>
          <w:rFonts w:ascii="Arial" w:hAnsi="Arial" w:cs="Arial"/>
          <w:sz w:val="22"/>
          <w:szCs w:val="22"/>
        </w:rPr>
        <w:t>the</w:t>
      </w:r>
      <w:r w:rsidRPr="00A1212F">
        <w:rPr>
          <w:rFonts w:ascii="Arial" w:hAnsi="Arial" w:cs="Arial"/>
          <w:sz w:val="22"/>
          <w:szCs w:val="22"/>
        </w:rPr>
        <w:t xml:space="preserve"> NHS offers free bowel cancer screening to individuals aged 60–74, with plans to expand to younger age groups. Screening involves a fecal immunochemical test (FIT), which detects blood in stool. Early detection significantly improves survival rates—53.9% of patients survive 10 or more years if diagnosed early (Cancer Research UK, 2024).</w:t>
      </w:r>
    </w:p>
    <w:p w14:paraId="12B41BB8"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lastRenderedPageBreak/>
        <w:t>Despite its effectiveness, screening uptake remains inconsistent. Cultural beliefs, health literacy, and socioeconomic factors influence participation. Public health campaigns aim to raise awareness and encourage engagement, but further efforts are needed to reach underserved populations.</w:t>
      </w:r>
    </w:p>
    <w:p w14:paraId="229829C7" w14:textId="77777777"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Treatment Advances</w:t>
      </w:r>
      <w:r w:rsidRPr="00A1212F">
        <w:rPr>
          <w:rFonts w:ascii="Arial" w:hAnsi="Arial" w:cs="Arial"/>
          <w:sz w:val="22"/>
          <w:szCs w:val="22"/>
        </w:rPr>
        <w:t> Modern treatments include laparoscopic surgery, targeted therapies, and immunotherapy. These approaches reduce recovery time and improve outcomes. Multidisciplinary teams ensure personalized care plans, integrating oncologists, surgeons, dietitians, and mental health professionals.</w:t>
      </w:r>
    </w:p>
    <w:p w14:paraId="42877928"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Post-treatment rehabilitation is increasingly recognized as essential. Services such as stoma care, physiotherapy, and psychological support help patients regain independence and improve quality of life. The NHS is working to embed these services into cancer care pathways.</w:t>
      </w:r>
    </w:p>
    <w:p w14:paraId="623FC068" w14:textId="0407DE9C"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Public Health Campaigns</w:t>
      </w:r>
      <w:r w:rsidRPr="00A1212F">
        <w:rPr>
          <w:rFonts w:ascii="Arial" w:hAnsi="Arial" w:cs="Arial"/>
          <w:sz w:val="22"/>
          <w:szCs w:val="22"/>
        </w:rPr>
        <w:t xml:space="preserve"> Awareness initiatives like “Beating Bowel Cancer” promote symptom recognition and screening participation. Campaigns emphasize lifestyle changes—such as increasing </w:t>
      </w:r>
      <w:r w:rsidR="007F506C" w:rsidRPr="00A1212F">
        <w:rPr>
          <w:rFonts w:ascii="Arial" w:hAnsi="Arial" w:cs="Arial"/>
          <w:sz w:val="22"/>
          <w:szCs w:val="22"/>
        </w:rPr>
        <w:t>fibre</w:t>
      </w:r>
      <w:r w:rsidRPr="00A1212F">
        <w:rPr>
          <w:rFonts w:ascii="Arial" w:hAnsi="Arial" w:cs="Arial"/>
          <w:sz w:val="22"/>
          <w:szCs w:val="22"/>
        </w:rPr>
        <w:t xml:space="preserve"> </w:t>
      </w:r>
      <w:r w:rsidRPr="00A1212F">
        <w:rPr>
          <w:rFonts w:ascii="Arial" w:hAnsi="Arial" w:cs="Arial"/>
          <w:sz w:val="22"/>
          <w:szCs w:val="22"/>
        </w:rPr>
        <w:lastRenderedPageBreak/>
        <w:t>intake, reducing red meat consumption, quitting smoking, and exercising regularly—as key preventive measures.</w:t>
      </w:r>
    </w:p>
    <w:p w14:paraId="3436FF00" w14:textId="77777777" w:rsidR="0006537D" w:rsidRPr="00A1212F" w:rsidRDefault="0006537D" w:rsidP="00842986">
      <w:pPr>
        <w:spacing w:line="360" w:lineRule="auto"/>
        <w:rPr>
          <w:rFonts w:ascii="Arial" w:hAnsi="Arial" w:cs="Arial"/>
          <w:sz w:val="22"/>
          <w:szCs w:val="22"/>
        </w:rPr>
      </w:pPr>
      <w:r w:rsidRPr="00A1212F">
        <w:rPr>
          <w:rFonts w:ascii="Arial" w:hAnsi="Arial" w:cs="Arial"/>
          <w:sz w:val="22"/>
          <w:szCs w:val="22"/>
        </w:rPr>
        <w:t>Things the people can do to reduce the risk of Bowel Cancel or limit their chances in getting it.</w:t>
      </w:r>
    </w:p>
    <w:p w14:paraId="3CE17EF0" w14:textId="77777777" w:rsidR="0006537D" w:rsidRPr="00A1212F" w:rsidRDefault="0006537D" w:rsidP="00842986">
      <w:pPr>
        <w:spacing w:line="360" w:lineRule="auto"/>
        <w:rPr>
          <w:rFonts w:ascii="Arial" w:hAnsi="Arial" w:cs="Arial"/>
          <w:sz w:val="22"/>
          <w:szCs w:val="22"/>
        </w:rPr>
      </w:pPr>
      <w:r w:rsidRPr="00A1212F">
        <w:rPr>
          <w:rFonts w:ascii="Arial" w:hAnsi="Arial" w:cs="Arial"/>
          <w:sz w:val="22"/>
          <w:szCs w:val="22"/>
        </w:rPr>
        <w:t xml:space="preserve">Reducing the risk involves: </w:t>
      </w:r>
    </w:p>
    <w:p w14:paraId="31CF9228" w14:textId="77777777" w:rsidR="0006537D" w:rsidRPr="00A1212F" w:rsidRDefault="0006537D" w:rsidP="00842986">
      <w:pPr>
        <w:pStyle w:val="ListParagraph"/>
        <w:numPr>
          <w:ilvl w:val="0"/>
          <w:numId w:val="1"/>
        </w:numPr>
        <w:spacing w:line="360" w:lineRule="auto"/>
        <w:rPr>
          <w:rFonts w:ascii="Arial" w:hAnsi="Arial" w:cs="Arial"/>
          <w:sz w:val="22"/>
          <w:szCs w:val="22"/>
        </w:rPr>
      </w:pPr>
      <w:r w:rsidRPr="00A1212F">
        <w:rPr>
          <w:rFonts w:ascii="Arial" w:hAnsi="Arial" w:cs="Arial"/>
          <w:sz w:val="22"/>
          <w:szCs w:val="22"/>
        </w:rPr>
        <w:t>Healthy eating - Limiting red meat and processed foods</w:t>
      </w:r>
    </w:p>
    <w:p w14:paraId="0326E1A0" w14:textId="77777777" w:rsidR="0006537D" w:rsidRPr="00A1212F" w:rsidRDefault="0006537D" w:rsidP="00842986">
      <w:pPr>
        <w:pStyle w:val="ListParagraph"/>
        <w:numPr>
          <w:ilvl w:val="0"/>
          <w:numId w:val="1"/>
        </w:numPr>
        <w:spacing w:line="360" w:lineRule="auto"/>
        <w:rPr>
          <w:rFonts w:ascii="Arial" w:hAnsi="Arial" w:cs="Arial"/>
          <w:sz w:val="22"/>
          <w:szCs w:val="22"/>
        </w:rPr>
      </w:pPr>
      <w:r w:rsidRPr="00A1212F">
        <w:rPr>
          <w:rFonts w:ascii="Arial" w:hAnsi="Arial" w:cs="Arial"/>
          <w:sz w:val="22"/>
          <w:szCs w:val="22"/>
        </w:rPr>
        <w:t xml:space="preserve">Staying active – regular exercise </w:t>
      </w:r>
    </w:p>
    <w:p w14:paraId="05AA697B" w14:textId="77777777" w:rsidR="0006537D" w:rsidRPr="00A1212F" w:rsidRDefault="0006537D" w:rsidP="00842986">
      <w:pPr>
        <w:pStyle w:val="ListParagraph"/>
        <w:numPr>
          <w:ilvl w:val="0"/>
          <w:numId w:val="1"/>
        </w:numPr>
        <w:spacing w:line="360" w:lineRule="auto"/>
        <w:rPr>
          <w:rFonts w:ascii="Arial" w:hAnsi="Arial" w:cs="Arial"/>
          <w:sz w:val="22"/>
          <w:szCs w:val="22"/>
        </w:rPr>
      </w:pPr>
      <w:r w:rsidRPr="00A1212F">
        <w:rPr>
          <w:rFonts w:ascii="Arial" w:hAnsi="Arial" w:cs="Arial"/>
          <w:sz w:val="22"/>
          <w:szCs w:val="22"/>
        </w:rPr>
        <w:t>Maintain a healthy weight- watching your weight</w:t>
      </w:r>
    </w:p>
    <w:p w14:paraId="759D498E" w14:textId="77777777" w:rsidR="0006537D" w:rsidRPr="00A1212F" w:rsidRDefault="0006537D" w:rsidP="00842986">
      <w:pPr>
        <w:pStyle w:val="ListParagraph"/>
        <w:numPr>
          <w:ilvl w:val="0"/>
          <w:numId w:val="1"/>
        </w:numPr>
        <w:spacing w:line="360" w:lineRule="auto"/>
        <w:rPr>
          <w:rFonts w:ascii="Arial" w:hAnsi="Arial" w:cs="Arial"/>
          <w:sz w:val="22"/>
          <w:szCs w:val="22"/>
        </w:rPr>
      </w:pPr>
      <w:r w:rsidRPr="00A1212F">
        <w:rPr>
          <w:rFonts w:ascii="Arial" w:hAnsi="Arial" w:cs="Arial"/>
          <w:sz w:val="22"/>
          <w:szCs w:val="22"/>
        </w:rPr>
        <w:t xml:space="preserve">Quit smoking- smoking is a risk factor </w:t>
      </w:r>
    </w:p>
    <w:p w14:paraId="2E1BD46C" w14:textId="77777777" w:rsidR="0006537D" w:rsidRPr="00A1212F" w:rsidRDefault="0006537D" w:rsidP="00842986">
      <w:pPr>
        <w:pStyle w:val="ListParagraph"/>
        <w:numPr>
          <w:ilvl w:val="0"/>
          <w:numId w:val="1"/>
        </w:numPr>
        <w:spacing w:line="360" w:lineRule="auto"/>
        <w:rPr>
          <w:rFonts w:ascii="Arial" w:hAnsi="Arial" w:cs="Arial"/>
          <w:sz w:val="22"/>
          <w:szCs w:val="22"/>
        </w:rPr>
      </w:pPr>
      <w:r w:rsidRPr="00A1212F">
        <w:rPr>
          <w:rFonts w:ascii="Arial" w:hAnsi="Arial" w:cs="Arial"/>
          <w:sz w:val="22"/>
          <w:szCs w:val="22"/>
        </w:rPr>
        <w:t>Drink less alcohol- limit your intake</w:t>
      </w:r>
    </w:p>
    <w:p w14:paraId="42C53D8F"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lastRenderedPageBreak/>
        <w:t>Government policies also support prevention. The UK’s obesity strategy, for example, addresses dietary habits and physical activity, both of which influence bowel cancer risk. Collaboration between healthcare providers, schools, and community organizations is vital to sustaining these efforts.</w:t>
      </w:r>
    </w:p>
    <w:p w14:paraId="23D76062" w14:textId="77777777"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Factors Influencing Health and Well-being</w:t>
      </w:r>
    </w:p>
    <w:p w14:paraId="18994361" w14:textId="4ACA4F78"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Socioeconomic Inequality</w:t>
      </w:r>
      <w:r w:rsidRPr="00A1212F">
        <w:rPr>
          <w:rFonts w:ascii="Arial" w:hAnsi="Arial" w:cs="Arial"/>
          <w:sz w:val="22"/>
          <w:szCs w:val="22"/>
        </w:rPr>
        <w:t xml:space="preserve"> Lower-income populations face barriers to screening, healthy food, and timely care. These </w:t>
      </w:r>
      <w:r w:rsidR="0006537D" w:rsidRPr="00A1212F">
        <w:rPr>
          <w:rFonts w:ascii="Arial" w:hAnsi="Arial" w:cs="Arial"/>
          <w:sz w:val="22"/>
          <w:szCs w:val="22"/>
        </w:rPr>
        <w:t>discrepancies</w:t>
      </w:r>
      <w:r w:rsidRPr="00A1212F">
        <w:rPr>
          <w:rFonts w:ascii="Arial" w:hAnsi="Arial" w:cs="Arial"/>
          <w:sz w:val="22"/>
          <w:szCs w:val="22"/>
        </w:rPr>
        <w:t xml:space="preserve"> contribute to late-stage diagnoses and poorer outcomes. For instance, individuals in deprived areas are less likely to participate in screening and more likely to present with advanced disease.</w:t>
      </w:r>
    </w:p>
    <w:p w14:paraId="4ABAA76B" w14:textId="77777777"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Age and Genetics</w:t>
      </w:r>
      <w:r w:rsidRPr="00A1212F">
        <w:rPr>
          <w:rFonts w:ascii="Arial" w:hAnsi="Arial" w:cs="Arial"/>
          <w:sz w:val="22"/>
          <w:szCs w:val="22"/>
        </w:rPr>
        <w:t> While most cases occur in older adults, genetic predispositions like Lynch syndrome increase risk in younger individuals. Family history is a key factor in screening recommendations. Genetic counselling and testing are available through NHS services for high-risk families.</w:t>
      </w:r>
    </w:p>
    <w:p w14:paraId="75B5A323" w14:textId="77777777"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lastRenderedPageBreak/>
        <w:t>Cultural and Educational Barriers</w:t>
      </w:r>
      <w:r w:rsidRPr="00A1212F">
        <w:rPr>
          <w:rFonts w:ascii="Arial" w:hAnsi="Arial" w:cs="Arial"/>
          <w:sz w:val="22"/>
          <w:szCs w:val="22"/>
        </w:rPr>
        <w:t> Health literacy affects symptom recognition and screening uptake. Cultural beliefs may discourage discussion of bowel symptoms, delaying diagnosis. Language barriers and mistrust of medical institutions further hinder access to care.</w:t>
      </w:r>
    </w:p>
    <w:p w14:paraId="54406BCD" w14:textId="6320B74B"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Environmental and Occupational Risks</w:t>
      </w:r>
      <w:r w:rsidRPr="00A1212F">
        <w:rPr>
          <w:rFonts w:ascii="Arial" w:hAnsi="Arial" w:cs="Arial"/>
          <w:sz w:val="22"/>
          <w:szCs w:val="22"/>
        </w:rPr>
        <w:t xml:space="preserve"> Exposure to carcinogens </w:t>
      </w:r>
      <w:r w:rsidR="00825B53" w:rsidRPr="00A1212F">
        <w:rPr>
          <w:rFonts w:ascii="Arial" w:hAnsi="Arial" w:cs="Arial"/>
          <w:sz w:val="22"/>
          <w:szCs w:val="22"/>
        </w:rPr>
        <w:t>(</w:t>
      </w:r>
      <w:r w:rsidR="00D50F60" w:rsidRPr="00A1212F">
        <w:rPr>
          <w:rFonts w:ascii="Arial" w:hAnsi="Arial" w:cs="Arial"/>
          <w:sz w:val="22"/>
          <w:szCs w:val="22"/>
        </w:rPr>
        <w:t>cancerous</w:t>
      </w:r>
      <w:r w:rsidR="00825B53" w:rsidRPr="00A1212F">
        <w:rPr>
          <w:rFonts w:ascii="Arial" w:hAnsi="Arial" w:cs="Arial"/>
          <w:sz w:val="22"/>
          <w:szCs w:val="22"/>
        </w:rPr>
        <w:t xml:space="preserve"> </w:t>
      </w:r>
      <w:r w:rsidR="00D50F60" w:rsidRPr="00A1212F">
        <w:rPr>
          <w:rFonts w:ascii="Arial" w:hAnsi="Arial" w:cs="Arial"/>
          <w:sz w:val="22"/>
          <w:szCs w:val="22"/>
        </w:rPr>
        <w:t xml:space="preserve">chemicals) </w:t>
      </w:r>
      <w:r w:rsidRPr="00A1212F">
        <w:rPr>
          <w:rFonts w:ascii="Arial" w:hAnsi="Arial" w:cs="Arial"/>
          <w:sz w:val="22"/>
          <w:szCs w:val="22"/>
        </w:rPr>
        <w:t>in certain industries and sedentary lifestyles contribute to increased risk. Urban areas with limited access to fresh produce and exercise facilities also see higher incidence rates. Environmental policies and urban planning can help mitigate these risks.</w:t>
      </w:r>
    </w:p>
    <w:p w14:paraId="46747B80" w14:textId="77777777" w:rsidR="00BF1E21" w:rsidRPr="00A1212F" w:rsidRDefault="00BF1E21" w:rsidP="00842986">
      <w:pPr>
        <w:spacing w:line="360" w:lineRule="auto"/>
        <w:rPr>
          <w:rFonts w:ascii="Arial" w:hAnsi="Arial" w:cs="Arial"/>
          <w:sz w:val="22"/>
          <w:szCs w:val="22"/>
        </w:rPr>
      </w:pPr>
      <w:r w:rsidRPr="00A1212F">
        <w:rPr>
          <w:rFonts w:ascii="Arial" w:hAnsi="Arial" w:cs="Arial"/>
          <w:b/>
          <w:bCs/>
          <w:sz w:val="22"/>
          <w:szCs w:val="22"/>
        </w:rPr>
        <w:t>Mental Health and Social Support</w:t>
      </w:r>
      <w:r w:rsidRPr="00A1212F">
        <w:rPr>
          <w:rFonts w:ascii="Arial" w:hAnsi="Arial" w:cs="Arial"/>
          <w:sz w:val="22"/>
          <w:szCs w:val="22"/>
        </w:rPr>
        <w:t> Mental health plays a crucial role in coping with bowel cancer. Depression and anxiety can affect treatment adherence and recovery. Social support from family, friends, and healthcare providers improves resilience and outcomes. Integrating mental health services into cancer care is essential.</w:t>
      </w:r>
    </w:p>
    <w:p w14:paraId="7DB2CA25" w14:textId="77777777"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Challenges and Systemic Issues</w:t>
      </w:r>
    </w:p>
    <w:p w14:paraId="4F01D5D1" w14:textId="15B75104"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lastRenderedPageBreak/>
        <w:t xml:space="preserve">Despite improvements, challenges persist. The National Bowel Cancer Audit highlights regional variations in care quality and outcomes. Some hospitals achieve high early diagnosis rates, while others lag behind. Standardizing care protocols and sharing best practices can reduce these </w:t>
      </w:r>
      <w:r w:rsidR="00C74244" w:rsidRPr="00A1212F">
        <w:rPr>
          <w:rFonts w:ascii="Arial" w:hAnsi="Arial" w:cs="Arial"/>
          <w:sz w:val="22"/>
          <w:szCs w:val="22"/>
        </w:rPr>
        <w:t>differences</w:t>
      </w:r>
      <w:r w:rsidRPr="00A1212F">
        <w:rPr>
          <w:rFonts w:ascii="Arial" w:hAnsi="Arial" w:cs="Arial"/>
          <w:sz w:val="22"/>
          <w:szCs w:val="22"/>
        </w:rPr>
        <w:t>.</w:t>
      </w:r>
    </w:p>
    <w:p w14:paraId="14748DD1"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Workforce shortages in oncology and diagnostics delay treatment and reduce patient satisfaction. Training and retention strategies are needed to build capacity. Additionally, digital tools such as AI-assisted diagnostics and remote monitoring offer potential solutions but require investment and regulation.</w:t>
      </w:r>
    </w:p>
    <w:p w14:paraId="56714B10" w14:textId="77777777"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Medical negligence claims related to missed diagnoses reveal systemic gaps. These cases often involve failure to recognize symptoms or delays in referral. Improving GP training and diagnostic pathways can prevent such errors and enhance patient safety.</w:t>
      </w:r>
    </w:p>
    <w:p w14:paraId="2E257E45" w14:textId="388CAE8F" w:rsidR="00BF1E21" w:rsidRPr="00A1212F" w:rsidRDefault="00BF1E21" w:rsidP="00842986">
      <w:pPr>
        <w:spacing w:line="360" w:lineRule="auto"/>
        <w:rPr>
          <w:rFonts w:ascii="Arial" w:hAnsi="Arial" w:cs="Arial"/>
          <w:sz w:val="22"/>
          <w:szCs w:val="22"/>
        </w:rPr>
      </w:pPr>
      <w:r w:rsidRPr="00A1212F">
        <w:rPr>
          <w:rFonts w:ascii="Arial" w:hAnsi="Arial" w:cs="Arial"/>
          <w:sz w:val="22"/>
          <w:szCs w:val="22"/>
        </w:rPr>
        <w:t>Public engagement remains a challenge. Many individuals are unaware of screening programmes or reluctant to participate. Tailored communication strategies, including multilingual materials and community outreach, can improve uptake.</w:t>
      </w:r>
    </w:p>
    <w:tbl>
      <w:tblPr>
        <w:tblW w:w="0" w:type="auto"/>
        <w:tblCellMar>
          <w:top w:w="15" w:type="dxa"/>
          <w:left w:w="15" w:type="dxa"/>
          <w:bottom w:w="15" w:type="dxa"/>
          <w:right w:w="15" w:type="dxa"/>
        </w:tblCellMar>
        <w:tblLook w:val="04A0" w:firstRow="1" w:lastRow="0" w:firstColumn="1" w:lastColumn="0" w:noHBand="0" w:noVBand="1"/>
      </w:tblPr>
      <w:tblGrid>
        <w:gridCol w:w="595"/>
        <w:gridCol w:w="8431"/>
      </w:tblGrid>
      <w:tr w:rsidR="00BF1E21" w:rsidRPr="00A1212F" w14:paraId="6A8A898C" w14:textId="77777777" w:rsidTr="00BF1E21">
        <w:tc>
          <w:tcPr>
            <w:tcW w:w="595" w:type="dxa"/>
            <w:tcMar>
              <w:top w:w="0" w:type="dxa"/>
              <w:left w:w="240" w:type="dxa"/>
              <w:bottom w:w="0" w:type="dxa"/>
              <w:right w:w="240" w:type="dxa"/>
            </w:tcMar>
            <w:hideMark/>
          </w:tcPr>
          <w:p w14:paraId="6F69DDE0" w14:textId="1B7207C0" w:rsidR="00BF1E21" w:rsidRPr="00A1212F" w:rsidRDefault="00BF1E21" w:rsidP="00842986">
            <w:pPr>
              <w:spacing w:line="360" w:lineRule="auto"/>
              <w:rPr>
                <w:rFonts w:ascii="Arial" w:hAnsi="Arial" w:cs="Arial"/>
                <w:sz w:val="22"/>
                <w:szCs w:val="22"/>
              </w:rPr>
            </w:pPr>
          </w:p>
        </w:tc>
        <w:tc>
          <w:tcPr>
            <w:tcW w:w="8431" w:type="dxa"/>
            <w:tcMar>
              <w:top w:w="0" w:type="dxa"/>
              <w:left w:w="0" w:type="dxa"/>
              <w:bottom w:w="0" w:type="dxa"/>
              <w:right w:w="0" w:type="dxa"/>
            </w:tcMar>
            <w:vAlign w:val="center"/>
            <w:hideMark/>
          </w:tcPr>
          <w:p w14:paraId="4B71DF26" w14:textId="77777777" w:rsidR="00BF1E21" w:rsidRPr="00A1212F" w:rsidRDefault="00BF1E21" w:rsidP="00842986">
            <w:pPr>
              <w:spacing w:line="360" w:lineRule="auto"/>
              <w:rPr>
                <w:rFonts w:ascii="Arial" w:hAnsi="Arial" w:cs="Arial"/>
                <w:sz w:val="22"/>
                <w:szCs w:val="22"/>
              </w:rPr>
            </w:pPr>
          </w:p>
        </w:tc>
      </w:tr>
    </w:tbl>
    <w:p w14:paraId="1E30F366" w14:textId="69C20A32" w:rsidR="00BF1E21" w:rsidRPr="00A1212F" w:rsidRDefault="00BF1E21" w:rsidP="00842986">
      <w:pPr>
        <w:spacing w:line="360" w:lineRule="auto"/>
        <w:rPr>
          <w:rFonts w:ascii="Arial" w:hAnsi="Arial" w:cs="Arial"/>
          <w:b/>
          <w:bCs/>
          <w:sz w:val="22"/>
          <w:szCs w:val="22"/>
        </w:rPr>
      </w:pPr>
      <w:r w:rsidRPr="00A1212F">
        <w:rPr>
          <w:rFonts w:ascii="Arial" w:hAnsi="Arial" w:cs="Arial"/>
          <w:b/>
          <w:bCs/>
          <w:sz w:val="22"/>
          <w:szCs w:val="22"/>
        </w:rPr>
        <w:t xml:space="preserve">Conclusion </w:t>
      </w:r>
    </w:p>
    <w:p w14:paraId="00F2D607" w14:textId="77777777" w:rsidR="00603C67" w:rsidRDefault="00BF1E21" w:rsidP="00603C67">
      <w:pPr>
        <w:spacing w:line="360" w:lineRule="auto"/>
        <w:rPr>
          <w:rFonts w:ascii="Arial" w:hAnsi="Arial" w:cs="Arial"/>
          <w:sz w:val="22"/>
          <w:szCs w:val="22"/>
        </w:rPr>
      </w:pPr>
      <w:r w:rsidRPr="00A1212F">
        <w:rPr>
          <w:rFonts w:ascii="Arial" w:hAnsi="Arial" w:cs="Arial"/>
          <w:sz w:val="22"/>
          <w:szCs w:val="22"/>
        </w:rPr>
        <w:t>Bowel cancer remains a major public health concern in the UK, affecting tens of thousands annually and placing immense pressure on the NHS. While screening and treatment advances have improved outcomes, disparities in access and awareness continue to hinder progress. Early diagnosis is critical, yet only a minority of cases are detected at early stages. Tackling bowel cancer requires a multifaceted approach—enhancing screening programmes, reducing health inequalities, and investing in public education. Empowering individuals to recognize symptoms and seek timely care, alongside systemic reforms, will be key to reducing the burden of bowel cancer and improving survival rates across the UK. Collaboration between healthcare providers, policymakers, and communities is essential to create a more equitable and effective response to this pressing health issue</w:t>
      </w:r>
      <w:r w:rsidR="003E7375" w:rsidRPr="00A1212F">
        <w:rPr>
          <w:rFonts w:ascii="Arial" w:hAnsi="Arial" w:cs="Arial"/>
          <w:sz w:val="22"/>
          <w:szCs w:val="22"/>
        </w:rPr>
        <w:t>. We need to remember that bowel cancer is still more common in people over 50, so everyone should be aware</w:t>
      </w:r>
      <w:r w:rsidR="008652C4" w:rsidRPr="00A1212F">
        <w:rPr>
          <w:rFonts w:ascii="Arial" w:hAnsi="Arial" w:cs="Arial"/>
          <w:sz w:val="22"/>
          <w:szCs w:val="22"/>
        </w:rPr>
        <w:t xml:space="preserve"> of the risks and symptoms and if you notice something go see a doctor.</w:t>
      </w:r>
    </w:p>
    <w:p w14:paraId="283A6E41" w14:textId="77777777" w:rsidR="00603C67" w:rsidRDefault="00603C67" w:rsidP="00603C67">
      <w:pPr>
        <w:spacing w:line="360" w:lineRule="auto"/>
        <w:rPr>
          <w:rFonts w:ascii="Arial" w:hAnsi="Arial" w:cs="Arial"/>
          <w:sz w:val="22"/>
          <w:szCs w:val="22"/>
        </w:rPr>
      </w:pPr>
    </w:p>
    <w:p w14:paraId="3F17CA5E" w14:textId="77777777" w:rsidR="00084A18" w:rsidRDefault="00084A18" w:rsidP="00603C67">
      <w:pPr>
        <w:spacing w:line="360" w:lineRule="auto"/>
        <w:rPr>
          <w:b/>
          <w:bCs/>
        </w:rPr>
      </w:pPr>
    </w:p>
    <w:p w14:paraId="421A3608" w14:textId="77777777" w:rsidR="00084A18" w:rsidRDefault="00084A18" w:rsidP="00603C67">
      <w:pPr>
        <w:spacing w:line="360" w:lineRule="auto"/>
        <w:rPr>
          <w:b/>
          <w:bCs/>
        </w:rPr>
      </w:pPr>
    </w:p>
    <w:p w14:paraId="1069E875" w14:textId="77777777" w:rsidR="00084A18" w:rsidRDefault="00084A18" w:rsidP="00603C67">
      <w:pPr>
        <w:spacing w:line="360" w:lineRule="auto"/>
        <w:rPr>
          <w:b/>
          <w:bCs/>
        </w:rPr>
      </w:pPr>
    </w:p>
    <w:p w14:paraId="1E6790F6" w14:textId="77777777" w:rsidR="00084A18" w:rsidRDefault="00084A18" w:rsidP="00603C67">
      <w:pPr>
        <w:spacing w:line="360" w:lineRule="auto"/>
        <w:rPr>
          <w:b/>
          <w:bCs/>
        </w:rPr>
      </w:pPr>
    </w:p>
    <w:p w14:paraId="212DB698" w14:textId="77777777" w:rsidR="00084A18" w:rsidRDefault="00084A18" w:rsidP="00603C67">
      <w:pPr>
        <w:spacing w:line="360" w:lineRule="auto"/>
        <w:rPr>
          <w:b/>
          <w:bCs/>
        </w:rPr>
      </w:pPr>
    </w:p>
    <w:p w14:paraId="5279CA0D" w14:textId="77777777" w:rsidR="00084A18" w:rsidRDefault="00084A18" w:rsidP="00603C67">
      <w:pPr>
        <w:spacing w:line="360" w:lineRule="auto"/>
        <w:rPr>
          <w:b/>
          <w:bCs/>
        </w:rPr>
      </w:pPr>
    </w:p>
    <w:p w14:paraId="024FEA37" w14:textId="77777777" w:rsidR="00084A18" w:rsidRDefault="00084A18" w:rsidP="00603C67">
      <w:pPr>
        <w:spacing w:line="360" w:lineRule="auto"/>
        <w:rPr>
          <w:b/>
          <w:bCs/>
        </w:rPr>
      </w:pPr>
    </w:p>
    <w:p w14:paraId="72E12E1C" w14:textId="77777777" w:rsidR="00084A18" w:rsidRDefault="00084A18" w:rsidP="00603C67">
      <w:pPr>
        <w:spacing w:line="360" w:lineRule="auto"/>
        <w:rPr>
          <w:b/>
          <w:bCs/>
        </w:rPr>
      </w:pPr>
    </w:p>
    <w:p w14:paraId="3DAF88E8" w14:textId="77777777" w:rsidR="00084A18" w:rsidRDefault="00084A18" w:rsidP="00603C67">
      <w:pPr>
        <w:spacing w:line="360" w:lineRule="auto"/>
        <w:rPr>
          <w:b/>
          <w:bCs/>
        </w:rPr>
      </w:pPr>
    </w:p>
    <w:p w14:paraId="0A174FEE" w14:textId="77777777" w:rsidR="00084A18" w:rsidRDefault="00084A18" w:rsidP="00603C67">
      <w:pPr>
        <w:spacing w:line="360" w:lineRule="auto"/>
        <w:rPr>
          <w:b/>
          <w:bCs/>
        </w:rPr>
      </w:pPr>
    </w:p>
    <w:p w14:paraId="3CDFF0F9" w14:textId="77777777" w:rsidR="00084A18" w:rsidRDefault="00084A18" w:rsidP="00603C67">
      <w:pPr>
        <w:spacing w:line="360" w:lineRule="auto"/>
        <w:rPr>
          <w:b/>
          <w:bCs/>
        </w:rPr>
      </w:pPr>
    </w:p>
    <w:p w14:paraId="1B522CA9" w14:textId="77777777" w:rsidR="00084A18" w:rsidRDefault="00084A18" w:rsidP="00603C67">
      <w:pPr>
        <w:spacing w:line="360" w:lineRule="auto"/>
        <w:rPr>
          <w:b/>
          <w:bCs/>
        </w:rPr>
      </w:pPr>
    </w:p>
    <w:p w14:paraId="0F16B45C" w14:textId="77777777" w:rsidR="00084A18" w:rsidRDefault="00084A18" w:rsidP="00603C67">
      <w:pPr>
        <w:spacing w:line="360" w:lineRule="auto"/>
        <w:rPr>
          <w:b/>
          <w:bCs/>
        </w:rPr>
      </w:pPr>
    </w:p>
    <w:p w14:paraId="4A3E259B" w14:textId="77777777" w:rsidR="00084A18" w:rsidRDefault="00084A18" w:rsidP="00603C67">
      <w:pPr>
        <w:spacing w:line="360" w:lineRule="auto"/>
        <w:rPr>
          <w:b/>
          <w:bCs/>
        </w:rPr>
      </w:pPr>
    </w:p>
    <w:p w14:paraId="192AD584" w14:textId="77777777" w:rsidR="00084A18" w:rsidRDefault="00084A18" w:rsidP="00603C67">
      <w:pPr>
        <w:spacing w:line="360" w:lineRule="auto"/>
        <w:rPr>
          <w:b/>
          <w:bCs/>
        </w:rPr>
      </w:pPr>
    </w:p>
    <w:p w14:paraId="142E03B9" w14:textId="77777777" w:rsidR="00084A18" w:rsidRDefault="00084A18" w:rsidP="00603C67">
      <w:pPr>
        <w:spacing w:line="360" w:lineRule="auto"/>
        <w:rPr>
          <w:b/>
          <w:bCs/>
        </w:rPr>
      </w:pPr>
    </w:p>
    <w:p w14:paraId="085209F0" w14:textId="77777777" w:rsidR="00084A18" w:rsidRDefault="00084A18" w:rsidP="00603C67">
      <w:pPr>
        <w:spacing w:line="360" w:lineRule="auto"/>
        <w:rPr>
          <w:b/>
          <w:bCs/>
        </w:rPr>
      </w:pPr>
    </w:p>
    <w:p w14:paraId="3E6FB2CA" w14:textId="77777777" w:rsidR="00084A18" w:rsidRDefault="00084A18" w:rsidP="00603C67">
      <w:pPr>
        <w:spacing w:line="360" w:lineRule="auto"/>
        <w:rPr>
          <w:b/>
          <w:bCs/>
        </w:rPr>
      </w:pPr>
    </w:p>
    <w:p w14:paraId="77BA6FAB" w14:textId="12C58443" w:rsidR="00BF1E21" w:rsidRPr="00603C67" w:rsidRDefault="00BF1E21" w:rsidP="00603C67">
      <w:pPr>
        <w:spacing w:line="360" w:lineRule="auto"/>
        <w:rPr>
          <w:rFonts w:ascii="Arial" w:hAnsi="Arial" w:cs="Arial"/>
          <w:sz w:val="22"/>
          <w:szCs w:val="22"/>
        </w:rPr>
      </w:pPr>
      <w:r w:rsidRPr="00BF1E21">
        <w:rPr>
          <w:b/>
          <w:bCs/>
        </w:rPr>
        <w:t>References</w:t>
      </w:r>
    </w:p>
    <w:p w14:paraId="465AEF21" w14:textId="13332219" w:rsidR="00BF1E21" w:rsidRPr="00BF1E21" w:rsidRDefault="00BF1E21" w:rsidP="00BF1E21">
      <w:r w:rsidRPr="00BF1E21">
        <w:t>Been Let Down (2025) </w:t>
      </w:r>
      <w:r w:rsidRPr="00BF1E21">
        <w:rPr>
          <w:i/>
          <w:iCs/>
        </w:rPr>
        <w:t>Bowel Cancer Report 2025</w:t>
      </w:r>
      <w:r w:rsidRPr="00BF1E21">
        <w:t>. Available at: </w:t>
      </w:r>
      <w:hyperlink r:id="rId9" w:tgtFrame="_blank" w:history="1">
        <w:r w:rsidRPr="00BF1E21">
          <w:rPr>
            <w:rStyle w:val="Hyperlink"/>
          </w:rPr>
          <w:t>https://www.beenletdown.co.uk/insights/bowel-cancer-report-2025/</w:t>
        </w:r>
      </w:hyperlink>
      <w:r w:rsidRPr="00BF1E21">
        <w:t>  </w:t>
      </w:r>
    </w:p>
    <w:p w14:paraId="29949025" w14:textId="2BAFD600" w:rsidR="00BF1E21" w:rsidRPr="00BF1E21" w:rsidRDefault="00BF1E21" w:rsidP="00BF1E21">
      <w:r w:rsidRPr="00BF1E21">
        <w:t>Bowel Cancer UK (2025) </w:t>
      </w:r>
      <w:r w:rsidRPr="00BF1E21">
        <w:rPr>
          <w:i/>
          <w:iCs/>
        </w:rPr>
        <w:t>Key Points from the National Bowel Cancer Audit</w:t>
      </w:r>
      <w:r w:rsidRPr="00BF1E21">
        <w:t>. Available at: </w:t>
      </w:r>
      <w:hyperlink r:id="rId10" w:tgtFrame="_blank" w:history="1">
        <w:r w:rsidRPr="00BF1E21">
          <w:rPr>
            <w:rStyle w:val="Hyperlink"/>
          </w:rPr>
          <w:t>https://www.bowelcanceruk.org.uk/news-and-blogs/news/key-points-from-the-national-bowel-cancer-audit/</w:t>
        </w:r>
      </w:hyperlink>
      <w:r w:rsidRPr="00BF1E21">
        <w:t>  </w:t>
      </w:r>
    </w:p>
    <w:p w14:paraId="436A9609" w14:textId="6D3ADE73" w:rsidR="00BF1E21" w:rsidRPr="00BF1E21" w:rsidRDefault="00BF1E21" w:rsidP="00BF1E21">
      <w:r w:rsidRPr="00BF1E21">
        <w:t>Cancer Research UK (2024) </w:t>
      </w:r>
      <w:r w:rsidRPr="00BF1E21">
        <w:rPr>
          <w:i/>
          <w:iCs/>
        </w:rPr>
        <w:t>Bowel Cancer Statistics</w:t>
      </w:r>
      <w:r w:rsidRPr="00BF1E21">
        <w:t>. Available at: </w:t>
      </w:r>
      <w:hyperlink r:id="rId11" w:tgtFrame="_blank" w:history="1">
        <w:r w:rsidRPr="00BF1E21">
          <w:rPr>
            <w:rStyle w:val="Hyperlink"/>
          </w:rPr>
          <w:t>https://www.cancerresearchuk.org/health-professional/cancer-statistics/statistics-by-cancer-type/bowel-cancer</w:t>
        </w:r>
      </w:hyperlink>
      <w:r w:rsidRPr="00BF1E21">
        <w:t>  </w:t>
      </w:r>
      <w:r w:rsidR="00803289">
        <w:tab/>
      </w:r>
      <w:r w:rsidR="00803289">
        <w:tab/>
      </w:r>
    </w:p>
    <w:p w14:paraId="6B0AB2C1" w14:textId="3C2C3512" w:rsidR="00BF1E21" w:rsidRPr="00BF1E21" w:rsidRDefault="00BF1E21" w:rsidP="00BF1E21">
      <w:hyperlink r:id="rId12" w:tgtFrame="_blank" w:history="1">
        <w:r w:rsidRPr="00BF1E21">
          <w:rPr>
            <w:rStyle w:val="Hyperlink"/>
          </w:rPr>
          <w:t>GOV.UK</w:t>
        </w:r>
      </w:hyperlink>
      <w:r w:rsidRPr="00BF1E21">
        <w:t> (2024) </w:t>
      </w:r>
      <w:r w:rsidRPr="00BF1E21">
        <w:rPr>
          <w:i/>
          <w:iCs/>
        </w:rPr>
        <w:t>Bowel Cancer Screening Annual Report 2021 to 2022</w:t>
      </w:r>
      <w:r w:rsidRPr="00BF1E21">
        <w:t>. Available at: </w:t>
      </w:r>
      <w:hyperlink r:id="rId13" w:tgtFrame="_blank" w:history="1">
        <w:r w:rsidRPr="00BF1E21">
          <w:rPr>
            <w:rStyle w:val="Hyperlink"/>
          </w:rPr>
          <w:t>https://www.gov.uk/government/publications/bowel-cancer-screening-annual-report-2021-to-2022</w:t>
        </w:r>
      </w:hyperlink>
      <w:r w:rsidRPr="00BF1E21">
        <w:t>  </w:t>
      </w:r>
    </w:p>
    <w:p w14:paraId="14788E00" w14:textId="3D3C4A22" w:rsidR="00BF1E21" w:rsidRPr="00BF1E21" w:rsidRDefault="00BF1E21" w:rsidP="00BF1E21">
      <w:r w:rsidRPr="00BF1E21">
        <w:t>National Bowel Cancer Audit (2025) </w:t>
      </w:r>
      <w:r w:rsidRPr="00BF1E21">
        <w:rPr>
          <w:i/>
          <w:iCs/>
        </w:rPr>
        <w:t>State of the Nation Report</w:t>
      </w:r>
      <w:r w:rsidRPr="00BF1E21">
        <w:t>. Available at: </w:t>
      </w:r>
      <w:hyperlink r:id="rId14" w:tgtFrame="_blank" w:history="1">
        <w:r w:rsidRPr="00BF1E21">
          <w:rPr>
            <w:rStyle w:val="Hyperlink"/>
          </w:rPr>
          <w:t>https://www.natcan.org.uk/wp-content/uploads/2025/10/NBOCA-State-of-the-Nation-Report-2025.pdf</w:t>
        </w:r>
      </w:hyperlink>
      <w:r w:rsidRPr="00BF1E21">
        <w:t>  </w:t>
      </w:r>
    </w:p>
    <w:p w14:paraId="6FEC6173" w14:textId="77777777" w:rsidR="00BF1E21" w:rsidRPr="00BF1E21" w:rsidRDefault="00BF1E21" w:rsidP="00BF1E21">
      <w:r w:rsidRPr="00BF1E21">
        <w:t>World Health Organization (2023) </w:t>
      </w:r>
      <w:r w:rsidRPr="00BF1E21">
        <w:rPr>
          <w:i/>
          <w:iCs/>
        </w:rPr>
        <w:t>Colorectal Cancer Fact Sheet</w:t>
      </w:r>
      <w:r w:rsidRPr="00BF1E21">
        <w:t>. Available at: </w:t>
      </w:r>
      <w:hyperlink r:id="rId15" w:tgtFrame="_blank" w:history="1">
        <w:r w:rsidRPr="00BF1E21">
          <w:rPr>
            <w:rStyle w:val="Hyperlink"/>
          </w:rPr>
          <w:t>https://www.who.int/news-room/fact-sheets/detail/cancer</w:t>
        </w:r>
      </w:hyperlink>
      <w:r w:rsidRPr="00BF1E21">
        <w:t> </w:t>
      </w:r>
    </w:p>
    <w:p w14:paraId="33C26A86" w14:textId="77777777" w:rsidR="00BF1E21" w:rsidRPr="00BF1E21" w:rsidRDefault="00BF1E21" w:rsidP="00BF1E21"/>
    <w:p w14:paraId="48CBD4EB" w14:textId="77777777" w:rsidR="00BF1E21" w:rsidRDefault="00BF1E21" w:rsidP="00BF1E21"/>
    <w:p w14:paraId="6E4DE266" w14:textId="77777777" w:rsidR="00BF1E21" w:rsidRPr="00BF1E21" w:rsidRDefault="00BF1E21" w:rsidP="00BF1E21"/>
    <w:p w14:paraId="28F6FB40" w14:textId="77777777" w:rsidR="00BF1E21" w:rsidRDefault="00BF1E21"/>
    <w:sectPr w:rsidR="00BF1E2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DA978" w14:textId="77777777" w:rsidR="00997525" w:rsidRDefault="00997525" w:rsidP="005F6963">
      <w:pPr>
        <w:spacing w:after="0" w:line="240" w:lineRule="auto"/>
      </w:pPr>
      <w:r>
        <w:separator/>
      </w:r>
    </w:p>
  </w:endnote>
  <w:endnote w:type="continuationSeparator" w:id="0">
    <w:p w14:paraId="2C3B3D76" w14:textId="77777777" w:rsidR="00997525" w:rsidRDefault="00997525" w:rsidP="005F6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2388936"/>
      <w:docPartObj>
        <w:docPartGallery w:val="Page Numbers (Bottom of Page)"/>
        <w:docPartUnique/>
      </w:docPartObj>
    </w:sdtPr>
    <w:sdtContent>
      <w:p w14:paraId="3DA6E3E7" w14:textId="134B652C" w:rsidR="00120445" w:rsidRDefault="00120445">
        <w:pPr>
          <w:pStyle w:val="Footer"/>
          <w:jc w:val="right"/>
        </w:pPr>
        <w:r>
          <w:fldChar w:fldCharType="begin"/>
        </w:r>
        <w:r>
          <w:instrText>PAGE   \* MERGEFORMAT</w:instrText>
        </w:r>
        <w:r>
          <w:fldChar w:fldCharType="separate"/>
        </w:r>
        <w:r>
          <w:t>2</w:t>
        </w:r>
        <w:r>
          <w:fldChar w:fldCharType="end"/>
        </w:r>
      </w:p>
    </w:sdtContent>
  </w:sdt>
  <w:p w14:paraId="47475FDF" w14:textId="77777777" w:rsidR="006B5009" w:rsidRDefault="006B5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9BA15" w14:textId="77777777" w:rsidR="00997525" w:rsidRDefault="00997525" w:rsidP="005F6963">
      <w:pPr>
        <w:spacing w:after="0" w:line="240" w:lineRule="auto"/>
      </w:pPr>
      <w:r>
        <w:separator/>
      </w:r>
    </w:p>
  </w:footnote>
  <w:footnote w:type="continuationSeparator" w:id="0">
    <w:p w14:paraId="46CBC2EA" w14:textId="77777777" w:rsidR="00997525" w:rsidRDefault="00997525" w:rsidP="005F6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62072F"/>
    <w:multiLevelType w:val="hybridMultilevel"/>
    <w:tmpl w:val="70AE3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149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E21"/>
    <w:rsid w:val="00010A70"/>
    <w:rsid w:val="00013FA3"/>
    <w:rsid w:val="000264C8"/>
    <w:rsid w:val="000453EA"/>
    <w:rsid w:val="0006537D"/>
    <w:rsid w:val="00084A18"/>
    <w:rsid w:val="00100045"/>
    <w:rsid w:val="00120445"/>
    <w:rsid w:val="00144BCE"/>
    <w:rsid w:val="0017418A"/>
    <w:rsid w:val="001F54D1"/>
    <w:rsid w:val="00256AC3"/>
    <w:rsid w:val="002A0AB6"/>
    <w:rsid w:val="002E5C5B"/>
    <w:rsid w:val="00353AA7"/>
    <w:rsid w:val="00365DD0"/>
    <w:rsid w:val="003B1E88"/>
    <w:rsid w:val="003E7375"/>
    <w:rsid w:val="004325DC"/>
    <w:rsid w:val="00455D56"/>
    <w:rsid w:val="004B2FE3"/>
    <w:rsid w:val="00503359"/>
    <w:rsid w:val="005E0F0C"/>
    <w:rsid w:val="005F6963"/>
    <w:rsid w:val="00603C67"/>
    <w:rsid w:val="00642105"/>
    <w:rsid w:val="00690B4A"/>
    <w:rsid w:val="006B5009"/>
    <w:rsid w:val="00717B0E"/>
    <w:rsid w:val="00740F77"/>
    <w:rsid w:val="007D14B0"/>
    <w:rsid w:val="007F2937"/>
    <w:rsid w:val="007F506C"/>
    <w:rsid w:val="00803289"/>
    <w:rsid w:val="00825B53"/>
    <w:rsid w:val="00842986"/>
    <w:rsid w:val="008652C4"/>
    <w:rsid w:val="008A4A84"/>
    <w:rsid w:val="00950B60"/>
    <w:rsid w:val="00997525"/>
    <w:rsid w:val="00A1212F"/>
    <w:rsid w:val="00A17130"/>
    <w:rsid w:val="00A730E7"/>
    <w:rsid w:val="00A835B6"/>
    <w:rsid w:val="00A859C9"/>
    <w:rsid w:val="00AB541F"/>
    <w:rsid w:val="00AE2BAE"/>
    <w:rsid w:val="00AE7CCA"/>
    <w:rsid w:val="00AF589A"/>
    <w:rsid w:val="00B001B7"/>
    <w:rsid w:val="00BF1E21"/>
    <w:rsid w:val="00BF3DB0"/>
    <w:rsid w:val="00C025FC"/>
    <w:rsid w:val="00C74244"/>
    <w:rsid w:val="00CB7912"/>
    <w:rsid w:val="00D50F60"/>
    <w:rsid w:val="00E0423E"/>
    <w:rsid w:val="00E32CE6"/>
    <w:rsid w:val="00E36A56"/>
    <w:rsid w:val="00E42A20"/>
    <w:rsid w:val="00F252B5"/>
    <w:rsid w:val="00F97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B886FA"/>
  <w15:chartTrackingRefBased/>
  <w15:docId w15:val="{F5024A2D-A9CE-4F58-9A51-76C3CE6F2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E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E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E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E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E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E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E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E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E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E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E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E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E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E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E21"/>
    <w:rPr>
      <w:rFonts w:eastAsiaTheme="majorEastAsia" w:cstheme="majorBidi"/>
      <w:color w:val="272727" w:themeColor="text1" w:themeTint="D8"/>
    </w:rPr>
  </w:style>
  <w:style w:type="paragraph" w:styleId="Title">
    <w:name w:val="Title"/>
    <w:basedOn w:val="Normal"/>
    <w:next w:val="Normal"/>
    <w:link w:val="TitleChar"/>
    <w:uiPriority w:val="10"/>
    <w:qFormat/>
    <w:rsid w:val="00BF1E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E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E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E21"/>
    <w:pPr>
      <w:spacing w:before="160"/>
      <w:jc w:val="center"/>
    </w:pPr>
    <w:rPr>
      <w:i/>
      <w:iCs/>
      <w:color w:val="404040" w:themeColor="text1" w:themeTint="BF"/>
    </w:rPr>
  </w:style>
  <w:style w:type="character" w:customStyle="1" w:styleId="QuoteChar">
    <w:name w:val="Quote Char"/>
    <w:basedOn w:val="DefaultParagraphFont"/>
    <w:link w:val="Quote"/>
    <w:uiPriority w:val="29"/>
    <w:rsid w:val="00BF1E21"/>
    <w:rPr>
      <w:i/>
      <w:iCs/>
      <w:color w:val="404040" w:themeColor="text1" w:themeTint="BF"/>
    </w:rPr>
  </w:style>
  <w:style w:type="paragraph" w:styleId="ListParagraph">
    <w:name w:val="List Paragraph"/>
    <w:basedOn w:val="Normal"/>
    <w:uiPriority w:val="34"/>
    <w:qFormat/>
    <w:rsid w:val="00BF1E21"/>
    <w:pPr>
      <w:ind w:left="720"/>
      <w:contextualSpacing/>
    </w:pPr>
  </w:style>
  <w:style w:type="character" w:styleId="IntenseEmphasis">
    <w:name w:val="Intense Emphasis"/>
    <w:basedOn w:val="DefaultParagraphFont"/>
    <w:uiPriority w:val="21"/>
    <w:qFormat/>
    <w:rsid w:val="00BF1E21"/>
    <w:rPr>
      <w:i/>
      <w:iCs/>
      <w:color w:val="0F4761" w:themeColor="accent1" w:themeShade="BF"/>
    </w:rPr>
  </w:style>
  <w:style w:type="paragraph" w:styleId="IntenseQuote">
    <w:name w:val="Intense Quote"/>
    <w:basedOn w:val="Normal"/>
    <w:next w:val="Normal"/>
    <w:link w:val="IntenseQuoteChar"/>
    <w:uiPriority w:val="30"/>
    <w:qFormat/>
    <w:rsid w:val="00BF1E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E21"/>
    <w:rPr>
      <w:i/>
      <w:iCs/>
      <w:color w:val="0F4761" w:themeColor="accent1" w:themeShade="BF"/>
    </w:rPr>
  </w:style>
  <w:style w:type="character" w:styleId="IntenseReference">
    <w:name w:val="Intense Reference"/>
    <w:basedOn w:val="DefaultParagraphFont"/>
    <w:uiPriority w:val="32"/>
    <w:qFormat/>
    <w:rsid w:val="00BF1E21"/>
    <w:rPr>
      <w:b/>
      <w:bCs/>
      <w:smallCaps/>
      <w:color w:val="0F4761" w:themeColor="accent1" w:themeShade="BF"/>
      <w:spacing w:val="5"/>
    </w:rPr>
  </w:style>
  <w:style w:type="character" w:styleId="Hyperlink">
    <w:name w:val="Hyperlink"/>
    <w:basedOn w:val="DefaultParagraphFont"/>
    <w:uiPriority w:val="99"/>
    <w:unhideWhenUsed/>
    <w:rsid w:val="00BF1E21"/>
    <w:rPr>
      <w:color w:val="467886" w:themeColor="hyperlink"/>
      <w:u w:val="single"/>
    </w:rPr>
  </w:style>
  <w:style w:type="character" w:styleId="UnresolvedMention">
    <w:name w:val="Unresolved Mention"/>
    <w:basedOn w:val="DefaultParagraphFont"/>
    <w:uiPriority w:val="99"/>
    <w:semiHidden/>
    <w:unhideWhenUsed/>
    <w:rsid w:val="00BF1E21"/>
    <w:rPr>
      <w:color w:val="605E5C"/>
      <w:shd w:val="clear" w:color="auto" w:fill="E1DFDD"/>
    </w:rPr>
  </w:style>
  <w:style w:type="paragraph" w:styleId="Header">
    <w:name w:val="header"/>
    <w:basedOn w:val="Normal"/>
    <w:link w:val="HeaderChar"/>
    <w:uiPriority w:val="99"/>
    <w:unhideWhenUsed/>
    <w:rsid w:val="005F6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963"/>
  </w:style>
  <w:style w:type="paragraph" w:styleId="Footer">
    <w:name w:val="footer"/>
    <w:basedOn w:val="Normal"/>
    <w:link w:val="FooterChar"/>
    <w:uiPriority w:val="99"/>
    <w:unhideWhenUsed/>
    <w:rsid w:val="005F6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hyperlink" Target="https://www.gov.uk/government/publications/bowel-cancer-screening-annual-report-2021-to-202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health-professional/cancer-statistics/statistics-by-cancer-type/bowel-cancer" TargetMode="External"/><Relationship Id="rId5" Type="http://schemas.openxmlformats.org/officeDocument/2006/relationships/webSettings" Target="webSettings.xml"/><Relationship Id="rId15" Type="http://schemas.openxmlformats.org/officeDocument/2006/relationships/hyperlink" Target="https://www.who.int/news-room/fact-sheets/detail/cancer" TargetMode="External"/><Relationship Id="rId10" Type="http://schemas.openxmlformats.org/officeDocument/2006/relationships/hyperlink" Target="https://www.bowelcanceruk.org.uk/news-and-blogs/news/key-points-from-the-national-bowel-cancer-audit/" TargetMode="External"/><Relationship Id="rId4" Type="http://schemas.openxmlformats.org/officeDocument/2006/relationships/settings" Target="settings.xml"/><Relationship Id="rId9" Type="http://schemas.openxmlformats.org/officeDocument/2006/relationships/hyperlink" Target="https://www.beenletdown.co.uk/insights/bowel-cancer-report-2025/" TargetMode="External"/><Relationship Id="rId14" Type="http://schemas.openxmlformats.org/officeDocument/2006/relationships/hyperlink" Target="https://www.natcan.org.uk/wp-content/uploads/2025/10/NBOCA-State-of-the-Nation-Report-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4DBC2-933A-4499-9BE4-F9EC91E84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8</Pages>
  <Words>1759</Words>
  <Characters>10027</Characters>
  <Application>Microsoft Office Word</Application>
  <DocSecurity>0</DocSecurity>
  <Lines>83</Lines>
  <Paragraphs>23</Paragraphs>
  <ScaleCrop>false</ScaleCrop>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Arshad</dc:creator>
  <cp:keywords/>
  <dc:description/>
  <cp:lastModifiedBy>Tayyaba Arshad</cp:lastModifiedBy>
  <cp:revision>62</cp:revision>
  <dcterms:created xsi:type="dcterms:W3CDTF">2025-11-08T20:10:00Z</dcterms:created>
  <dcterms:modified xsi:type="dcterms:W3CDTF">2025-11-17T11:01:00Z</dcterms:modified>
</cp:coreProperties>
</file>