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360" w:lineRule="auto"/>
        <w:jc w:val="center"/>
        <w:rPr>
          <w:rFonts w:ascii="Times Roman" w:cs="Times Roman" w:hAnsi="Times Roman" w:eastAsia="Times Roman"/>
          <w:b w:val="1"/>
          <w:bCs w:val="1"/>
        </w:rPr>
      </w:pPr>
      <w:r>
        <w:rPr>
          <w:rFonts w:ascii="Times Roman" w:hAnsi="Times Roman"/>
          <w:b w:val="1"/>
          <w:bCs w:val="1"/>
          <w:rtl w:val="0"/>
          <w:lang w:val="en-US"/>
        </w:rPr>
        <w:t>AI Acknowledgement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360" w:lineRule="auto"/>
        <w:jc w:val="center"/>
        <w:rPr>
          <w:rFonts w:ascii="Times Roman" w:cs="Times Roman" w:hAnsi="Times Roman" w:eastAsia="Times Roman"/>
        </w:rPr>
      </w:pPr>
      <w:r>
        <w:rPr>
          <w:rFonts w:ascii="Times Roman" w:hAnsi="Times Roman"/>
          <w:rtl w:val="0"/>
          <w:lang w:val="en-US"/>
        </w:rPr>
        <w:t>I confirm that I have not used any AI tools in the research and creation of this</w:t>
      </w:r>
      <w:r>
        <w:rPr>
          <w:rFonts w:ascii="Times Roman" w:hAnsi="Times Roman"/>
          <w:rtl w:val="0"/>
          <w:lang w:val="en-US"/>
        </w:rPr>
        <w:t xml:space="preserve"> </w:t>
      </w:r>
      <w:r>
        <w:rPr>
          <w:rFonts w:ascii="Times Roman" w:hAnsi="Times Roman"/>
          <w:rtl w:val="0"/>
          <w:lang w:val="en-US"/>
        </w:rPr>
        <w:t>assignment. I confirm that I have not presented any AI generated materials as my own</w:t>
      </w:r>
      <w:r>
        <w:rPr>
          <w:rFonts w:ascii="Times Roman" w:hAnsi="Times Roman"/>
          <w:rtl w:val="0"/>
          <w:lang w:val="en-US"/>
        </w:rPr>
        <w:t xml:space="preserve"> </w:t>
      </w:r>
      <w:r>
        <w:rPr>
          <w:rFonts w:ascii="Times Roman" w:hAnsi="Times Roman"/>
          <w:rtl w:val="0"/>
          <w:lang w:val="en-US"/>
        </w:rPr>
        <w:t>work. I confirm I have copies of my drafts, notes, and other resources I used, which I</w:t>
      </w:r>
      <w:r>
        <w:rPr>
          <w:rFonts w:ascii="Times Roman" w:hAnsi="Times Roman"/>
          <w:rtl w:val="0"/>
          <w:lang w:val="en-US"/>
        </w:rPr>
        <w:t xml:space="preserve"> </w:t>
      </w:r>
      <w:r>
        <w:rPr>
          <w:rFonts w:ascii="Times Roman" w:hAnsi="Times Roman"/>
          <w:rtl w:val="0"/>
          <w:lang w:val="en-US"/>
        </w:rPr>
        <w:t>may be asked to provide in evidence.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left"/>
        <w:rPr>
          <w:rFonts w:ascii="Helvetica" w:cs="Helvetica" w:hAnsi="Helvetica" w:eastAsia="Helvetica"/>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Forensic Formulation: Mark, The Adult Male Sexual Offender</w:t>
      </w:r>
    </w:p>
    <w:p>
      <w:pPr>
        <w:pStyle w:val="Default"/>
        <w:suppressAutoHyphens w:val="1"/>
        <w:spacing w:before="0" w:after="240" w:line="360" w:lineRule="auto"/>
        <w:rPr>
          <w:rFonts w:ascii="Times Roman" w:cs="Times Roman" w:hAnsi="Times Roman" w:eastAsia="Times Roman"/>
        </w:rPr>
      </w:pPr>
      <w:r>
        <w:rPr>
          <w:rFonts w:ascii="Times Roman" w:hAnsi="Times Roman"/>
          <w:rtl w:val="0"/>
          <w:lang w:val="en-US"/>
        </w:rPr>
        <w:t>Understanding Mark</w:t>
      </w:r>
      <w:r>
        <w:rPr>
          <w:rFonts w:ascii="Times Roman" w:hAnsi="Times Roman" w:hint="default"/>
          <w:rtl w:val="1"/>
        </w:rPr>
        <w:t>’</w:t>
      </w:r>
      <w:r>
        <w:rPr>
          <w:rFonts w:ascii="Times Roman" w:hAnsi="Times Roman"/>
          <w:rtl w:val="0"/>
          <w:lang w:val="en-US"/>
        </w:rPr>
        <w:t xml:space="preserve">s sexual offending requires an integrative application of contemporary psychological theories that </w:t>
      </w:r>
      <w:r>
        <w:rPr>
          <w:rFonts w:ascii="Times Roman" w:hAnsi="Times Roman"/>
          <w:rtl w:val="0"/>
          <w:lang w:val="en-US"/>
        </w:rPr>
        <w:t>take into account</w:t>
      </w:r>
      <w:r>
        <w:rPr>
          <w:rFonts w:ascii="Times Roman" w:hAnsi="Times Roman"/>
          <w:rtl w:val="0"/>
          <w:lang w:val="en-US"/>
        </w:rPr>
        <w:t xml:space="preserve"> cognitive, developmental, interpersonal, and situational influences. Three frameworks particularly relevant to his presentation are Cognitive Distortion Theory, Finkelhor</w:t>
      </w:r>
      <w:r>
        <w:rPr>
          <w:rFonts w:ascii="Times Roman" w:hAnsi="Times Roman" w:hint="default"/>
          <w:rtl w:val="1"/>
        </w:rPr>
        <w:t>’</w:t>
      </w:r>
      <w:r>
        <w:rPr>
          <w:rFonts w:ascii="Times Roman" w:hAnsi="Times Roman"/>
          <w:rtl w:val="0"/>
          <w:lang w:val="en-US"/>
        </w:rPr>
        <w:t>s Precondition Model, and the Relapse Prevention Model, each offering insight into different aspects of his behaviour.</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Cognitive Distortion Theory provides a useful lens for understanding Mark</w:t>
      </w:r>
      <w:r>
        <w:rPr>
          <w:rFonts w:ascii="Times Roman" w:hAnsi="Times Roman" w:hint="default"/>
          <w:rtl w:val="1"/>
        </w:rPr>
        <w:t>’</w:t>
      </w:r>
      <w:r>
        <w:rPr>
          <w:rFonts w:ascii="Times Roman" w:hAnsi="Times Roman"/>
          <w:rtl w:val="0"/>
          <w:lang w:val="en-US"/>
        </w:rPr>
        <w:t>s minimisation, rationalisation, and partial denial. Cognitive distortions are belief systems that justify or neutralise harmful behaviour, often allowing offenders to maintain a non-deviant self</w:t>
      </w:r>
      <w:r>
        <w:rPr>
          <w:rFonts w:ascii="Times Roman" w:hAnsi="Times Roman" w:hint="default"/>
          <w:rtl w:val="0"/>
        </w:rPr>
        <w:t>‑</w:t>
      </w:r>
      <w:r>
        <w:rPr>
          <w:rFonts w:ascii="Times Roman" w:hAnsi="Times Roman"/>
          <w:rtl w:val="0"/>
          <w:lang w:val="en-US"/>
        </w:rPr>
        <w:t>concept (</w:t>
      </w:r>
      <w:r>
        <w:rPr>
          <w:rFonts w:ascii="Times Roman" w:hAnsi="Times Roman" w:hint="default"/>
          <w:rtl w:val="0"/>
        </w:rPr>
        <w:t xml:space="preserve">Ó </w:t>
      </w:r>
      <w:r>
        <w:rPr>
          <w:rFonts w:ascii="Times Roman" w:hAnsi="Times Roman"/>
          <w:rtl w:val="0"/>
          <w:lang w:val="it-IT"/>
        </w:rPr>
        <w:t xml:space="preserve">Ciardha </w:t>
      </w:r>
      <w:r>
        <w:rPr>
          <w:rFonts w:ascii="Times Roman" w:hAnsi="Times Roman"/>
          <w:rtl w:val="0"/>
          <w:lang w:val="en-US"/>
        </w:rPr>
        <w:t>et al.</w:t>
      </w:r>
      <w:r>
        <w:rPr>
          <w:rFonts w:ascii="Times Roman" w:hAnsi="Times Roman"/>
          <w:rtl w:val="0"/>
        </w:rPr>
        <w:t>, 2013). Mark</w:t>
      </w:r>
      <w:r>
        <w:rPr>
          <w:rFonts w:ascii="Times Roman" w:hAnsi="Times Roman" w:hint="default"/>
          <w:rtl w:val="1"/>
        </w:rPr>
        <w:t>’</w:t>
      </w:r>
      <w:r>
        <w:rPr>
          <w:rFonts w:ascii="Times Roman" w:hAnsi="Times Roman"/>
          <w:rtl w:val="0"/>
          <w:lang w:val="en-US"/>
        </w:rPr>
        <w:t>s statements</w:t>
      </w:r>
      <w:r>
        <w:rPr>
          <w:rFonts w:ascii="Times Roman" w:hAnsi="Times Roman"/>
          <w:rtl w:val="0"/>
          <w:lang w:val="en-US"/>
        </w:rPr>
        <w:t xml:space="preserve">, </w:t>
      </w:r>
      <w:r>
        <w:rPr>
          <w:rFonts w:ascii="Times Roman" w:hAnsi="Times Roman"/>
          <w:rtl w:val="0"/>
          <w:lang w:val="en-US"/>
        </w:rPr>
        <w:t xml:space="preserve">such as describing the assault as </w:t>
      </w:r>
      <w:r>
        <w:rPr>
          <w:rFonts w:ascii="Times Roman" w:hAnsi="Times Roman" w:hint="default"/>
          <w:rtl w:val="0"/>
          <w:lang w:val="en-US"/>
        </w:rPr>
        <w:t>“</w:t>
      </w:r>
      <w:r>
        <w:rPr>
          <w:rFonts w:ascii="Times Roman" w:hAnsi="Times Roman"/>
          <w:rtl w:val="0"/>
        </w:rPr>
        <w:t>drunken flirting</w:t>
      </w:r>
      <w:r>
        <w:rPr>
          <w:rFonts w:ascii="Times Roman" w:hAnsi="Times Roman" w:hint="default"/>
          <w:rtl w:val="0"/>
        </w:rPr>
        <w:t xml:space="preserve">” </w:t>
      </w:r>
      <w:r>
        <w:rPr>
          <w:rFonts w:ascii="Times Roman" w:hAnsi="Times Roman"/>
          <w:rtl w:val="0"/>
          <w:lang w:val="en-US"/>
        </w:rPr>
        <w:t xml:space="preserve">or claiming the victim </w:t>
      </w:r>
      <w:r>
        <w:rPr>
          <w:rFonts w:ascii="Times Roman" w:hAnsi="Times Roman" w:hint="default"/>
          <w:rtl w:val="1"/>
          <w:lang w:val="ar-SA" w:bidi="ar-SA"/>
        </w:rPr>
        <w:t>“</w:t>
      </w:r>
      <w:r>
        <w:rPr>
          <w:rFonts w:ascii="Times Roman" w:hAnsi="Times Roman"/>
          <w:rtl w:val="0"/>
          <w:lang w:val="en-US"/>
        </w:rPr>
        <w:t>misunderstood</w:t>
      </w:r>
      <w:r>
        <w:rPr>
          <w:rFonts w:ascii="Times Roman" w:hAnsi="Times Roman" w:hint="default"/>
          <w:rtl w:val="0"/>
        </w:rPr>
        <w:t>”</w:t>
      </w:r>
      <w:r>
        <w:rPr>
          <w:rFonts w:ascii="Times Roman" w:hAnsi="Times Roman"/>
          <w:rtl w:val="0"/>
          <w:lang w:val="en-US"/>
        </w:rPr>
        <w:t xml:space="preserve">, </w:t>
      </w:r>
      <w:r>
        <w:rPr>
          <w:rFonts w:ascii="Times Roman" w:hAnsi="Times Roman"/>
          <w:rtl w:val="0"/>
          <w:lang w:val="en-US"/>
        </w:rPr>
        <w:t xml:space="preserve">reflect </w:t>
      </w:r>
      <w:r>
        <w:rPr>
          <w:rFonts w:ascii="Times Roman" w:hAnsi="Times Roman"/>
          <w:rtl w:val="0"/>
          <w:lang w:val="en-US"/>
        </w:rPr>
        <w:t xml:space="preserve">externalisation of blame </w:t>
      </w:r>
      <w:r>
        <w:rPr>
          <w:rFonts w:ascii="Times Roman" w:hAnsi="Times Roman"/>
          <w:rtl w:val="0"/>
          <w:lang w:val="en-US"/>
        </w:rPr>
        <w:t xml:space="preserve">and </w:t>
      </w:r>
      <w:r>
        <w:rPr>
          <w:rFonts w:ascii="Times Roman" w:hAnsi="Times Roman"/>
          <w:rtl w:val="0"/>
          <w:lang w:val="en-US"/>
        </w:rPr>
        <w:t>minimisation of harm,</w:t>
      </w:r>
      <w:r>
        <w:rPr>
          <w:rFonts w:ascii="Times Roman" w:hAnsi="Times Roman"/>
          <w:rtl w:val="0"/>
          <w:lang w:val="en-US"/>
        </w:rPr>
        <w:t xml:space="preserve"> both well</w:t>
      </w:r>
      <w:r>
        <w:rPr>
          <w:rFonts w:ascii="Times Roman" w:hAnsi="Times Roman" w:hint="default"/>
          <w:rtl w:val="0"/>
        </w:rPr>
        <w:t>‑</w:t>
      </w:r>
      <w:r>
        <w:rPr>
          <w:rFonts w:ascii="Times Roman" w:hAnsi="Times Roman"/>
          <w:rtl w:val="0"/>
          <w:lang w:val="en-US"/>
        </w:rPr>
        <w:t>documented cognitive distortions in sexual offending</w:t>
      </w:r>
      <w:r>
        <w:rPr>
          <w:rFonts w:ascii="Times Roman" w:hAnsi="Times Roman"/>
          <w:rtl w:val="0"/>
          <w:lang w:val="en-US"/>
        </w:rPr>
        <w:t xml:space="preserve"> (Vong, 2021)</w:t>
      </w:r>
      <w:r>
        <w:rPr>
          <w:rFonts w:ascii="Times Roman" w:hAnsi="Times Roman"/>
          <w:rtl w:val="0"/>
          <w:lang w:val="en-US"/>
        </w:rPr>
        <w:t xml:space="preserve">. His defensiveness and discomfort discussing emotional topics may further reinforce these distortions by limiting his capacity for self-reflection and empathy. Alcohol use likely </w:t>
      </w:r>
      <w:r>
        <w:rPr>
          <w:rFonts w:ascii="Times Roman" w:hAnsi="Times Roman"/>
          <w:rtl w:val="0"/>
          <w:lang w:val="en-US"/>
        </w:rPr>
        <w:t>worsened</w:t>
      </w:r>
      <w:r>
        <w:rPr>
          <w:rFonts w:ascii="Times Roman" w:hAnsi="Times Roman"/>
          <w:rtl w:val="0"/>
          <w:lang w:val="en-US"/>
        </w:rPr>
        <w:t xml:space="preserve"> these cognitive processes, reducing inhibition and increasing reliance on pre-existing distorted beliefs.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tl w:val="0"/>
        </w:rPr>
        <w:tab/>
        <w:t xml:space="preserve">Although </w:t>
      </w:r>
      <w:r>
        <w:rPr>
          <w:rFonts w:ascii="Times Roman" w:hAnsi="Times Roman"/>
          <w:rtl w:val="0"/>
          <w:lang w:val="pt-PT"/>
        </w:rPr>
        <w:t>Finkelhor</w:t>
      </w:r>
      <w:r>
        <w:rPr>
          <w:rFonts w:ascii="Times Roman" w:hAnsi="Times Roman" w:hint="default"/>
          <w:rtl w:val="1"/>
        </w:rPr>
        <w:t>’</w:t>
      </w:r>
      <w:r>
        <w:rPr>
          <w:rFonts w:ascii="Times Roman" w:hAnsi="Times Roman"/>
          <w:rtl w:val="0"/>
          <w:lang w:val="en-US"/>
        </w:rPr>
        <w:t>s Precondition Model</w:t>
      </w:r>
      <w:r>
        <w:rPr>
          <w:rFonts w:ascii="Times Roman" w:hAnsi="Times Roman"/>
          <w:rtl w:val="0"/>
          <w:lang w:val="en-US"/>
        </w:rPr>
        <w:t xml:space="preserve"> was</w:t>
      </w:r>
      <w:r>
        <w:rPr>
          <w:rFonts w:ascii="Times Roman" w:hAnsi="Times Roman"/>
          <w:rtl w:val="0"/>
          <w:lang w:val="en-US"/>
        </w:rPr>
        <w:t xml:space="preserve"> originally developed for child sexual abuse, </w:t>
      </w:r>
      <w:r>
        <w:rPr>
          <w:rFonts w:ascii="Times Roman" w:hAnsi="Times Roman"/>
          <w:rtl w:val="0"/>
          <w:lang w:val="en-US"/>
        </w:rPr>
        <w:t xml:space="preserve">it </w:t>
      </w:r>
      <w:r>
        <w:rPr>
          <w:rFonts w:ascii="Times Roman" w:hAnsi="Times Roman"/>
          <w:rtl w:val="0"/>
          <w:lang w:val="en-US"/>
        </w:rPr>
        <w:t xml:space="preserve">remains </w:t>
      </w:r>
      <w:r>
        <w:rPr>
          <w:rFonts w:ascii="Times Roman" w:hAnsi="Times Roman"/>
          <w:rtl w:val="0"/>
          <w:lang w:val="en-US"/>
        </w:rPr>
        <w:t>important</w:t>
      </w:r>
      <w:r>
        <w:rPr>
          <w:rFonts w:ascii="Times Roman" w:hAnsi="Times Roman"/>
          <w:rtl w:val="0"/>
          <w:lang w:val="en-US"/>
        </w:rPr>
        <w:t xml:space="preserve"> in understanding the multifactorial nature of sexual offending more broadly (Ward </w:t>
      </w:r>
      <w:r>
        <w:rPr>
          <w:rFonts w:ascii="Times Roman" w:hAnsi="Times Roman"/>
          <w:rtl w:val="0"/>
          <w:lang w:val="en-US"/>
        </w:rPr>
        <w:t>et al.</w:t>
      </w:r>
      <w:r>
        <w:rPr>
          <w:rFonts w:ascii="Times Roman" w:hAnsi="Times Roman"/>
          <w:rtl w:val="0"/>
          <w:lang w:val="en-US"/>
        </w:rPr>
        <w:t>, 2001). The model outlines four preconditions: motivation to offend, overcoming internal inhibitions, overcoming external barriers, and overcoming victim resistance</w:t>
      </w:r>
      <w:r>
        <w:rPr>
          <w:rFonts w:ascii="Times Roman" w:hAnsi="Times Roman"/>
          <w:rtl w:val="0"/>
          <w:lang w:val="en-US"/>
        </w:rPr>
        <w:t xml:space="preserve"> (Smallbone et al., 2008)</w:t>
      </w:r>
      <w:r>
        <w:rPr>
          <w:rFonts w:ascii="Times Roman" w:hAnsi="Times Roman"/>
          <w:rtl w:val="0"/>
          <w:lang w:val="en-US"/>
        </w:rPr>
        <w:t>. In Mark</w:t>
      </w:r>
      <w:r>
        <w:rPr>
          <w:rFonts w:ascii="Times Roman" w:hAnsi="Times Roman" w:hint="default"/>
          <w:rtl w:val="1"/>
        </w:rPr>
        <w:t>’</w:t>
      </w:r>
      <w:r>
        <w:rPr>
          <w:rFonts w:ascii="Times Roman" w:hAnsi="Times Roman"/>
          <w:rtl w:val="0"/>
          <w:lang w:val="en-US"/>
        </w:rPr>
        <w:t>s case, the context of alcohol consumption, emotional volatility, and a social environment with reduced supervision</w:t>
      </w:r>
      <w:r>
        <w:rPr>
          <w:rFonts w:ascii="Times Roman" w:hAnsi="Times Roman"/>
          <w:rtl w:val="0"/>
          <w:lang w:val="en-US"/>
        </w:rPr>
        <w:t xml:space="preserve">, </w:t>
      </w:r>
      <w:r>
        <w:rPr>
          <w:rFonts w:ascii="Times Roman" w:hAnsi="Times Roman"/>
          <w:rtl w:val="0"/>
          <w:lang w:val="en-US"/>
        </w:rPr>
        <w:t>an office party</w:t>
      </w:r>
      <w:r>
        <w:rPr>
          <w:rFonts w:ascii="Times Roman" w:hAnsi="Times Roman"/>
          <w:rtl w:val="0"/>
          <w:lang w:val="en-US"/>
        </w:rPr>
        <w:t xml:space="preserve">, </w:t>
      </w:r>
      <w:r>
        <w:rPr>
          <w:rFonts w:ascii="Times Roman" w:hAnsi="Times Roman"/>
          <w:rtl w:val="0"/>
          <w:lang w:val="en-US"/>
        </w:rPr>
        <w:t>may have contributed to</w:t>
      </w:r>
      <w:r>
        <w:rPr>
          <w:rFonts w:ascii="Times Roman" w:hAnsi="Times Roman"/>
          <w:rtl w:val="0"/>
          <w:lang w:val="en-US"/>
        </w:rPr>
        <w:t xml:space="preserve"> lowered internal inhibitions</w:t>
      </w:r>
      <w:r>
        <w:rPr>
          <w:rFonts w:ascii="Times Roman" w:hAnsi="Times Roman"/>
          <w:rtl w:val="0"/>
          <w:lang w:val="en-US"/>
        </w:rPr>
        <w:t>. His history of chaotic family dynamics and exposure to aggression may have shaped maladaptive interpersonal schemas, influencing his misinterpretation of social cues and entitlement-based beliefs. The offence occurred despite the victim</w:t>
      </w:r>
      <w:r>
        <w:rPr>
          <w:rFonts w:ascii="Times Roman" w:hAnsi="Times Roman" w:hint="default"/>
          <w:rtl w:val="1"/>
        </w:rPr>
        <w:t>’</w:t>
      </w:r>
      <w:r>
        <w:rPr>
          <w:rFonts w:ascii="Times Roman" w:hAnsi="Times Roman"/>
          <w:rtl w:val="0"/>
          <w:lang w:val="en-US"/>
        </w:rPr>
        <w:t>s verbal refusals, suggesting a failure to recognise or respect boundaries</w:t>
      </w:r>
      <w:r>
        <w:rPr>
          <w:rFonts w:ascii="Times Roman" w:hAnsi="Times Roman"/>
          <w:rtl w:val="0"/>
          <w:lang w:val="en-US"/>
        </w:rPr>
        <w:t xml:space="preserve">, </w:t>
      </w:r>
      <w:r>
        <w:rPr>
          <w:rFonts w:ascii="Times Roman" w:hAnsi="Times Roman"/>
          <w:rtl w:val="0"/>
          <w:lang w:val="en-US"/>
        </w:rPr>
        <w:t>consistent with Finkelhor</w:t>
      </w:r>
      <w:r>
        <w:rPr>
          <w:rFonts w:ascii="Times Roman" w:hAnsi="Times Roman" w:hint="default"/>
          <w:rtl w:val="1"/>
        </w:rPr>
        <w:t>’</w:t>
      </w:r>
      <w:r>
        <w:rPr>
          <w:rFonts w:ascii="Times Roman" w:hAnsi="Times Roman"/>
          <w:rtl w:val="0"/>
          <w:lang w:val="en-US"/>
        </w:rPr>
        <w:t>s emphasis on cognitive and emotional factors that reduce sensitivity to victim resistance.</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The Relapse Prevention Model (RP) also offers </w:t>
      </w:r>
      <w:r>
        <w:rPr>
          <w:rFonts w:ascii="Times Roman" w:hAnsi="Times Roman"/>
          <w:rtl w:val="0"/>
          <w:lang w:val="en-US"/>
        </w:rPr>
        <w:t>valuable reasoning</w:t>
      </w:r>
      <w:r>
        <w:rPr>
          <w:rFonts w:ascii="Times Roman" w:hAnsi="Times Roman"/>
          <w:rtl w:val="0"/>
          <w:lang w:val="en-US"/>
        </w:rPr>
        <w:t>, particularly regarding Mark</w:t>
      </w:r>
      <w:r>
        <w:rPr>
          <w:rFonts w:ascii="Times Roman" w:hAnsi="Times Roman" w:hint="default"/>
          <w:rtl w:val="1"/>
        </w:rPr>
        <w:t>’</w:t>
      </w:r>
      <w:r>
        <w:rPr>
          <w:rFonts w:ascii="Times Roman" w:hAnsi="Times Roman"/>
          <w:rtl w:val="0"/>
          <w:lang w:val="en-US"/>
        </w:rPr>
        <w:t>s risk factors and behavioural patterns. RP conceptualises offending as the outcome of a chain of cognitive, emotional, and situational events that culminate in loss of control (Laws</w:t>
      </w:r>
      <w:r>
        <w:rPr>
          <w:rFonts w:ascii="Times Roman" w:hAnsi="Times Roman"/>
          <w:rtl w:val="0"/>
          <w:lang w:val="en-US"/>
        </w:rPr>
        <w:t xml:space="preserve"> et al.</w:t>
      </w:r>
      <w:r>
        <w:rPr>
          <w:rFonts w:ascii="Times Roman" w:hAnsi="Times Roman"/>
          <w:rtl w:val="0"/>
        </w:rPr>
        <w:t>, 2011). Mark</w:t>
      </w:r>
      <w:r>
        <w:rPr>
          <w:rFonts w:ascii="Times Roman" w:hAnsi="Times Roman" w:hint="default"/>
          <w:rtl w:val="1"/>
        </w:rPr>
        <w:t>’</w:t>
      </w:r>
      <w:r>
        <w:rPr>
          <w:rFonts w:ascii="Times Roman" w:hAnsi="Times Roman"/>
          <w:rtl w:val="0"/>
          <w:lang w:val="en-US"/>
        </w:rPr>
        <w:t>s alcohol misuse, emotional d</w:t>
      </w:r>
      <w:r>
        <w:rPr>
          <w:rFonts w:ascii="Times Roman" w:hAnsi="Times Roman"/>
          <w:rtl w:val="0"/>
          <w:lang w:val="en-US"/>
        </w:rPr>
        <w:t>e</w:t>
      </w:r>
      <w:r>
        <w:rPr>
          <w:rFonts w:ascii="Times Roman" w:hAnsi="Times Roman"/>
          <w:rtl w:val="0"/>
          <w:lang w:val="en-US"/>
        </w:rPr>
        <w:t>regulation, and interpersonal stressors</w:t>
      </w:r>
      <w:r>
        <w:rPr>
          <w:rFonts w:ascii="Times Roman" w:hAnsi="Times Roman"/>
          <w:rtl w:val="0"/>
          <w:lang w:val="en-US"/>
        </w:rPr>
        <w:t xml:space="preserve">, such as his </w:t>
      </w:r>
      <w:r>
        <w:rPr>
          <w:rFonts w:ascii="Times Roman" w:hAnsi="Times Roman"/>
          <w:rtl w:val="0"/>
          <w:lang w:val="en-US"/>
        </w:rPr>
        <w:t>marital breakdown</w:t>
      </w:r>
      <w:r>
        <w:rPr>
          <w:rFonts w:ascii="Times Roman" w:hAnsi="Times Roman"/>
          <w:rtl w:val="0"/>
          <w:lang w:val="en-US"/>
        </w:rPr>
        <w:t xml:space="preserve"> and</w:t>
      </w:r>
      <w:r>
        <w:rPr>
          <w:rFonts w:ascii="Times Roman" w:hAnsi="Times Roman"/>
          <w:rtl w:val="0"/>
          <w:lang w:val="fr-FR"/>
        </w:rPr>
        <w:t xml:space="preserve"> estrangement</w:t>
      </w:r>
      <w:r>
        <w:rPr>
          <w:rFonts w:ascii="Times Roman" w:hAnsi="Times Roman"/>
          <w:rtl w:val="0"/>
          <w:lang w:val="en-US"/>
        </w:rPr>
        <w:t xml:space="preserve">, </w:t>
      </w:r>
      <w:r>
        <w:rPr>
          <w:rFonts w:ascii="Times Roman" w:hAnsi="Times Roman"/>
          <w:rtl w:val="0"/>
          <w:lang w:val="en-US"/>
        </w:rPr>
        <w:t xml:space="preserve">may have created a vulnerability pathway. His </w:t>
      </w:r>
      <w:r>
        <w:rPr>
          <w:rFonts w:ascii="Times Roman" w:hAnsi="Times Roman"/>
          <w:rtl w:val="0"/>
          <w:lang w:val="en-US"/>
        </w:rPr>
        <w:t>hesitancy</w:t>
      </w:r>
      <w:r>
        <w:rPr>
          <w:rFonts w:ascii="Times Roman" w:hAnsi="Times Roman"/>
          <w:rtl w:val="0"/>
        </w:rPr>
        <w:t xml:space="preserve"> toward</w:t>
      </w:r>
      <w:r>
        <w:rPr>
          <w:rFonts w:ascii="Times Roman" w:hAnsi="Times Roman"/>
          <w:rtl w:val="0"/>
          <w:lang w:val="en-US"/>
        </w:rPr>
        <w:t>s</w:t>
      </w:r>
      <w:r>
        <w:rPr>
          <w:rFonts w:ascii="Times Roman" w:hAnsi="Times Roman"/>
          <w:rtl w:val="0"/>
          <w:lang w:val="en-US"/>
        </w:rPr>
        <w:t xml:space="preserve"> change and resentment about being labelled a </w:t>
      </w:r>
      <w:r>
        <w:rPr>
          <w:rFonts w:ascii="Times Roman" w:hAnsi="Times Roman" w:hint="default"/>
          <w:rtl w:val="0"/>
          <w:lang w:val="en-US"/>
        </w:rPr>
        <w:t>‘</w:t>
      </w:r>
      <w:r>
        <w:rPr>
          <w:rFonts w:ascii="Times Roman" w:hAnsi="Times Roman"/>
          <w:rtl w:val="0"/>
          <w:lang w:val="en-US"/>
        </w:rPr>
        <w:t>sex offender</w:t>
      </w:r>
      <w:r>
        <w:rPr>
          <w:rFonts w:ascii="Times Roman" w:hAnsi="Times Roman" w:hint="default"/>
          <w:rtl w:val="0"/>
          <w:lang w:val="en-US"/>
        </w:rPr>
        <w:t>’</w:t>
      </w:r>
      <w:r>
        <w:rPr>
          <w:rFonts w:ascii="Times Roman" w:hAnsi="Times Roman"/>
          <w:rtl w:val="0"/>
          <w:lang w:val="it-IT"/>
        </w:rPr>
        <w:t xml:space="preserve"> indicate </w:t>
      </w:r>
      <w:r>
        <w:rPr>
          <w:rFonts w:ascii="Times Roman" w:hAnsi="Times Roman"/>
          <w:rtl w:val="0"/>
          <w:lang w:val="en-US"/>
        </w:rPr>
        <w:t xml:space="preserve">limited insight </w:t>
      </w:r>
      <w:r>
        <w:rPr>
          <w:rFonts w:ascii="Times Roman" w:hAnsi="Times Roman"/>
          <w:rtl w:val="0"/>
          <w:lang w:val="en-US"/>
        </w:rPr>
        <w:t>and potential barriers to developing effective coping strategies</w:t>
      </w:r>
      <w:r>
        <w:rPr>
          <w:rFonts w:ascii="Times Roman" w:hAnsi="Times Roman"/>
          <w:rtl w:val="0"/>
          <w:lang w:val="en-US"/>
        </w:rPr>
        <w:t xml:space="preserve">. These are </w:t>
      </w:r>
      <w:r>
        <w:rPr>
          <w:rFonts w:ascii="Times Roman" w:hAnsi="Times Roman"/>
          <w:rtl w:val="0"/>
          <w:lang w:val="en-US"/>
        </w:rPr>
        <w:t xml:space="preserve">central concerns in RP frameworks. The model also highlights the role of seemingly </w:t>
      </w:r>
      <w:r>
        <w:rPr>
          <w:rFonts w:ascii="Times Roman" w:hAnsi="Times Roman" w:hint="default"/>
          <w:rtl w:val="0"/>
          <w:lang w:val="en-US"/>
        </w:rPr>
        <w:t>‘</w:t>
      </w:r>
      <w:r>
        <w:rPr>
          <w:rFonts w:ascii="Times Roman" w:hAnsi="Times Roman"/>
          <w:rtl w:val="0"/>
          <w:lang w:val="nl-NL"/>
        </w:rPr>
        <w:t>benign</w:t>
      </w:r>
      <w:r>
        <w:rPr>
          <w:rFonts w:ascii="Times Roman" w:hAnsi="Times Roman" w:hint="default"/>
          <w:rtl w:val="0"/>
          <w:lang w:val="en-US"/>
        </w:rPr>
        <w:t>’</w:t>
      </w:r>
      <w:r>
        <w:rPr>
          <w:rFonts w:ascii="Times Roman" w:hAnsi="Times Roman"/>
          <w:rtl w:val="0"/>
          <w:lang w:val="en-US"/>
        </w:rPr>
        <w:t xml:space="preserve"> decisions</w:t>
      </w:r>
      <w:r>
        <w:rPr>
          <w:rFonts w:ascii="Times Roman" w:hAnsi="Times Roman"/>
          <w:rtl w:val="0"/>
          <w:lang w:val="en-US"/>
        </w:rPr>
        <w:t>, such as h</w:t>
      </w:r>
      <w:r>
        <w:rPr>
          <w:rFonts w:ascii="Times Roman" w:hAnsi="Times Roman"/>
          <w:rtl w:val="0"/>
          <w:lang w:val="en-US"/>
        </w:rPr>
        <w:t>eavy drinking at a work event</w:t>
      </w:r>
      <w:r>
        <w:rPr>
          <w:rFonts w:ascii="Times Roman" w:hAnsi="Times Roman"/>
          <w:rtl w:val="0"/>
          <w:lang w:val="en-US"/>
        </w:rPr>
        <w:t>,</w:t>
      </w:r>
      <w:r>
        <w:rPr>
          <w:rFonts w:ascii="Times Roman" w:hAnsi="Times Roman"/>
          <w:rtl w:val="0"/>
          <w:lang w:val="en-US"/>
        </w:rPr>
        <w:t xml:space="preserve"> that escalate risk, aligning with Mark</w:t>
      </w:r>
      <w:r>
        <w:rPr>
          <w:rFonts w:ascii="Times Roman" w:hAnsi="Times Roman" w:hint="default"/>
          <w:rtl w:val="1"/>
        </w:rPr>
        <w:t>’</w:t>
      </w:r>
      <w:r>
        <w:rPr>
          <w:rFonts w:ascii="Times Roman" w:hAnsi="Times Roman"/>
          <w:rtl w:val="0"/>
          <w:lang w:val="en-US"/>
        </w:rPr>
        <w:t>s pattern of poor decision-making under emotional strain.</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Taken together, these theories suggest that Mark</w:t>
      </w:r>
      <w:r>
        <w:rPr>
          <w:rFonts w:ascii="Times Roman" w:hAnsi="Times Roman" w:hint="default"/>
          <w:rtl w:val="1"/>
        </w:rPr>
        <w:t>’</w:t>
      </w:r>
      <w:r>
        <w:rPr>
          <w:rFonts w:ascii="Times Roman" w:hAnsi="Times Roman"/>
          <w:rtl w:val="0"/>
          <w:lang w:val="en-US"/>
        </w:rPr>
        <w:t>s offending behaviour is best understood as the product of interacting cognitive distortions, impaired emotional regulation, situational disinhibition, and maladaptive interpersonal schemas. An integrative formulation drawing on these frameworks can guide treatment by targeting distorted beliefs, enhancing emotional awareness, strengthening coping strategies, and addressing alcohol-related risk.</w:t>
      </w:r>
    </w:p>
    <w:p>
      <w:pPr>
        <w:pStyle w:val="Default"/>
        <w:suppressAutoHyphens w:val="1"/>
        <w:spacing w:before="0" w:line="36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Presenting Problems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rPr>
        <w:t>Mark</w:t>
      </w:r>
      <w:r>
        <w:rPr>
          <w:rFonts w:ascii="Times Roman" w:hAnsi="Times Roman" w:hint="default"/>
          <w:rtl w:val="0"/>
          <w:lang w:val="en-US"/>
        </w:rPr>
        <w:t>’</w:t>
      </w:r>
      <w:r>
        <w:rPr>
          <w:rFonts w:ascii="Times Roman" w:hAnsi="Times Roman"/>
          <w:rtl w:val="0"/>
          <w:lang w:val="en-US"/>
        </w:rPr>
        <w:t xml:space="preserve">s </w:t>
      </w:r>
      <w:r>
        <w:rPr>
          <w:rFonts w:ascii="Times Roman" w:hAnsi="Times Roman"/>
          <w:rtl w:val="0"/>
          <w:lang w:val="en-US"/>
        </w:rPr>
        <w:t>presenting difficulties include offence</w:t>
      </w:r>
      <w:r>
        <w:rPr>
          <w:rFonts w:ascii="Times Roman" w:hAnsi="Times Roman" w:hint="default"/>
          <w:rtl w:val="0"/>
        </w:rPr>
        <w:t>‑</w:t>
      </w:r>
      <w:r>
        <w:rPr>
          <w:rFonts w:ascii="Times Roman" w:hAnsi="Times Roman"/>
          <w:rtl w:val="0"/>
          <w:lang w:val="en-US"/>
        </w:rPr>
        <w:t xml:space="preserve">supportive cognitions, emotional dysregulation, alcohol misuse, and interpersonal instability. He shows partial denial, minimisation, and discomfort discussing emotions. His </w:t>
      </w:r>
      <w:r>
        <w:rPr>
          <w:rFonts w:ascii="Times Roman" w:hAnsi="Times Roman"/>
          <w:rtl w:val="0"/>
          <w:lang w:val="en-US"/>
        </w:rPr>
        <w:t>resistance</w:t>
      </w:r>
      <w:r>
        <w:rPr>
          <w:rFonts w:ascii="Times Roman" w:hAnsi="Times Roman"/>
          <w:rtl w:val="0"/>
        </w:rPr>
        <w:t xml:space="preserve"> toward</w:t>
      </w:r>
      <w:r>
        <w:rPr>
          <w:rFonts w:ascii="Times Roman" w:hAnsi="Times Roman"/>
          <w:rtl w:val="0"/>
          <w:lang w:val="en-US"/>
        </w:rPr>
        <w:t>s</w:t>
      </w:r>
      <w:r>
        <w:rPr>
          <w:rFonts w:ascii="Times Roman" w:hAnsi="Times Roman"/>
          <w:rtl w:val="0"/>
          <w:lang w:val="en-US"/>
        </w:rPr>
        <w:t xml:space="preserve"> treatment and resentment about being labelled a sexual offender suggest limited readiness for change. These features align with well</w:t>
      </w:r>
      <w:r>
        <w:rPr>
          <w:rFonts w:ascii="Times Roman" w:hAnsi="Times Roman" w:hint="default"/>
          <w:rtl w:val="0"/>
        </w:rPr>
        <w:t>‑</w:t>
      </w:r>
      <w:r>
        <w:rPr>
          <w:rFonts w:ascii="Times Roman" w:hAnsi="Times Roman"/>
          <w:rtl w:val="0"/>
          <w:lang w:val="en-US"/>
        </w:rPr>
        <w:t>established dynamic risk factors for sexual recidivism, including cognitive distortions, poor self</w:t>
      </w:r>
      <w:r>
        <w:rPr>
          <w:rFonts w:ascii="Times Roman" w:hAnsi="Times Roman" w:hint="default"/>
          <w:rtl w:val="0"/>
        </w:rPr>
        <w:t>‑</w:t>
      </w:r>
      <w:r>
        <w:rPr>
          <w:rFonts w:ascii="Times Roman" w:hAnsi="Times Roman"/>
          <w:rtl w:val="0"/>
          <w:lang w:val="en-US"/>
        </w:rPr>
        <w:t>regulation, and substance</w:t>
      </w:r>
      <w:r>
        <w:rPr>
          <w:rFonts w:ascii="Times Roman" w:hAnsi="Times Roman" w:hint="default"/>
          <w:rtl w:val="0"/>
        </w:rPr>
        <w:t>‑</w:t>
      </w:r>
      <w:r>
        <w:rPr>
          <w:rFonts w:ascii="Times Roman" w:hAnsi="Times Roman"/>
          <w:rtl w:val="0"/>
          <w:lang w:val="en-US"/>
        </w:rPr>
        <w:t>related disinhibition</w:t>
      </w:r>
      <w:r>
        <w:rPr>
          <w:rFonts w:ascii="Times Roman" w:hAnsi="Times Roman"/>
          <w:rtl w:val="0"/>
          <w:lang w:val="en-US"/>
        </w:rPr>
        <w:t>.</w:t>
      </w: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Predisposing Factors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rPr>
        <w:t>Mark</w:t>
      </w:r>
      <w:r>
        <w:rPr>
          <w:rFonts w:ascii="Times Roman" w:hAnsi="Times Roman" w:hint="default"/>
          <w:rtl w:val="1"/>
        </w:rPr>
        <w:t>’</w:t>
      </w:r>
      <w:r>
        <w:rPr>
          <w:rFonts w:ascii="Times Roman" w:hAnsi="Times Roman"/>
          <w:rtl w:val="0"/>
          <w:lang w:val="en-US"/>
        </w:rPr>
        <w:t xml:space="preserve">s developmental history indicates several vulnerabilities. Exposure to domestic violence, a </w:t>
      </w:r>
      <w:r>
        <w:rPr>
          <w:rFonts w:ascii="Times Roman" w:hAnsi="Times Roman" w:hint="default"/>
          <w:rtl w:val="0"/>
          <w:lang w:val="en-US"/>
        </w:rPr>
        <w:t>‘</w:t>
      </w:r>
      <w:r>
        <w:rPr>
          <w:rFonts w:ascii="Times Roman" w:hAnsi="Times Roman"/>
          <w:rtl w:val="0"/>
          <w:lang w:val="en-US"/>
        </w:rPr>
        <w:t>chaotic and unpredictable</w:t>
      </w:r>
      <w:r>
        <w:rPr>
          <w:rFonts w:ascii="Times Roman" w:hAnsi="Times Roman" w:hint="default"/>
          <w:rtl w:val="0"/>
          <w:lang w:val="en-US"/>
        </w:rPr>
        <w:t>’</w:t>
      </w:r>
      <w:r>
        <w:rPr>
          <w:rFonts w:ascii="Times Roman" w:hAnsi="Times Roman"/>
          <w:rtl w:val="0"/>
          <w:lang w:val="en-US"/>
        </w:rPr>
        <w:t xml:space="preserve"> childhood, and an aggressive father likely contributed to maladaptive interpersonal schemas and impaired emotional development. Early </w:t>
      </w:r>
      <w:r>
        <w:rPr>
          <w:rFonts w:ascii="Times Roman" w:hAnsi="Times Roman"/>
          <w:rtl w:val="0"/>
          <w:lang w:val="en-US"/>
        </w:rPr>
        <w:t>childhood experience</w:t>
      </w:r>
      <w:r>
        <w:rPr>
          <w:rFonts w:ascii="Times Roman" w:hAnsi="Times Roman"/>
          <w:rtl w:val="0"/>
          <w:lang w:val="en-US"/>
        </w:rPr>
        <w:t xml:space="preserve"> is associated with later difficulties in emotional regulation and boundary recognition, both relevant to sexual offending (Smallbone et al., 2008). Leaving school at 16 with few qualifications and entering manual labour may have limited his coping </w:t>
      </w:r>
      <w:r>
        <w:rPr>
          <w:rFonts w:ascii="Times Roman" w:hAnsi="Times Roman"/>
          <w:rtl w:val="0"/>
          <w:lang w:val="en-US"/>
        </w:rPr>
        <w:t>strategies</w:t>
      </w:r>
      <w:r>
        <w:rPr>
          <w:rFonts w:ascii="Times Roman" w:hAnsi="Times Roman"/>
          <w:rtl w:val="0"/>
          <w:lang w:val="en-US"/>
        </w:rPr>
        <w:t xml:space="preserve"> and reinforced rigid masculine norms. His long</w:t>
      </w:r>
      <w:r>
        <w:rPr>
          <w:rFonts w:ascii="Times Roman" w:hAnsi="Times Roman" w:hint="default"/>
          <w:rtl w:val="0"/>
        </w:rPr>
        <w:t>‑</w:t>
      </w:r>
      <w:r>
        <w:rPr>
          <w:rFonts w:ascii="Times Roman" w:hAnsi="Times Roman"/>
          <w:rtl w:val="0"/>
          <w:lang w:val="en-US"/>
        </w:rPr>
        <w:t xml:space="preserve">standing alcohol misuse </w:t>
      </w:r>
      <w:r>
        <w:rPr>
          <w:rFonts w:ascii="Times Roman" w:hAnsi="Times Roman"/>
          <w:rtl w:val="0"/>
          <w:lang w:val="en-US"/>
        </w:rPr>
        <w:t>may have put him at risk of further</w:t>
      </w:r>
      <w:r>
        <w:rPr>
          <w:rFonts w:ascii="Times Roman" w:hAnsi="Times Roman"/>
          <w:rtl w:val="0"/>
          <w:lang w:val="en-US"/>
        </w:rPr>
        <w:t xml:space="preserve"> impaired judgement and reduced inhibition, consistent with research linking substance misuse to increased sexual offence risk (Mann et al., 2010).</w:t>
      </w: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Precipitating Factors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The </w:t>
      </w:r>
      <w:r>
        <w:rPr>
          <w:rFonts w:ascii="Times Roman" w:hAnsi="Times Roman"/>
          <w:rtl w:val="0"/>
          <w:lang w:val="en-US"/>
        </w:rPr>
        <w:t xml:space="preserve">sexual </w:t>
      </w:r>
      <w:r>
        <w:rPr>
          <w:rFonts w:ascii="Times Roman" w:hAnsi="Times Roman"/>
          <w:rtl w:val="0"/>
          <w:lang w:val="en-US"/>
        </w:rPr>
        <w:t>offence occurred at an office party where both Mark and the victim had been drinking. Acute intoxication is a well</w:t>
      </w:r>
      <w:r>
        <w:rPr>
          <w:rFonts w:ascii="Times Roman" w:hAnsi="Times Roman" w:hint="default"/>
          <w:rtl w:val="0"/>
        </w:rPr>
        <w:t>‑</w:t>
      </w:r>
      <w:r>
        <w:rPr>
          <w:rFonts w:ascii="Times Roman" w:hAnsi="Times Roman"/>
          <w:rtl w:val="0"/>
          <w:lang w:val="en-US"/>
        </w:rPr>
        <w:t>documented precipitant of sexual aggression due to its effects on inhibition, misperception of social cues, and increased impulsivity (Abbey et al., 2014). Mark</w:t>
      </w:r>
      <w:r>
        <w:rPr>
          <w:rFonts w:ascii="Times Roman" w:hAnsi="Times Roman" w:hint="default"/>
          <w:rtl w:val="1"/>
        </w:rPr>
        <w:t>’</w:t>
      </w:r>
      <w:r>
        <w:rPr>
          <w:rFonts w:ascii="Times Roman" w:hAnsi="Times Roman"/>
          <w:rtl w:val="0"/>
          <w:lang w:val="en-US"/>
        </w:rPr>
        <w:t xml:space="preserve">s emotional volatility following marital breakdown may also have </w:t>
      </w:r>
      <w:r>
        <w:rPr>
          <w:rFonts w:ascii="Times Roman" w:hAnsi="Times Roman"/>
          <w:rtl w:val="0"/>
          <w:lang w:val="en-US"/>
        </w:rPr>
        <w:t>increased</w:t>
      </w:r>
      <w:r>
        <w:rPr>
          <w:rFonts w:ascii="Times Roman" w:hAnsi="Times Roman"/>
          <w:rtl w:val="0"/>
          <w:lang w:val="en-US"/>
        </w:rPr>
        <w:t xml:space="preserve"> his vulnerability. The social contex</w:t>
      </w:r>
      <w:r>
        <w:rPr>
          <w:rFonts w:ascii="Times Roman" w:hAnsi="Times Roman"/>
          <w:rtl w:val="0"/>
          <w:lang w:val="en-US"/>
        </w:rPr>
        <w:t xml:space="preserve">t led to </w:t>
      </w:r>
      <w:r>
        <w:rPr>
          <w:rFonts w:ascii="Times Roman" w:hAnsi="Times Roman"/>
          <w:rtl w:val="0"/>
          <w:lang w:val="en-US"/>
        </w:rPr>
        <w:t>reduced supervision, alcohol availability, and ambiguous interpersonal interactions</w:t>
      </w:r>
      <w:r>
        <w:rPr>
          <w:rFonts w:ascii="Times Roman" w:hAnsi="Times Roman"/>
          <w:rtl w:val="0"/>
          <w:lang w:val="en-US"/>
        </w:rPr>
        <w:t xml:space="preserve">, which may have </w:t>
      </w:r>
      <w:r>
        <w:rPr>
          <w:rFonts w:ascii="Times Roman" w:hAnsi="Times Roman"/>
          <w:rtl w:val="0"/>
          <w:lang w:val="en-US"/>
        </w:rPr>
        <w:t xml:space="preserve">created conditions in which his existing cognitive distortions </w:t>
      </w:r>
      <w:r>
        <w:rPr>
          <w:rFonts w:ascii="Times Roman" w:hAnsi="Times Roman"/>
          <w:rtl w:val="0"/>
          <w:lang w:val="en-US"/>
        </w:rPr>
        <w:t xml:space="preserve">of </w:t>
      </w:r>
      <w:r>
        <w:rPr>
          <w:rFonts w:ascii="Times Roman" w:hAnsi="Times Roman" w:hint="default"/>
          <w:rtl w:val="0"/>
          <w:lang w:val="en-US"/>
        </w:rPr>
        <w:t>‘</w:t>
      </w:r>
      <w:r>
        <w:rPr>
          <w:rFonts w:ascii="Times Roman" w:hAnsi="Times Roman"/>
          <w:rtl w:val="0"/>
        </w:rPr>
        <w:t>drunken flirting</w:t>
      </w:r>
      <w:r>
        <w:rPr>
          <w:rFonts w:ascii="Times Roman" w:hAnsi="Times Roman" w:hint="default"/>
          <w:rtl w:val="0"/>
          <w:lang w:val="en-US"/>
        </w:rPr>
        <w:t>’</w:t>
      </w:r>
      <w:r>
        <w:rPr>
          <w:rFonts w:ascii="Times Roman" w:hAnsi="Times Roman"/>
          <w:rtl w:val="0"/>
        </w:rPr>
        <w:t xml:space="preserve"> </w:t>
      </w:r>
      <w:r>
        <w:rPr>
          <w:rFonts w:ascii="Times Roman" w:hAnsi="Times Roman"/>
          <w:rtl w:val="0"/>
          <w:lang w:val="en-US"/>
        </w:rPr>
        <w:t>that the victim</w:t>
      </w:r>
      <w:r>
        <w:rPr>
          <w:rFonts w:ascii="Times Roman" w:hAnsi="Times Roman"/>
          <w:rtl w:val="0"/>
        </w:rPr>
        <w:t xml:space="preserve"> </w:t>
      </w:r>
      <w:r>
        <w:rPr>
          <w:rFonts w:ascii="Times Roman" w:hAnsi="Times Roman" w:hint="default"/>
          <w:rtl w:val="0"/>
          <w:lang w:val="en-US"/>
        </w:rPr>
        <w:t>‘</w:t>
      </w:r>
      <w:r>
        <w:rPr>
          <w:rFonts w:ascii="Times Roman" w:hAnsi="Times Roman"/>
          <w:rtl w:val="0"/>
          <w:lang w:val="en-US"/>
        </w:rPr>
        <w:t>misunderstood</w:t>
      </w:r>
      <w:r>
        <w:rPr>
          <w:rFonts w:ascii="Times Roman" w:hAnsi="Times Roman" w:hint="default"/>
          <w:rtl w:val="0"/>
          <w:lang w:val="en-US"/>
        </w:rPr>
        <w:t>’</w:t>
      </w:r>
      <w:r>
        <w:rPr>
          <w:rFonts w:ascii="Times Roman" w:hAnsi="Times Roman"/>
          <w:rtl w:val="0"/>
          <w:lang w:val="en-US"/>
        </w:rPr>
        <w:t xml:space="preserve"> could be activated.</w:t>
      </w: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Perpetuating Factors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Several factors maintain Mark</w:t>
      </w:r>
      <w:r>
        <w:rPr>
          <w:rFonts w:ascii="Times Roman" w:hAnsi="Times Roman" w:hint="default"/>
          <w:rtl w:val="1"/>
        </w:rPr>
        <w:t>’</w:t>
      </w:r>
      <w:r>
        <w:rPr>
          <w:rFonts w:ascii="Times Roman" w:hAnsi="Times Roman"/>
          <w:rtl w:val="0"/>
          <w:lang w:val="en-US"/>
        </w:rPr>
        <w:t>s risk. His offence</w:t>
      </w:r>
      <w:r>
        <w:rPr>
          <w:rFonts w:ascii="Times Roman" w:hAnsi="Times Roman" w:hint="default"/>
          <w:rtl w:val="0"/>
        </w:rPr>
        <w:t>‑</w:t>
      </w:r>
      <w:r>
        <w:rPr>
          <w:rFonts w:ascii="Times Roman" w:hAnsi="Times Roman"/>
          <w:rtl w:val="0"/>
          <w:lang w:val="en-US"/>
        </w:rPr>
        <w:t>supportive beliefs, including minimisation of harm and externalisation of blame, are common cognitive distortions that sustain sexual offending (</w:t>
      </w:r>
      <w:r>
        <w:rPr>
          <w:rFonts w:ascii="Times Roman" w:hAnsi="Times Roman" w:hint="default"/>
          <w:rtl w:val="0"/>
        </w:rPr>
        <w:t xml:space="preserve">Ó </w:t>
      </w:r>
      <w:r>
        <w:rPr>
          <w:rFonts w:ascii="Times Roman" w:hAnsi="Times Roman"/>
          <w:rtl w:val="0"/>
          <w:lang w:val="it-IT"/>
        </w:rPr>
        <w:t xml:space="preserve">Ciardha </w:t>
      </w:r>
      <w:r>
        <w:rPr>
          <w:rFonts w:ascii="Times Roman" w:hAnsi="Times Roman"/>
          <w:rtl w:val="0"/>
          <w:lang w:val="en-US"/>
        </w:rPr>
        <w:t>et al.</w:t>
      </w:r>
      <w:r>
        <w:rPr>
          <w:rFonts w:ascii="Times Roman" w:hAnsi="Times Roman"/>
          <w:rtl w:val="0"/>
          <w:lang w:val="en-US"/>
        </w:rPr>
        <w:t xml:space="preserve">, 2013). His defensiveness and emotional avoidance limit his capacity for insight and engagement in treatment. Alcohol misuse remains a central perpetuating factor, as it has historically contributed to interpersonal conflict and offending behaviour. Additionally, his </w:t>
      </w:r>
      <w:r>
        <w:rPr>
          <w:rFonts w:ascii="Times Roman" w:hAnsi="Times Roman"/>
          <w:rtl w:val="0"/>
          <w:lang w:val="en-US"/>
        </w:rPr>
        <w:t>resistance</w:t>
      </w:r>
      <w:r>
        <w:rPr>
          <w:rFonts w:ascii="Times Roman" w:hAnsi="Times Roman"/>
          <w:rtl w:val="0"/>
        </w:rPr>
        <w:t xml:space="preserve"> toward</w:t>
      </w:r>
      <w:r>
        <w:rPr>
          <w:rFonts w:ascii="Times Roman" w:hAnsi="Times Roman"/>
          <w:rtl w:val="0"/>
          <w:lang w:val="en-US"/>
        </w:rPr>
        <w:t>s</w:t>
      </w:r>
      <w:r>
        <w:rPr>
          <w:rFonts w:ascii="Times Roman" w:hAnsi="Times Roman"/>
          <w:rtl w:val="0"/>
          <w:lang w:val="en-US"/>
        </w:rPr>
        <w:t xml:space="preserve"> change and resentment about his </w:t>
      </w:r>
      <w:r>
        <w:rPr>
          <w:rFonts w:ascii="Times Roman" w:hAnsi="Times Roman"/>
          <w:rtl w:val="0"/>
          <w:lang w:val="en-US"/>
        </w:rPr>
        <w:t xml:space="preserve">sexual </w:t>
      </w:r>
      <w:r>
        <w:rPr>
          <w:rFonts w:ascii="Times Roman" w:hAnsi="Times Roman"/>
          <w:rtl w:val="0"/>
          <w:lang w:val="en-US"/>
        </w:rPr>
        <w:t xml:space="preserve">offender label may reduce </w:t>
      </w:r>
      <w:r>
        <w:rPr>
          <w:rFonts w:ascii="Times Roman" w:hAnsi="Times Roman"/>
          <w:rtl w:val="0"/>
          <w:lang w:val="en-US"/>
        </w:rPr>
        <w:t xml:space="preserve">his response to </w:t>
      </w:r>
      <w:r>
        <w:rPr>
          <w:rFonts w:ascii="Times Roman" w:hAnsi="Times Roman"/>
          <w:rtl w:val="0"/>
          <w:lang w:val="en-US"/>
        </w:rPr>
        <w:t>treatment, a known barrier to risk reduction (Marshall et al., 2011). Social isolation following marital breakdown and estrangement from his ex</w:t>
      </w:r>
      <w:r>
        <w:rPr>
          <w:rFonts w:ascii="Times Roman" w:hAnsi="Times Roman" w:hint="default"/>
          <w:rtl w:val="0"/>
        </w:rPr>
        <w:t>‑</w:t>
      </w:r>
      <w:r>
        <w:rPr>
          <w:rFonts w:ascii="Times Roman" w:hAnsi="Times Roman"/>
          <w:rtl w:val="0"/>
          <w:lang w:val="en-US"/>
        </w:rPr>
        <w:t xml:space="preserve">wife may </w:t>
      </w:r>
      <w:r>
        <w:rPr>
          <w:rFonts w:ascii="Times Roman" w:hAnsi="Times Roman"/>
          <w:rtl w:val="0"/>
          <w:lang w:val="en-US"/>
        </w:rPr>
        <w:t>also</w:t>
      </w:r>
      <w:r>
        <w:rPr>
          <w:rFonts w:ascii="Times Roman" w:hAnsi="Times Roman"/>
          <w:rtl w:val="0"/>
          <w:lang w:val="en-US"/>
        </w:rPr>
        <w:t xml:space="preserve"> reinforce maladaptive coping strategies.</w:t>
      </w: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Protective Factors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Mark </w:t>
      </w:r>
      <w:r>
        <w:rPr>
          <w:rFonts w:ascii="Times Roman" w:hAnsi="Times Roman"/>
          <w:rtl w:val="0"/>
          <w:lang w:val="en-US"/>
        </w:rPr>
        <w:t xml:space="preserve">does </w:t>
      </w:r>
      <w:r>
        <w:rPr>
          <w:rFonts w:ascii="Times Roman" w:hAnsi="Times Roman"/>
          <w:rtl w:val="0"/>
        </w:rPr>
        <w:t>demonstrate</w:t>
      </w:r>
      <w:r>
        <w:rPr>
          <w:rFonts w:ascii="Times Roman" w:hAnsi="Times Roman"/>
          <w:rtl w:val="0"/>
          <w:lang w:val="en-US"/>
        </w:rPr>
        <w:t xml:space="preserve"> </w:t>
      </w:r>
      <w:r>
        <w:rPr>
          <w:rFonts w:ascii="Times Roman" w:hAnsi="Times Roman"/>
          <w:rtl w:val="0"/>
          <w:lang w:val="en-US"/>
        </w:rPr>
        <w:t>some emerging strengths. He is cooperative in sessions, maintains contact with his daughter, and has engaged in alcohol</w:t>
      </w:r>
      <w:r>
        <w:rPr>
          <w:rFonts w:ascii="Times Roman" w:hAnsi="Times Roman" w:hint="default"/>
          <w:rtl w:val="0"/>
        </w:rPr>
        <w:t>‑</w:t>
      </w:r>
      <w:r>
        <w:rPr>
          <w:rFonts w:ascii="Times Roman" w:hAnsi="Times Roman"/>
          <w:rtl w:val="0"/>
          <w:lang w:val="en-US"/>
        </w:rPr>
        <w:t>reduction groups. These factors may support motivation and provide social anchors</w:t>
      </w:r>
      <w:r>
        <w:rPr>
          <w:rFonts w:ascii="Times Roman" w:hAnsi="Times Roman"/>
          <w:rtl w:val="0"/>
          <w:lang w:val="en-US"/>
        </w:rPr>
        <w:t xml:space="preserve"> imperative to his recovery and therapy (Thornton et al., 2024)</w:t>
      </w:r>
      <w:r>
        <w:rPr>
          <w:rFonts w:ascii="Times Roman" w:hAnsi="Times Roman"/>
          <w:rtl w:val="0"/>
          <w:lang w:val="en-US"/>
        </w:rPr>
        <w:t>. His average cognitive functioning suggests capacity to benefit from structured psychological interventions. However, these protective factors are currently weak due to his ambivalence, limited emotional insight, and ongoing cognitive distortions.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Shame and denial are powerful emotional and cognitive processes that can significantly undermine an individual</w:t>
      </w:r>
      <w:r>
        <w:rPr>
          <w:rFonts w:ascii="Times Roman" w:hAnsi="Times Roman" w:hint="default"/>
          <w:rtl w:val="1"/>
        </w:rPr>
        <w:t>’</w:t>
      </w:r>
      <w:r>
        <w:rPr>
          <w:rFonts w:ascii="Times Roman" w:hAnsi="Times Roman"/>
          <w:rtl w:val="0"/>
          <w:lang w:val="en-US"/>
        </w:rPr>
        <w:t>s engagement in treatment for sexual offending. Shame is a self</w:t>
      </w:r>
      <w:r>
        <w:rPr>
          <w:rFonts w:ascii="Times Roman" w:hAnsi="Times Roman" w:hint="default"/>
          <w:rtl w:val="0"/>
        </w:rPr>
        <w:t>‑</w:t>
      </w:r>
      <w:r>
        <w:rPr>
          <w:rFonts w:ascii="Times Roman" w:hAnsi="Times Roman"/>
          <w:rtl w:val="0"/>
          <w:lang w:val="en-US"/>
        </w:rPr>
        <w:t>conscious emotion associated with feelings of worthlessness, exposure, and fear of judgment. Research shows that individuals who experience high levels of shame often avoid discussing their behaviour, withdraw emotionally, or become defensive in therapeutic settings (Miles, 2012). This avoidance can limit the development of therapeutic rapport and reduce openness</w:t>
      </w:r>
      <w:r>
        <w:rPr>
          <w:rFonts w:ascii="Times Roman" w:hAnsi="Times Roman"/>
          <w:rtl w:val="0"/>
          <w:lang w:val="en-US"/>
        </w:rPr>
        <w:t xml:space="preserve">, </w:t>
      </w:r>
      <w:r>
        <w:rPr>
          <w:rFonts w:ascii="Times Roman" w:hAnsi="Times Roman"/>
          <w:rtl w:val="0"/>
          <w:lang w:val="en-US"/>
        </w:rPr>
        <w:t xml:space="preserve">both </w:t>
      </w:r>
      <w:r>
        <w:rPr>
          <w:rFonts w:ascii="Times Roman" w:hAnsi="Times Roman"/>
          <w:rtl w:val="0"/>
          <w:lang w:val="en-US"/>
        </w:rPr>
        <w:t>hugely important</w:t>
      </w:r>
      <w:r>
        <w:rPr>
          <w:rFonts w:ascii="Times Roman" w:hAnsi="Times Roman"/>
          <w:rtl w:val="0"/>
          <w:lang w:val="en-US"/>
        </w:rPr>
        <w:t xml:space="preserve"> for effective intervention.</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Denial, which may include minimising harm, rejecting responsibility, or disputing aspects of the offence, is </w:t>
      </w:r>
      <w:r>
        <w:rPr>
          <w:rFonts w:ascii="Times Roman" w:hAnsi="Times Roman"/>
          <w:rtl w:val="0"/>
          <w:lang w:val="en-US"/>
        </w:rPr>
        <w:t>commonly</w:t>
      </w:r>
      <w:r>
        <w:rPr>
          <w:rFonts w:ascii="Times Roman" w:hAnsi="Times Roman"/>
          <w:rtl w:val="0"/>
          <w:lang w:val="en-US"/>
        </w:rPr>
        <w:t xml:space="preserve"> used as a psychological defence to protect against overwhelming shame (Ferguson, 2023). When shame threatens an individual</w:t>
      </w:r>
      <w:r>
        <w:rPr>
          <w:rFonts w:ascii="Times Roman" w:hAnsi="Times Roman" w:hint="default"/>
          <w:rtl w:val="1"/>
        </w:rPr>
        <w:t>’</w:t>
      </w:r>
      <w:r>
        <w:rPr>
          <w:rFonts w:ascii="Times Roman" w:hAnsi="Times Roman"/>
          <w:rtl w:val="0"/>
          <w:lang w:val="en-US"/>
        </w:rPr>
        <w:t>s self</w:t>
      </w:r>
      <w:r>
        <w:rPr>
          <w:rFonts w:ascii="Times Roman" w:hAnsi="Times Roman" w:hint="default"/>
          <w:rtl w:val="0"/>
        </w:rPr>
        <w:t>‑</w:t>
      </w:r>
      <w:r>
        <w:rPr>
          <w:rFonts w:ascii="Times Roman" w:hAnsi="Times Roman"/>
          <w:rtl w:val="0"/>
          <w:lang w:val="en-US"/>
        </w:rPr>
        <w:t xml:space="preserve">concept, denial can </w:t>
      </w:r>
      <w:r>
        <w:rPr>
          <w:rFonts w:ascii="Times Roman" w:hAnsi="Times Roman"/>
          <w:rtl w:val="0"/>
          <w:lang w:val="en-US"/>
        </w:rPr>
        <w:t>show itself</w:t>
      </w:r>
      <w:r>
        <w:rPr>
          <w:rFonts w:ascii="Times Roman" w:hAnsi="Times Roman"/>
          <w:rtl w:val="0"/>
          <w:lang w:val="en-US"/>
        </w:rPr>
        <w:t xml:space="preserve"> as a coping mechanism that </w:t>
      </w:r>
      <w:r>
        <w:rPr>
          <w:rFonts w:ascii="Times Roman" w:hAnsi="Times Roman"/>
          <w:rtl w:val="0"/>
          <w:lang w:val="en-US"/>
        </w:rPr>
        <w:t>maintains</w:t>
      </w:r>
      <w:r>
        <w:rPr>
          <w:rFonts w:ascii="Times Roman" w:hAnsi="Times Roman"/>
          <w:rtl w:val="0"/>
          <w:lang w:val="en-US"/>
        </w:rPr>
        <w:t xml:space="preserve"> a sense of identity and reduces emotional distress. However, this same mechanism can </w:t>
      </w:r>
      <w:r>
        <w:rPr>
          <w:rFonts w:ascii="Times Roman" w:hAnsi="Times Roman"/>
          <w:rtl w:val="0"/>
          <w:lang w:val="en-US"/>
        </w:rPr>
        <w:t>stand in the way of</w:t>
      </w:r>
      <w:r>
        <w:rPr>
          <w:rFonts w:ascii="Times Roman" w:hAnsi="Times Roman"/>
          <w:rtl w:val="0"/>
          <w:lang w:val="en-US"/>
        </w:rPr>
        <w:t xml:space="preserve"> treatment engagement by preventing individuals from acknowledging risk factors, understanding offence pathways, or participating fully in </w:t>
      </w:r>
      <w:r>
        <w:rPr>
          <w:rFonts w:ascii="Times Roman" w:hAnsi="Times Roman"/>
          <w:rtl w:val="0"/>
          <w:lang w:val="en-US"/>
        </w:rPr>
        <w:t>therapeutic</w:t>
      </w:r>
      <w:r>
        <w:rPr>
          <w:rFonts w:ascii="Times Roman" w:hAnsi="Times Roman"/>
          <w:rtl w:val="0"/>
          <w:lang w:val="fr-FR"/>
        </w:rPr>
        <w:t xml:space="preserve"> interventions.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The literature suggests that denial is not always directly linked to </w:t>
      </w:r>
      <w:r>
        <w:rPr>
          <w:rFonts w:ascii="Times Roman" w:hAnsi="Times Roman"/>
          <w:rtl w:val="0"/>
          <w:lang w:val="en-US"/>
        </w:rPr>
        <w:t>reoffending</w:t>
      </w:r>
      <w:r>
        <w:rPr>
          <w:rFonts w:ascii="Times Roman" w:hAnsi="Times Roman"/>
          <w:rtl w:val="0"/>
          <w:lang w:val="en-US"/>
        </w:rPr>
        <w:t xml:space="preserve">, but it does create barriers to accessing and benefiting from treatment (Ferguson, 2023). For example, individuals in </w:t>
      </w:r>
      <w:r>
        <w:rPr>
          <w:rFonts w:ascii="Times Roman" w:hAnsi="Times Roman"/>
          <w:rtl w:val="0"/>
          <w:lang w:val="en-US"/>
        </w:rPr>
        <w:t>complete</w:t>
      </w:r>
      <w:r>
        <w:rPr>
          <w:rFonts w:ascii="Times Roman" w:hAnsi="Times Roman"/>
          <w:rtl w:val="0"/>
          <w:lang w:val="en-US"/>
        </w:rPr>
        <w:t xml:space="preserve"> denial may resist attending programmes, challenge facilitators, or disengage when confronted with offence</w:t>
      </w:r>
      <w:r>
        <w:rPr>
          <w:rFonts w:ascii="Times Roman" w:hAnsi="Times Roman" w:hint="default"/>
          <w:rtl w:val="0"/>
        </w:rPr>
        <w:t>‑</w:t>
      </w:r>
      <w:r>
        <w:rPr>
          <w:rFonts w:ascii="Times Roman" w:hAnsi="Times Roman"/>
          <w:rtl w:val="0"/>
          <w:lang w:val="en-US"/>
        </w:rPr>
        <w:t>related material. Shame can also lead to emotional numbing or hostility, complicating t</w:t>
      </w:r>
      <w:r>
        <w:rPr>
          <w:rFonts w:ascii="Times Roman" w:hAnsi="Times Roman"/>
          <w:rtl w:val="0"/>
          <w:lang w:val="en-US"/>
        </w:rPr>
        <w:t>he t</w:t>
      </w:r>
      <w:r>
        <w:rPr>
          <w:rFonts w:ascii="Times Roman" w:hAnsi="Times Roman"/>
          <w:rtl w:val="0"/>
          <w:lang w:val="en-US"/>
        </w:rPr>
        <w:t>herapeutic progress</w:t>
      </w:r>
      <w:r>
        <w:rPr>
          <w:rFonts w:ascii="Times Roman" w:hAnsi="Times Roman"/>
          <w:rtl w:val="0"/>
          <w:lang w:val="en-US"/>
        </w:rPr>
        <w:t xml:space="preserve"> further</w:t>
      </w:r>
      <w:r>
        <w:rPr>
          <w:rFonts w:ascii="Times Roman" w:hAnsi="Times Roman"/>
          <w:rtl w:val="0"/>
        </w:rPr>
        <w:t xml:space="preserve"> (Miles, 2012).</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Together, shame and denial can create a cycle in which emotional discomfort </w:t>
      </w:r>
      <w:r>
        <w:rPr>
          <w:rFonts w:ascii="Times Roman" w:hAnsi="Times Roman"/>
          <w:rtl w:val="0"/>
          <w:lang w:val="en-US"/>
        </w:rPr>
        <w:t>enhances</w:t>
      </w:r>
      <w:r>
        <w:rPr>
          <w:rFonts w:ascii="Times Roman" w:hAnsi="Times Roman"/>
          <w:rtl w:val="0"/>
          <w:lang w:val="en-US"/>
        </w:rPr>
        <w:t xml:space="preserve"> cognitive avoidance, which in turn reinforces emotional withdrawal. Effective treatment therefore requires approaches that reduce shame, promote psychological safety, and encourage gradual responsibility</w:t>
      </w:r>
      <w:r>
        <w:rPr>
          <w:rFonts w:ascii="Times Roman" w:hAnsi="Times Roman" w:hint="default"/>
          <w:rtl w:val="0"/>
        </w:rPr>
        <w:t>‑</w:t>
      </w:r>
      <w:r>
        <w:rPr>
          <w:rFonts w:ascii="Times Roman" w:hAnsi="Times Roman"/>
          <w:rtl w:val="0"/>
        </w:rPr>
        <w:t>taking. Compassion</w:t>
      </w:r>
      <w:r>
        <w:rPr>
          <w:rFonts w:ascii="Times Roman" w:hAnsi="Times Roman" w:hint="default"/>
          <w:rtl w:val="0"/>
        </w:rPr>
        <w:t>‑</w:t>
      </w:r>
      <w:r>
        <w:rPr>
          <w:rFonts w:ascii="Times Roman" w:hAnsi="Times Roman"/>
          <w:rtl w:val="0"/>
          <w:lang w:val="en-US"/>
        </w:rPr>
        <w:t>focused and motivational approaches are often recommended to help individuals move from shame</w:t>
      </w:r>
      <w:r>
        <w:rPr>
          <w:rFonts w:ascii="Times Roman" w:hAnsi="Times Roman" w:hint="default"/>
          <w:rtl w:val="0"/>
        </w:rPr>
        <w:t>‑</w:t>
      </w:r>
      <w:r>
        <w:rPr>
          <w:rFonts w:ascii="Times Roman" w:hAnsi="Times Roman"/>
          <w:rtl w:val="0"/>
          <w:lang w:val="en-US"/>
        </w:rPr>
        <w:t>based avoidance toward meaningful engagement</w:t>
      </w:r>
      <w:r>
        <w:rPr>
          <w:rFonts w:ascii="Times Roman" w:hAnsi="Times Roman"/>
          <w:rtl w:val="0"/>
          <w:lang w:val="en-US"/>
        </w:rPr>
        <w:t xml:space="preserve"> (Hart et al., 2025)</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Effective intervention for individuals who have committed sexual offences</w:t>
      </w:r>
      <w:r>
        <w:rPr>
          <w:rFonts w:ascii="Times Roman" w:hAnsi="Times Roman"/>
          <w:rtl w:val="0"/>
          <w:lang w:val="en-US"/>
        </w:rPr>
        <w:t xml:space="preserve"> like Mark</w:t>
      </w:r>
      <w:r>
        <w:rPr>
          <w:rFonts w:ascii="Times Roman" w:hAnsi="Times Roman"/>
          <w:rtl w:val="0"/>
          <w:lang w:val="en-US"/>
        </w:rPr>
        <w:t xml:space="preserve"> require a dual focus: reducing dynamic risk factors that elevate the likelihood of reoffending, and strengthening protective factors that support desistance and long</w:t>
      </w:r>
      <w:r>
        <w:rPr>
          <w:rFonts w:ascii="Times Roman" w:hAnsi="Times Roman" w:hint="default"/>
          <w:rtl w:val="0"/>
        </w:rPr>
        <w:t>‑</w:t>
      </w:r>
      <w:r>
        <w:rPr>
          <w:rFonts w:ascii="Times Roman" w:hAnsi="Times Roman"/>
          <w:rtl w:val="0"/>
          <w:lang w:val="en-US"/>
        </w:rPr>
        <w:t xml:space="preserve">term stability. </w:t>
      </w:r>
      <w:r>
        <w:rPr>
          <w:rFonts w:ascii="Times Roman" w:hAnsi="Times Roman"/>
          <w:rtl w:val="0"/>
          <w:lang w:val="en-US"/>
        </w:rPr>
        <w:t>Modern</w:t>
      </w:r>
      <w:r>
        <w:rPr>
          <w:rFonts w:ascii="Times Roman" w:hAnsi="Times Roman"/>
          <w:rtl w:val="0"/>
          <w:lang w:val="en-US"/>
        </w:rPr>
        <w:t xml:space="preserve"> forensic practice increasingly emphasises this balanced approach, recognising that risk reduction alone is insufficient without development of prosocial capacities </w:t>
      </w:r>
      <w:r>
        <w:rPr>
          <w:rFonts w:ascii="Times Roman" w:hAnsi="Times Roman"/>
          <w:rtl w:val="0"/>
          <w:lang w:val="en-US"/>
        </w:rPr>
        <w:t xml:space="preserve">alongside it </w:t>
      </w:r>
      <w:r>
        <w:rPr>
          <w:rFonts w:ascii="Times Roman" w:hAnsi="Times Roman"/>
          <w:rtl w:val="0"/>
          <w:lang w:val="en-US"/>
        </w:rPr>
        <w:t>(Thornton et al., 2024). For someone like Mark, whose risk profile includes emotional dysregulation, offence</w:t>
      </w:r>
      <w:r>
        <w:rPr>
          <w:rFonts w:ascii="Times Roman" w:hAnsi="Times Roman" w:hint="default"/>
          <w:rtl w:val="0"/>
        </w:rPr>
        <w:t>‑</w:t>
      </w:r>
      <w:r>
        <w:rPr>
          <w:rFonts w:ascii="Times Roman" w:hAnsi="Times Roman"/>
          <w:rtl w:val="0"/>
          <w:lang w:val="en-US"/>
        </w:rPr>
        <w:t xml:space="preserve">supportive cognitions, alcohol </w:t>
      </w:r>
      <w:r>
        <w:rPr>
          <w:rFonts w:ascii="Times Roman" w:hAnsi="Times Roman"/>
          <w:rtl w:val="0"/>
          <w:lang w:val="en-US"/>
        </w:rPr>
        <w:t>abuse</w:t>
      </w:r>
      <w:r>
        <w:rPr>
          <w:rFonts w:ascii="Times Roman" w:hAnsi="Times Roman"/>
          <w:rtl w:val="0"/>
          <w:lang w:val="en-US"/>
        </w:rPr>
        <w:t>, and interpersonal instability, interventions must target these vulnerabilities while simultaneously enhancing motivation, social connect</w:t>
      </w:r>
      <w:r>
        <w:rPr>
          <w:rFonts w:ascii="Times Roman" w:hAnsi="Times Roman"/>
          <w:rtl w:val="0"/>
          <w:lang w:val="en-US"/>
        </w:rPr>
        <w:t>ion</w:t>
      </w:r>
      <w:r>
        <w:rPr>
          <w:rFonts w:ascii="Times Roman" w:hAnsi="Times Roman"/>
          <w:rtl w:val="0"/>
          <w:lang w:val="en-US"/>
        </w:rPr>
        <w:t>, and engagement in meaningful roles.</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it-IT"/>
        </w:rPr>
        <w:t>Cognitive</w:t>
      </w:r>
      <w:r>
        <w:rPr>
          <w:rFonts w:ascii="Times Roman" w:hAnsi="Times Roman" w:hint="default"/>
          <w:rtl w:val="0"/>
        </w:rPr>
        <w:t>‑</w:t>
      </w:r>
      <w:r>
        <w:rPr>
          <w:rFonts w:ascii="Times Roman" w:hAnsi="Times Roman"/>
          <w:rtl w:val="0"/>
          <w:lang w:val="en-US"/>
        </w:rPr>
        <w:t>behavioural therapy (CBT) remains a cornerstone of sexual offending treatment because it directly addresses offence</w:t>
      </w:r>
      <w:r>
        <w:rPr>
          <w:rFonts w:ascii="Times Roman" w:hAnsi="Times Roman" w:hint="default"/>
          <w:rtl w:val="0"/>
        </w:rPr>
        <w:t>‑</w:t>
      </w:r>
      <w:r>
        <w:rPr>
          <w:rFonts w:ascii="Times Roman" w:hAnsi="Times Roman"/>
          <w:rtl w:val="0"/>
          <w:lang w:val="en-US"/>
        </w:rPr>
        <w:t>supportive cognitions, such as minimisation, externalisation of blame, and misinterpretation of social cues</w:t>
      </w:r>
      <w:r>
        <w:rPr>
          <w:rFonts w:ascii="Times Roman" w:hAnsi="Times Roman"/>
          <w:rtl w:val="0"/>
          <w:lang w:val="en-US"/>
        </w:rPr>
        <w:t xml:space="preserve"> to (Mann et al., 2010). </w:t>
      </w:r>
      <w:r>
        <w:rPr>
          <w:rFonts w:ascii="Times Roman" w:hAnsi="Times Roman"/>
          <w:rtl w:val="0"/>
          <w:lang w:val="en-US"/>
        </w:rPr>
        <w:t>These are well</w:t>
      </w:r>
      <w:r>
        <w:rPr>
          <w:rFonts w:ascii="Times Roman" w:hAnsi="Times Roman"/>
          <w:rtl w:val="0"/>
          <w:lang w:val="en-US"/>
        </w:rPr>
        <w:t xml:space="preserve"> </w:t>
      </w:r>
      <w:r>
        <w:rPr>
          <w:rFonts w:ascii="Times Roman" w:hAnsi="Times Roman"/>
          <w:rtl w:val="0"/>
          <w:lang w:val="en-US"/>
        </w:rPr>
        <w:t xml:space="preserve">established dynamic risk factors linked to </w:t>
      </w:r>
      <w:r>
        <w:rPr>
          <w:rFonts w:ascii="Times Roman" w:hAnsi="Times Roman"/>
          <w:rtl w:val="0"/>
          <w:lang w:val="en-US"/>
        </w:rPr>
        <w:t>reoffending</w:t>
      </w:r>
      <w:r>
        <w:rPr>
          <w:rFonts w:ascii="Times Roman" w:hAnsi="Times Roman"/>
          <w:rtl w:val="0"/>
          <w:lang w:val="en-US"/>
        </w:rPr>
        <w:t>. Structured programmes help individuals identify distorted thinking, develop accountability, and build empathy. By challenging cognitive distortions and promoting prosocial reasoning, CBT reduces dynamic risk while simultaneously strengthening protective factors such as self</w:t>
      </w:r>
      <w:r>
        <w:rPr>
          <w:rFonts w:ascii="Times Roman" w:hAnsi="Times Roman" w:hint="default"/>
          <w:rtl w:val="0"/>
        </w:rPr>
        <w:t>‑</w:t>
      </w:r>
      <w:r>
        <w:rPr>
          <w:rFonts w:ascii="Times Roman" w:hAnsi="Times Roman"/>
          <w:rtl w:val="0"/>
          <w:lang w:val="en-US"/>
        </w:rPr>
        <w:t>awareness, responsibility</w:t>
      </w:r>
      <w:r>
        <w:rPr>
          <w:rFonts w:ascii="Times Roman" w:hAnsi="Times Roman" w:hint="default"/>
          <w:rtl w:val="0"/>
        </w:rPr>
        <w:t>‑</w:t>
      </w:r>
      <w:r>
        <w:rPr>
          <w:rFonts w:ascii="Times Roman" w:hAnsi="Times Roman"/>
          <w:rtl w:val="0"/>
          <w:lang w:val="en-US"/>
        </w:rPr>
        <w:t>taking, and internal motivation for change.</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Dynamic risk research highlights poor self</w:t>
      </w:r>
      <w:r>
        <w:rPr>
          <w:rFonts w:ascii="Times Roman" w:hAnsi="Times Roman" w:hint="default"/>
          <w:rtl w:val="0"/>
        </w:rPr>
        <w:t>‑</w:t>
      </w:r>
      <w:r>
        <w:rPr>
          <w:rFonts w:ascii="Times Roman" w:hAnsi="Times Roman"/>
          <w:rtl w:val="0"/>
          <w:lang w:val="en-US"/>
        </w:rPr>
        <w:t>management, emotional instability, and impulsivity as key contributors to sexual offending (HM Inspectorate of Probation, 2023). Interventions such as dialectical behaviour therapy (DBT) or emotion</w:t>
      </w:r>
      <w:r>
        <w:rPr>
          <w:rFonts w:ascii="Times Roman" w:hAnsi="Times Roman" w:hint="default"/>
          <w:rtl w:val="0"/>
        </w:rPr>
        <w:t>‑</w:t>
      </w:r>
      <w:r>
        <w:rPr>
          <w:rFonts w:ascii="Times Roman" w:hAnsi="Times Roman"/>
          <w:rtl w:val="0"/>
          <w:lang w:val="en-US"/>
        </w:rPr>
        <w:t xml:space="preserve">focused CBT can help individuals develop skills in distress tolerance, emotional awareness, and behavioural regulation. For Mark, whose emotional volatility and avoidance of emotional topics are prominent, </w:t>
      </w:r>
      <w:r>
        <w:rPr>
          <w:rFonts w:ascii="Times Roman" w:hAnsi="Times Roman"/>
          <w:rtl w:val="0"/>
          <w:lang w:val="en-US"/>
        </w:rPr>
        <w:t>these</w:t>
      </w:r>
      <w:r>
        <w:rPr>
          <w:rFonts w:ascii="Times Roman" w:hAnsi="Times Roman"/>
          <w:rtl w:val="0"/>
          <w:lang w:val="en-US"/>
        </w:rPr>
        <w:t xml:space="preserve"> interventions would reduce risk by improving his capacity to manage interpersonal conflict and high</w:t>
      </w:r>
      <w:r>
        <w:rPr>
          <w:rFonts w:ascii="Times Roman" w:hAnsi="Times Roman" w:hint="default"/>
          <w:rtl w:val="0"/>
        </w:rPr>
        <w:t>‑</w:t>
      </w:r>
      <w:r>
        <w:rPr>
          <w:rFonts w:ascii="Times Roman" w:hAnsi="Times Roman"/>
          <w:rtl w:val="0"/>
          <w:lang w:val="en-US"/>
        </w:rPr>
        <w:t>arousal situations. These same skills also function as protective factors by increasing resilience, coping capacity, and psychological flexibility.</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Alcohol misuse is a major dynamic risk factor for sexual offending because it reduces inhibitions, impairs judgement, and increases impulsivity</w:t>
      </w:r>
      <w:r>
        <w:rPr>
          <w:rFonts w:ascii="Times Roman" w:hAnsi="Times Roman"/>
          <w:rtl w:val="0"/>
          <w:lang w:val="en-US"/>
        </w:rPr>
        <w:t xml:space="preserve"> (Abbey et al., 2014)</w:t>
      </w:r>
      <w:r>
        <w:rPr>
          <w:rFonts w:ascii="Times Roman" w:hAnsi="Times Roman"/>
          <w:rtl w:val="0"/>
          <w:lang w:val="en-US"/>
        </w:rPr>
        <w:t>. Interventions such as relapse</w:t>
      </w:r>
      <w:r>
        <w:rPr>
          <w:rFonts w:ascii="Times Roman" w:hAnsi="Times Roman" w:hint="default"/>
          <w:rtl w:val="0"/>
        </w:rPr>
        <w:t>‑</w:t>
      </w:r>
      <w:r>
        <w:rPr>
          <w:rFonts w:ascii="Times Roman" w:hAnsi="Times Roman"/>
          <w:rtl w:val="0"/>
          <w:lang w:val="en-US"/>
        </w:rPr>
        <w:t>prevention planning, motivational interviewing, and structured alcohol</w:t>
      </w:r>
      <w:r>
        <w:rPr>
          <w:rFonts w:ascii="Times Roman" w:hAnsi="Times Roman" w:hint="default"/>
          <w:rtl w:val="0"/>
        </w:rPr>
        <w:t>‑</w:t>
      </w:r>
      <w:r>
        <w:rPr>
          <w:rFonts w:ascii="Times Roman" w:hAnsi="Times Roman"/>
          <w:rtl w:val="0"/>
          <w:lang w:val="en-US"/>
        </w:rPr>
        <w:t>reduction programmes directly target this risk. Evidence</w:t>
      </w:r>
      <w:r>
        <w:rPr>
          <w:rFonts w:ascii="Times Roman" w:hAnsi="Times Roman" w:hint="default"/>
          <w:rtl w:val="0"/>
        </w:rPr>
        <w:t>‑</w:t>
      </w:r>
      <w:r>
        <w:rPr>
          <w:rFonts w:ascii="Times Roman" w:hAnsi="Times Roman"/>
          <w:rtl w:val="0"/>
          <w:lang w:val="en-US"/>
        </w:rPr>
        <w:t xml:space="preserve">based offender management frameworks emphasise addressing substance misuse as a priority dynamic factor (McNaughton Nicholls </w:t>
      </w:r>
      <w:r>
        <w:rPr>
          <w:rFonts w:ascii="Times Roman" w:hAnsi="Times Roman"/>
          <w:rtl w:val="0"/>
          <w:lang w:val="en-US"/>
        </w:rPr>
        <w:t>et al.</w:t>
      </w:r>
      <w:r>
        <w:rPr>
          <w:rFonts w:ascii="Times Roman" w:hAnsi="Times Roman"/>
          <w:rtl w:val="0"/>
        </w:rPr>
        <w:t>, 2014</w:t>
      </w:r>
      <w:r>
        <w:rPr>
          <w:rFonts w:ascii="Times Roman" w:hAnsi="Times Roman"/>
          <w:rtl w:val="0"/>
          <w:lang w:val="en-US"/>
        </w:rPr>
        <w:t>)</w:t>
      </w:r>
      <w:r>
        <w:rPr>
          <w:rFonts w:ascii="Times Roman" w:hAnsi="Times Roman"/>
          <w:rtl w:val="0"/>
          <w:lang w:val="en-US"/>
        </w:rPr>
        <w:t>. At the same time, successful engagement in substance misuse treatment enhances protective factors such as healthier routines, improved decision</w:t>
      </w:r>
      <w:r>
        <w:rPr>
          <w:rFonts w:ascii="Times Roman" w:hAnsi="Times Roman" w:hint="default"/>
          <w:rtl w:val="0"/>
        </w:rPr>
        <w:t>‑</w:t>
      </w:r>
      <w:r>
        <w:rPr>
          <w:rFonts w:ascii="Times Roman" w:hAnsi="Times Roman"/>
          <w:rtl w:val="0"/>
          <w:lang w:val="en-US"/>
        </w:rPr>
        <w:t>making, and greater stability in daily functioning</w:t>
      </w:r>
      <w:r>
        <w:rPr>
          <w:rFonts w:ascii="Times Roman" w:hAnsi="Times Roman"/>
          <w:rtl w:val="0"/>
          <w:lang w:val="en-US"/>
        </w:rPr>
        <w:t xml:space="preserve"> (McMurran, 2007)</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Recent research emphasises the importance of strengthening dynamic protective factors, including social identity, supportive relationships, and constructive use of time (Thornton et al., 2024). Strengths</w:t>
      </w:r>
      <w:r>
        <w:rPr>
          <w:rFonts w:ascii="Times Roman" w:hAnsi="Times Roman" w:hint="default"/>
          <w:rtl w:val="0"/>
        </w:rPr>
        <w:t>‑</w:t>
      </w:r>
      <w:r>
        <w:rPr>
          <w:rFonts w:ascii="Times Roman" w:hAnsi="Times Roman"/>
          <w:rtl w:val="0"/>
          <w:lang w:val="en-US"/>
        </w:rPr>
        <w:t>based models such as the Good Lives Model (GLM) aim to build personal capabilities, meaningful goals, and prosocial roles. These approaches complement risk</w:t>
      </w:r>
      <w:r>
        <w:rPr>
          <w:rFonts w:ascii="Times Roman" w:hAnsi="Times Roman" w:hint="default"/>
          <w:rtl w:val="0"/>
        </w:rPr>
        <w:t>‑</w:t>
      </w:r>
      <w:r>
        <w:rPr>
          <w:rFonts w:ascii="Times Roman" w:hAnsi="Times Roman"/>
          <w:rtl w:val="0"/>
          <w:lang w:val="en-US"/>
        </w:rPr>
        <w:t>focused interventions by enhancing motivation and supporting long</w:t>
      </w:r>
      <w:r>
        <w:rPr>
          <w:rFonts w:ascii="Times Roman" w:hAnsi="Times Roman" w:hint="default"/>
          <w:rtl w:val="0"/>
        </w:rPr>
        <w:t>‑</w:t>
      </w:r>
      <w:r>
        <w:rPr>
          <w:rFonts w:ascii="Times Roman" w:hAnsi="Times Roman"/>
          <w:rtl w:val="0"/>
          <w:lang w:val="en-US"/>
        </w:rPr>
        <w:t>term desistance</w:t>
      </w:r>
      <w:r>
        <w:rPr>
          <w:rFonts w:ascii="Times Roman" w:hAnsi="Times Roman"/>
          <w:rtl w:val="0"/>
          <w:lang w:val="en-US"/>
        </w:rPr>
        <w:t xml:space="preserve"> (Willis et al., 2013)</w:t>
      </w:r>
      <w:r>
        <w:rPr>
          <w:rFonts w:ascii="Times Roman" w:hAnsi="Times Roman"/>
          <w:rtl w:val="0"/>
          <w:lang w:val="en-US"/>
        </w:rPr>
        <w:t xml:space="preserve">. For Mark, maintaining contact with his daughter, engaging in treatment, and developing prosocial routines within the unit can all be reinforced as protective factors that </w:t>
      </w:r>
      <w:r>
        <w:rPr>
          <w:rFonts w:ascii="Times Roman" w:hAnsi="Times Roman"/>
          <w:rtl w:val="0"/>
          <w:lang w:val="en-US"/>
        </w:rPr>
        <w:t>help</w:t>
      </w:r>
      <w:r>
        <w:rPr>
          <w:rFonts w:ascii="Times Roman" w:hAnsi="Times Roman"/>
          <w:rtl w:val="0"/>
        </w:rPr>
        <w:t xml:space="preserve"> </w:t>
      </w:r>
      <w:r>
        <w:rPr>
          <w:rFonts w:ascii="Times Roman" w:hAnsi="Times Roman"/>
          <w:rtl w:val="0"/>
          <w:lang w:val="en-US"/>
        </w:rPr>
        <w:t>reduce</w:t>
      </w:r>
      <w:r>
        <w:rPr>
          <w:rFonts w:ascii="Times Roman" w:hAnsi="Times Roman"/>
          <w:rtl w:val="0"/>
        </w:rPr>
        <w:t xml:space="preserve"> risk.</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Interpersonal difficulties</w:t>
      </w:r>
      <w:r>
        <w:rPr>
          <w:rFonts w:ascii="Times Roman" w:hAnsi="Times Roman"/>
          <w:rtl w:val="0"/>
          <w:lang w:val="en-US"/>
        </w:rPr>
        <w:t xml:space="preserve"> i</w:t>
      </w:r>
      <w:r>
        <w:rPr>
          <w:rFonts w:ascii="Times Roman" w:hAnsi="Times Roman"/>
          <w:rtl w:val="0"/>
          <w:lang w:val="en-US"/>
        </w:rPr>
        <w:t>ncluding hostility, mistrust, or poor communication</w:t>
      </w:r>
      <w:r>
        <w:rPr>
          <w:rFonts w:ascii="Times Roman" w:hAnsi="Times Roman"/>
          <w:rtl w:val="0"/>
          <w:lang w:val="en-US"/>
        </w:rPr>
        <w:t xml:space="preserve">, </w:t>
      </w:r>
      <w:r>
        <w:rPr>
          <w:rFonts w:ascii="Times Roman" w:hAnsi="Times Roman"/>
          <w:rtl w:val="0"/>
          <w:lang w:val="en-US"/>
        </w:rPr>
        <w:t>are dynamic risk factors for sexual offending. Therapeutic approaches that enhance interpersonal skills, such as social problem</w:t>
      </w:r>
      <w:r>
        <w:rPr>
          <w:rFonts w:ascii="Times Roman" w:hAnsi="Times Roman" w:hint="default"/>
          <w:rtl w:val="0"/>
        </w:rPr>
        <w:t>‑</w:t>
      </w:r>
      <w:r>
        <w:rPr>
          <w:rFonts w:ascii="Times Roman" w:hAnsi="Times Roman"/>
          <w:rtl w:val="0"/>
          <w:lang w:val="en-US"/>
        </w:rPr>
        <w:t>solving training or interpersonal therapy, can reduce risk by improving relationship functioning and reducing conflict</w:t>
      </w:r>
      <w:r>
        <w:rPr>
          <w:rFonts w:ascii="Times Roman" w:hAnsi="Times Roman"/>
          <w:rtl w:val="0"/>
          <w:lang w:val="en-US"/>
        </w:rPr>
        <w:t xml:space="preserve">, highlighting </w:t>
      </w:r>
      <w:r>
        <w:rPr>
          <w:rFonts w:ascii="Times Roman" w:hAnsi="Times Roman"/>
          <w:rtl w:val="0"/>
          <w:lang w:val="en-US"/>
        </w:rPr>
        <w:t>the importance of addressing interpersonal functioning as part of dynamic risk management. Strengthening these skills also enhances protective factors by fostering prosocial support networks, healthy attachment, and community</w:t>
      </w:r>
      <w:r>
        <w:rPr>
          <w:rFonts w:ascii="Times Roman" w:hAnsi="Times Roman"/>
          <w:b w:val="1"/>
          <w:bCs w:val="1"/>
          <w:rtl w:val="0"/>
        </w:rPr>
        <w:t xml:space="preserve"> </w:t>
      </w:r>
      <w:r>
        <w:rPr>
          <w:rFonts w:ascii="Times Roman" w:hAnsi="Times Roman"/>
          <w:rtl w:val="0"/>
          <w:lang w:val="en-US"/>
        </w:rPr>
        <w:t>integration</w:t>
      </w:r>
      <w:r>
        <w:rPr>
          <w:rFonts w:ascii="Times Roman" w:hAnsi="Times Roman"/>
          <w:rtl w:val="0"/>
          <w:lang w:val="en-US"/>
        </w:rPr>
        <w:t xml:space="preserve"> </w:t>
      </w:r>
      <w:r>
        <w:rPr>
          <w:rFonts w:ascii="Times Roman" w:hAnsi="Times Roman"/>
          <w:rtl w:val="0"/>
          <w:lang w:val="en-US"/>
        </w:rPr>
        <w:t>(HM Inspectorate of Probation, 2023)</w:t>
      </w:r>
      <w:r>
        <w:rPr>
          <w:rFonts w:ascii="Times Roman" w:hAnsi="Times Roman"/>
          <w:rtl w:val="0"/>
          <w:lang w:val="en-US"/>
        </w:rPr>
        <w:t>.</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Structured risk management frameworks, such as the Active Risk Management System (ARMS), emphasise monitoring and addressing dynamic risk factors while also identifying and strengthening protective factors (McNaughton Nicholls </w:t>
      </w:r>
      <w:r>
        <w:rPr>
          <w:rFonts w:ascii="Times Roman" w:hAnsi="Times Roman"/>
          <w:rtl w:val="0"/>
          <w:lang w:val="en-US"/>
        </w:rPr>
        <w:t>et al.,</w:t>
      </w:r>
      <w:r>
        <w:rPr>
          <w:rFonts w:ascii="Times Roman" w:hAnsi="Times Roman"/>
          <w:rtl w:val="0"/>
          <w:lang w:val="en-US"/>
        </w:rPr>
        <w:t xml:space="preserve"> 2014). ARMS focuses on areas such as social support, stable accommodation, and engagement in meaningful activities</w:t>
      </w:r>
      <w:r>
        <w:rPr>
          <w:rFonts w:ascii="Times Roman" w:hAnsi="Times Roman"/>
          <w:rtl w:val="0"/>
          <w:lang w:val="en-US"/>
        </w:rPr>
        <w:t xml:space="preserve">, </w:t>
      </w:r>
      <w:r>
        <w:rPr>
          <w:rFonts w:ascii="Times Roman" w:hAnsi="Times Roman"/>
          <w:rtl w:val="0"/>
          <w:lang w:val="en-US"/>
        </w:rPr>
        <w:t xml:space="preserve">factors shown to reduce </w:t>
      </w:r>
      <w:r>
        <w:rPr>
          <w:rFonts w:ascii="Times Roman" w:hAnsi="Times Roman"/>
          <w:rtl w:val="0"/>
          <w:lang w:val="en-US"/>
        </w:rPr>
        <w:t>reoffending</w:t>
      </w:r>
      <w:r>
        <w:rPr>
          <w:rFonts w:ascii="Times Roman" w:hAnsi="Times Roman"/>
          <w:rtl w:val="0"/>
          <w:lang w:val="it-IT"/>
        </w:rPr>
        <w:t>. Multi</w:t>
      </w:r>
      <w:r>
        <w:rPr>
          <w:rFonts w:ascii="Times Roman" w:hAnsi="Times Roman" w:hint="default"/>
          <w:rtl w:val="0"/>
        </w:rPr>
        <w:t>‑</w:t>
      </w:r>
      <w:r>
        <w:rPr>
          <w:rFonts w:ascii="Times Roman" w:hAnsi="Times Roman"/>
          <w:rtl w:val="0"/>
          <w:lang w:val="en-US"/>
        </w:rPr>
        <w:t>agency collaboration ensures that interventions are coordinated, consistent, and responsive to changes in risk. This approach is particularly important for individuals like Mark, whose risk profile includes both acute</w:t>
      </w:r>
      <w:r>
        <w:rPr>
          <w:rFonts w:ascii="Times Roman" w:hAnsi="Times Roman"/>
          <w:rtl w:val="0"/>
          <w:lang w:val="en-US"/>
        </w:rPr>
        <w:t xml:space="preserve">, such as alcohol abuse, </w:t>
      </w:r>
      <w:r>
        <w:rPr>
          <w:rFonts w:ascii="Times Roman" w:hAnsi="Times Roman"/>
          <w:rtl w:val="0"/>
          <w:lang w:val="en-US"/>
        </w:rPr>
        <w:t>and stable dynamic factors</w:t>
      </w:r>
      <w:r>
        <w:rPr>
          <w:rFonts w:ascii="Times Roman" w:hAnsi="Times Roman"/>
          <w:rtl w:val="0"/>
          <w:lang w:val="en-US"/>
        </w:rPr>
        <w:t xml:space="preserve">, such as </w:t>
      </w:r>
      <w:r>
        <w:rPr>
          <w:rFonts w:ascii="Times Roman" w:hAnsi="Times Roman"/>
          <w:rtl w:val="0"/>
          <w:lang w:val="en-US"/>
        </w:rPr>
        <w:t>cognitive distortions</w:t>
      </w:r>
      <w:r>
        <w:rPr>
          <w:rFonts w:ascii="Times Roman" w:hAnsi="Times Roman"/>
          <w:rtl w:val="0"/>
          <w:lang w:val="en-US"/>
        </w:rPr>
        <w:t xml:space="preserve"> (Kemshall et al., 2007)</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Shame and denial can impede treatment engagement, making motivational and compassion</w:t>
      </w:r>
      <w:r>
        <w:rPr>
          <w:rFonts w:ascii="Times Roman" w:hAnsi="Times Roman" w:hint="default"/>
          <w:rtl w:val="0"/>
        </w:rPr>
        <w:t>‑</w:t>
      </w:r>
      <w:r>
        <w:rPr>
          <w:rFonts w:ascii="Times Roman" w:hAnsi="Times Roman"/>
          <w:rtl w:val="0"/>
          <w:lang w:val="en-US"/>
        </w:rPr>
        <w:t>focused approaches essential. These interventions help individuals move from avoidance to openness, increasing their willingness to engage in risk</w:t>
      </w:r>
      <w:r>
        <w:rPr>
          <w:rFonts w:ascii="Times Roman" w:hAnsi="Times Roman" w:hint="default"/>
          <w:rtl w:val="0"/>
        </w:rPr>
        <w:t>‑</w:t>
      </w:r>
      <w:r>
        <w:rPr>
          <w:rFonts w:ascii="Times Roman" w:hAnsi="Times Roman"/>
          <w:rtl w:val="0"/>
          <w:lang w:val="en-US"/>
        </w:rPr>
        <w:t>reduction work</w:t>
      </w:r>
      <w:r>
        <w:rPr>
          <w:rFonts w:ascii="Times Roman" w:hAnsi="Times Roman"/>
          <w:rtl w:val="0"/>
          <w:lang w:val="en-US"/>
        </w:rPr>
        <w:t xml:space="preserve"> (Hart et al., 2025)</w:t>
      </w:r>
      <w:r>
        <w:rPr>
          <w:rFonts w:ascii="Times Roman" w:hAnsi="Times Roman"/>
          <w:rtl w:val="0"/>
          <w:lang w:val="it-IT"/>
        </w:rPr>
        <w:t>. Compassion</w:t>
      </w:r>
      <w:r>
        <w:rPr>
          <w:rFonts w:ascii="Times Roman" w:hAnsi="Times Roman" w:hint="default"/>
          <w:rtl w:val="0"/>
        </w:rPr>
        <w:t>‑</w:t>
      </w:r>
      <w:r>
        <w:rPr>
          <w:rFonts w:ascii="Times Roman" w:hAnsi="Times Roman"/>
          <w:rtl w:val="0"/>
          <w:lang w:val="en-US"/>
        </w:rPr>
        <w:t>focused approaches have been shown to reduce shame and improve engagement in forensic settings. Improved engagement itself is a protective factor, as it enhances treatment responsiveness and supports prosocial identity development</w:t>
      </w:r>
      <w:r>
        <w:rPr>
          <w:rFonts w:ascii="Times Roman" w:hAnsi="Times Roman"/>
          <w:rtl w:val="0"/>
          <w:lang w:val="en-US"/>
        </w:rPr>
        <w:t xml:space="preserve"> (Gilbert et al., 2006).</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Integrating a trauma</w:t>
      </w:r>
      <w:r>
        <w:rPr>
          <w:rFonts w:ascii="Times Roman" w:hAnsi="Times Roman" w:hint="default"/>
          <w:rtl w:val="0"/>
        </w:rPr>
        <w:t>‑</w:t>
      </w:r>
      <w:r>
        <w:rPr>
          <w:rFonts w:ascii="Times Roman" w:hAnsi="Times Roman"/>
          <w:rtl w:val="0"/>
          <w:lang w:val="en-US"/>
        </w:rPr>
        <w:t>informed approach into Mark</w:t>
      </w:r>
      <w:r>
        <w:rPr>
          <w:rFonts w:ascii="Times Roman" w:hAnsi="Times Roman" w:hint="default"/>
          <w:rtl w:val="1"/>
        </w:rPr>
        <w:t>’</w:t>
      </w:r>
      <w:r>
        <w:rPr>
          <w:rFonts w:ascii="Times Roman" w:hAnsi="Times Roman"/>
          <w:rtl w:val="0"/>
          <w:lang w:val="en-US"/>
        </w:rPr>
        <w:t>s treatment is essential given the likelihood that his emotional avoidance, interpersonal difficulties, and maladaptive coping strategies may be rooted in earlier adverse experiences</w:t>
      </w:r>
      <w:r>
        <w:rPr>
          <w:rFonts w:ascii="Times Roman" w:hAnsi="Times Roman"/>
          <w:rtl w:val="0"/>
          <w:lang w:val="en-US"/>
        </w:rPr>
        <w:t xml:space="preserve"> (Hopper et al., 2010) </w:t>
      </w:r>
      <w:r>
        <w:rPr>
          <w:rFonts w:ascii="Times Roman" w:hAnsi="Times Roman"/>
          <w:rtl w:val="0"/>
          <w:lang w:val="de-DE"/>
        </w:rPr>
        <w:t>. Trauma</w:t>
      </w:r>
      <w:r>
        <w:rPr>
          <w:rFonts w:ascii="Times Roman" w:hAnsi="Times Roman" w:hint="default"/>
          <w:rtl w:val="0"/>
        </w:rPr>
        <w:t>‑</w:t>
      </w:r>
      <w:r>
        <w:rPr>
          <w:rFonts w:ascii="Times Roman" w:hAnsi="Times Roman"/>
          <w:rtl w:val="0"/>
          <w:lang w:val="en-US"/>
        </w:rPr>
        <w:t>informed practice recognises that trauma can shape an individual</w:t>
      </w:r>
      <w:r>
        <w:rPr>
          <w:rFonts w:ascii="Times Roman" w:hAnsi="Times Roman" w:hint="default"/>
          <w:rtl w:val="1"/>
        </w:rPr>
        <w:t>’</w:t>
      </w:r>
      <w:r>
        <w:rPr>
          <w:rFonts w:ascii="Times Roman" w:hAnsi="Times Roman"/>
          <w:rtl w:val="0"/>
          <w:lang w:val="en-US"/>
        </w:rPr>
        <w:t xml:space="preserve">s emotional regulation, relational patterns, and engagement with services. It therefore </w:t>
      </w:r>
      <w:r>
        <w:rPr>
          <w:rFonts w:ascii="Times Roman" w:hAnsi="Times Roman"/>
          <w:rtl w:val="0"/>
          <w:lang w:val="en-US"/>
        </w:rPr>
        <w:t>puts emphasis on</w:t>
      </w:r>
      <w:r>
        <w:rPr>
          <w:rFonts w:ascii="Times Roman" w:hAnsi="Times Roman"/>
          <w:rtl w:val="0"/>
          <w:lang w:val="en-US"/>
        </w:rPr>
        <w:t xml:space="preserve"> safety, choice, collaboration, trust, and empowerment</w:t>
      </w:r>
      <w:r>
        <w:rPr>
          <w:rFonts w:ascii="Times Roman" w:hAnsi="Times Roman"/>
          <w:rtl w:val="0"/>
          <w:lang w:val="en-US"/>
        </w:rPr>
        <w:t xml:space="preserve">, all </w:t>
      </w:r>
      <w:r>
        <w:rPr>
          <w:rFonts w:ascii="Times Roman" w:hAnsi="Times Roman"/>
          <w:rtl w:val="0"/>
          <w:lang w:val="en-US"/>
        </w:rPr>
        <w:t xml:space="preserve">principles that can significantly enhance treatment responsiveness in </w:t>
      </w:r>
      <w:r>
        <w:rPr>
          <w:rFonts w:ascii="Times Roman" w:hAnsi="Times Roman"/>
          <w:rtl w:val="0"/>
          <w:lang w:val="en-US"/>
        </w:rPr>
        <w:t xml:space="preserve">a </w:t>
      </w:r>
      <w:r>
        <w:rPr>
          <w:rFonts w:ascii="Times Roman" w:hAnsi="Times Roman"/>
          <w:rtl w:val="0"/>
          <w:lang w:val="en-US"/>
        </w:rPr>
        <w:t>forensic setting (Bath, 2015). For Mark, whose presentation includes shame, defensiveness, and avoidance, these principles can help reduce perceived threat and increase openness to therapeutic work.</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de-DE"/>
        </w:rPr>
        <w:t>A trauma</w:t>
      </w:r>
      <w:r>
        <w:rPr>
          <w:rFonts w:ascii="Times Roman" w:hAnsi="Times Roman" w:hint="default"/>
          <w:rtl w:val="0"/>
        </w:rPr>
        <w:t>‑</w:t>
      </w:r>
      <w:r>
        <w:rPr>
          <w:rFonts w:ascii="Times Roman" w:hAnsi="Times Roman"/>
          <w:rtl w:val="0"/>
          <w:lang w:val="en-US"/>
        </w:rPr>
        <w:t>informed approach begins with establishing psychological and relational safety, ensuring that Mark experiences sessions as predictable, respectful, and non</w:t>
      </w:r>
      <w:r>
        <w:rPr>
          <w:rFonts w:ascii="Times Roman" w:hAnsi="Times Roman" w:hint="default"/>
          <w:rtl w:val="0"/>
        </w:rPr>
        <w:t>‑</w:t>
      </w:r>
      <w:r>
        <w:rPr>
          <w:rFonts w:ascii="Times Roman" w:hAnsi="Times Roman"/>
          <w:rtl w:val="0"/>
          <w:lang w:val="en-US"/>
        </w:rPr>
        <w:t>judgemental. Shame and fear of scrutiny often lead individuals with trauma histories to withdraw or minimise difficulties, which can impede progress in offence</w:t>
      </w:r>
      <w:r>
        <w:rPr>
          <w:rFonts w:ascii="Times Roman" w:hAnsi="Times Roman" w:hint="default"/>
          <w:rtl w:val="0"/>
        </w:rPr>
        <w:t>‑</w:t>
      </w:r>
      <w:r>
        <w:rPr>
          <w:rFonts w:ascii="Times Roman" w:hAnsi="Times Roman"/>
          <w:rtl w:val="0"/>
          <w:lang w:val="en-US"/>
        </w:rPr>
        <w:t>focused work</w:t>
      </w:r>
      <w:r>
        <w:rPr>
          <w:rFonts w:ascii="Times Roman" w:hAnsi="Times Roman"/>
          <w:rtl w:val="0"/>
          <w:lang w:val="en-US"/>
        </w:rPr>
        <w:t xml:space="preserve"> (</w:t>
      </w:r>
      <w:r>
        <w:rPr>
          <w:rFonts w:ascii="Times Roman" w:hAnsi="Times Roman"/>
          <w:rtl w:val="0"/>
        </w:rPr>
        <w:t>SAMHSA</w:t>
      </w:r>
      <w:r>
        <w:rPr>
          <w:rFonts w:ascii="Times Roman" w:hAnsi="Times Roman"/>
          <w:rtl w:val="0"/>
          <w:lang w:val="en-US"/>
        </w:rPr>
        <w:t>, 2014)</w:t>
      </w:r>
      <w:r>
        <w:rPr>
          <w:rFonts w:ascii="Times Roman" w:hAnsi="Times Roman"/>
          <w:rtl w:val="0"/>
          <w:lang w:val="en-US"/>
        </w:rPr>
        <w:t>. Creating a therapeutic environment that reduces shame and supports emotional regulation is therefore crucial. Compassion</w:t>
      </w:r>
      <w:r>
        <w:rPr>
          <w:rFonts w:ascii="Times Roman" w:hAnsi="Times Roman" w:hint="default"/>
          <w:rtl w:val="0"/>
        </w:rPr>
        <w:t>‑</w:t>
      </w:r>
      <w:r>
        <w:rPr>
          <w:rFonts w:ascii="Times Roman" w:hAnsi="Times Roman"/>
          <w:rtl w:val="0"/>
          <w:lang w:val="en-US"/>
        </w:rPr>
        <w:t>focused approaches have been shown to reduce shame and increase engagement in forensic populations (Gilbert &amp; Procter, 2006). This aligns with trauma</w:t>
      </w:r>
      <w:r>
        <w:rPr>
          <w:rFonts w:ascii="Times Roman" w:hAnsi="Times Roman" w:hint="default"/>
          <w:rtl w:val="0"/>
        </w:rPr>
        <w:t>‑</w:t>
      </w:r>
      <w:r>
        <w:rPr>
          <w:rFonts w:ascii="Times Roman" w:hAnsi="Times Roman"/>
          <w:rtl w:val="0"/>
          <w:lang w:val="en-US"/>
        </w:rPr>
        <w:t>informed principles by helping Mark shift from avoidance to curiosity and self</w:t>
      </w:r>
      <w:r>
        <w:rPr>
          <w:rFonts w:ascii="Times Roman" w:hAnsi="Times Roman" w:hint="default"/>
          <w:rtl w:val="0"/>
        </w:rPr>
        <w:t>‑</w:t>
      </w:r>
      <w:r>
        <w:rPr>
          <w:rFonts w:ascii="Times Roman" w:hAnsi="Times Roman"/>
          <w:rtl w:val="0"/>
          <w:lang w:val="en-US"/>
        </w:rPr>
        <w:t>reflection.</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de-DE"/>
        </w:rPr>
        <w:t>Trauma</w:t>
      </w:r>
      <w:r>
        <w:rPr>
          <w:rFonts w:ascii="Times Roman" w:hAnsi="Times Roman" w:hint="default"/>
          <w:rtl w:val="0"/>
        </w:rPr>
        <w:t>‑</w:t>
      </w:r>
      <w:r>
        <w:rPr>
          <w:rFonts w:ascii="Times Roman" w:hAnsi="Times Roman"/>
          <w:rtl w:val="0"/>
          <w:lang w:val="en-US"/>
        </w:rPr>
        <w:t>informed practice also requires attention to emotional regulation, as trauma can disrupt an individual</w:t>
      </w:r>
      <w:r>
        <w:rPr>
          <w:rFonts w:ascii="Times Roman" w:hAnsi="Times Roman" w:hint="default"/>
          <w:rtl w:val="1"/>
        </w:rPr>
        <w:t>’</w:t>
      </w:r>
      <w:r>
        <w:rPr>
          <w:rFonts w:ascii="Times Roman" w:hAnsi="Times Roman"/>
          <w:rtl w:val="0"/>
          <w:lang w:val="en-US"/>
        </w:rPr>
        <w:t>s ability to manage distress and impulses. Interventions such as grounding techniques, distress</w:t>
      </w:r>
      <w:r>
        <w:rPr>
          <w:rFonts w:ascii="Times Roman" w:hAnsi="Times Roman" w:hint="default"/>
          <w:rtl w:val="0"/>
        </w:rPr>
        <w:t>‑</w:t>
      </w:r>
      <w:r>
        <w:rPr>
          <w:rFonts w:ascii="Times Roman" w:hAnsi="Times Roman"/>
          <w:rtl w:val="0"/>
          <w:lang w:val="en-US"/>
        </w:rPr>
        <w:t>tolerance skills, and emotion</w:t>
      </w:r>
      <w:r>
        <w:rPr>
          <w:rFonts w:ascii="Times Roman" w:hAnsi="Times Roman" w:hint="default"/>
          <w:rtl w:val="0"/>
        </w:rPr>
        <w:t>‑</w:t>
      </w:r>
      <w:r>
        <w:rPr>
          <w:rFonts w:ascii="Times Roman" w:hAnsi="Times Roman"/>
          <w:rtl w:val="0"/>
          <w:lang w:val="en-US"/>
        </w:rPr>
        <w:t>regulation strategies can be integrated early in treatment to help Mark build the capacity to tolerate difficult feelings without resorting to avoidance or maladaptive coping. These skills not only reduce dynamic risk factors such as emotional instability but also strengthen protective factors like resilience and self</w:t>
      </w:r>
      <w:r>
        <w:rPr>
          <w:rFonts w:ascii="Times Roman" w:hAnsi="Times Roman" w:hint="default"/>
          <w:rtl w:val="0"/>
        </w:rPr>
        <w:t>‑</w:t>
      </w:r>
      <w:r>
        <w:rPr>
          <w:rFonts w:ascii="Times Roman" w:hAnsi="Times Roman"/>
          <w:rtl w:val="0"/>
          <w:lang w:val="fr-FR"/>
        </w:rPr>
        <w:t>management</w:t>
      </w:r>
      <w:r>
        <w:rPr>
          <w:rFonts w:ascii="Times Roman" w:hAnsi="Times Roman"/>
          <w:rtl w:val="0"/>
          <w:lang w:val="en-US"/>
        </w:rPr>
        <w:t xml:space="preserve"> (Cloitre et al., 2011).</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Another key component is understanding behaviour through a trauma lens. Trauma</w:t>
      </w:r>
      <w:r>
        <w:rPr>
          <w:rFonts w:ascii="Times Roman" w:hAnsi="Times Roman" w:hint="default"/>
          <w:rtl w:val="0"/>
        </w:rPr>
        <w:t>‑</w:t>
      </w:r>
      <w:r>
        <w:rPr>
          <w:rFonts w:ascii="Times Roman" w:hAnsi="Times Roman"/>
          <w:rtl w:val="0"/>
          <w:lang w:val="en-US"/>
        </w:rPr>
        <w:t xml:space="preserve">informed approaches do not excuse harmful behaviour but </w:t>
      </w:r>
      <w:r>
        <w:rPr>
          <w:rFonts w:ascii="Times Roman" w:hAnsi="Times Roman"/>
          <w:rtl w:val="0"/>
          <w:lang w:val="en-US"/>
        </w:rPr>
        <w:t xml:space="preserve">instead </w:t>
      </w:r>
      <w:r>
        <w:rPr>
          <w:rFonts w:ascii="Times Roman" w:hAnsi="Times Roman"/>
          <w:rtl w:val="0"/>
          <w:lang w:val="en-US"/>
        </w:rPr>
        <w:t>contextualise it, helping individuals recognise how past experiences may have shaped current patterns</w:t>
      </w:r>
      <w:r>
        <w:rPr>
          <w:rFonts w:ascii="Times Roman" w:hAnsi="Times Roman"/>
          <w:rtl w:val="0"/>
          <w:lang w:val="en-US"/>
        </w:rPr>
        <w:t xml:space="preserve"> (Team Teach, 2023)</w:t>
      </w:r>
      <w:r>
        <w:rPr>
          <w:rFonts w:ascii="Times Roman" w:hAnsi="Times Roman"/>
          <w:rtl w:val="0"/>
          <w:lang w:val="en-US"/>
        </w:rPr>
        <w:t>. This can support Mark in developing insight into his offence pathway, particularly if trauma contributed to mistrust, hostility, or difficulties forming healthy relationships</w:t>
      </w:r>
      <w:r>
        <w:rPr>
          <w:rFonts w:ascii="Times Roman" w:hAnsi="Times Roman"/>
          <w:rtl w:val="0"/>
          <w:lang w:val="en-US"/>
        </w:rPr>
        <w:t xml:space="preserve">, which are </w:t>
      </w:r>
      <w:r>
        <w:rPr>
          <w:rFonts w:ascii="Times Roman" w:hAnsi="Times Roman"/>
          <w:rtl w:val="0"/>
          <w:lang w:val="en-US"/>
        </w:rPr>
        <w:t xml:space="preserve">factors identified as dynamic risks in sexual offending (Mann et al., 2010). By linking past experiences to present behaviour, treatment can </w:t>
      </w:r>
      <w:r>
        <w:rPr>
          <w:rFonts w:ascii="Times Roman" w:hAnsi="Times Roman"/>
          <w:rtl w:val="0"/>
          <w:lang w:val="en-US"/>
        </w:rPr>
        <w:t>adopt</w:t>
      </w:r>
      <w:r>
        <w:rPr>
          <w:rFonts w:ascii="Times Roman" w:hAnsi="Times Roman"/>
          <w:rtl w:val="0"/>
          <w:lang w:val="en-US"/>
        </w:rPr>
        <w:t xml:space="preserve"> a more coherent narrative and support responsibility</w:t>
      </w:r>
      <w:r>
        <w:rPr>
          <w:rFonts w:ascii="Times Roman" w:hAnsi="Times Roman" w:hint="default"/>
          <w:rtl w:val="0"/>
        </w:rPr>
        <w:t>‑</w:t>
      </w:r>
      <w:r>
        <w:rPr>
          <w:rFonts w:ascii="Times Roman" w:hAnsi="Times Roman"/>
          <w:rtl w:val="0"/>
          <w:lang w:val="en-US"/>
        </w:rPr>
        <w:t>taking without triggering overwhelming shame</w:t>
      </w:r>
      <w:r>
        <w:rPr>
          <w:rFonts w:ascii="Times Roman" w:hAnsi="Times Roman"/>
          <w:rtl w:val="0"/>
          <w:lang w:val="en-US"/>
        </w:rPr>
        <w:t xml:space="preserve"> in Mark.</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de-DE"/>
        </w:rPr>
        <w:t>Trauma</w:t>
      </w:r>
      <w:r>
        <w:rPr>
          <w:rFonts w:ascii="Times Roman" w:hAnsi="Times Roman" w:hint="default"/>
          <w:rtl w:val="0"/>
        </w:rPr>
        <w:t>‑</w:t>
      </w:r>
      <w:r>
        <w:rPr>
          <w:rFonts w:ascii="Times Roman" w:hAnsi="Times Roman"/>
          <w:rtl w:val="0"/>
          <w:lang w:val="en-US"/>
        </w:rPr>
        <w:t xml:space="preserve">informed work also emphasises collaboration and empowerment, encouraging individuals to take an active role in their treatment. This may involve offering Mark choices in session focus, pacing, or coping strategies, which can </w:t>
      </w:r>
      <w:r>
        <w:rPr>
          <w:rFonts w:ascii="Times Roman" w:hAnsi="Times Roman"/>
          <w:rtl w:val="0"/>
          <w:lang w:val="en-US"/>
        </w:rPr>
        <w:t xml:space="preserve">help </w:t>
      </w:r>
      <w:r>
        <w:rPr>
          <w:rFonts w:ascii="Times Roman" w:hAnsi="Times Roman"/>
          <w:rtl w:val="0"/>
          <w:lang w:val="en-US"/>
        </w:rPr>
        <w:t>counteract feelings of powerlessness often associated with trauma. Collaborative approaches enhance engagement and support the development of a prosocial identity, which is recognised as a protective factor in desistance (Willis et al., 2013).</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tl w:val="0"/>
        </w:rPr>
        <w:tab/>
        <w:t>I</w:t>
      </w:r>
      <w:r>
        <w:rPr>
          <w:rFonts w:ascii="Times Roman" w:hAnsi="Times Roman"/>
          <w:rtl w:val="0"/>
          <w:lang w:val="en-US"/>
        </w:rPr>
        <w:t>ntegrating trauma</w:t>
      </w:r>
      <w:r>
        <w:rPr>
          <w:rFonts w:ascii="Times Roman" w:hAnsi="Times Roman" w:hint="default"/>
          <w:rtl w:val="0"/>
        </w:rPr>
        <w:t>‑</w:t>
      </w:r>
      <w:r>
        <w:rPr>
          <w:rFonts w:ascii="Times Roman" w:hAnsi="Times Roman"/>
          <w:rtl w:val="0"/>
          <w:lang w:val="en-US"/>
        </w:rPr>
        <w:t>informed principles into multi</w:t>
      </w:r>
      <w:r>
        <w:rPr>
          <w:rFonts w:ascii="Times Roman" w:hAnsi="Times Roman" w:hint="default"/>
          <w:rtl w:val="0"/>
        </w:rPr>
        <w:t>‑</w:t>
      </w:r>
      <w:r>
        <w:rPr>
          <w:rFonts w:ascii="Times Roman" w:hAnsi="Times Roman"/>
          <w:rtl w:val="0"/>
          <w:lang w:val="en-US"/>
        </w:rPr>
        <w:t>agency work ensures that all professionals involved respond consistently and sensitively to trauma</w:t>
      </w:r>
      <w:r>
        <w:rPr>
          <w:rFonts w:ascii="Times Roman" w:hAnsi="Times Roman" w:hint="default"/>
          <w:rtl w:val="0"/>
        </w:rPr>
        <w:t>‑</w:t>
      </w:r>
      <w:r>
        <w:rPr>
          <w:rFonts w:ascii="Times Roman" w:hAnsi="Times Roman"/>
          <w:rtl w:val="0"/>
          <w:lang w:val="en-US"/>
        </w:rPr>
        <w:t>related needs. This reduces the risk of re</w:t>
      </w:r>
      <w:r>
        <w:rPr>
          <w:rFonts w:ascii="Times Roman" w:hAnsi="Times Roman" w:hint="default"/>
          <w:rtl w:val="0"/>
        </w:rPr>
        <w:t>‑</w:t>
      </w:r>
      <w:r>
        <w:rPr>
          <w:rFonts w:ascii="Times Roman" w:hAnsi="Times Roman"/>
          <w:rtl w:val="0"/>
          <w:lang w:val="en-US"/>
        </w:rPr>
        <w:t>traumatisation and supports coordinated intervention across settings</w:t>
      </w:r>
      <w:r>
        <w:rPr>
          <w:rFonts w:ascii="Times Roman" w:hAnsi="Times Roman"/>
          <w:rtl w:val="0"/>
          <w:lang w:val="en-US"/>
        </w:rPr>
        <w:t xml:space="preserve"> (Miller et al., 2023).</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 xml:space="preserve">In </w:t>
      </w:r>
      <w:r>
        <w:rPr>
          <w:rFonts w:ascii="Times Roman" w:hAnsi="Times Roman"/>
          <w:rtl w:val="0"/>
          <w:lang w:val="en-US"/>
        </w:rPr>
        <w:t>conclusion</w:t>
      </w:r>
      <w:r>
        <w:rPr>
          <w:rFonts w:ascii="Times Roman" w:hAnsi="Times Roman"/>
          <w:rtl w:val="0"/>
        </w:rPr>
        <w:t>, Mark</w:t>
      </w:r>
      <w:r>
        <w:rPr>
          <w:rFonts w:ascii="Times Roman" w:hAnsi="Times Roman" w:hint="default"/>
          <w:rtl w:val="1"/>
        </w:rPr>
        <w:t>’</w:t>
      </w:r>
      <w:r>
        <w:rPr>
          <w:rFonts w:ascii="Times Roman" w:hAnsi="Times Roman"/>
          <w:rtl w:val="0"/>
          <w:lang w:val="en-US"/>
        </w:rPr>
        <w:t>s presentation reflects a comple</w:t>
      </w:r>
      <w:r>
        <w:rPr>
          <w:rFonts w:ascii="Times Roman" w:hAnsi="Times Roman"/>
          <w:rtl w:val="0"/>
          <w:lang w:val="en-US"/>
        </w:rPr>
        <w:t>x</w:t>
      </w:r>
      <w:r>
        <w:rPr>
          <w:rFonts w:ascii="Times Roman" w:hAnsi="Times Roman"/>
          <w:rtl w:val="0"/>
        </w:rPr>
        <w:t xml:space="preserve"> </w:t>
      </w:r>
      <w:r>
        <w:rPr>
          <w:rFonts w:ascii="Times Roman" w:hAnsi="Times Roman"/>
          <w:rtl w:val="0"/>
          <w:lang w:val="en-US"/>
        </w:rPr>
        <w:t>interaction</w:t>
      </w:r>
      <w:r>
        <w:rPr>
          <w:rFonts w:ascii="Times Roman" w:hAnsi="Times Roman"/>
          <w:rtl w:val="0"/>
          <w:lang w:val="en-US"/>
        </w:rPr>
        <w:t xml:space="preserve"> of dynamic risk factors, </w:t>
      </w:r>
      <w:r>
        <w:rPr>
          <w:rFonts w:ascii="Times Roman" w:hAnsi="Times Roman"/>
          <w:b w:val="1"/>
          <w:bCs w:val="1"/>
          <w:rtl w:val="0"/>
        </w:rPr>
        <w:t>t</w:t>
      </w:r>
      <w:r>
        <w:rPr>
          <w:rFonts w:ascii="Times Roman" w:hAnsi="Times Roman"/>
          <w:rtl w:val="0"/>
          <w:lang w:val="de-DE"/>
        </w:rPr>
        <w:t>rauma</w:t>
      </w:r>
      <w:r>
        <w:rPr>
          <w:rFonts w:ascii="Times Roman" w:hAnsi="Times Roman" w:hint="default"/>
          <w:rtl w:val="0"/>
        </w:rPr>
        <w:t>‑</w:t>
      </w:r>
      <w:r>
        <w:rPr>
          <w:rFonts w:ascii="Times Roman" w:hAnsi="Times Roman"/>
          <w:rtl w:val="0"/>
          <w:lang w:val="en-US"/>
        </w:rPr>
        <w:t>related processes, and strengths</w:t>
      </w:r>
      <w:r>
        <w:rPr>
          <w:rFonts w:ascii="Times Roman" w:hAnsi="Times Roman" w:hint="default"/>
          <w:rtl w:val="0"/>
        </w:rPr>
        <w:t>‑</w:t>
      </w:r>
      <w:r>
        <w:rPr>
          <w:rFonts w:ascii="Times Roman" w:hAnsi="Times Roman"/>
          <w:rtl w:val="0"/>
          <w:lang w:val="en-US"/>
        </w:rPr>
        <w:t>based opportunities for change. His emotional avoidance, interpersonal difficulties, and maladaptive coping strategies are consistent with patterns often rooted in earlier adverse experiences, highlighting the importance of a trauma</w:t>
      </w:r>
      <w:r>
        <w:rPr>
          <w:rFonts w:ascii="Times Roman" w:hAnsi="Times Roman" w:hint="default"/>
          <w:rtl w:val="0"/>
        </w:rPr>
        <w:t>‑</w:t>
      </w:r>
      <w:r>
        <w:rPr>
          <w:rFonts w:ascii="Times Roman" w:hAnsi="Times Roman"/>
          <w:rtl w:val="0"/>
          <w:lang w:val="en-US"/>
        </w:rPr>
        <w:t xml:space="preserve">informed framework (SAMHSA, 2014). </w:t>
      </w:r>
      <w:r>
        <w:rPr>
          <w:rFonts w:ascii="Times Roman" w:hAnsi="Times Roman"/>
          <w:rtl w:val="0"/>
          <w:lang w:val="en-US"/>
        </w:rPr>
        <w:t>Creating</w:t>
      </w:r>
      <w:r>
        <w:rPr>
          <w:rFonts w:ascii="Times Roman" w:hAnsi="Times Roman"/>
          <w:rtl w:val="0"/>
          <w:lang w:val="en-US"/>
        </w:rPr>
        <w:t xml:space="preserve"> psychological and relational safety will be essential for reducing shame</w:t>
      </w:r>
      <w:r>
        <w:rPr>
          <w:rFonts w:ascii="Times Roman" w:hAnsi="Times Roman" w:hint="default"/>
          <w:rtl w:val="0"/>
        </w:rPr>
        <w:t>‑</w:t>
      </w:r>
      <w:r>
        <w:rPr>
          <w:rFonts w:ascii="Times Roman" w:hAnsi="Times Roman"/>
          <w:rtl w:val="0"/>
          <w:lang w:val="en-US"/>
        </w:rPr>
        <w:t>based withdrawal and supporting meaningful engagement in offence</w:t>
      </w:r>
      <w:r>
        <w:rPr>
          <w:rFonts w:ascii="Times Roman" w:hAnsi="Times Roman" w:hint="default"/>
          <w:rtl w:val="0"/>
        </w:rPr>
        <w:t>‑</w:t>
      </w:r>
      <w:r>
        <w:rPr>
          <w:rFonts w:ascii="Times Roman" w:hAnsi="Times Roman"/>
          <w:rtl w:val="0"/>
          <w:lang w:val="en-US"/>
        </w:rPr>
        <w:t xml:space="preserve">focused work (Gilbert </w:t>
      </w:r>
      <w:r>
        <w:rPr>
          <w:rFonts w:ascii="Times Roman" w:hAnsi="Times Roman"/>
          <w:rtl w:val="0"/>
          <w:lang w:val="en-US"/>
        </w:rPr>
        <w:t>et al</w:t>
      </w:r>
      <w:r>
        <w:rPr>
          <w:rFonts w:ascii="Times Roman" w:hAnsi="Times Roman"/>
          <w:rtl w:val="0"/>
          <w:lang w:val="en-US"/>
        </w:rPr>
        <w:t>, 2006). Early intervention should prioritise emotion</w:t>
      </w:r>
      <w:r>
        <w:rPr>
          <w:rFonts w:ascii="Times Roman" w:hAnsi="Times Roman" w:hint="default"/>
          <w:rtl w:val="0"/>
        </w:rPr>
        <w:t>‑</w:t>
      </w:r>
      <w:r>
        <w:rPr>
          <w:rFonts w:ascii="Times Roman" w:hAnsi="Times Roman"/>
          <w:rtl w:val="0"/>
          <w:lang w:val="en-US"/>
        </w:rPr>
        <w:t xml:space="preserve">regulation and grounding skills, enabling Mark to tolerate distress without reverting to avoidance or harmful coping </w:t>
      </w:r>
      <w:r>
        <w:rPr>
          <w:rFonts w:ascii="Times Roman" w:hAnsi="Times Roman"/>
          <w:rtl w:val="0"/>
          <w:lang w:val="en-US"/>
        </w:rPr>
        <w:t xml:space="preserve">strategies </w:t>
      </w:r>
      <w:r>
        <w:rPr>
          <w:rFonts w:ascii="Times Roman" w:hAnsi="Times Roman"/>
          <w:rtl w:val="0"/>
          <w:lang w:val="fr-FR"/>
        </w:rPr>
        <w:t>(Cloitre et al., 2011).</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Understanding Mark</w:t>
      </w:r>
      <w:r>
        <w:rPr>
          <w:rFonts w:ascii="Times Roman" w:hAnsi="Times Roman" w:hint="default"/>
          <w:rtl w:val="1"/>
        </w:rPr>
        <w:t>’</w:t>
      </w:r>
      <w:r>
        <w:rPr>
          <w:rFonts w:ascii="Times Roman" w:hAnsi="Times Roman"/>
          <w:rtl w:val="0"/>
          <w:lang w:val="en-US"/>
        </w:rPr>
        <w:t xml:space="preserve">s behaviour through a trauma lens allows harmful actions to be </w:t>
      </w:r>
      <w:r>
        <w:rPr>
          <w:rFonts w:ascii="Times Roman" w:hAnsi="Times Roman"/>
          <w:rtl w:val="0"/>
          <w:lang w:val="en-US"/>
        </w:rPr>
        <w:t xml:space="preserve">understood but not excused, </w:t>
      </w:r>
      <w:r>
        <w:rPr>
          <w:rFonts w:ascii="Times Roman" w:hAnsi="Times Roman"/>
          <w:rtl w:val="0"/>
          <w:lang w:val="en-US"/>
        </w:rPr>
        <w:t xml:space="preserve">while supporting </w:t>
      </w:r>
      <w:r>
        <w:rPr>
          <w:rFonts w:ascii="Times Roman" w:hAnsi="Times Roman"/>
          <w:rtl w:val="0"/>
          <w:lang w:val="en-US"/>
        </w:rPr>
        <w:t>his</w:t>
      </w:r>
      <w:r>
        <w:rPr>
          <w:rFonts w:ascii="Times Roman" w:hAnsi="Times Roman"/>
          <w:rtl w:val="0"/>
          <w:lang w:val="en-US"/>
        </w:rPr>
        <w:t xml:space="preserve"> development of insight into how past experiences shape current patterns (Team Teach, 2023). </w:t>
      </w:r>
      <w:r>
        <w:rPr>
          <w:rFonts w:ascii="Times Roman" w:hAnsi="Times Roman"/>
          <w:rtl w:val="0"/>
          <w:lang w:val="en-US"/>
        </w:rPr>
        <w:t>As well as</w:t>
      </w:r>
      <w:r>
        <w:rPr>
          <w:rFonts w:ascii="Times Roman" w:hAnsi="Times Roman"/>
          <w:rtl w:val="0"/>
          <w:lang w:val="en-US"/>
        </w:rPr>
        <w:t xml:space="preserve"> this, multi</w:t>
      </w:r>
      <w:r>
        <w:rPr>
          <w:rFonts w:ascii="Times Roman" w:hAnsi="Times Roman" w:hint="default"/>
          <w:rtl w:val="0"/>
        </w:rPr>
        <w:t>‑</w:t>
      </w:r>
      <w:r>
        <w:rPr>
          <w:rFonts w:ascii="Times Roman" w:hAnsi="Times Roman"/>
          <w:rtl w:val="0"/>
          <w:lang w:val="en-US"/>
        </w:rPr>
        <w:t xml:space="preserve">agency collaboration </w:t>
      </w:r>
      <w:r>
        <w:rPr>
          <w:rFonts w:ascii="Times Roman" w:hAnsi="Times Roman"/>
          <w:rtl w:val="0"/>
          <w:lang w:val="en-US"/>
        </w:rPr>
        <w:t>rooted</w:t>
      </w:r>
      <w:r>
        <w:rPr>
          <w:rFonts w:ascii="Times Roman" w:hAnsi="Times Roman"/>
          <w:rtl w:val="0"/>
          <w:lang w:val="de-DE"/>
        </w:rPr>
        <w:t xml:space="preserve"> in trauma</w:t>
      </w:r>
      <w:r>
        <w:rPr>
          <w:rFonts w:ascii="Times Roman" w:hAnsi="Times Roman" w:hint="default"/>
          <w:rtl w:val="0"/>
        </w:rPr>
        <w:t>‑</w:t>
      </w:r>
      <w:r>
        <w:rPr>
          <w:rFonts w:ascii="Times Roman" w:hAnsi="Times Roman"/>
          <w:rtl w:val="0"/>
          <w:lang w:val="en-US"/>
        </w:rPr>
        <w:t>informed principles will ensure consistent, sensitive responses across settings, reducing the risk of re</w:t>
      </w:r>
      <w:r>
        <w:rPr>
          <w:rFonts w:ascii="Times Roman" w:hAnsi="Times Roman" w:hint="default"/>
          <w:rtl w:val="0"/>
        </w:rPr>
        <w:t>‑</w:t>
      </w:r>
      <w:r>
        <w:rPr>
          <w:rFonts w:ascii="Times Roman" w:hAnsi="Times Roman"/>
          <w:rtl w:val="0"/>
          <w:lang w:val="en-US"/>
        </w:rPr>
        <w:t xml:space="preserve">traumatisation and strengthening </w:t>
      </w:r>
      <w:r>
        <w:rPr>
          <w:rFonts w:ascii="Times Roman" w:hAnsi="Times Roman"/>
          <w:rtl w:val="0"/>
          <w:lang w:val="en-US"/>
        </w:rPr>
        <w:t>therapeutic</w:t>
      </w:r>
      <w:r>
        <w:rPr>
          <w:rFonts w:ascii="Times Roman" w:hAnsi="Times Roman"/>
          <w:rtl w:val="0"/>
          <w:lang w:val="fr-FR"/>
        </w:rPr>
        <w:t xml:space="preserve"> intervention (Miller et al., 2023).</w:t>
      </w:r>
    </w:p>
    <w:p>
      <w:pPr>
        <w:pStyle w:val="Default"/>
        <w:suppressAutoHyphens w:val="1"/>
        <w:spacing w:before="0" w:after="240" w:line="360" w:lineRule="auto"/>
        <w:rPr>
          <w:rFonts w:ascii="Times Roman" w:cs="Times Roman" w:hAnsi="Times Roman" w:eastAsia="Times Roman"/>
        </w:rPr>
      </w:pPr>
      <w:r>
        <w:rPr>
          <w:rFonts w:ascii="Times Roman" w:cs="Times Roman" w:hAnsi="Times Roman" w:eastAsia="Times Roman"/>
        </w:rPr>
        <w:tab/>
      </w:r>
      <w:r>
        <w:rPr>
          <w:rFonts w:ascii="Times Roman" w:hAnsi="Times Roman"/>
          <w:rtl w:val="0"/>
          <w:lang w:val="en-US"/>
        </w:rPr>
        <w:t>Overall, integrating trauma</w:t>
      </w:r>
      <w:r>
        <w:rPr>
          <w:rFonts w:ascii="Times Roman" w:hAnsi="Times Roman" w:hint="default"/>
          <w:rtl w:val="0"/>
        </w:rPr>
        <w:t>‑</w:t>
      </w:r>
      <w:r>
        <w:rPr>
          <w:rFonts w:ascii="Times Roman" w:hAnsi="Times Roman"/>
          <w:rtl w:val="0"/>
          <w:lang w:val="en-US"/>
        </w:rPr>
        <w:t>informed, motivational, and compassion</w:t>
      </w:r>
      <w:r>
        <w:rPr>
          <w:rFonts w:ascii="Times Roman" w:hAnsi="Times Roman" w:hint="default"/>
          <w:rtl w:val="0"/>
        </w:rPr>
        <w:t>‑</w:t>
      </w:r>
      <w:r>
        <w:rPr>
          <w:rFonts w:ascii="Times Roman" w:hAnsi="Times Roman"/>
          <w:rtl w:val="0"/>
          <w:lang w:val="en-US"/>
        </w:rPr>
        <w:t xml:space="preserve">focused approaches provides a </w:t>
      </w:r>
      <w:r>
        <w:rPr>
          <w:rFonts w:ascii="Times Roman" w:hAnsi="Times Roman"/>
          <w:rtl w:val="0"/>
          <w:lang w:val="en-US"/>
        </w:rPr>
        <w:t>strong</w:t>
      </w:r>
      <w:r>
        <w:rPr>
          <w:rFonts w:ascii="Times Roman" w:hAnsi="Times Roman"/>
          <w:rtl w:val="0"/>
          <w:lang w:val="en-US"/>
        </w:rPr>
        <w:t xml:space="preserve"> pathway for enhancing engagement, reducing dynamic risk, and supporting the development of a more stable and prosocial identity</w:t>
      </w:r>
      <w:r>
        <w:rPr>
          <w:rFonts w:ascii="Times Roman" w:hAnsi="Times Roman"/>
          <w:rtl w:val="0"/>
          <w:lang w:val="en-US"/>
        </w:rPr>
        <w:t xml:space="preserve"> for Mark, building </w:t>
      </w:r>
      <w:r>
        <w:rPr>
          <w:rFonts w:ascii="Times Roman" w:hAnsi="Times Roman"/>
          <w:rtl w:val="0"/>
          <w:lang w:val="en-US"/>
        </w:rPr>
        <w:t>key foundations for long</w:t>
      </w:r>
      <w:r>
        <w:rPr>
          <w:rFonts w:ascii="Times Roman" w:hAnsi="Times Roman" w:hint="default"/>
          <w:rtl w:val="0"/>
        </w:rPr>
        <w:t>‑</w:t>
      </w:r>
      <w:r>
        <w:rPr>
          <w:rFonts w:ascii="Times Roman" w:hAnsi="Times Roman"/>
          <w:rtl w:val="0"/>
          <w:lang w:val="en-US"/>
        </w:rPr>
        <w:t>term change.</w:t>
      </w: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p>
    <w:p>
      <w:pPr>
        <w:pStyle w:val="Default"/>
        <w:suppressAutoHyphens w:val="1"/>
        <w:spacing w:before="0" w:after="299" w:line="360" w:lineRule="auto"/>
        <w:rPr>
          <w:rFonts w:ascii="Times Roman" w:cs="Times Roman" w:hAnsi="Times Roman" w:eastAsia="Times Roman"/>
          <w:b w:val="1"/>
          <w:bCs w:val="1"/>
        </w:rPr>
      </w:pPr>
      <w:r>
        <w:rPr>
          <w:rFonts w:ascii="Times Roman" w:hAnsi="Times Roman"/>
          <w:b w:val="1"/>
          <w:bCs w:val="1"/>
          <w:rtl w:val="0"/>
          <w:lang w:val="en-US"/>
        </w:rPr>
        <w:t>References</w:t>
      </w:r>
    </w:p>
    <w:p>
      <w:pPr>
        <w:pStyle w:val="Default"/>
        <w:suppressAutoHyphens w:val="1"/>
        <w:spacing w:before="0" w:after="299" w:line="360" w:lineRule="auto"/>
        <w:ind w:firstLine="567"/>
        <w:rPr>
          <w:rFonts w:ascii="Times Roman" w:cs="Times Roman" w:hAnsi="Times Roman" w:eastAsia="Times Roman"/>
          <w:b w:val="0"/>
          <w:bCs w:val="0"/>
        </w:rPr>
      </w:pPr>
      <w:r>
        <w:rPr>
          <w:rFonts w:ascii="Times Roman" w:hAnsi="Times Roman"/>
          <w:b w:val="0"/>
          <w:bCs w:val="0"/>
          <w:rtl w:val="0"/>
          <w:lang w:val="en-US"/>
        </w:rPr>
        <w:t>Abbey, A., Wegner, R., Woerner, J., Pegram, S. E., &amp; Pierce, J. (2014). Review of alcohol</w:t>
      </w:r>
      <w:r>
        <w:rPr>
          <w:rFonts w:ascii="Times Roman" w:hAnsi="Times Roman" w:hint="default"/>
          <w:b w:val="0"/>
          <w:bCs w:val="0"/>
          <w:rtl w:val="1"/>
        </w:rPr>
        <w:t>’</w:t>
      </w:r>
      <w:r>
        <w:rPr>
          <w:rFonts w:ascii="Times Roman" w:hAnsi="Times Roman"/>
          <w:b w:val="0"/>
          <w:bCs w:val="0"/>
          <w:rtl w:val="0"/>
          <w:lang w:val="en-US"/>
        </w:rPr>
        <w:t xml:space="preserve">s role in sexual violence perpetration. </w:t>
      </w:r>
      <w:r>
        <w:rPr>
          <w:rFonts w:ascii="Times Roman" w:hAnsi="Times Roman"/>
          <w:b w:val="0"/>
          <w:bCs w:val="0"/>
          <w:i w:val="1"/>
          <w:iCs w:val="1"/>
          <w:rtl w:val="0"/>
          <w:lang w:val="en-US"/>
        </w:rPr>
        <w:t>Alcohol Research: Current Reviews, 34</w:t>
      </w:r>
      <w:r>
        <w:rPr>
          <w:rFonts w:ascii="Times Roman" w:hAnsi="Times Roman"/>
          <w:b w:val="0"/>
          <w:bCs w:val="0"/>
          <w:rtl w:val="0"/>
        </w:rPr>
        <w:t>(1), 1</w:t>
      </w:r>
      <w:r>
        <w:rPr>
          <w:rFonts w:ascii="Times Roman" w:hAnsi="Times Roman" w:hint="default"/>
          <w:b w:val="0"/>
          <w:bCs w:val="0"/>
          <w:rtl w:val="0"/>
        </w:rPr>
        <w:t>–</w:t>
      </w:r>
      <w:r>
        <w:rPr>
          <w:rFonts w:ascii="Times Roman" w:hAnsi="Times Roman"/>
          <w:b w:val="0"/>
          <w:bCs w:val="0"/>
          <w:rtl w:val="0"/>
        </w:rPr>
        <w:t>16.</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Bath, H. (2015). The three pillars of trauma</w:t>
      </w:r>
      <w:r>
        <w:rPr>
          <w:rFonts w:ascii="Times Roman" w:hAnsi="Times Roman" w:hint="default"/>
          <w:rtl w:val="0"/>
        </w:rPr>
        <w:t>‑</w:t>
      </w:r>
      <w:r>
        <w:rPr>
          <w:rFonts w:ascii="Times Roman" w:hAnsi="Times Roman"/>
          <w:rtl w:val="0"/>
          <w:lang w:val="en-US"/>
        </w:rPr>
        <w:t xml:space="preserve">informed care. </w:t>
      </w:r>
      <w:r>
        <w:rPr>
          <w:rFonts w:ascii="Times Roman" w:hAnsi="Times Roman"/>
          <w:i w:val="1"/>
          <w:iCs w:val="1"/>
          <w:rtl w:val="0"/>
          <w:lang w:val="en-US"/>
        </w:rPr>
        <w:t>Reclaiming Children and Youth, 23</w:t>
      </w:r>
      <w:r>
        <w:rPr>
          <w:rFonts w:ascii="Times Roman" w:hAnsi="Times Roman"/>
          <w:rtl w:val="0"/>
        </w:rPr>
        <w:t>(4), 5</w:t>
      </w:r>
      <w:r>
        <w:rPr>
          <w:rFonts w:ascii="Times Roman" w:hAnsi="Times Roman" w:hint="default"/>
          <w:rtl w:val="0"/>
        </w:rPr>
        <w:t>–</w:t>
      </w:r>
      <w:r>
        <w:rPr>
          <w:rFonts w:ascii="Times Roman" w:hAnsi="Times Roman"/>
          <w:rtl w:val="0"/>
        </w:rPr>
        <w:t>11.</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Cloitre, M., Courtois, C. A., Charuvastra, A., Carapezza, R., Stolbach, B. C., &amp; Green, B. L. (2011).Treatment of complex PTSD: Results of the ISTSS expert clinician survey on best practices. </w:t>
      </w:r>
      <w:r>
        <w:rPr>
          <w:rFonts w:ascii="Times Roman" w:hAnsi="Times Roman"/>
          <w:i w:val="1"/>
          <w:iCs w:val="1"/>
          <w:rtl w:val="0"/>
          <w:lang w:val="en-US"/>
        </w:rPr>
        <w:t>Journal of Traumatic Stress, 24</w:t>
      </w:r>
      <w:r>
        <w:rPr>
          <w:rFonts w:ascii="Times Roman" w:hAnsi="Times Roman"/>
          <w:rtl w:val="0"/>
        </w:rPr>
        <w:t>(6), 615</w:t>
      </w:r>
      <w:r>
        <w:rPr>
          <w:rFonts w:ascii="Times Roman" w:hAnsi="Times Roman" w:hint="default"/>
          <w:rtl w:val="0"/>
        </w:rPr>
        <w:t>–</w:t>
      </w:r>
      <w:r>
        <w:rPr>
          <w:rFonts w:ascii="Times Roman" w:hAnsi="Times Roman"/>
          <w:rtl w:val="0"/>
        </w:rPr>
        <w:t xml:space="preserve">627.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"https://doi.org/10.1002/jts.20697"</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https://doi.org/10.1002/jts.20697</w:t>
      </w:r>
      <w:r>
        <w:rPr>
          <w:rFonts w:ascii="Times Roman" w:cs="Times Roman" w:hAnsi="Times Roman" w:eastAsia="Times Roman"/>
        </w:rPr>
        <w:fldChar w:fldCharType="end" w:fldLock="0"/>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Ferguson, D. (2023). Is denial an obstacle to effective interventions with perpetrators of sexual offences? </w:t>
      </w:r>
      <w:r>
        <w:rPr>
          <w:rFonts w:ascii="Times Roman" w:hAnsi="Times Roman"/>
          <w:i w:val="1"/>
          <w:iCs w:val="1"/>
          <w:rtl w:val="0"/>
          <w:lang w:val="en-US"/>
        </w:rPr>
        <w:t>Irish Probation Journal, 20</w:t>
      </w:r>
      <w:r>
        <w:rPr>
          <w:rFonts w:ascii="Times Roman" w:hAnsi="Times Roman"/>
          <w:rtl w:val="0"/>
        </w:rPr>
        <w:t>, 1</w:t>
      </w:r>
      <w:r>
        <w:rPr>
          <w:rFonts w:ascii="Times Roman" w:hAnsi="Times Roman" w:hint="default"/>
          <w:rtl w:val="0"/>
        </w:rPr>
        <w:t>–</w:t>
      </w:r>
      <w:r>
        <w:rPr>
          <w:rFonts w:ascii="Times Roman" w:hAnsi="Times Roman"/>
          <w:rtl w:val="0"/>
        </w:rPr>
        <w:t>18.</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Gilbert, P., &amp; Procter, S. (2006). Compassionate mind training for people with high shame and self</w:t>
      </w:r>
      <w:r>
        <w:rPr>
          <w:rFonts w:ascii="Times Roman" w:hAnsi="Times Roman" w:hint="default"/>
          <w:rtl w:val="0"/>
        </w:rPr>
        <w:t>‑</w:t>
      </w:r>
      <w:r>
        <w:rPr>
          <w:rFonts w:ascii="Times Roman" w:hAnsi="Times Roman"/>
          <w:rtl w:val="0"/>
          <w:lang w:val="it-IT"/>
        </w:rPr>
        <w:t xml:space="preserve">criticism. </w:t>
      </w:r>
      <w:r>
        <w:rPr>
          <w:rFonts w:ascii="Times Roman" w:hAnsi="Times Roman"/>
          <w:i w:val="1"/>
          <w:iCs w:val="1"/>
          <w:rtl w:val="0"/>
          <w:lang w:val="en-US"/>
        </w:rPr>
        <w:t>Clinical Psychology &amp; Psychotherapy, 13</w:t>
      </w:r>
      <w:r>
        <w:rPr>
          <w:rFonts w:ascii="Times Roman" w:hAnsi="Times Roman"/>
          <w:rtl w:val="0"/>
        </w:rPr>
        <w:t>(6), 353</w:t>
      </w:r>
      <w:r>
        <w:rPr>
          <w:rFonts w:ascii="Times Roman" w:hAnsi="Times Roman" w:hint="default"/>
          <w:rtl w:val="0"/>
        </w:rPr>
        <w:t>–</w:t>
      </w:r>
      <w:r>
        <w:rPr>
          <w:rFonts w:ascii="Times Roman" w:hAnsi="Times Roman"/>
          <w:rtl w:val="0"/>
        </w:rPr>
        <w:t>379.</w:t>
      </w:r>
    </w:p>
    <w:p>
      <w:pPr>
        <w:pStyle w:val="Default"/>
        <w:suppressAutoHyphens w:val="1"/>
        <w:spacing w:before="0" w:after="299" w:line="360" w:lineRule="auto"/>
        <w:ind w:firstLine="567"/>
        <w:rPr>
          <w:rFonts w:ascii="Times Roman" w:cs="Times Roman" w:hAnsi="Times Roman" w:eastAsia="Times Roman"/>
          <w:i w:val="1"/>
          <w:iCs w:val="1"/>
        </w:rPr>
      </w:pPr>
      <w:r>
        <w:rPr>
          <w:rFonts w:ascii="Times Roman" w:hAnsi="Times Roman"/>
          <w:rtl w:val="0"/>
          <w:lang w:val="en-US"/>
        </w:rPr>
        <w:t>Hart Waite, H. O., Wane, J., &amp; Lamers, C. (2025). Compassion</w:t>
      </w:r>
      <w:r>
        <w:rPr>
          <w:rFonts w:ascii="Times Roman" w:hAnsi="Times Roman" w:hint="default"/>
          <w:rtl w:val="0"/>
        </w:rPr>
        <w:t>‑</w:t>
      </w:r>
      <w:r>
        <w:rPr>
          <w:rFonts w:ascii="Times Roman" w:hAnsi="Times Roman"/>
          <w:rtl w:val="0"/>
          <w:lang w:val="en-US"/>
        </w:rPr>
        <w:t xml:space="preserve">focused approaches in forensic and inpatient mental health services: A systematic review. </w:t>
      </w:r>
      <w:r>
        <w:rPr>
          <w:rFonts w:ascii="Times Roman" w:hAnsi="Times Roman"/>
          <w:i w:val="1"/>
          <w:iCs w:val="1"/>
          <w:rtl w:val="0"/>
          <w:lang w:val="en-US"/>
        </w:rPr>
        <w:t>Journal of Forensic Practice.</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HM Inspectorate of Probation. (2023). Sexual offending: Evidence base for probation practice. </w:t>
      </w:r>
      <w:r>
        <w:rPr>
          <w:rFonts w:ascii="Times Roman" w:hAnsi="Times Roman"/>
          <w:i w:val="1"/>
          <w:iCs w:val="1"/>
          <w:rtl w:val="0"/>
          <w:lang w:val="en-US"/>
        </w:rPr>
        <w:t>HM Inspectorate of Probation</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Hopper, E. K., Bassuk, E. L., &amp; Olivet, J. (2010). Shelter from the storm: Trauma</w:t>
      </w:r>
      <w:r>
        <w:rPr>
          <w:rFonts w:ascii="Times Roman" w:hAnsi="Times Roman" w:hint="default"/>
          <w:rtl w:val="0"/>
        </w:rPr>
        <w:t>‑</w:t>
      </w:r>
      <w:r>
        <w:rPr>
          <w:rFonts w:ascii="Times Roman" w:hAnsi="Times Roman"/>
          <w:rtl w:val="0"/>
          <w:lang w:val="en-US"/>
        </w:rPr>
        <w:t xml:space="preserve">informed care in homelessness services settings. </w:t>
      </w:r>
      <w:r>
        <w:rPr>
          <w:rFonts w:ascii="Times Roman" w:hAnsi="Times Roman"/>
          <w:i w:val="1"/>
          <w:iCs w:val="1"/>
          <w:rtl w:val="0"/>
          <w:lang w:val="en-US"/>
        </w:rPr>
        <w:t>The Open Health Services and Policy Journal, 3</w:t>
      </w:r>
      <w:r>
        <w:rPr>
          <w:rFonts w:ascii="Times Roman" w:hAnsi="Times Roman"/>
          <w:rtl w:val="0"/>
        </w:rPr>
        <w:t>, 80</w:t>
      </w:r>
      <w:r>
        <w:rPr>
          <w:rFonts w:ascii="Times Roman" w:hAnsi="Times Roman" w:hint="default"/>
          <w:rtl w:val="0"/>
        </w:rPr>
        <w:t>–</w:t>
      </w:r>
      <w:r>
        <w:rPr>
          <w:rFonts w:ascii="Times Roman" w:hAnsi="Times Roman"/>
          <w:rtl w:val="0"/>
        </w:rPr>
        <w:t>100.</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Kemshall, H., &amp; Wood, J. (2007). Multi</w:t>
      </w:r>
      <w:r>
        <w:rPr>
          <w:rFonts w:ascii="Times Roman" w:hAnsi="Times Roman" w:hint="default"/>
          <w:rtl w:val="0"/>
        </w:rPr>
        <w:t>‑</w:t>
      </w:r>
      <w:r>
        <w:rPr>
          <w:rFonts w:ascii="Times Roman" w:hAnsi="Times Roman"/>
          <w:rtl w:val="0"/>
          <w:lang w:val="en-US"/>
        </w:rPr>
        <w:t xml:space="preserve">agency public protection arrangements: A critical analysis of the role of risk in the management of sexual and violent offenders. </w:t>
      </w:r>
      <w:r>
        <w:rPr>
          <w:rFonts w:ascii="Times Roman" w:hAnsi="Times Roman"/>
          <w:i w:val="1"/>
          <w:iCs w:val="1"/>
          <w:rtl w:val="0"/>
          <w:lang w:val="en-US"/>
        </w:rPr>
        <w:t>The Howard Journal of Criminal Justice, 46</w:t>
      </w:r>
      <w:r>
        <w:rPr>
          <w:rFonts w:ascii="Times Roman" w:hAnsi="Times Roman"/>
          <w:rtl w:val="0"/>
        </w:rPr>
        <w:t>(2), 190</w:t>
      </w:r>
      <w:r>
        <w:rPr>
          <w:rFonts w:ascii="Times Roman" w:hAnsi="Times Roman" w:hint="default"/>
          <w:rtl w:val="0"/>
        </w:rPr>
        <w:t>–</w:t>
      </w:r>
      <w:r>
        <w:rPr>
          <w:rFonts w:ascii="Times Roman" w:hAnsi="Times Roman"/>
          <w:rtl w:val="0"/>
        </w:rPr>
        <w:t>202.</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Laws, D. R., &amp; Ward, T. (2011). Desistance from sex offending: Alternatives to the relapse prevention model.</w:t>
      </w:r>
      <w:r>
        <w:rPr>
          <w:rFonts w:ascii="Times Roman" w:hAnsi="Times Roman"/>
          <w:rtl w:val="0"/>
          <w:lang w:val="en-US"/>
        </w:rPr>
        <w:t xml:space="preserve"> </w:t>
      </w:r>
      <w:r>
        <w:rPr>
          <w:rFonts w:ascii="Times Roman" w:hAnsi="Times Roman"/>
          <w:i w:val="1"/>
          <w:iCs w:val="1"/>
          <w:rtl w:val="0"/>
          <w:lang w:val="en-US"/>
        </w:rPr>
        <w:t>Guilford Press</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Mann, R. E., Hanson, R. K., &amp; Thornton, D. (2010). Assessing risk for sexual recidivism: Some proposals on the nature of psychologically meaningful risk factors. </w:t>
      </w:r>
      <w:r>
        <w:rPr>
          <w:rFonts w:ascii="Times Roman" w:hAnsi="Times Roman"/>
          <w:i w:val="1"/>
          <w:iCs w:val="1"/>
          <w:rtl w:val="0"/>
          <w:lang w:val="en-US"/>
        </w:rPr>
        <w:t>Sexual Abuse, 22</w:t>
      </w:r>
      <w:r>
        <w:rPr>
          <w:rFonts w:ascii="Times Roman" w:hAnsi="Times Roman"/>
          <w:rtl w:val="0"/>
        </w:rPr>
        <w:t>(2), 191</w:t>
      </w:r>
      <w:r>
        <w:rPr>
          <w:rFonts w:ascii="Times Roman" w:hAnsi="Times Roman" w:hint="default"/>
          <w:rtl w:val="0"/>
        </w:rPr>
        <w:t>–</w:t>
      </w:r>
      <w:r>
        <w:rPr>
          <w:rFonts w:ascii="Times Roman" w:hAnsi="Times Roman"/>
          <w:rtl w:val="0"/>
        </w:rPr>
        <w:t>217.</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it-IT"/>
        </w:rPr>
        <w:t>Marshall, W. L., Marshall, L. E., Serran, G. A., &amp; O</w:t>
      </w:r>
      <w:r>
        <w:rPr>
          <w:rFonts w:ascii="Times Roman" w:hAnsi="Times Roman" w:hint="default"/>
          <w:rtl w:val="1"/>
        </w:rPr>
        <w:t>’</w:t>
      </w:r>
      <w:r>
        <w:rPr>
          <w:rFonts w:ascii="Times Roman" w:hAnsi="Times Roman"/>
          <w:rtl w:val="0"/>
          <w:lang w:val="en-US"/>
        </w:rPr>
        <w:t>Brien, M. D. (2011). Rehabilitating sexual offenders: A strength</w:t>
      </w:r>
      <w:r>
        <w:rPr>
          <w:rFonts w:ascii="Times Roman" w:hAnsi="Times Roman" w:hint="default"/>
          <w:rtl w:val="0"/>
        </w:rPr>
        <w:t>‑</w:t>
      </w:r>
      <w:r>
        <w:rPr>
          <w:rFonts w:ascii="Times Roman" w:hAnsi="Times Roman"/>
          <w:rtl w:val="0"/>
          <w:lang w:val="en-US"/>
        </w:rPr>
        <w:t>based approach</w:t>
      </w:r>
      <w:r>
        <w:rPr>
          <w:rFonts w:ascii="Times Roman" w:hAnsi="Times Roman"/>
          <w:i w:val="1"/>
          <w:iCs w:val="1"/>
          <w:rtl w:val="0"/>
        </w:rPr>
        <w:t>.</w:t>
      </w:r>
      <w:r>
        <w:rPr>
          <w:rFonts w:ascii="Times Roman" w:hAnsi="Times Roman"/>
          <w:rtl w:val="0"/>
        </w:rPr>
        <w:t xml:space="preserve"> </w:t>
      </w:r>
      <w:r>
        <w:rPr>
          <w:rFonts w:ascii="Times Roman" w:hAnsi="Times Roman"/>
          <w:i w:val="1"/>
          <w:iCs w:val="1"/>
          <w:rtl w:val="0"/>
          <w:lang w:val="en-US"/>
        </w:rPr>
        <w:t>American Psychological Association</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McMurran, M. (2007). What works in substance misuse treatments for offenders? </w:t>
      </w:r>
      <w:r>
        <w:rPr>
          <w:rFonts w:ascii="Times Roman" w:hAnsi="Times Roman"/>
          <w:i w:val="1"/>
          <w:iCs w:val="1"/>
          <w:rtl w:val="0"/>
          <w:lang w:val="en-US"/>
        </w:rPr>
        <w:t>Criminal Behaviour and Mental Health, 17</w:t>
      </w:r>
      <w:r>
        <w:rPr>
          <w:rFonts w:ascii="Times Roman" w:hAnsi="Times Roman"/>
          <w:rtl w:val="0"/>
        </w:rPr>
        <w:t>(4), 225</w:t>
      </w:r>
      <w:r>
        <w:rPr>
          <w:rFonts w:ascii="Times Roman" w:hAnsi="Times Roman" w:hint="default"/>
          <w:rtl w:val="0"/>
        </w:rPr>
        <w:t>–</w:t>
      </w:r>
      <w:r>
        <w:rPr>
          <w:rFonts w:ascii="Times Roman" w:hAnsi="Times Roman"/>
          <w:rtl w:val="0"/>
        </w:rPr>
        <w:t>233.</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McNaughton Nicholls, C., &amp; Webster, S. (2014). Sex offender management and dynamic risk: Pilot evaluation of the Active Risk Management System (ARMS). </w:t>
      </w:r>
      <w:r>
        <w:rPr>
          <w:rFonts w:ascii="Times Roman" w:hAnsi="Times Roman"/>
          <w:i w:val="1"/>
          <w:iCs w:val="1"/>
          <w:rtl w:val="0"/>
        </w:rPr>
        <w:t>G</w:t>
      </w:r>
      <w:r>
        <w:rPr>
          <w:rFonts w:ascii="Times Roman" w:hAnsi="Times Roman"/>
          <w:i w:val="1"/>
          <w:iCs w:val="1"/>
          <w:rtl w:val="0"/>
          <w:lang w:val="en-US"/>
        </w:rPr>
        <w:t>ov U</w:t>
      </w:r>
      <w:r>
        <w:rPr>
          <w:rFonts w:ascii="Times Roman" w:hAnsi="Times Roman"/>
          <w:i w:val="1"/>
          <w:iCs w:val="1"/>
          <w:rtl w:val="0"/>
        </w:rPr>
        <w:t>K</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Miles, C. L. (2012). Exploring the function that denial serves for sexual offenders: Considering the role of shame and guilt (Doctoral thesis). </w:t>
      </w:r>
      <w:r>
        <w:rPr>
          <w:rFonts w:ascii="Times Roman" w:hAnsi="Times Roman"/>
          <w:i w:val="1"/>
          <w:iCs w:val="1"/>
          <w:rtl w:val="0"/>
          <w:lang w:val="en-US"/>
        </w:rPr>
        <w:t>University of Birmingham.</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Miller, N., Nair, S., &amp; Majumder, P. (2023). Is it </w:t>
      </w:r>
      <w:r>
        <w:rPr>
          <w:rFonts w:ascii="Times Roman" w:hAnsi="Times Roman" w:hint="default"/>
          <w:rtl w:val="1"/>
        </w:rPr>
        <w:t>‘</w:t>
      </w:r>
      <w:r>
        <w:rPr>
          <w:rFonts w:ascii="Times Roman" w:hAnsi="Times Roman"/>
          <w:rtl w:val="0"/>
          <w:lang w:val="en-US"/>
        </w:rPr>
        <w:t>just</w:t>
      </w:r>
      <w:r>
        <w:rPr>
          <w:rFonts w:ascii="Times Roman" w:hAnsi="Times Roman" w:hint="default"/>
          <w:rtl w:val="1"/>
        </w:rPr>
        <w:t xml:space="preserve">’ </w:t>
      </w:r>
      <w:r>
        <w:rPr>
          <w:rFonts w:ascii="Times Roman" w:hAnsi="Times Roman"/>
          <w:rtl w:val="0"/>
          <w:lang w:val="en-US"/>
        </w:rPr>
        <w:t>trauma? Use of trauma</w:t>
      </w:r>
      <w:r>
        <w:rPr>
          <w:rFonts w:ascii="Times Roman" w:hAnsi="Times Roman" w:hint="default"/>
          <w:rtl w:val="0"/>
        </w:rPr>
        <w:t>‑</w:t>
      </w:r>
      <w:r>
        <w:rPr>
          <w:rFonts w:ascii="Times Roman" w:hAnsi="Times Roman"/>
          <w:rtl w:val="0"/>
          <w:lang w:val="en-US"/>
        </w:rPr>
        <w:t>informed approaches and multi</w:t>
      </w:r>
      <w:r>
        <w:rPr>
          <w:rFonts w:ascii="Times Roman" w:hAnsi="Times Roman" w:hint="default"/>
          <w:rtl w:val="0"/>
        </w:rPr>
        <w:t>‑</w:t>
      </w:r>
      <w:r>
        <w:rPr>
          <w:rFonts w:ascii="Times Roman" w:hAnsi="Times Roman"/>
          <w:rtl w:val="0"/>
          <w:lang w:val="en-US"/>
        </w:rPr>
        <w:t>agency consultation in mental healthcare of looked</w:t>
      </w:r>
      <w:r>
        <w:rPr>
          <w:rFonts w:ascii="Times Roman" w:hAnsi="Times Roman" w:hint="default"/>
          <w:rtl w:val="0"/>
        </w:rPr>
        <w:t>‑</w:t>
      </w:r>
      <w:r>
        <w:rPr>
          <w:rFonts w:ascii="Times Roman" w:hAnsi="Times Roman"/>
          <w:rtl w:val="0"/>
          <w:lang w:val="en-US"/>
        </w:rPr>
        <w:t xml:space="preserve">after children. </w:t>
      </w:r>
      <w:r>
        <w:rPr>
          <w:rFonts w:ascii="Times Roman" w:hAnsi="Times Roman"/>
          <w:i w:val="1"/>
          <w:iCs w:val="1"/>
          <w:rtl w:val="0"/>
          <w:lang w:val="de-DE"/>
        </w:rPr>
        <w:t>BJPsych Bulletin, 47</w:t>
      </w:r>
      <w:r>
        <w:rPr>
          <w:rFonts w:ascii="Times Roman" w:hAnsi="Times Roman"/>
          <w:rtl w:val="0"/>
        </w:rPr>
        <w:t>(6), 1</w:t>
      </w:r>
      <w:r>
        <w:rPr>
          <w:rFonts w:ascii="Times Roman" w:hAnsi="Times Roman" w:hint="default"/>
          <w:rtl w:val="0"/>
        </w:rPr>
        <w:t>–</w:t>
      </w:r>
      <w:r>
        <w:rPr>
          <w:rFonts w:ascii="Times Roman" w:hAnsi="Times Roman"/>
          <w:rtl w:val="0"/>
        </w:rPr>
        <w:t>7.</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hint="default"/>
          <w:rtl w:val="0"/>
        </w:rPr>
        <w:t xml:space="preserve">Ó </w:t>
      </w:r>
      <w:r>
        <w:rPr>
          <w:rFonts w:ascii="Times Roman" w:hAnsi="Times Roman"/>
          <w:rtl w:val="0"/>
          <w:lang w:val="en-US"/>
        </w:rPr>
        <w:t xml:space="preserve">Ciardha, C., &amp; Ward, T. (2013). Theories of cognitive distortions in sexual offending. </w:t>
      </w:r>
      <w:r>
        <w:rPr>
          <w:rFonts w:ascii="Times Roman" w:hAnsi="Times Roman"/>
          <w:i w:val="1"/>
          <w:iCs w:val="1"/>
          <w:rtl w:val="0"/>
          <w:lang w:val="en-US"/>
        </w:rPr>
        <w:t>Trauma, Violence, &amp; Abuse, 14</w:t>
      </w:r>
      <w:r>
        <w:rPr>
          <w:rFonts w:ascii="Times Roman" w:hAnsi="Times Roman"/>
          <w:rtl w:val="0"/>
        </w:rPr>
        <w:t>(1), 5</w:t>
      </w:r>
      <w:r>
        <w:rPr>
          <w:rFonts w:ascii="Times Roman" w:hAnsi="Times Roman" w:hint="default"/>
          <w:rtl w:val="0"/>
        </w:rPr>
        <w:t>–</w:t>
      </w:r>
      <w:r>
        <w:rPr>
          <w:rFonts w:ascii="Times Roman" w:hAnsi="Times Roman"/>
          <w:rtl w:val="0"/>
        </w:rPr>
        <w:t>21.</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rPr>
        <w:t>SAMHSA. (2014). SAMHSA</w:t>
      </w:r>
      <w:r>
        <w:rPr>
          <w:rFonts w:ascii="Times Roman" w:hAnsi="Times Roman" w:hint="default"/>
          <w:rtl w:val="1"/>
        </w:rPr>
        <w:t>’</w:t>
      </w:r>
      <w:r>
        <w:rPr>
          <w:rFonts w:ascii="Times Roman" w:hAnsi="Times Roman"/>
          <w:rtl w:val="0"/>
          <w:lang w:val="en-US"/>
        </w:rPr>
        <w:t>s concept of trauma and guidance for a trauma</w:t>
      </w:r>
      <w:r>
        <w:rPr>
          <w:rFonts w:ascii="Times Roman" w:hAnsi="Times Roman" w:hint="default"/>
          <w:rtl w:val="0"/>
        </w:rPr>
        <w:t>‑</w:t>
      </w:r>
      <w:r>
        <w:rPr>
          <w:rFonts w:ascii="Times Roman" w:hAnsi="Times Roman"/>
          <w:rtl w:val="0"/>
          <w:lang w:val="en-US"/>
        </w:rPr>
        <w:t xml:space="preserve">informed approach. </w:t>
      </w:r>
      <w:r>
        <w:rPr>
          <w:rFonts w:ascii="Times Roman" w:hAnsi="Times Roman"/>
          <w:i w:val="1"/>
          <w:iCs w:val="1"/>
          <w:rtl w:val="0"/>
          <w:lang w:val="en-US"/>
        </w:rPr>
        <w:t>Substance Abuse and Mental Health Services Administration</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Smallbone, S., Marshall, W. L., &amp; Wortley, R. (2008). Preventing child sexual abuse: Evidence, policy and practice. </w:t>
      </w:r>
      <w:r>
        <w:rPr>
          <w:rFonts w:ascii="Times Roman" w:hAnsi="Times Roman"/>
          <w:i w:val="1"/>
          <w:iCs w:val="1"/>
          <w:rtl w:val="0"/>
          <w:lang w:val="en-US"/>
        </w:rPr>
        <w:t>Willan Publishing</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pt-PT"/>
        </w:rPr>
        <w:t xml:space="preserve">Team Teach. (2023). </w:t>
      </w:r>
      <w:r>
        <w:rPr>
          <w:rFonts w:ascii="Times Roman" w:hAnsi="Times Roman"/>
          <w:i w:val="1"/>
          <w:iCs w:val="1"/>
          <w:rtl w:val="0"/>
          <w:lang w:val="de-DE"/>
        </w:rPr>
        <w:t>Trauma</w:t>
      </w:r>
      <w:r>
        <w:rPr>
          <w:rFonts w:ascii="Times Roman" w:hAnsi="Times Roman" w:hint="default"/>
          <w:i w:val="1"/>
          <w:iCs w:val="1"/>
          <w:rtl w:val="0"/>
        </w:rPr>
        <w:t>‑</w:t>
      </w:r>
      <w:r>
        <w:rPr>
          <w:rFonts w:ascii="Times Roman" w:hAnsi="Times Roman"/>
          <w:i w:val="1"/>
          <w:iCs w:val="1"/>
          <w:rtl w:val="0"/>
          <w:lang w:val="en-US"/>
        </w:rPr>
        <w:t>informed care: How experiences influence behaviour.</w:t>
      </w:r>
      <w:r>
        <w:rPr>
          <w:rFonts w:ascii="Times Roman" w:hAnsi="Times Roman"/>
          <w:i w:val="1"/>
          <w:iCs w:val="1"/>
          <w:rtl w:val="0"/>
          <w:lang w:val="en-US"/>
        </w:rPr>
        <w:t xml:space="preserve">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"https://www.teamteach.com/trauma-informed-care-how-experiences-influence-behaviour/"</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https://www.teamteach.com/trauma-informed-care-how-experiences-influence-behaviour/</w:t>
      </w:r>
      <w:r>
        <w:rPr>
          <w:rFonts w:ascii="Times Roman" w:cs="Times Roman" w:hAnsi="Times Roman" w:eastAsia="Times Roman"/>
        </w:rPr>
        <w:fldChar w:fldCharType="end" w:fldLock="0"/>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Thornton, D., Willis, G. M., &amp; Kelley, S. (2024). Dynamic protective factors relevant to sexual offending. </w:t>
      </w:r>
      <w:r>
        <w:rPr>
          <w:rFonts w:ascii="Times Roman" w:hAnsi="Times Roman"/>
          <w:i w:val="1"/>
          <w:iCs w:val="1"/>
          <w:rtl w:val="0"/>
          <w:lang w:val="en-US"/>
        </w:rPr>
        <w:t>Current Psychiatry Reports, 26</w:t>
      </w:r>
      <w:r>
        <w:rPr>
          <w:rFonts w:ascii="Times Roman" w:hAnsi="Times Roman"/>
          <w:rtl w:val="0"/>
        </w:rPr>
        <w:t>, 142</w:t>
      </w:r>
      <w:r>
        <w:rPr>
          <w:rFonts w:ascii="Times Roman" w:hAnsi="Times Roman" w:hint="default"/>
          <w:rtl w:val="0"/>
        </w:rPr>
        <w:t>–</w:t>
      </w:r>
      <w:r>
        <w:rPr>
          <w:rFonts w:ascii="Times Roman" w:hAnsi="Times Roman"/>
          <w:rtl w:val="0"/>
        </w:rPr>
        <w:t>150.</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en-US"/>
        </w:rPr>
        <w:t xml:space="preserve">Vong, C. W. (2021). Identifying cognitive distortions from confessions: A comparison of child and adult sexual offenders. </w:t>
      </w:r>
      <w:r>
        <w:rPr>
          <w:rFonts w:ascii="Times Roman" w:hAnsi="Times Roman"/>
          <w:i w:val="1"/>
          <w:iCs w:val="1"/>
          <w:rtl w:val="0"/>
          <w:lang w:val="de-DE"/>
        </w:rPr>
        <w:t>Atlantis Press</w:t>
      </w:r>
      <w:r>
        <w:rPr>
          <w:rFonts w:ascii="Times Roman" w:hAnsi="Times Roman"/>
          <w:rtl w:val="0"/>
        </w:rPr>
        <w:t>.</w:t>
      </w:r>
    </w:p>
    <w:p>
      <w:pPr>
        <w:pStyle w:val="Default"/>
        <w:suppressAutoHyphens w:val="1"/>
        <w:spacing w:before="0" w:after="299" w:line="360" w:lineRule="auto"/>
        <w:ind w:firstLine="567"/>
        <w:rPr>
          <w:rFonts w:ascii="Times Roman" w:cs="Times Roman" w:hAnsi="Times Roman" w:eastAsia="Times Roman"/>
        </w:rPr>
      </w:pPr>
      <w:r>
        <w:rPr>
          <w:rFonts w:ascii="Times Roman" w:hAnsi="Times Roman"/>
          <w:rtl w:val="0"/>
          <w:lang w:val="pt-PT"/>
        </w:rPr>
        <w:t>Ward, T., &amp; Hudson, S. M. (2001). Finkelhor</w:t>
      </w:r>
      <w:r>
        <w:rPr>
          <w:rFonts w:ascii="Times Roman" w:hAnsi="Times Roman" w:hint="default"/>
          <w:rtl w:val="1"/>
        </w:rPr>
        <w:t>’</w:t>
      </w:r>
      <w:r>
        <w:rPr>
          <w:rFonts w:ascii="Times Roman" w:hAnsi="Times Roman"/>
          <w:rtl w:val="0"/>
          <w:lang w:val="en-US"/>
        </w:rPr>
        <w:t xml:space="preserve">s precondition model of child sexual abuse: A critique. </w:t>
      </w:r>
      <w:r>
        <w:rPr>
          <w:rFonts w:ascii="Times Roman" w:hAnsi="Times Roman"/>
          <w:i w:val="1"/>
          <w:iCs w:val="1"/>
          <w:rtl w:val="0"/>
          <w:lang w:val="en-US"/>
        </w:rPr>
        <w:t>Psychology, Crime &amp; Law, 7</w:t>
      </w:r>
      <w:r>
        <w:rPr>
          <w:rFonts w:ascii="Times Roman" w:hAnsi="Times Roman"/>
          <w:rtl w:val="0"/>
        </w:rPr>
        <w:t>, 291</w:t>
      </w:r>
      <w:r>
        <w:rPr>
          <w:rFonts w:ascii="Times Roman" w:hAnsi="Times Roman" w:hint="default"/>
          <w:rtl w:val="0"/>
        </w:rPr>
        <w:t>–</w:t>
      </w:r>
      <w:r>
        <w:rPr>
          <w:rFonts w:ascii="Times Roman" w:hAnsi="Times Roman"/>
          <w:rtl w:val="0"/>
        </w:rPr>
        <w:t>307.</w:t>
      </w:r>
    </w:p>
    <w:p>
      <w:pPr>
        <w:pStyle w:val="Default"/>
        <w:suppressAutoHyphens w:val="1"/>
        <w:spacing w:before="0" w:after="299" w:line="360" w:lineRule="auto"/>
        <w:ind w:firstLine="567"/>
      </w:pPr>
      <w:r>
        <w:rPr>
          <w:rFonts w:ascii="Times Roman" w:hAnsi="Times Roman"/>
          <w:rtl w:val="0"/>
          <w:lang w:val="en-US"/>
        </w:rPr>
        <w:t>Willis, G. M., Yates, P. M., &amp; Gannon, T. A. (2013). The Good Lives Model (GLM): An evaluation of GLM</w:t>
      </w:r>
      <w:r>
        <w:rPr>
          <w:rFonts w:ascii="Times Roman" w:hAnsi="Times Roman" w:hint="default"/>
          <w:rtl w:val="0"/>
        </w:rPr>
        <w:t>‑</w:t>
      </w:r>
      <w:r>
        <w:rPr>
          <w:rFonts w:ascii="Times Roman" w:hAnsi="Times Roman"/>
          <w:rtl w:val="0"/>
          <w:lang w:val="en-US"/>
        </w:rPr>
        <w:t xml:space="preserve">related programmes for sexual offenders. </w:t>
      </w:r>
      <w:r>
        <w:rPr>
          <w:rFonts w:ascii="Times Roman" w:hAnsi="Times Roman"/>
          <w:i w:val="1"/>
          <w:iCs w:val="1"/>
          <w:rtl w:val="0"/>
          <w:lang w:val="en-US"/>
        </w:rPr>
        <w:t>Psychology, Crime &amp; Law, 19</w:t>
      </w:r>
      <w:r>
        <w:rPr>
          <w:rFonts w:ascii="Times Roman" w:hAnsi="Times Roman"/>
          <w:rtl w:val="0"/>
        </w:rPr>
        <w:t>(5</w:t>
      </w:r>
      <w:r>
        <w:rPr>
          <w:rFonts w:ascii="Times Roman" w:hAnsi="Times Roman" w:hint="default"/>
          <w:rtl w:val="0"/>
        </w:rPr>
        <w:t>–</w:t>
      </w:r>
      <w:r>
        <w:rPr>
          <w:rFonts w:ascii="Times Roman" w:hAnsi="Times Roman"/>
          <w:rtl w:val="0"/>
        </w:rPr>
        <w:t>6), 494</w:t>
      </w:r>
      <w:r>
        <w:rPr>
          <w:rFonts w:ascii="Times Roman" w:hAnsi="Times Roman" w:hint="default"/>
          <w:rtl w:val="0"/>
        </w:rPr>
        <w:t>–</w:t>
      </w:r>
      <w:r>
        <w:rPr>
          <w:rFonts w:ascii="Times Roman" w:hAnsi="Times Roman"/>
          <w:rtl w:val="0"/>
        </w:rPr>
        <w:t>512.</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