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media/image7.jpeg" ContentType="image/jpeg"/>
  <Override PartName="/word/media/image8.jpeg" ContentType="image/jpeg"/>
  <Override PartName="/word/media/image9.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Alberto Alessandro Berio</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14:textOutline>
                  <w14:noFill/>
                </w14:textOutline>
                <w14:textFill>
                  <w14:solidFill>
                    <w14:srgbClr w14:val="000000"/>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14:textOutline>
                  <w14:noFill/>
                </w14:textOutline>
                <w14:textFill>
                  <w14:solidFill>
                    <w14:srgbClr w14:val="000000"/>
                  </w14:solidFill>
                </w14:textFill>
              </w:rPr>
              <w:instrText xml:space="preserve"> HYPERLINK "mailto:1907991@students.utwsd.ac.uk"</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14:textOutline>
                  <w14:noFill/>
                </w14:textOutline>
                <w14:textFill>
                  <w14:solidFill>
                    <w14:srgbClr w14:val="000000"/>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14:textOutline>
                  <w14:noFill/>
                </w14:textOutline>
                <w14:textFill>
                  <w14:solidFill>
                    <w14:srgbClr w14:val="000000"/>
                  </w14:solidFill>
                </w14:textFill>
              </w:rPr>
              <w:t>1907991</w:t>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@students.utwsd.ac.uk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HPCA7001</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Foundations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Student ID number:</w:t>
            </w:r>
          </w:p>
          <w:p>
            <w:pPr>
              <w:pStyle w:val="Header &amp; Footer"/>
            </w:pPr>
            <w:r>
              <w:rPr>
                <w:caps w:val="1"/>
                <w:rtl w:val="0"/>
                <w:lang w:val="en-US"/>
              </w:rPr>
              <w:t>1907991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Assignment title: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December, 16th, 2019</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rtl w:val="0"/>
                <w:lang w:val="en-US"/>
                <w14:textFill>
                  <w14:solidFill>
                    <w14:srgbClr w14:val="000000"/>
                  </w14:solidFill>
                </w14:textFill>
              </w:rPr>
              <w:t>This assignment is for the       1</w:t>
            </w:r>
            <w:r>
              <w:rPr>
                <w:rFonts w:ascii="Arial" w:hAnsi="Arial"/>
                <w:outline w:val="0"/>
                <w:color w:val="000000"/>
                <w:sz w:val="22"/>
                <w:szCs w:val="22"/>
                <w:u w:color="000000"/>
                <w:vertAlign w:val="superscript"/>
                <w:rtl w:val="0"/>
                <w:lang w:val="en-US"/>
                <w14:textFill>
                  <w14:solidFill>
                    <w14:srgbClr w14:val="000000"/>
                  </w14:solidFill>
                </w14:textFill>
              </w:rPr>
              <w:t xml:space="preserve">st </w:t>
            </w:r>
            <w:r>
              <w:rPr>
                <w:rFonts w:ascii="Arial" w:hAnsi="Arial"/>
                <w:outline w:val="0"/>
                <w:color w:val="000000"/>
                <w:sz w:val="22"/>
                <w:szCs w:val="22"/>
                <w:u w:color="000000"/>
                <w:rtl w:val="0"/>
                <w:lang w:val="en-US"/>
                <w14:textFill>
                  <w14:solidFill>
                    <w14:srgbClr w14:val="000000"/>
                  </w14:solidFill>
                </w14:textFill>
              </w:rPr>
              <w:t xml:space="preserve">    2</w:t>
            </w:r>
            <w:r>
              <w:rPr>
                <w:rFonts w:ascii="Arial" w:hAnsi="Arial"/>
                <w:outline w:val="0"/>
                <w:color w:val="000000"/>
                <w:sz w:val="22"/>
                <w:szCs w:val="22"/>
                <w:u w:color="000000"/>
                <w:vertAlign w:val="superscript"/>
                <w:rtl w:val="0"/>
                <w:lang w:val="en-US"/>
                <w14:textFill>
                  <w14:solidFill>
                    <w14:srgbClr w14:val="000000"/>
                  </w14:solidFill>
                </w14:textFill>
              </w:rPr>
              <w:t>nd</w:t>
            </w:r>
            <w:r>
              <w:rPr>
                <w:rFonts w:ascii="Arial" w:hAnsi="Arial"/>
                <w:outline w:val="0"/>
                <w:color w:val="000000"/>
                <w:sz w:val="22"/>
                <w:szCs w:val="22"/>
                <w:u w:color="000000"/>
                <w:rtl w:val="0"/>
                <w:lang w:val="en-US"/>
                <w14:textFill>
                  <w14:solidFill>
                    <w14:srgbClr w14:val="000000"/>
                  </w14:solidFill>
                </w14:textFill>
              </w:rPr>
              <w:t xml:space="preserve">       3</w:t>
            </w:r>
            <w:r>
              <w:rPr>
                <w:rFonts w:ascii="Arial" w:hAnsi="Arial"/>
                <w:outline w:val="0"/>
                <w:color w:val="000000"/>
                <w:sz w:val="22"/>
                <w:szCs w:val="22"/>
                <w:u w:color="000000"/>
                <w:vertAlign w:val="superscript"/>
                <w:rtl w:val="0"/>
                <w:lang w:val="en-US"/>
                <w14:textFill>
                  <w14:solidFill>
                    <w14:srgbClr w14:val="000000"/>
                  </w14:solidFill>
                </w14:textFill>
              </w:rPr>
              <w:t>rd</w:t>
            </w:r>
            <w:r>
              <w:rPr>
                <w:rFonts w:ascii="Arial" w:hAnsi="Arial"/>
                <w:outline w:val="0"/>
                <w:color w:val="000000"/>
                <w:sz w:val="22"/>
                <w:szCs w:val="22"/>
                <w:u w:color="000000"/>
                <w:rtl w:val="0"/>
                <w:lang w:val="en-US"/>
                <w14:textFill>
                  <w14:solidFill>
                    <w14:srgbClr w14:val="000000"/>
                  </w14:solidFill>
                </w14:textFill>
              </w:rPr>
              <w:t xml:space="preserve">        4</w:t>
            </w:r>
            <w:r>
              <w:rPr>
                <w:rFonts w:ascii="Arial" w:hAnsi="Arial"/>
                <w:outline w:val="0"/>
                <w:color w:val="000000"/>
                <w:sz w:val="22"/>
                <w:szCs w:val="22"/>
                <w:u w:color="000000"/>
                <w:vertAlign w:val="superscript"/>
                <w:rtl w:val="0"/>
                <w:lang w:val="en-US"/>
                <w14:textFill>
                  <w14:solidFill>
                    <w14:srgbClr w14:val="000000"/>
                  </w14:solidFill>
                </w14:textFill>
              </w:rPr>
              <w:t>th</w:t>
            </w:r>
            <w:r>
              <w:rPr>
                <w:rFonts w:ascii="Arial" w:hAnsi="Arial"/>
                <w:outline w:val="0"/>
                <w:color w:val="000000"/>
                <w:sz w:val="22"/>
                <w:szCs w:val="22"/>
                <w:u w:color="000000"/>
                <w:rtl w:val="0"/>
                <w:lang w:val="en-US"/>
                <w14:textFill>
                  <w14:solidFill>
                    <w14:srgbClr w14:val="000000"/>
                  </w14:solidFill>
                </w14:textFill>
              </w:rPr>
              <w:t xml:space="preserve">       5</w:t>
            </w:r>
            <w:r>
              <w:rPr>
                <w:rFonts w:ascii="Arial" w:hAnsi="Arial"/>
                <w:outline w:val="0"/>
                <w:color w:val="000000"/>
                <w:sz w:val="22"/>
                <w:szCs w:val="22"/>
                <w:u w:color="000000"/>
                <w:vertAlign w:val="superscript"/>
                <w:rtl w:val="0"/>
                <w:lang w:val="en-US"/>
                <w14:textFill>
                  <w14:solidFill>
                    <w14:srgbClr w14:val="000000"/>
                  </w14:solidFill>
                </w14:textFill>
              </w:rPr>
              <w:t>th</w:t>
            </w:r>
            <w:r>
              <w:rPr>
                <w:rFonts w:ascii="Arial" w:hAnsi="Arial"/>
                <w:outline w:val="0"/>
                <w:color w:val="000000"/>
                <w:sz w:val="22"/>
                <w:szCs w:val="22"/>
                <w:u w:color="000000"/>
                <w:rtl w:val="0"/>
                <w:lang w:val="en-US"/>
                <w14:textFill>
                  <w14:solidFill>
                    <w14:srgbClr w14:val="000000"/>
                  </w14:solidFill>
                </w14:textFill>
              </w:rPr>
              <w:t xml:space="preserve">       6</w:t>
            </w:r>
            <w:r>
              <w:rPr>
                <w:rFonts w:ascii="Arial" w:hAnsi="Arial"/>
                <w:outline w:val="0"/>
                <w:color w:val="000000"/>
                <w:sz w:val="22"/>
                <w:szCs w:val="22"/>
                <w:u w:color="000000"/>
                <w:vertAlign w:val="superscript"/>
                <w:rtl w:val="0"/>
                <w:lang w:val="en-US"/>
                <w14:textFill>
                  <w14:solidFill>
                    <w14:srgbClr w14:val="000000"/>
                  </w14:solidFill>
                </w14:textFill>
              </w:rPr>
              <w:t>th</w:t>
            </w:r>
            <w:r>
              <w:rPr>
                <w:rFonts w:ascii="Arial" w:hAnsi="Arial"/>
                <w:outline w:val="0"/>
                <w:color w:val="000000"/>
                <w:sz w:val="22"/>
                <w:szCs w:val="22"/>
                <w:u w:color="000000"/>
                <w:rtl w:val="0"/>
                <w:lang w:val="en-US"/>
                <w14:textFill>
                  <w14:solidFill>
                    <w14:srgbClr w14:val="000000"/>
                  </w14:solidFill>
                </w14:textFill>
              </w:rPr>
              <w:t xml:space="preserve"> </w:t>
            </w:r>
            <w:r>
              <w:rPr>
                <w:rFonts w:ascii="Arial" w:hAnsi="Arial"/>
                <w:b w:val="1"/>
                <w:bCs w:val="1"/>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module of the degree</w:t>
            </w:r>
          </w:p>
        </w:tc>
      </w:tr>
      <w:tr>
        <w:tblPrEx>
          <w:shd w:val="clear" w:color="auto" w:fill="ced7e7"/>
        </w:tblPrEx>
        <w:trPr>
          <w:trHeight w:val="155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u w:color="000000"/>
                <w:rtl w:val="0"/>
                <w:lang w:val="en-US"/>
                <w14:textFill>
                  <w14:solidFill>
                    <w14:srgbClr w14:val="000000"/>
                  </w14:solidFill>
                </w14:textFill>
              </w:rPr>
            </w:pPr>
          </w:p>
          <w:p>
            <w:pPr>
              <w:pStyle w:val="Body 2"/>
              <w:spacing w:after="0" w:line="240" w:lineRule="auto"/>
              <w:jc w:val="left"/>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Assignment Mark</w:t>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r>
              <w:rPr>
                <w:rFonts w:ascii="Arial" w:hAnsi="Arial"/>
                <w:outline w:val="0"/>
                <w:color w:val="000000"/>
                <w:sz w:val="20"/>
                <w:szCs w:val="20"/>
                <w:u w:color="000000"/>
                <w:rtl w:val="0"/>
                <w:lang w:val="en-US"/>
                <w14:textFill>
                  <w14:solidFill>
                    <w14:srgbClr w14:val="000000"/>
                  </w14:solidFill>
                </w14:textFill>
              </w:rPr>
              <w:t>1</w:t>
            </w:r>
            <w:r>
              <w:rPr>
                <w:rFonts w:ascii="Arial" w:hAnsi="Arial"/>
                <w:outline w:val="0"/>
                <w:color w:val="000000"/>
                <w:sz w:val="20"/>
                <w:szCs w:val="20"/>
                <w:u w:color="000000"/>
                <w:vertAlign w:val="superscript"/>
                <w:rtl w:val="0"/>
                <w:lang w:val="en-US"/>
                <w14:textFill>
                  <w14:solidFill>
                    <w14:srgbClr w14:val="000000"/>
                  </w14:solidFill>
                </w14:textFill>
              </w:rPr>
              <w:t>st</w:t>
            </w:r>
            <w:r>
              <w:rPr>
                <w:rFonts w:ascii="Arial" w:hAnsi="Arial"/>
                <w:outline w:val="0"/>
                <w:color w:val="000000"/>
                <w:sz w:val="20"/>
                <w:szCs w:val="20"/>
                <w:u w:color="000000"/>
                <w:rtl w:val="0"/>
                <w:lang w:val="en-US"/>
                <w14:textFill>
                  <w14:solidFill>
                    <w14:srgbClr w14:val="000000"/>
                  </w14:solidFill>
                </w14:textFill>
              </w:rPr>
              <w:t xml:space="preserve"> Marker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r>
              <w:rPr>
                <w:rFonts w:ascii="Arial" w:hAnsi="Arial"/>
                <w:outline w:val="0"/>
                <w:color w:val="000000"/>
                <w:sz w:val="20"/>
                <w:szCs w:val="20"/>
                <w:u w:color="000000"/>
                <w:rtl w:val="0"/>
                <w:lang w:val="en-US"/>
                <w14:textFill>
                  <w14:solidFill>
                    <w14:srgbClr w14:val="000000"/>
                  </w14:solidFill>
                </w14:textFill>
              </w:rPr>
              <w:t>2</w:t>
            </w:r>
            <w:r>
              <w:rPr>
                <w:rFonts w:ascii="Arial" w:hAnsi="Arial"/>
                <w:outline w:val="0"/>
                <w:color w:val="000000"/>
                <w:sz w:val="20"/>
                <w:szCs w:val="20"/>
                <w:u w:color="000000"/>
                <w:vertAlign w:val="superscript"/>
                <w:rtl w:val="0"/>
                <w:lang w:val="en-US"/>
                <w14:textFill>
                  <w14:solidFill>
                    <w14:srgbClr w14:val="000000"/>
                  </w14:solidFill>
                </w14:textFill>
              </w:rPr>
              <w:t>nd</w:t>
            </w:r>
            <w:r>
              <w:rPr>
                <w:rFonts w:ascii="Arial" w:hAnsi="Arial"/>
                <w:outline w:val="0"/>
                <w:color w:val="000000"/>
                <w:sz w:val="20"/>
                <w:szCs w:val="20"/>
                <w:u w:color="000000"/>
                <w:rtl w:val="0"/>
                <w:lang w:val="en-US"/>
                <w14:textFill>
                  <w14:solidFill>
                    <w14:srgbClr w14:val="000000"/>
                  </w14:solidFill>
                </w14:textFill>
              </w:rPr>
              <w:t xml:space="preserve"> Marker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s/Moderator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r>
              <w:rPr>
                <w:rFonts w:ascii="Arial" w:hAnsi="Arial"/>
                <w:outline w:val="0"/>
                <w:color w:val="000000"/>
                <w:sz w:val="20"/>
                <w:szCs w:val="20"/>
                <w:u w:color="000000"/>
                <w:rtl w:val="0"/>
                <w:lang w:val="en-US"/>
                <w14:textFill>
                  <w14:solidFill>
                    <w14:srgbClr w14:val="000000"/>
                  </w14:solidFill>
                </w14:textFill>
              </w:rPr>
              <w:t>External Examiner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 mark (if relevant)</w:t>
              <w:tab/>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rtl w:val="0"/>
                <w14:textFill>
                  <w14:solidFill>
                    <w14:srgbClr w14:val="000000"/>
                  </w14:solidFill>
                </w14:textFill>
              </w:rPr>
            </w:pPr>
            <w:r>
              <w:rPr>
                <w:rFonts w:ascii="Arial" w:hAnsi="Arial"/>
                <w:b w:val="1"/>
                <w:bCs w:val="1"/>
                <w:outline w:val="0"/>
                <w:color w:val="000000"/>
                <w:sz w:val="20"/>
                <w:szCs w:val="20"/>
                <w:u w:color="000000"/>
                <w:rtl w:val="0"/>
                <w:lang w:val="en-US"/>
                <w14:textFill>
                  <w14:solidFill>
                    <w14:srgbClr w14:val="000000"/>
                  </w14:solidFill>
                </w14:textFill>
              </w:rPr>
              <w:t>Final Mark</w:t>
            </w: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rtl w:val="0"/>
                <w14:textFill>
                  <w14:solidFill>
                    <w14:srgbClr w14:val="000000"/>
                  </w14:solidFill>
                </w14:textFill>
              </w:rPr>
            </w:pPr>
            <w:r>
              <w:rPr>
                <w:rFonts w:ascii="Arial" w:cs="Arial" w:hAnsi="Arial" w:eastAsia="Arial"/>
                <w:b w:val="1"/>
                <w:bCs w:val="1"/>
                <w:outline w:val="0"/>
                <w:color w:val="000000"/>
                <w:sz w:val="20"/>
                <w:szCs w:val="20"/>
                <w:u w:color="000000"/>
                <w:rtl w:val="0"/>
                <w14:textFill>
                  <w14:solidFill>
                    <w14:srgbClr w14:val="000000"/>
                  </w14:solidFill>
                </w14:textFill>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sz w:val="22"/>
                <w:szCs w:val="22"/>
                <w:u w:color="000000"/>
                <w:rtl w:val="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External Examiner</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rtl w:val="0"/>
                <w:lang w:val="en-US"/>
                <w14:textFill>
                  <w14:solidFill>
                    <w14:srgbClr w14:val="000000"/>
                  </w14:solidFill>
                </w14:textFill>
              </w:rPr>
              <w:t>External Examiner</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rtl w:val="0"/>
                <w:lang w:val="en-US"/>
                <w14:textFill>
                  <w14:solidFill>
                    <w14:srgbClr w14:val="000000"/>
                  </w14:solidFill>
                </w14:textFill>
              </w:rPr>
              <w:t>Date:</w:t>
            </w:r>
          </w:p>
        </w:tc>
      </w:tr>
    </w:tbl>
    <w:p>
      <w:pPr>
        <w:pStyle w:val="Default"/>
        <w:keepNext w:val="1"/>
        <w:widowControl w:val="0"/>
        <w:bidi w:val="0"/>
        <w:spacing w:after="0" w:line="240" w:lineRule="auto"/>
        <w:ind w:left="0" w:right="0" w:firstLine="0"/>
        <w:jc w:val="center"/>
        <w:outlineLvl w:val="2"/>
        <w:rPr>
          <w:rtl w:val="0"/>
        </w:rPr>
      </w:pPr>
      <w:r>
        <w:rPr>
          <w:rFonts w:ascii="Arial Unicode MS" w:cs="Arial Unicode MS" w:hAnsi="Arial Unicode MS" w:eastAsia="Arial Unicode MS"/>
          <w:b w:val="0"/>
          <w:bCs w:val="0"/>
          <w:i w:val="0"/>
          <w:iCs w:val="0"/>
          <w:outline w:val="0"/>
          <w:color w:val="000000"/>
          <w:sz w:val="20"/>
          <w:szCs w:val="20"/>
          <w:u w:color="000000"/>
          <w:rtl w:val="0"/>
          <w:lang w:val="en-US"/>
          <w14:textFill>
            <w14:solidFill>
              <w14:srgbClr w14:val="000000"/>
            </w14:solidFill>
          </w14:textFill>
        </w:rPr>
        <w:br w:type="page"/>
      </w:r>
    </w:p>
    <w:p>
      <w:pPr>
        <w:pStyle w:val="Body 2"/>
        <w:bidi w:val="0"/>
      </w:pPr>
    </w:p>
    <w:p>
      <w:pPr>
        <w:pStyle w:val="Subtitle"/>
        <w:rPr>
          <w:outline w:val="0"/>
          <w:color w:val="000000"/>
          <w:sz w:val="40"/>
          <w:szCs w:val="40"/>
          <w14:textFill>
            <w14:solidFill>
              <w14:srgbClr w14:val="000000"/>
            </w14:solidFill>
          </w14:textFill>
        </w:rPr>
      </w:pPr>
    </w:p>
    <w:p>
      <w:pPr>
        <w:pStyle w:val="Subtitle"/>
        <w:rPr>
          <w:outline w:val="0"/>
          <w:color w:val="000000"/>
          <w:sz w:val="40"/>
          <w:szCs w:val="40"/>
          <w14:textFill>
            <w14:solidFill>
              <w14:srgbClr w14:val="000000"/>
            </w14:solidFill>
          </w14:textFill>
        </w:rPr>
      </w:pPr>
    </w:p>
    <w:p>
      <w:pPr>
        <w:pStyle w:val="Subtitle"/>
        <w:rPr>
          <w:outline w:val="0"/>
          <w:color w:val="000000"/>
          <w:sz w:val="40"/>
          <w:szCs w:val="40"/>
          <w14:textFill>
            <w14:solidFill>
              <w14:srgbClr w14:val="000000"/>
            </w14:solidFill>
          </w14:textFill>
        </w:rPr>
      </w:pPr>
    </w:p>
    <w:p>
      <w:pPr>
        <w:pStyle w:val="Subtitle"/>
        <w:rPr>
          <w:outline w:val="0"/>
          <w:color w:val="000000"/>
          <w:sz w:val="40"/>
          <w:szCs w:val="40"/>
          <w14:textFill>
            <w14:solidFill>
              <w14:srgbClr w14:val="000000"/>
            </w14:solidFill>
          </w14:textFill>
        </w:rPr>
      </w:pPr>
      <w:r>
        <w:rPr>
          <w:outline w:val="0"/>
          <w:color w:val="000000"/>
          <w:sz w:val="40"/>
          <w:szCs w:val="40"/>
          <w:rtl w:val="0"/>
          <w:lang w:val="en-US"/>
          <w14:textFill>
            <w14:solidFill>
              <w14:srgbClr w14:val="000000"/>
            </w14:solidFill>
          </w14:textFill>
        </w:rPr>
        <w:t>Of Centaurs, Satyrs, &amp; Stars: The Astrosynthesis Of The Egyptian Foreleg Constellation</w:t>
      </w:r>
    </w:p>
    <w:p>
      <w:pPr>
        <w:pStyle w:val="Subheading"/>
        <w:rPr>
          <w:i w:val="1"/>
          <w:iCs w:val="1"/>
          <w:outline w:val="0"/>
          <w:color w:val="7a7a7a"/>
          <w:sz w:val="24"/>
          <w:szCs w:val="24"/>
          <w14:textFill>
            <w14:solidFill>
              <w14:srgbClr w14:val="7A7A7A"/>
            </w14:solidFill>
          </w14:textFill>
        </w:rPr>
      </w:pPr>
    </w:p>
    <w:p>
      <w:pPr>
        <w:pStyle w:val="Subheading"/>
        <w:rPr>
          <w:i w:val="1"/>
          <w:iCs w:val="1"/>
          <w:outline w:val="0"/>
          <w:color w:val="7a7a7a"/>
          <w:sz w:val="24"/>
          <w:szCs w:val="24"/>
          <w14:textFill>
            <w14:solidFill>
              <w14:srgbClr w14:val="7A7A7A"/>
            </w14:solidFill>
          </w14:textFill>
        </w:rPr>
      </w:pPr>
      <w:r>
        <w:rPr>
          <w:i w:val="1"/>
          <w:iCs w:val="1"/>
          <w:outline w:val="0"/>
          <w:color w:val="7a7a7a"/>
          <w:sz w:val="24"/>
          <w:szCs w:val="24"/>
          <w:rtl w:val="0"/>
          <w:lang w:val="en-US"/>
          <w14:textFill>
            <w14:solidFill>
              <w14:srgbClr w14:val="7A7A7A"/>
            </w14:solidFill>
          </w14:textFill>
        </w:rPr>
        <w:t xml:space="preserve">Word Count: </w:t>
      </w:r>
      <w:r>
        <w:rPr>
          <w:i w:val="1"/>
          <w:iCs w:val="1"/>
          <w:outline w:val="0"/>
          <w:color w:val="7a7a7a"/>
          <w:sz w:val="24"/>
          <w:szCs w:val="24"/>
          <w:rtl w:val="0"/>
          <w:lang w:val="en-US"/>
          <w14:textFill>
            <w14:solidFill>
              <w14:srgbClr w14:val="7A7A7A"/>
            </w14:solidFill>
          </w14:textFill>
        </w:rPr>
        <w:t>3515</w:t>
      </w:r>
    </w:p>
    <w:p>
      <w:pPr>
        <w:pStyle w:val="Heading 2"/>
        <w:jc w:val="left"/>
      </w:pPr>
    </w:p>
    <w:p>
      <w:pPr>
        <w:pStyle w:val="Heading 2"/>
        <w:jc w:val="left"/>
      </w:pPr>
    </w:p>
    <w:p>
      <w:pPr>
        <w:pStyle w:val="Body 2"/>
        <w:bidi w:val="0"/>
      </w:pPr>
    </w:p>
    <w:p>
      <w:pPr>
        <w:pStyle w:val="Heading 2"/>
        <w:jc w:val="left"/>
      </w:pPr>
      <w:r>
        <w:rPr>
          <w:rtl w:val="0"/>
          <w:lang w:val="en-US"/>
        </w:rPr>
        <w:t>Introduction</w:t>
      </w:r>
    </w:p>
    <w:p>
      <w:pPr>
        <w:pStyle w:val="Body 2"/>
        <w:bidi w:val="0"/>
      </w:pPr>
    </w:p>
    <w:p>
      <w:pPr>
        <w:pStyle w:val="Body"/>
        <w:bidi w:val="0"/>
        <w:rPr>
          <w:lang w:val="en-US"/>
        </w:rPr>
      </w:pPr>
      <w:r>
        <w:rPr>
          <w:rtl w:val="0"/>
        </w:rPr>
        <w:t xml:space="preserve">This essay will attempt to understand the role and compare the star myths of two ancient cultures: the foreleg constellation, </w:t>
      </w:r>
      <w:r>
        <w:rPr>
          <w:i w:val="1"/>
          <w:iCs w:val="1"/>
          <w:rtl w:val="0"/>
          <w:lang w:val="en-US"/>
        </w:rPr>
        <w:t>Meskhetyu</w:t>
      </w:r>
      <w:r>
        <w:rPr>
          <w:rtl w:val="0"/>
          <w:lang w:val="en-US"/>
        </w:rPr>
        <w:t xml:space="preserve"> </w:t>
      </w:r>
      <w:r>
        <w:rPr>
          <w:lang w:val="en-US"/>
        </w:rPr>
        <w:drawing>
          <wp:inline distT="0" distB="0" distL="0" distR="0">
            <wp:extent cx="311958" cy="186267"/>
            <wp:effectExtent l="0" t="0" r="0" b="0"/>
            <wp:docPr id="1073741825" name="officeArt object" descr="Picture 100"/>
            <wp:cNvGraphicFramePr/>
            <a:graphic xmlns:a="http://schemas.openxmlformats.org/drawingml/2006/main">
              <a:graphicData uri="http://schemas.openxmlformats.org/drawingml/2006/picture">
                <pic:pic xmlns:pic="http://schemas.openxmlformats.org/drawingml/2006/picture">
                  <pic:nvPicPr>
                    <pic:cNvPr id="1073741825" name="Picture 100" descr="Picture 100"/>
                    <pic:cNvPicPr>
                      <a:picLocks noChangeAspect="1"/>
                    </pic:cNvPicPr>
                  </pic:nvPicPr>
                  <pic:blipFill>
                    <a:blip r:embed="rId4">
                      <a:extLst/>
                    </a:blip>
                    <a:stretch>
                      <a:fillRect/>
                    </a:stretch>
                  </pic:blipFill>
                  <pic:spPr>
                    <a:xfrm>
                      <a:off x="0" y="0"/>
                      <a:ext cx="311958" cy="186267"/>
                    </a:xfrm>
                    <a:prstGeom prst="rect">
                      <a:avLst/>
                    </a:prstGeom>
                    <a:ln w="12700" cap="flat">
                      <a:noFill/>
                      <a:miter lim="400000"/>
                    </a:ln>
                    <a:effectLst/>
                  </pic:spPr>
                </pic:pic>
              </a:graphicData>
            </a:graphic>
          </wp:inline>
        </w:drawing>
      </w:r>
      <w:r>
        <w:rPr>
          <w:rtl w:val="0"/>
          <w:lang w:val="en-US"/>
        </w:rPr>
        <w:t>,</w:t>
      </w:r>
      <w:r>
        <w:rPr>
          <w:rtl w:val="0"/>
        </w:rPr>
        <w:t xml:space="preserve"> of the ancient Egyptians and the Graeco-Babylonian equine constellations of Centaurus and Sagittarius. The essay places the myths within a linguistic framework, inspired by Claude L</w:t>
      </w:r>
      <w:r>
        <w:rPr>
          <w:rtl w:val="0"/>
        </w:rPr>
        <w:t>é</w:t>
      </w:r>
      <w:r>
        <w:rPr>
          <w:rtl w:val="0"/>
        </w:rPr>
        <w:t>vi-Strauss</w:t>
      </w:r>
      <w:r>
        <w:rPr>
          <w:rtl w:val="0"/>
        </w:rPr>
        <w:t>’ ‘</w:t>
      </w:r>
      <w:r>
        <w:rPr>
          <w:rtl w:val="0"/>
        </w:rPr>
        <w:t>The Structural Study of Myth</w:t>
      </w:r>
      <w:r>
        <w:rPr>
          <w:rtl w:val="0"/>
        </w:rPr>
        <w:t>’</w:t>
      </w:r>
      <w:r>
        <w:rPr>
          <w:rtl w:val="0"/>
        </w:rPr>
        <w:t xml:space="preserve">. This comparison will help first identify and breakdown the myths, then interpret the possible roles they may have played in their respective societies. </w:t>
      </w:r>
      <w:r>
        <w:rPr>
          <w:rtl w:val="0"/>
          <w:lang w:val="en-US"/>
        </w:rPr>
        <w:t xml:space="preserve">As Art Brenner wrote when discussing </w:t>
      </w:r>
      <w:r>
        <w:rPr>
          <w:rtl w:val="0"/>
          <w:lang w:val="en-US"/>
        </w:rPr>
        <w:t xml:space="preserve">Octavio Paz </w:t>
      </w:r>
      <w:r>
        <w:rPr>
          <w:rtl w:val="0"/>
          <w:lang w:val="en-US"/>
        </w:rPr>
        <w:t>‘</w:t>
      </w:r>
      <w:r>
        <w:rPr>
          <w:rtl w:val="0"/>
          <w:lang w:val="en-US"/>
        </w:rPr>
        <w:t>the plurality of myths in all times and places is based on the repetition of a limited number of elemental mythic ideas.</w:t>
      </w:r>
      <w:r>
        <w:rPr>
          <w:rtl w:val="0"/>
          <w:lang w:val="en-US"/>
        </w:rPr>
        <w:t xml:space="preserve">’ </w:t>
      </w:r>
      <w:r>
        <w:rPr>
          <w:rFonts w:ascii="Lora Regular" w:cs="Lora Regular" w:hAnsi="Lora Regular" w:eastAsia="Lora Regular"/>
          <w:b w:val="0"/>
          <w:bCs w:val="0"/>
          <w:i w:val="0"/>
          <w:iCs w:val="0"/>
          <w:vertAlign w:val="superscript"/>
          <w:lang w:val="en-US"/>
        </w:rPr>
        <w:footnoteReference w:id="1"/>
      </w:r>
      <w:r>
        <w:rPr>
          <w:rtl w:val="0"/>
          <w:lang w:val="en-US"/>
        </w:rPr>
        <w:t xml:space="preserve"> Tracing these </w:t>
      </w:r>
      <w:r>
        <w:rPr>
          <w:rtl w:val="0"/>
          <w:lang w:val="en-US"/>
        </w:rPr>
        <w:t>‘</w:t>
      </w:r>
      <w:r>
        <w:rPr>
          <w:rtl w:val="0"/>
          <w:lang w:val="en-US"/>
        </w:rPr>
        <w:t>elemental mythic ideas</w:t>
      </w:r>
      <w:r>
        <w:rPr>
          <w:rtl w:val="0"/>
          <w:lang w:val="en-US"/>
        </w:rPr>
        <w:t>’</w:t>
      </w:r>
      <w:r>
        <w:rPr>
          <w:rtl w:val="0"/>
          <w:lang w:val="en-US"/>
        </w:rPr>
        <w:t>, may unlock similitudes between apparently non-identical myths and attempt to substantiate common links heretofore unknown between these mythologies.</w:t>
      </w:r>
    </w:p>
    <w:p>
      <w:pPr>
        <w:pStyle w:val="Body"/>
        <w:bidi w:val="0"/>
        <w:rPr>
          <w:lang w:val="en-US"/>
        </w:rPr>
      </w:pPr>
    </w:p>
    <w:p>
      <w:pPr>
        <w:pStyle w:val="Heading 2"/>
        <w:jc w:val="left"/>
      </w:pPr>
      <w:r>
        <w:rPr>
          <w:rtl w:val="0"/>
          <w:lang w:val="en-US"/>
        </w:rPr>
        <w:t>Methodology</w:t>
      </w:r>
    </w:p>
    <w:p>
      <w:pPr>
        <w:pStyle w:val="Body"/>
        <w:bidi w:val="0"/>
      </w:pPr>
    </w:p>
    <w:p>
      <w:pPr>
        <w:pStyle w:val="Body"/>
        <w:bidi w:val="0"/>
      </w:pPr>
      <w:r>
        <w:rPr>
          <w:rtl w:val="0"/>
        </w:rPr>
        <w:t xml:space="preserve">To examine these superficially disparate star myths, it is necessary to pull at the very fabric of myth itself. Mircea Eliade proposed a broad definition of myth as </w:t>
      </w:r>
      <w:r>
        <w:rPr>
          <w:rtl w:val="0"/>
        </w:rPr>
        <w:t>‘</w:t>
      </w:r>
      <w:r>
        <w:rPr>
          <w:rtl w:val="0"/>
          <w:lang w:val="it-IT"/>
        </w:rPr>
        <w:t>narrat</w:t>
      </w:r>
      <w:r>
        <w:rPr>
          <w:rtl w:val="0"/>
        </w:rPr>
        <w:t>[ing]</w:t>
      </w:r>
      <w:r>
        <w:rPr>
          <w:rtl w:val="0"/>
        </w:rPr>
        <w:t xml:space="preserve"> a sacred history; it relates an event that took place in primordial Time, the fabled time of the</w:t>
      </w:r>
      <w:r>
        <w:rPr>
          <w:rtl w:val="0"/>
        </w:rPr>
        <w:t xml:space="preserve"> “</w:t>
      </w:r>
      <w:r>
        <w:rPr>
          <w:rtl w:val="0"/>
        </w:rPr>
        <w:t>beginnings.</w:t>
      </w:r>
      <w:r>
        <w:rPr>
          <w:rtl w:val="0"/>
        </w:rPr>
        <w:t>”’</w:t>
      </w:r>
      <w:r>
        <w:rPr>
          <w:rFonts w:ascii="Lora Regular" w:cs="Lora Regular" w:hAnsi="Lora Regular" w:eastAsia="Lora Regular"/>
          <w:b w:val="0"/>
          <w:bCs w:val="0"/>
          <w:i w:val="0"/>
          <w:iCs w:val="0"/>
          <w:vertAlign w:val="superscript"/>
        </w:rPr>
        <w:footnoteReference w:id="2"/>
      </w:r>
      <w:r>
        <w:rPr>
          <w:rtl w:val="0"/>
        </w:rPr>
        <w:t xml:space="preserve"> It can be safely asserted that the sacred, in the ancient Egyptian and Greek contexts, was closely entwined with the sky. To elucidate these sacred histories, L</w:t>
      </w:r>
      <w:r>
        <w:rPr>
          <w:rtl w:val="0"/>
        </w:rPr>
        <w:t>é</w:t>
      </w:r>
      <w:r>
        <w:rPr>
          <w:rtl w:val="0"/>
        </w:rPr>
        <w:t xml:space="preserve">vi-Strauss applied linguistics: </w:t>
      </w:r>
      <w:r>
        <w:rPr>
          <w:rtl w:val="0"/>
        </w:rPr>
        <w:t>‘</w:t>
      </w:r>
      <w:r>
        <w:rPr>
          <w:rtl w:val="0"/>
        </w:rPr>
        <w:t>Myth, like the rest of language, is made up of constituent units. These constituent units presuppose the constituent units present in language when analyzed on other levels, namely, phonemes, morphemes, and semantemes</w:t>
      </w:r>
      <w:r>
        <w:rPr>
          <w:rtl w:val="0"/>
        </w:rPr>
        <w:t>.</w:t>
      </w:r>
      <w:r>
        <w:rPr>
          <w:rtl w:val="0"/>
        </w:rPr>
        <w:t>’</w:t>
      </w:r>
      <w:r>
        <w:rPr>
          <w:rFonts w:ascii="Lora Regular" w:cs="Lora Regular" w:hAnsi="Lora Regular" w:eastAsia="Lora Regular"/>
          <w:b w:val="0"/>
          <w:bCs w:val="0"/>
          <w:i w:val="0"/>
          <w:iCs w:val="0"/>
          <w:vertAlign w:val="superscript"/>
        </w:rPr>
        <w:footnoteReference w:id="3"/>
      </w:r>
      <w:r>
        <w:rPr>
          <w:rtl w:val="0"/>
        </w:rPr>
        <w:t xml:space="preserve"> Action themes within binary paradigms will not be regarded as the </w:t>
      </w:r>
      <w:r>
        <w:rPr>
          <w:rtl w:val="0"/>
        </w:rPr>
        <w:t>‘</w:t>
      </w:r>
      <w:r>
        <w:rPr>
          <w:rtl w:val="0"/>
        </w:rPr>
        <w:t>gross constituent units</w:t>
      </w:r>
      <w:r>
        <w:rPr>
          <w:rtl w:val="0"/>
        </w:rPr>
        <w:t xml:space="preserve">’ </w:t>
      </w:r>
      <w:r>
        <w:rPr>
          <w:rtl w:val="0"/>
        </w:rPr>
        <w:t>as L</w:t>
      </w:r>
      <w:r>
        <w:rPr>
          <w:rtl w:val="0"/>
        </w:rPr>
        <w:t>é</w:t>
      </w:r>
      <w:r>
        <w:rPr>
          <w:rtl w:val="0"/>
        </w:rPr>
        <w:t xml:space="preserve">vi-Strauss did, but rather the constellations, which hypothetically engendered </w:t>
      </w:r>
      <w:r>
        <w:rPr>
          <w:rtl w:val="0"/>
        </w:rPr>
        <w:t>‘</w:t>
      </w:r>
      <w:r>
        <w:rPr>
          <w:rtl w:val="0"/>
        </w:rPr>
        <w:t>sacred</w:t>
      </w:r>
      <w:r>
        <w:rPr>
          <w:rtl w:val="0"/>
        </w:rPr>
        <w:t xml:space="preserve">’ </w:t>
      </w:r>
      <w:r>
        <w:rPr>
          <w:rtl w:val="0"/>
        </w:rPr>
        <w:t xml:space="preserve">origin of these histories within archaic star cults, will be considered as the minimal units of myth. The syntagmatic plots of the myths will be set aside analogous to what Chomsky referred to as </w:t>
      </w:r>
      <w:r>
        <w:rPr>
          <w:rtl w:val="0"/>
        </w:rPr>
        <w:t>‘</w:t>
      </w:r>
      <w:r>
        <w:rPr>
          <w:rtl w:val="0"/>
        </w:rPr>
        <w:t>surface structures</w:t>
      </w:r>
      <w:r>
        <w:rPr>
          <w:rtl w:val="0"/>
        </w:rPr>
        <w:t>’</w:t>
      </w:r>
      <w:r>
        <w:rPr>
          <w:rtl w:val="0"/>
        </w:rPr>
        <w:t>.</w:t>
      </w:r>
      <w:r>
        <w:rPr>
          <w:rFonts w:ascii="Lora Regular" w:cs="Lora Regular" w:hAnsi="Lora Regular" w:eastAsia="Lora Regular"/>
          <w:b w:val="0"/>
          <w:bCs w:val="0"/>
          <w:i w:val="0"/>
          <w:iCs w:val="0"/>
          <w:vertAlign w:val="superscript"/>
        </w:rPr>
        <w:footnoteReference w:id="4"/>
      </w:r>
      <w:r>
        <w:rPr>
          <w:rtl w:val="0"/>
        </w:rPr>
        <w:t xml:space="preserve"> As a roadmap, the folklorist Alan Dundes</w:t>
      </w:r>
      <w:r>
        <w:rPr>
          <w:rtl w:val="0"/>
        </w:rPr>
        <w:t xml:space="preserve">’ </w:t>
      </w:r>
      <w:r>
        <w:rPr>
          <w:rtl w:val="0"/>
        </w:rPr>
        <w:t xml:space="preserve">system will be followed, as discussed by Simon Bonner, who outlines it as (1) finding a minimal unit, (2) </w:t>
      </w:r>
      <w:r>
        <w:rPr>
          <w:rtl w:val="0"/>
        </w:rPr>
        <w:t xml:space="preserve"> </w:t>
      </w:r>
      <w:r>
        <w:rPr>
          <w:rtl w:val="0"/>
        </w:rPr>
        <w:t>analyzing</w:t>
      </w:r>
      <w:r>
        <w:rPr>
          <w:rtl w:val="0"/>
        </w:rPr>
        <w:t xml:space="preserve"> the relationships between different minimal units, and (3) </w:t>
      </w:r>
      <w:r>
        <w:rPr>
          <w:rtl w:val="0"/>
        </w:rPr>
        <w:t xml:space="preserve">making </w:t>
      </w:r>
      <w:r>
        <w:rPr>
          <w:rtl w:val="0"/>
        </w:rPr>
        <w:t>cross-cultural comparisons</w:t>
      </w:r>
      <w:r>
        <w:rPr>
          <w:rtl w:val="0"/>
        </w:rPr>
        <w:t xml:space="preserve"> to determine their structure and peculiarities.</w:t>
      </w:r>
      <w:r>
        <w:rPr>
          <w:rFonts w:ascii="Lora Regular" w:cs="Lora Regular" w:hAnsi="Lora Regular" w:eastAsia="Lora Regular"/>
          <w:b w:val="0"/>
          <w:bCs w:val="0"/>
          <w:i w:val="0"/>
          <w:iCs w:val="0"/>
          <w:vertAlign w:val="superscript"/>
        </w:rPr>
        <w:footnoteReference w:id="5"/>
      </w:r>
      <w:r>
        <w:rPr>
          <w:rtl w:val="0"/>
        </w:rPr>
        <w:t xml:space="preserve"> Finally, this stellar exegesis will utilize astronomy programs (Stellarium v0.19.2) to recreate the firmament as experienced by the sky-watchers of those epochs, thereby defining a celestial vocabulary for these myths.</w:t>
      </w:r>
    </w:p>
    <w:p>
      <w:pPr>
        <w:pStyle w:val="Heading 2"/>
        <w:jc w:val="left"/>
      </w:pPr>
      <w:r>
        <w:rPr>
          <w:rtl w:val="0"/>
          <w:lang w:val="en-US"/>
        </w:rPr>
        <w:t>The Foreleg Constellation Reconstituted</w:t>
      </w:r>
    </w:p>
    <w:p>
      <w:pPr>
        <w:pStyle w:val="Body 2"/>
        <w:bidi w:val="0"/>
      </w:pPr>
    </w:p>
    <w:p>
      <w:pPr>
        <w:pStyle w:val="Body"/>
        <w:bidi w:val="0"/>
        <w:rPr>
          <w:lang w:val="en-US"/>
        </w:rPr>
      </w:pPr>
      <w:r>
        <w:rPr>
          <w:rtl w:val="0"/>
        </w:rPr>
        <w:t xml:space="preserve">The Egyptian foreleg constellation, </w:t>
      </w:r>
      <w:r>
        <w:rPr>
          <w:rtl w:val="0"/>
          <w:lang w:val="en-US"/>
        </w:rPr>
        <w:t xml:space="preserve">Meskhetyu, embodied the leg of the god of chaos and foreigners, Seth, which was torn by the falcon-headed god, Horus. This myth was recorded as early as the Pyramid Texts and then later in other sources such as the </w:t>
      </w:r>
      <w:r>
        <w:rPr>
          <w:rtl w:val="0"/>
          <w:lang w:val="en-US"/>
        </w:rPr>
        <w:t>Book of Day and Night</w:t>
      </w:r>
      <w:r>
        <w:rPr>
          <w:rtl w:val="0"/>
          <w:lang w:val="en-US"/>
        </w:rPr>
        <w:t xml:space="preserve">: </w:t>
      </w:r>
      <w:r>
        <w:rPr>
          <w:rtl w:val="0"/>
          <w:lang w:val="en-US"/>
        </w:rPr>
        <w:t>‘</w:t>
      </w:r>
      <w:r>
        <w:rPr>
          <w:rtl w:val="0"/>
          <w:lang w:val="en-US"/>
        </w:rPr>
        <w:t>As to this Foreleg of Seth, it is in the northern sky, tied to two mooring-posts of flint by a chain of gold. It is entrusted to Isis as a Hippopotamus guarding it.</w:t>
      </w:r>
      <w:r>
        <w:rPr>
          <w:rtl w:val="0"/>
          <w:lang w:val="en-US"/>
        </w:rPr>
        <w:t>’</w:t>
      </w:r>
      <w:r>
        <w:rPr>
          <w:rFonts w:ascii="Lora Regular" w:cs="Lora Regular" w:hAnsi="Lora Regular" w:eastAsia="Lora Regular"/>
          <w:b w:val="0"/>
          <w:bCs w:val="0"/>
          <w:i w:val="0"/>
          <w:iCs w:val="0"/>
          <w:vertAlign w:val="superscript"/>
          <w:lang w:val="en-US"/>
        </w:rPr>
        <w:footnoteReference w:id="6"/>
      </w:r>
      <w:r>
        <w:rPr>
          <w:rtl w:val="0"/>
          <w:lang w:val="en-US"/>
        </w:rPr>
        <w:t xml:space="preserve"> According to Pogo, it was </w:t>
      </w:r>
      <w:r>
        <w:rPr>
          <w:rtl w:val="0"/>
          <w:lang w:val="en-US"/>
        </w:rPr>
        <w:t>‘</w:t>
      </w:r>
      <w:r>
        <w:rPr>
          <w:rtl w:val="0"/>
          <w:lang w:val="en-US"/>
        </w:rPr>
        <w:t>the well known Egyptian representing of Ursa Major</w:t>
      </w:r>
      <w:r>
        <w:rPr>
          <w:rtl w:val="0"/>
          <w:lang w:val="en-US"/>
        </w:rPr>
        <w:t>’</w:t>
      </w:r>
      <w:r>
        <w:rPr>
          <w:rtl w:val="0"/>
          <w:lang w:val="en-US"/>
        </w:rPr>
        <w:t>, the Great Bear, identified as far back as the 19th century.</w:t>
      </w:r>
      <w:r>
        <w:rPr>
          <w:rFonts w:ascii="Lora Regular" w:cs="Lora Regular" w:hAnsi="Lora Regular" w:eastAsia="Lora Regular"/>
          <w:b w:val="0"/>
          <w:bCs w:val="0"/>
          <w:i w:val="0"/>
          <w:iCs w:val="0"/>
          <w:vertAlign w:val="superscript"/>
          <w:lang w:val="en-US"/>
        </w:rPr>
        <w:footnoteReference w:id="7"/>
      </w:r>
      <w:r>
        <w:rPr>
          <w:rtl w:val="0"/>
          <w:lang w:val="en-US"/>
        </w:rPr>
        <w:t xml:space="preserve"> This understanding was influenced by the Magical Papyrus of Paris, which described that the shoulder of a young bull is the Bear constellation.</w:t>
      </w:r>
      <w:r>
        <w:rPr>
          <w:rFonts w:ascii="Lora Regular" w:cs="Lora Regular" w:hAnsi="Lora Regular" w:eastAsia="Lora Regular"/>
          <w:b w:val="0"/>
          <w:bCs w:val="0"/>
          <w:i w:val="0"/>
          <w:iCs w:val="0"/>
          <w:vertAlign w:val="superscript"/>
          <w:lang w:val="en-US"/>
        </w:rPr>
        <w:footnoteReference w:id="8"/>
      </w:r>
    </w:p>
    <w:p>
      <w:pPr>
        <w:pStyle w:val="Body"/>
        <w:bidi w:val="0"/>
        <w:rPr>
          <w:lang w:val="en-US"/>
        </w:rPr>
      </w:pPr>
    </w:p>
    <w:p>
      <w:pPr>
        <w:pStyle w:val="Image"/>
        <w:bidi w:val="0"/>
        <w:rPr>
          <w:lang w:val="en-US"/>
        </w:rPr>
      </w:pPr>
      <w:r>
        <w:rPr>
          <w:lang w:val="en-US"/>
        </w:rPr>
        <w:drawing>
          <wp:inline distT="0" distB="0" distL="0" distR="0">
            <wp:extent cx="2625559" cy="1731347"/>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rot="16200000">
                      <a:off x="0" y="0"/>
                      <a:ext cx="2625559" cy="1731347"/>
                    </a:xfrm>
                    <a:prstGeom prst="rect">
                      <a:avLst/>
                    </a:prstGeom>
                    <a:ln w="12700" cap="flat">
                      <a:noFill/>
                      <a:miter lim="400000"/>
                    </a:ln>
                    <a:effectLst/>
                  </pic:spPr>
                </pic:pic>
              </a:graphicData>
            </a:graphic>
          </wp:inline>
        </w:drawing>
      </w:r>
    </w:p>
    <w:p>
      <w:pPr>
        <w:pStyle w:val="Image Caption"/>
        <w:bidi w:val="0"/>
      </w:pPr>
      <w:r>
        <w:rPr>
          <w:rFonts w:ascii="Lora Bold" w:hAnsi="Lora Bold"/>
          <w:rtl w:val="0"/>
          <w:lang w:val="en-US"/>
        </w:rPr>
        <w:t>Fig. 1.</w:t>
      </w:r>
      <w:r>
        <w:rPr>
          <w:rtl w:val="0"/>
        </w:rPr>
        <w:t xml:space="preserve"> </w:t>
      </w:r>
      <w:r>
        <w:rPr>
          <w:rtl w:val="0"/>
        </w:rPr>
        <w:t>Egyptian Meskhetyu foreleg constellation overlaid on B</w:t>
      </w:r>
      <w:r>
        <w:rPr>
          <w:rtl w:val="0"/>
        </w:rPr>
        <w:t>ö</w:t>
      </w:r>
      <w:r>
        <w:rPr>
          <w:rtl w:val="0"/>
        </w:rPr>
        <w:t>otes</w:t>
      </w:r>
      <w:r>
        <w:rPr>
          <w:rtl w:val="0"/>
        </w:rPr>
        <w:t>. Alessandro Berio, digital image, 2014. Image: The Celestial River: Identifying Ancient Egyptian Constellations.</w:t>
      </w:r>
    </w:p>
    <w:p>
      <w:pPr>
        <w:pStyle w:val="Caption"/>
        <w:jc w:val="center"/>
        <w:rPr>
          <w:lang w:val="en-US"/>
        </w:rPr>
      </w:pPr>
    </w:p>
    <w:p>
      <w:pPr>
        <w:pStyle w:val="Image"/>
        <w:bidi w:val="0"/>
      </w:pPr>
      <w:r>
        <w:drawing>
          <wp:inline distT="0" distB="0" distL="0" distR="0">
            <wp:extent cx="5943600" cy="3439427"/>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Giza 1281 Arcturus:Taurus.jpg"/>
                    <pic:cNvPicPr>
                      <a:picLocks noChangeAspect="1"/>
                    </pic:cNvPicPr>
                  </pic:nvPicPr>
                  <pic:blipFill>
                    <a:blip r:embed="rId6">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1.</w:t>
      </w:r>
      <w:r>
        <w:rPr>
          <w:rtl w:val="0"/>
        </w:rPr>
        <w:t xml:space="preserve"> Aldebaran rising opposite Arcturus - </w:t>
      </w:r>
      <w:r>
        <w:rPr>
          <w:rtl w:val="0"/>
        </w:rPr>
        <w:t>Giza, Egypt, 1200 BCE</w:t>
      </w:r>
      <w:r>
        <w:rPr>
          <w:rtl w:val="0"/>
        </w:rPr>
        <w:t>. While the New Kingdom capital during Seti I</w:t>
      </w:r>
      <w:r>
        <w:rPr>
          <w:rtl w:val="0"/>
        </w:rPr>
        <w:t>’</w:t>
      </w:r>
      <w:r>
        <w:rPr>
          <w:rtl w:val="0"/>
        </w:rPr>
        <w:t>s reign was in Upper Egypt, the alignment between these two stars occurred perfectly in Lower Egypt at this time.</w:t>
      </w:r>
    </w:p>
    <w:p>
      <w:pPr>
        <w:pStyle w:val="Body"/>
        <w:bidi w:val="0"/>
        <w:rPr>
          <w:lang w:val="en-US"/>
        </w:rPr>
      </w:pPr>
      <w:r>
        <w:rPr>
          <w:rtl w:val="0"/>
          <w:lang w:val="en-US"/>
        </w:rPr>
        <w:t>Disregarding the Magical Papyrus as esoteric in nature, I previously challenged longstanding scholarship in asserting that B</w:t>
      </w:r>
      <w:r>
        <w:rPr>
          <w:rtl w:val="0"/>
          <w:lang w:val="en-US"/>
        </w:rPr>
        <w:t>ö</w:t>
      </w:r>
      <w:r>
        <w:rPr>
          <w:rtl w:val="0"/>
          <w:lang w:val="en-US"/>
        </w:rPr>
        <w:t xml:space="preserve">otes was, in fact, the foreleg constellation, based on a phenomenological observation: </w:t>
      </w:r>
    </w:p>
    <w:p>
      <w:pPr>
        <w:pStyle w:val="Body"/>
        <w:bidi w:val="0"/>
        <w:rPr>
          <w:lang w:val="en-US"/>
        </w:rPr>
      </w:pPr>
    </w:p>
    <w:p>
      <w:pPr>
        <w:pStyle w:val="Quot"/>
        <w:ind w:left="567" w:right="850" w:firstLine="0"/>
        <w:rPr>
          <w:lang w:val="en-US"/>
        </w:rPr>
      </w:pPr>
      <w:r>
        <w:rPr>
          <w:rtl w:val="0"/>
          <w:lang w:val="en-US"/>
        </w:rPr>
        <w:t>This new interpretation of Meskhetyu is evidenced by observation with the naked eye on a clear night. The stars form the undeniable and perfect shape of an animal foreleg, including the kinks of the leg, with the hoof composed of Muphrid, u Bootis and t Bootis</w:t>
      </w:r>
      <w:r>
        <w:rPr>
          <w:rtl w:val="0"/>
          <w:lang w:val="en-US"/>
        </w:rPr>
        <w:t>.</w:t>
      </w:r>
      <w:r>
        <w:rPr>
          <w:vertAlign w:val="superscript"/>
          <w:lang w:val="en-US"/>
        </w:rPr>
        <w:footnoteReference w:id="9"/>
      </w:r>
    </w:p>
    <w:p>
      <w:pPr>
        <w:pStyle w:val="Quot"/>
        <w:ind w:left="567" w:right="850" w:firstLine="0"/>
        <w:rPr>
          <w:lang w:val="en-US"/>
        </w:rPr>
      </w:pPr>
    </w:p>
    <w:p>
      <w:pPr>
        <w:pStyle w:val="Post Quote"/>
        <w:bidi w:val="0"/>
        <w:rPr>
          <w:lang w:val="en-US"/>
        </w:rPr>
      </w:pPr>
      <w:r>
        <w:rPr>
          <w:rtl w:val="0"/>
          <w:lang w:val="en-US"/>
        </w:rPr>
        <w:t>The identification of Meskhetyu with B</w:t>
      </w:r>
      <w:r>
        <w:rPr>
          <w:rtl w:val="0"/>
          <w:lang w:val="en-US"/>
        </w:rPr>
        <w:t>ö</w:t>
      </w:r>
      <w:r>
        <w:rPr>
          <w:rtl w:val="0"/>
          <w:lang w:val="en-US"/>
        </w:rPr>
        <w:t>otes should be accepted as self-evident considering that its primitiveness and iconographic longevity presupposes a conspicuous template matching.</w:t>
      </w:r>
    </w:p>
    <w:p>
      <w:pPr>
        <w:pStyle w:val="Body"/>
        <w:bidi w:val="0"/>
        <w:rPr>
          <w:lang w:val="en-US"/>
        </w:rPr>
      </w:pPr>
    </w:p>
    <w:p>
      <w:pPr>
        <w:pStyle w:val="Image"/>
        <w:bidi w:val="0"/>
        <w:rPr>
          <w:lang w:val="en-US"/>
        </w:rPr>
      </w:pPr>
      <w:r>
        <w:rPr>
          <w:lang w:val="en-US"/>
        </w:rPr>
        <w:drawing>
          <wp:inline distT="0" distB="0" distL="0" distR="0">
            <wp:extent cx="2051913" cy="2538703"/>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png"/>
                    <pic:cNvPicPr>
                      <a:picLocks noChangeAspect="1"/>
                    </pic:cNvPicPr>
                  </pic:nvPicPr>
                  <pic:blipFill>
                    <a:blip r:embed="rId7">
                      <a:extLst/>
                    </a:blip>
                    <a:stretch>
                      <a:fillRect/>
                    </a:stretch>
                  </pic:blipFill>
                  <pic:spPr>
                    <a:xfrm>
                      <a:off x="0" y="0"/>
                      <a:ext cx="2051913" cy="2538703"/>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Fig. 2.</w:t>
      </w:r>
      <w:r>
        <w:rPr>
          <w:rtl w:val="0"/>
          <w:lang w:val="en-US"/>
        </w:rPr>
        <w:t xml:space="preserve"> Astronomical ceiling of Senmut. </w:t>
      </w:r>
      <w:r>
        <w:rPr>
          <w:rtl w:val="0"/>
        </w:rPr>
        <w:t>Photograph by Jos</w:t>
      </w:r>
      <w:r>
        <w:rPr>
          <w:rtl w:val="0"/>
        </w:rPr>
        <w:t xml:space="preserve">é </w:t>
      </w:r>
      <w:r>
        <w:rPr>
          <w:rtl w:val="0"/>
        </w:rPr>
        <w:t xml:space="preserve">Lull, Meskhetyu in the Astronomical Ceiling of Senmut, dynasty XVIII, </w:t>
      </w:r>
      <w:r>
        <w:rPr>
          <w:rtl w:val="0"/>
        </w:rPr>
        <w:t>Deir el-Bahri, Egypt</w:t>
      </w:r>
      <w:r>
        <w:rPr>
          <w:rtl w:val="0"/>
        </w:rPr>
        <w:t>. Image: La Constel</w:t>
      </w:r>
      <w:r>
        <w:rPr>
          <w:rtl w:val="0"/>
        </w:rPr>
        <w:t>á</w:t>
      </w:r>
      <w:r>
        <w:rPr>
          <w:rtl w:val="0"/>
        </w:rPr>
        <w:t>cion de Mesjetiu (Osa Mayor) En El Antiguo Egito.</w:t>
      </w:r>
    </w:p>
    <w:p>
      <w:pPr>
        <w:pStyle w:val="Body"/>
        <w:bidi w:val="0"/>
        <w:rPr>
          <w:lang w:val="en-US"/>
        </w:rPr>
      </w:pPr>
      <w:r>
        <w:rPr>
          <w:rtl w:val="0"/>
          <w:lang w:val="en-US"/>
        </w:rPr>
        <w:t xml:space="preserve">While scholars have dismissed Egyptian astronomical art as merely </w:t>
      </w:r>
      <w:r>
        <w:rPr>
          <w:rtl w:val="0"/>
          <w:lang w:val="en-US"/>
        </w:rPr>
        <w:t>‘</w:t>
      </w:r>
      <w:r>
        <w:rPr>
          <w:rtl w:val="0"/>
          <w:lang w:val="en-US"/>
        </w:rPr>
        <w:t>decorative objects</w:t>
      </w:r>
      <w:r>
        <w:rPr>
          <w:rtl w:val="0"/>
          <w:lang w:val="en-US"/>
        </w:rPr>
        <w:t>’</w:t>
      </w:r>
      <w:r>
        <w:rPr>
          <w:rtl w:val="0"/>
          <w:lang w:val="en-US"/>
        </w:rPr>
        <w:t>, to gloss over the dissimilitude between the representations of Meskhetyu and Ursa Major, associating it with B</w:t>
      </w:r>
      <w:r>
        <w:rPr>
          <w:rtl w:val="0"/>
          <w:lang w:val="en-US"/>
        </w:rPr>
        <w:t>ö</w:t>
      </w:r>
      <w:r>
        <w:rPr>
          <w:rtl w:val="0"/>
          <w:lang w:val="en-US"/>
        </w:rPr>
        <w:t>otes solves many of the contextual contradictions marginalized by Egyptologists.</w:t>
      </w:r>
      <w:r>
        <w:rPr>
          <w:rFonts w:ascii="Lora Regular" w:cs="Lora Regular" w:hAnsi="Lora Regular" w:eastAsia="Lora Regular"/>
          <w:b w:val="0"/>
          <w:bCs w:val="0"/>
          <w:i w:val="0"/>
          <w:iCs w:val="0"/>
          <w:vertAlign w:val="superscript"/>
          <w:lang w:val="en-US"/>
        </w:rPr>
        <w:footnoteReference w:id="10"/>
      </w:r>
      <w:r>
        <w:rPr>
          <w:rtl w:val="0"/>
          <w:lang w:val="en-US"/>
        </w:rPr>
        <w:t xml:space="preserve"> One example is that the c</w:t>
      </w:r>
      <w:r>
        <w:rPr>
          <w:rtl w:val="0"/>
          <w:lang w:val="en-US"/>
        </w:rPr>
        <w:t xml:space="preserve">urrent scholarship on Meskhetyu ignores the </w:t>
      </w:r>
      <w:r>
        <w:rPr>
          <w:rtl w:val="0"/>
          <w:lang w:val="en-US"/>
        </w:rPr>
        <w:t>metamorphosis</w:t>
      </w:r>
      <w:r>
        <w:rPr>
          <w:rtl w:val="0"/>
          <w:lang w:val="en-US"/>
        </w:rPr>
        <w:t xml:space="preserve"> in</w:t>
      </w:r>
      <w:r>
        <w:rPr>
          <w:rtl w:val="0"/>
          <w:lang w:val="en-US"/>
        </w:rPr>
        <w:t xml:space="preserve"> the</w:t>
      </w:r>
      <w:r>
        <w:rPr>
          <w:rtl w:val="0"/>
          <w:lang w:val="en-US"/>
        </w:rPr>
        <w:t xml:space="preserve"> iconography of the constellation over </w:t>
      </w:r>
      <w:r>
        <w:rPr>
          <w:rtl w:val="0"/>
          <w:lang w:val="en-US"/>
        </w:rPr>
        <w:t>the different eras of ancient Egypt</w:t>
      </w:r>
      <w:r>
        <w:rPr>
          <w:rtl w:val="0"/>
          <w:lang w:val="en-US"/>
        </w:rPr>
        <w:t>.</w:t>
      </w:r>
      <w:r>
        <w:rPr>
          <w:rtl w:val="0"/>
          <w:lang w:val="en-US"/>
        </w:rPr>
        <w:t xml:space="preserve"> While originally depicted simply as a hooved foreleg, strangely enough by the</w:t>
      </w:r>
      <w:r>
        <w:rPr>
          <w:rtl w:val="0"/>
          <w:lang w:val="en-US"/>
        </w:rPr>
        <w:t xml:space="preserve"> 19th dynasty</w:t>
      </w:r>
      <w:r>
        <w:rPr>
          <w:rtl w:val="0"/>
          <w:lang w:val="en-US"/>
        </w:rPr>
        <w:t>, such as in Seti I</w:t>
      </w:r>
      <w:r>
        <w:rPr>
          <w:rtl w:val="0"/>
          <w:lang w:val="en-US"/>
        </w:rPr>
        <w:t>’</w:t>
      </w:r>
      <w:r>
        <w:rPr>
          <w:rtl w:val="0"/>
          <w:lang w:val="en-US"/>
        </w:rPr>
        <w:t xml:space="preserve">s tomb, </w:t>
      </w:r>
      <w:r>
        <w:rPr>
          <w:rtl w:val="0"/>
          <w:lang w:val="en-US"/>
        </w:rPr>
        <w:t xml:space="preserve">it </w:t>
      </w:r>
      <w:r>
        <w:rPr>
          <w:rtl w:val="0"/>
          <w:lang w:val="en-US"/>
        </w:rPr>
        <w:t>was</w:t>
      </w:r>
      <w:r>
        <w:rPr>
          <w:rtl w:val="0"/>
          <w:lang w:val="en-US"/>
        </w:rPr>
        <w:t xml:space="preserve"> depicted as a bull</w:t>
      </w:r>
      <w:r>
        <w:rPr>
          <w:rtl w:val="0"/>
          <w:lang w:val="en-US"/>
        </w:rPr>
        <w:t xml:space="preserve"> (Fig. 2). The logical explanation is that </w:t>
      </w:r>
      <w:r>
        <w:rPr>
          <w:rtl w:val="0"/>
          <w:lang w:val="en-US"/>
        </w:rPr>
        <w:t>due to precession</w:t>
      </w:r>
      <w:r>
        <w:rPr>
          <w:rtl w:val="0"/>
          <w:lang w:val="en-US"/>
        </w:rPr>
        <w:t>, B</w:t>
      </w:r>
      <w:r>
        <w:rPr>
          <w:rtl w:val="0"/>
          <w:lang w:val="en-US"/>
        </w:rPr>
        <w:t>ö</w:t>
      </w:r>
      <w:r>
        <w:rPr>
          <w:rtl w:val="0"/>
          <w:lang w:val="en-US"/>
        </w:rPr>
        <w:t>otes went from a circumpolar constellation to a seasonal one, and during the New Kingdom,</w:t>
      </w:r>
      <w:r>
        <w:rPr>
          <w:rtl w:val="0"/>
          <w:lang w:val="en-US"/>
        </w:rPr>
        <w:t xml:space="preserve"> Arcturus</w:t>
      </w:r>
      <w:r>
        <w:rPr>
          <w:rtl w:val="0"/>
          <w:lang w:val="en-US"/>
        </w:rPr>
        <w:t xml:space="preserve"> (</w:t>
      </w:r>
      <w:r>
        <w:rPr>
          <w:rFonts w:ascii="Arial Unicode MS" w:cs="Arial Unicode MS" w:hAnsi="Arial Unicode MS" w:eastAsia="Arial Unicode MS" w:hint="default"/>
          <w:b w:val="0"/>
          <w:bCs w:val="0"/>
          <w:i w:val="0"/>
          <w:iCs w:val="0"/>
          <w:rtl w:val="0"/>
          <w:lang w:val="en-US"/>
        </w:rPr>
        <w:t>α</w:t>
      </w:r>
      <w:r>
        <w:rPr>
          <w:rtl w:val="0"/>
          <w:lang w:val="en-US"/>
        </w:rPr>
        <w:t xml:space="preserve"> </w:t>
      </w:r>
      <w:r>
        <w:rPr>
          <w:rtl w:val="0"/>
          <w:lang w:val="en-US"/>
        </w:rPr>
        <w:t xml:space="preserve"> B</w:t>
      </w:r>
      <w:r>
        <w:rPr>
          <w:rtl w:val="0"/>
          <w:lang w:val="en-US"/>
        </w:rPr>
        <w:t>ö</w:t>
      </w:r>
      <w:r>
        <w:rPr>
          <w:rtl w:val="0"/>
          <w:lang w:val="en-US"/>
        </w:rPr>
        <w:t>otis)</w:t>
      </w:r>
      <w:r>
        <w:rPr>
          <w:rtl w:val="0"/>
          <w:lang w:val="en-US"/>
        </w:rPr>
        <w:t xml:space="preserve"> was setting </w:t>
      </w:r>
      <w:r>
        <w:rPr>
          <w:rtl w:val="0"/>
          <w:lang w:val="en-US"/>
        </w:rPr>
        <w:t>precisely</w:t>
      </w:r>
      <w:r>
        <w:rPr>
          <w:rtl w:val="0"/>
          <w:lang w:val="en-US"/>
        </w:rPr>
        <w:t xml:space="preserve"> at the </w:t>
      </w:r>
      <w:r>
        <w:rPr>
          <w:rtl w:val="0"/>
          <w:lang w:val="en-US"/>
        </w:rPr>
        <w:t xml:space="preserve">exact </w:t>
      </w:r>
      <w:r>
        <w:rPr>
          <w:rtl w:val="0"/>
          <w:lang w:val="en-US"/>
        </w:rPr>
        <w:t xml:space="preserve">time </w:t>
      </w:r>
      <w:r>
        <w:rPr>
          <w:rtl w:val="0"/>
          <w:lang w:val="en-US"/>
        </w:rPr>
        <w:t>as</w:t>
      </w:r>
      <w:r>
        <w:rPr>
          <w:rtl w:val="0"/>
          <w:lang w:val="en-US"/>
        </w:rPr>
        <w:t xml:space="preserve"> Aldebaran</w:t>
      </w:r>
      <w:r>
        <w:rPr>
          <w:rtl w:val="0"/>
          <w:lang w:val="en-US"/>
        </w:rPr>
        <w:t xml:space="preserve"> (</w:t>
      </w:r>
      <w:r>
        <w:rPr>
          <w:rFonts w:ascii="Arial Unicode MS" w:cs="Arial Unicode MS" w:hAnsi="Arial Unicode MS" w:eastAsia="Arial Unicode MS" w:hint="default"/>
          <w:b w:val="0"/>
          <w:bCs w:val="0"/>
          <w:i w:val="0"/>
          <w:iCs w:val="0"/>
          <w:rtl w:val="0"/>
          <w:lang w:val="en-US"/>
        </w:rPr>
        <w:t>α</w:t>
      </w:r>
      <w:r>
        <w:rPr>
          <w:rFonts w:ascii="Lora Bold" w:hAnsi="Lora Bold"/>
          <w:rtl w:val="0"/>
          <w:lang w:val="en-US"/>
        </w:rPr>
        <w:t xml:space="preserve"> </w:t>
      </w:r>
      <w:r>
        <w:rPr>
          <w:rtl w:val="0"/>
          <w:lang w:val="en-US"/>
        </w:rPr>
        <w:t xml:space="preserve"> Tauris) was rising, inspiring religious artists to paint the foreleg with bull attributes (See Chart 1). It should be noted that Taurus has not been identified with the bull in previous scholarship on ancient Egyptian astronomy.</w:t>
      </w:r>
    </w:p>
    <w:p>
      <w:pPr>
        <w:pStyle w:val="Body"/>
        <w:bidi w:val="0"/>
        <w:rPr>
          <w:lang w:val="en-US"/>
        </w:rPr>
      </w:pPr>
      <w:r>
        <w:rPr>
          <w:rtl w:val="0"/>
          <w:lang w:val="en-US"/>
        </w:rPr>
        <w:t xml:space="preserve">Furthermore, the unique Greek identification of Ursa Major with a she-bear is in itself a point to be further investigated, since as I have delineated previously, </w:t>
      </w:r>
      <w:r>
        <w:rPr>
          <w:rtl w:val="0"/>
          <w:lang w:val="en-US"/>
        </w:rPr>
        <w:t>‘</w:t>
      </w:r>
      <w:r>
        <w:rPr>
          <w:rtl w:val="0"/>
          <w:lang w:val="en-US"/>
        </w:rPr>
        <w:t xml:space="preserve">The Egyptian word for </w:t>
      </w:r>
      <w:r>
        <w:rPr>
          <w:rtl w:val="0"/>
          <w:lang w:val="en-US"/>
        </w:rPr>
        <w:t>“</w:t>
      </w:r>
      <w:r>
        <w:rPr>
          <w:rtl w:val="0"/>
          <w:lang w:val="it-IT"/>
        </w:rPr>
        <w:t>hippopotamus,</w:t>
      </w:r>
      <w:r>
        <w:rPr>
          <w:rtl w:val="0"/>
          <w:lang w:val="en-US"/>
        </w:rPr>
        <w:t xml:space="preserve">” </w:t>
      </w:r>
      <w:r>
        <w:rPr>
          <w:rFonts w:ascii="Transliteration" w:hAnsi="Transliteration"/>
          <w:rtl w:val="0"/>
          <w:lang w:val="en-US"/>
        </w:rPr>
        <w:t>dib</w:t>
      </w:r>
      <w:r>
        <w:rPr>
          <w:rFonts w:ascii="Times New Roman" w:hAnsi="Times New Roman"/>
          <w:i w:val="1"/>
          <w:iCs w:val="1"/>
          <w:rtl w:val="0"/>
          <w:lang w:val="en-US"/>
        </w:rPr>
        <w:t xml:space="preserve"> </w:t>
      </w:r>
      <w:r>
        <w:rPr>
          <w:rFonts w:ascii="Times New Roman" w:cs="Times New Roman" w:hAnsi="Times New Roman" w:eastAsia="Times New Roman"/>
          <w:i w:val="1"/>
          <w:iCs w:val="1"/>
          <w:lang w:val="en-US"/>
        </w:rPr>
        <w:drawing>
          <wp:inline distT="0" distB="0" distL="0" distR="0">
            <wp:extent cx="593473" cy="194734"/>
            <wp:effectExtent l="0" t="0" r="0" b="0"/>
            <wp:docPr id="1073741829" name="officeArt object" descr="Picture 92"/>
            <wp:cNvGraphicFramePr/>
            <a:graphic xmlns:a="http://schemas.openxmlformats.org/drawingml/2006/main">
              <a:graphicData uri="http://schemas.openxmlformats.org/drawingml/2006/picture">
                <pic:pic xmlns:pic="http://schemas.openxmlformats.org/drawingml/2006/picture">
                  <pic:nvPicPr>
                    <pic:cNvPr id="1073741829" name="Picture 92" descr="Picture 92"/>
                    <pic:cNvPicPr>
                      <a:picLocks noChangeAspect="1"/>
                    </pic:cNvPicPr>
                  </pic:nvPicPr>
                  <pic:blipFill>
                    <a:blip r:embed="rId8">
                      <a:extLst/>
                    </a:blip>
                    <a:stretch>
                      <a:fillRect/>
                    </a:stretch>
                  </pic:blipFill>
                  <pic:spPr>
                    <a:xfrm>
                      <a:off x="0" y="0"/>
                      <a:ext cx="593473" cy="194734"/>
                    </a:xfrm>
                    <a:prstGeom prst="rect">
                      <a:avLst/>
                    </a:prstGeom>
                    <a:ln w="12700" cap="flat">
                      <a:noFill/>
                      <a:miter lim="400000"/>
                    </a:ln>
                    <a:effectLst/>
                  </pic:spPr>
                </pic:pic>
              </a:graphicData>
            </a:graphic>
          </wp:inline>
        </w:drawing>
      </w:r>
      <w:r>
        <w:rPr>
          <w:rFonts w:ascii="Times New Roman" w:hAnsi="Times New Roman"/>
          <w:i w:val="1"/>
          <w:iCs w:val="1"/>
          <w:rtl w:val="0"/>
          <w:lang w:val="en-US"/>
        </w:rPr>
        <w:t>,</w:t>
      </w:r>
      <w:r>
        <w:rPr>
          <w:rtl w:val="0"/>
          <w:lang w:val="en-US"/>
        </w:rPr>
        <w:t xml:space="preserve"> is the possible origin for the Akkadian </w:t>
      </w:r>
      <w:r>
        <w:rPr>
          <w:rFonts w:ascii="Times New Roman" w:hAnsi="Times New Roman"/>
          <w:i w:val="1"/>
          <w:iCs w:val="1"/>
          <w:rtl w:val="0"/>
          <w:lang w:val="en-US"/>
        </w:rPr>
        <w:t>dab</w:t>
      </w:r>
      <w:r>
        <w:rPr>
          <w:rFonts w:ascii="Times New Roman" w:hAnsi="Times New Roman" w:hint="default"/>
          <w:i w:val="1"/>
          <w:iCs w:val="1"/>
          <w:rtl w:val="0"/>
          <w:lang w:val="fr-FR"/>
        </w:rPr>
        <w:t>û</w:t>
      </w:r>
      <w:r>
        <w:rPr>
          <w:rtl w:val="0"/>
          <w:lang w:val="en-US"/>
        </w:rPr>
        <w:t xml:space="preserve">, Hebrew </w:t>
      </w:r>
      <w:r>
        <w:rPr>
          <w:rFonts w:ascii="Times New Roman" w:hAnsi="Times New Roman"/>
          <w:i w:val="1"/>
          <w:iCs w:val="1"/>
          <w:rtl w:val="0"/>
          <w:lang w:val="en-US"/>
        </w:rPr>
        <w:t>d</w:t>
      </w:r>
      <w:r>
        <w:rPr>
          <w:rFonts w:ascii="Times New Roman" w:hAnsi="Times New Roman" w:hint="default"/>
          <w:i w:val="1"/>
          <w:iCs w:val="1"/>
          <w:rtl w:val="0"/>
          <w:lang w:val="en-US"/>
        </w:rPr>
        <w:t>ō</w:t>
      </w:r>
      <w:r>
        <w:rPr>
          <w:rFonts w:ascii="Times New Roman" w:hAnsi="Times New Roman"/>
          <w:i w:val="1"/>
          <w:iCs w:val="1"/>
          <w:rtl w:val="0"/>
          <w:lang w:val="en-US"/>
        </w:rPr>
        <w:t>bh</w:t>
      </w:r>
      <w:r>
        <w:rPr>
          <w:rtl w:val="0"/>
          <w:lang w:val="en-US"/>
        </w:rPr>
        <w:t xml:space="preserve">, Arabic </w:t>
      </w:r>
      <w:r>
        <w:rPr>
          <w:rFonts w:ascii="Times New Roman" w:hAnsi="Times New Roman"/>
          <w:i w:val="1"/>
          <w:iCs w:val="1"/>
          <w:rtl w:val="0"/>
          <w:lang w:val="en-US"/>
        </w:rPr>
        <w:t>dubb</w:t>
      </w:r>
      <w:r>
        <w:rPr>
          <w:rtl w:val="0"/>
          <w:lang w:val="en-US"/>
        </w:rPr>
        <w:t xml:space="preserve">, and Ethiopian </w:t>
      </w:r>
      <w:r>
        <w:rPr>
          <w:rFonts w:ascii="Times New Roman" w:hAnsi="Times New Roman"/>
          <w:i w:val="1"/>
          <w:iCs w:val="1"/>
          <w:rtl w:val="0"/>
          <w:lang w:val="en-US"/>
        </w:rPr>
        <w:t>d</w:t>
      </w:r>
      <w:r>
        <w:rPr>
          <w:rFonts w:ascii="Times New Roman" w:hAnsi="Times New Roman" w:hint="default"/>
          <w:i w:val="1"/>
          <w:iCs w:val="1"/>
          <w:rtl w:val="0"/>
          <w:lang w:val="en-US"/>
        </w:rPr>
        <w:t>ĕ</w:t>
      </w:r>
      <w:r>
        <w:rPr>
          <w:rFonts w:ascii="Times New Roman" w:hAnsi="Times New Roman"/>
          <w:i w:val="1"/>
          <w:iCs w:val="1"/>
          <w:rtl w:val="0"/>
          <w:lang w:val="en-US"/>
        </w:rPr>
        <w:t>b(b)</w:t>
      </w:r>
      <w:r>
        <w:rPr>
          <w:rtl w:val="0"/>
          <w:lang w:val="en-US"/>
        </w:rPr>
        <w:t xml:space="preserve"> meaning </w:t>
      </w:r>
      <w:r>
        <w:rPr>
          <w:rtl w:val="0"/>
          <w:lang w:val="en-US"/>
        </w:rPr>
        <w:t>“</w:t>
      </w:r>
      <w:r>
        <w:rPr>
          <w:rtl w:val="0"/>
          <w:lang w:val="en-US"/>
        </w:rPr>
        <w:t>bear</w:t>
      </w:r>
      <w:r>
        <w:rPr>
          <w:rtl w:val="0"/>
          <w:lang w:val="en-US"/>
        </w:rPr>
        <w:t xml:space="preserve">” </w:t>
      </w:r>
      <w:r>
        <w:rPr>
          <w:rtl w:val="0"/>
          <w:lang w:val="en-US"/>
        </w:rPr>
        <w:t xml:space="preserve">from which the Arabs named the brightest star of Ursa Major, </w:t>
      </w:r>
      <w:r>
        <w:rPr>
          <w:rFonts w:ascii="Times New Roman" w:hAnsi="Times New Roman"/>
          <w:i w:val="1"/>
          <w:iCs w:val="1"/>
          <w:rtl w:val="0"/>
          <w:lang w:val="en-US"/>
        </w:rPr>
        <w:t>Dubhe</w:t>
      </w:r>
      <w:r>
        <w:rPr>
          <w:rtl w:val="0"/>
          <w:lang w:val="en-US"/>
        </w:rPr>
        <w:t xml:space="preserve"> or </w:t>
      </w:r>
      <w:r>
        <w:rPr>
          <w:rtl w:val="0"/>
          <w:lang w:val="en-US"/>
        </w:rPr>
        <w:t>“</w:t>
      </w:r>
      <w:r>
        <w:rPr>
          <w:rtl w:val="0"/>
          <w:lang w:val="en-US"/>
        </w:rPr>
        <w:t>she-bear.</w:t>
      </w:r>
      <w:r>
        <w:rPr>
          <w:rtl w:val="0"/>
          <w:lang w:val="en-US"/>
        </w:rPr>
        <w:t>”’</w:t>
      </w:r>
      <w:r>
        <w:rPr>
          <w:rFonts w:ascii="Lora Regular" w:cs="Lora Regular" w:hAnsi="Lora Regular" w:eastAsia="Lora Regular"/>
          <w:b w:val="0"/>
          <w:bCs w:val="0"/>
          <w:i w:val="0"/>
          <w:iCs w:val="0"/>
          <w:vertAlign w:val="superscript"/>
          <w:lang w:val="en-US"/>
        </w:rPr>
        <w:footnoteReference w:id="11"/>
      </w:r>
      <w:r>
        <w:rPr>
          <w:rtl w:val="0"/>
          <w:lang w:val="en-US"/>
        </w:rPr>
        <w:t xml:space="preserve"> Thus, the evidence suggests an etymological link between Ursa Major and the northern Hippo constellation, the guardian of the foreleg. In Egyptian art, she is often shown unrealistically standing bipedally on hind legs, which a non-Egyptian unfamiliar with the African hippopotamus may have interpreted as a bear, an animal not indigenous to Egypt.</w:t>
      </w:r>
    </w:p>
    <w:p>
      <w:pPr>
        <w:pStyle w:val="Body"/>
        <w:bidi w:val="0"/>
        <w:rPr>
          <w:lang w:val="en-US"/>
        </w:rPr>
      </w:pPr>
    </w:p>
    <w:p>
      <w:pPr>
        <w:pStyle w:val="Image"/>
        <w:bidi w:val="0"/>
        <w:rPr>
          <w:lang w:val="en-US"/>
        </w:rPr>
      </w:pPr>
      <w:r>
        <w:rPr>
          <w:lang w:val="en-US"/>
        </w:rPr>
        <w:drawing>
          <wp:inline distT="0" distB="0" distL="0" distR="0">
            <wp:extent cx="1959319" cy="2610212"/>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9">
                      <a:extLst/>
                    </a:blip>
                    <a:stretch>
                      <a:fillRect/>
                    </a:stretch>
                  </pic:blipFill>
                  <pic:spPr>
                    <a:xfrm>
                      <a:off x="0" y="0"/>
                      <a:ext cx="1959319" cy="2610212"/>
                    </a:xfrm>
                    <a:prstGeom prst="rect">
                      <a:avLst/>
                    </a:prstGeom>
                    <a:ln w="12700" cap="flat">
                      <a:noFill/>
                      <a:miter lim="400000"/>
                    </a:ln>
                    <a:effectLst/>
                  </pic:spPr>
                </pic:pic>
              </a:graphicData>
            </a:graphic>
          </wp:inline>
        </w:drawing>
      </w:r>
      <w:r>
        <w:rPr>
          <w:rFonts w:ascii="Lora Regular" w:cs="Lora Regular" w:hAnsi="Lora Regular" w:eastAsia="Lora Regular"/>
          <w:b w:val="0"/>
          <w:bCs w:val="0"/>
          <w:i w:val="0"/>
          <w:iCs w:val="0"/>
          <w:vertAlign w:val="superscript"/>
          <w:lang w:val="en-US"/>
        </w:rPr>
        <w:footnoteReference w:id="12"/>
      </w:r>
    </w:p>
    <w:p>
      <w:pPr>
        <w:pStyle w:val="Image Caption"/>
        <w:bidi w:val="0"/>
        <w:rPr>
          <w:lang w:val="en-US"/>
        </w:rPr>
      </w:pPr>
      <w:r>
        <w:rPr>
          <w:rFonts w:ascii="Lora Bold" w:hAnsi="Lora Bold"/>
          <w:rtl w:val="0"/>
          <w:lang w:val="en-US"/>
        </w:rPr>
        <w:t>Fig. 3.</w:t>
      </w:r>
      <w:r>
        <w:rPr>
          <w:rtl w:val="0"/>
          <w:lang w:val="en-US"/>
        </w:rPr>
        <w:t xml:space="preserve"> Star clock coffin lid. </w:t>
      </w:r>
      <w:r>
        <w:rPr>
          <w:rtl w:val="0"/>
          <w:lang w:val="en-US"/>
        </w:rPr>
        <w:t>Photograph</w:t>
      </w:r>
      <w:r>
        <w:rPr>
          <w:rtl w:val="0"/>
          <w:lang w:val="en-US"/>
        </w:rPr>
        <w:t> </w:t>
      </w:r>
      <w:r>
        <w:rPr>
          <w:rtl w:val="0"/>
          <w:lang w:val="en-US"/>
        </w:rPr>
        <w:t>by Ferit Kuyas</w:t>
      </w:r>
      <w:r>
        <w:rPr>
          <w:rtl w:val="0"/>
          <w:lang w:val="en-US"/>
        </w:rPr>
        <w:t xml:space="preserve">, </w:t>
      </w:r>
      <w:r>
        <w:rPr>
          <w:rtl w:val="0"/>
          <w:lang w:val="en-US"/>
        </w:rPr>
        <w:t>Nut (top) was the goddess of the sky</w:t>
      </w:r>
      <w:r>
        <w:rPr>
          <w:rtl w:val="0"/>
          <w:lang w:val="en-US"/>
        </w:rPr>
        <w:t xml:space="preserve">, </w:t>
      </w:r>
      <w:r>
        <w:rPr>
          <w:rtl w:val="0"/>
          <w:lang w:val="en-US"/>
        </w:rPr>
        <w:t>University of T</w:t>
      </w:r>
      <w:r>
        <w:rPr>
          <w:rtl w:val="0"/>
          <w:lang w:val="en-US"/>
        </w:rPr>
        <w:t>ü</w:t>
      </w:r>
      <w:r>
        <w:rPr>
          <w:rtl w:val="0"/>
          <w:lang w:val="en-US"/>
        </w:rPr>
        <w:t>bingen Museum</w:t>
      </w:r>
      <w:r>
        <w:rPr>
          <w:rtl w:val="0"/>
          <w:lang w:val="en-US"/>
        </w:rPr>
        <w:t xml:space="preserve">. </w:t>
      </w:r>
      <w:r>
        <w:rPr>
          <w:rtl w:val="0"/>
        </w:rPr>
        <w:t xml:space="preserve">Image: </w:t>
      </w:r>
      <w:r>
        <w:rPr>
          <w:rtl w:val="0"/>
          <w:lang w:val="en-US"/>
        </w:rPr>
        <w:t>https://www.scientificamerican.com/slideshow/surprising-new-finds-from-ancient-egyptian-star-charts-slide-show/</w:t>
      </w:r>
    </w:p>
    <w:p>
      <w:pPr>
        <w:pStyle w:val="Body"/>
        <w:jc w:val="center"/>
        <w:rPr>
          <w:lang w:val="en-US"/>
        </w:rPr>
      </w:pPr>
    </w:p>
    <w:p>
      <w:pPr>
        <w:pStyle w:val="Body"/>
        <w:bidi w:val="0"/>
        <w:rPr>
          <w:lang w:val="en-US"/>
        </w:rPr>
      </w:pPr>
      <w:r>
        <w:rPr>
          <w:rtl w:val="0"/>
          <w:lang w:val="en-US"/>
        </w:rPr>
        <w:t>Eisler proposed a similarity between the tale of the chained leg of Seth and that of the Epic of Gilgamesh, where the hero rips the foreleg of the bull of heaven and tosses it to the goddess Ishtar who wails over it.</w:t>
      </w:r>
      <w:r>
        <w:rPr>
          <w:rFonts w:ascii="Lora Regular" w:cs="Lora Regular" w:hAnsi="Lora Regular" w:eastAsia="Lora Regular"/>
          <w:b w:val="0"/>
          <w:bCs w:val="0"/>
          <w:i w:val="0"/>
          <w:iCs w:val="0"/>
          <w:vertAlign w:val="superscript"/>
          <w:lang w:val="en-US"/>
        </w:rPr>
        <w:footnoteReference w:id="13"/>
      </w:r>
      <w:r>
        <w:rPr>
          <w:rtl w:val="0"/>
          <w:lang w:val="en-US"/>
        </w:rPr>
        <w:t xml:space="preserve"> He linked the Babylonian goddess with Nut, the </w:t>
      </w:r>
      <w:r>
        <w:rPr>
          <w:rtl w:val="0"/>
          <w:lang w:val="en-US"/>
        </w:rPr>
        <w:t>‘</w:t>
      </w:r>
      <w:r>
        <w:rPr>
          <w:rtl w:val="0"/>
          <w:lang w:val="en-US"/>
        </w:rPr>
        <w:t>wailing woman of the heavens</w:t>
      </w:r>
      <w:r>
        <w:rPr>
          <w:rtl w:val="0"/>
          <w:lang w:val="en-US"/>
        </w:rPr>
        <w:t>’</w:t>
      </w:r>
      <w:r>
        <w:rPr>
          <w:rtl w:val="0"/>
          <w:lang w:val="en-US"/>
        </w:rPr>
        <w:t>, present on star clock coffin lids, with upraised arms before the foreleg, an association, which if correct, would indicate that the Babylonians, and perhaps by extension the Greeks, were aware of the Egyptian foreleg constellation. Astronomically, during the Old Kingdom in Egypt, as Arcturus was rising, so was Virgo, supposedly represented by the wailing Nut/Ishtar, while the chords of Pisces were setting, hypothetically representing the golden chain tied to the foreleg of Seth (Chart 2). As such, it can be established that in all probability from the textual, iconographic, astronomical and phenomenological evidence gathered, and challenging previous scholarship, B</w:t>
      </w:r>
      <w:r>
        <w:rPr>
          <w:rtl w:val="0"/>
          <w:lang w:val="en-US"/>
        </w:rPr>
        <w:t>ö</w:t>
      </w:r>
      <w:r>
        <w:rPr>
          <w:rtl w:val="0"/>
          <w:lang w:val="en-US"/>
        </w:rPr>
        <w:t>otes represented the foreleg constellation.</w:t>
      </w:r>
    </w:p>
    <w:p>
      <w:pPr>
        <w:pStyle w:val="Image"/>
        <w:bidi w:val="0"/>
        <w:rPr>
          <w:lang w:val="en-US"/>
        </w:rPr>
      </w:pPr>
      <w:r>
        <w:rPr>
          <w:lang w:val="en-US"/>
        </w:rPr>
        <w:drawing>
          <wp:inline distT="0" distB="0" distL="0" distR="0">
            <wp:extent cx="5937124" cy="3435679"/>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Giza 2350 Arcturus R:Pisces S.jpg"/>
                    <pic:cNvPicPr>
                      <a:picLocks noChangeAspect="1"/>
                    </pic:cNvPicPr>
                  </pic:nvPicPr>
                  <pic:blipFill>
                    <a:blip r:embed="rId10">
                      <a:extLst/>
                    </a:blip>
                    <a:stretch>
                      <a:fillRect/>
                    </a:stretch>
                  </pic:blipFill>
                  <pic:spPr>
                    <a:xfrm>
                      <a:off x="0" y="0"/>
                      <a:ext cx="5937124" cy="3435679"/>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2.</w:t>
      </w:r>
      <w:r>
        <w:rPr>
          <w:rtl w:val="0"/>
          <w:lang w:val="en-US"/>
        </w:rPr>
        <w:t xml:space="preserve"> Arcturus rising with Virgo, while the chords of Pisces set around the time the Pyramid Texts were composed. Saqqara, Egypt - 2350 BCE.</w:t>
      </w:r>
    </w:p>
    <w:p>
      <w:pPr>
        <w:pStyle w:val="Body"/>
        <w:jc w:val="center"/>
        <w:rPr>
          <w:lang w:val="en-US"/>
        </w:rPr>
      </w:pPr>
    </w:p>
    <w:p>
      <w:pPr>
        <w:pStyle w:val="Heading 2"/>
        <w:jc w:val="left"/>
        <w:rPr>
          <w:lang w:val="en-US"/>
        </w:rPr>
      </w:pPr>
      <w:r>
        <w:rPr>
          <w:rtl w:val="0"/>
          <w:lang w:val="en-US"/>
        </w:rPr>
        <w:t>The Mysterious Origins of The Centaur</w:t>
      </w:r>
    </w:p>
    <w:p>
      <w:pPr>
        <w:pStyle w:val="Body"/>
        <w:bidi w:val="0"/>
        <w:rPr>
          <w:lang w:val="en-US"/>
        </w:rPr>
      </w:pPr>
    </w:p>
    <w:p>
      <w:pPr>
        <w:pStyle w:val="Body"/>
        <w:bidi w:val="0"/>
        <w:rPr>
          <w:lang w:val="en-US"/>
        </w:rPr>
      </w:pPr>
      <w:r>
        <w:rPr>
          <w:rtl w:val="0"/>
          <w:lang w:val="en-US"/>
        </w:rPr>
        <w:t xml:space="preserve">From </w:t>
      </w:r>
      <w:r>
        <w:rPr>
          <w:rtl w:val="0"/>
          <w:lang w:val="en-US"/>
        </w:rPr>
        <w:t>Homer, Hesiod and Pindar</w:t>
      </w:r>
      <w:r>
        <w:rPr>
          <w:rtl w:val="0"/>
          <w:lang w:val="en-US"/>
        </w:rPr>
        <w:t xml:space="preserve"> who recounted their stories and genealogies, to modern commentators, the origins of the mythological half-man, half-horse have remained an elusive mystery. Some have postulated that they represented talented Scythian horsemen who were seen as one composite being, or represented psychological dichotomies of drunkenness and lust versus civilized culture, or from ancient accounts of interbreeding between animals and humans.</w:t>
      </w:r>
      <w:r>
        <w:rPr>
          <w:rFonts w:ascii="Lora Regular" w:cs="Lora Regular" w:hAnsi="Lora Regular" w:eastAsia="Lora Regular"/>
          <w:b w:val="0"/>
          <w:bCs w:val="0"/>
          <w:i w:val="0"/>
          <w:iCs w:val="0"/>
          <w:vertAlign w:val="superscript"/>
          <w:lang w:val="en-US"/>
        </w:rPr>
        <w:footnoteReference w:id="14"/>
      </w:r>
      <w:r>
        <w:rPr>
          <w:rtl w:val="0"/>
          <w:lang w:val="en-US"/>
        </w:rPr>
        <w:t xml:space="preserve"> Plutarch opined, '</w:t>
      </w:r>
      <w:r>
        <w:rPr>
          <w:rtl w:val="0"/>
          <w:lang w:val="en-US"/>
        </w:rPr>
        <w:t>For men have, in fact, attempted to consort with goats and sows and mares... From such unions your Minotaurs and Aegipans, and, I suppose, your Sphinxes and Centaurs have arisen.</w:t>
      </w:r>
      <w:r>
        <w:rPr>
          <w:rtl w:val="0"/>
          <w:lang w:val="en-US"/>
        </w:rPr>
        <w:t>’</w:t>
      </w:r>
      <w:r>
        <w:rPr>
          <w:rFonts w:ascii="Lora Regular" w:cs="Lora Regular" w:hAnsi="Lora Regular" w:eastAsia="Lora Regular"/>
          <w:b w:val="0"/>
          <w:bCs w:val="0"/>
          <w:i w:val="0"/>
          <w:iCs w:val="0"/>
          <w:vertAlign w:val="superscript"/>
          <w:lang w:val="en-US"/>
        </w:rPr>
        <w:footnoteReference w:id="15"/>
      </w:r>
      <w:r>
        <w:rPr>
          <w:rtl w:val="0"/>
          <w:lang w:val="en-US"/>
        </w:rPr>
        <w:t xml:space="preserve"> Scobie accurately explained the current lack of understanding regarding centaurs, </w:t>
      </w:r>
      <w:r>
        <w:rPr>
          <w:rtl w:val="0"/>
          <w:lang w:val="en-US"/>
        </w:rPr>
        <w:t>‘</w:t>
      </w:r>
      <w:r>
        <w:rPr>
          <w:rtl w:val="0"/>
          <w:lang w:val="en-US"/>
        </w:rPr>
        <w:t>Etymological, allegorical, and physiological approaches to the problem under discussion have so far, it seems, yielded no evidence which wins confidence and compels belief, and many explanations do not reach the level of possibility, let alone that of probability</w:t>
      </w:r>
      <w:r>
        <w:rPr>
          <w:rtl w:val="0"/>
          <w:lang w:val="en-US"/>
        </w:rPr>
        <w:t>’</w:t>
      </w:r>
      <w:r>
        <w:rPr>
          <w:rFonts w:ascii="Lora Regular" w:cs="Lora Regular" w:hAnsi="Lora Regular" w:eastAsia="Lora Regular"/>
          <w:b w:val="0"/>
          <w:bCs w:val="0"/>
          <w:i w:val="0"/>
          <w:iCs w:val="0"/>
          <w:vertAlign w:val="superscript"/>
          <w:lang w:val="en-US"/>
        </w:rPr>
        <w:footnoteReference w:id="16"/>
      </w:r>
      <w:r>
        <w:rPr>
          <w:rtl w:val="0"/>
          <w:lang w:val="en-US"/>
        </w:rPr>
        <w:t xml:space="preserve"> In essence, their origin remains a mystery.</w:t>
      </w:r>
    </w:p>
    <w:p>
      <w:pPr>
        <w:pStyle w:val="Body"/>
        <w:bidi w:val="0"/>
        <w:rPr>
          <w:lang w:val="en-US"/>
        </w:rPr>
      </w:pPr>
      <w:r>
        <w:rPr>
          <w:rtl w:val="0"/>
          <w:lang w:val="en-US"/>
        </w:rPr>
        <w:t>The question of Greek or Near Eastern origin has also been amply debated. While in the Near East, there were representations of lion/bull and man, the Aegean focussed on horse and man theriomorphic hybrids. It has been argued that there were antecedents in Near Eastern culture of the horse-demon figure.</w:t>
      </w:r>
      <w:r>
        <w:rPr>
          <w:rFonts w:ascii="Lora Regular" w:cs="Lora Regular" w:hAnsi="Lora Regular" w:eastAsia="Lora Regular"/>
          <w:b w:val="0"/>
          <w:bCs w:val="0"/>
          <w:i w:val="0"/>
          <w:iCs w:val="0"/>
          <w:vertAlign w:val="superscript"/>
          <w:lang w:val="en-US"/>
        </w:rPr>
        <w:footnoteReference w:id="17"/>
      </w:r>
      <w:r>
        <w:rPr>
          <w:rtl w:val="0"/>
          <w:lang w:val="en-US"/>
        </w:rPr>
        <w:t xml:space="preserve"> The earliest Greek representations of centaurs are the 9th century BCE Lefkandi centaur </w:t>
      </w:r>
      <w:r>
        <w:rPr>
          <w:i w:val="1"/>
          <w:iCs w:val="1"/>
          <w:rtl w:val="0"/>
          <w:lang w:val="en-US"/>
        </w:rPr>
        <w:t>terracotta</w:t>
      </w:r>
      <w:r>
        <w:rPr>
          <w:rtl w:val="0"/>
          <w:lang w:val="en-US"/>
        </w:rPr>
        <w:t xml:space="preserve"> statuette excavated from Euboea (Fig. 4) and a Mycenaean figurine from the L</w:t>
      </w:r>
      <w:r>
        <w:rPr>
          <w:rtl w:val="0"/>
          <w:lang w:val="en-US"/>
        </w:rPr>
        <w:t xml:space="preserve">ate </w:t>
      </w:r>
      <w:r>
        <w:rPr>
          <w:rtl w:val="0"/>
          <w:lang w:val="en-US"/>
        </w:rPr>
        <w:t xml:space="preserve">Helladic </w:t>
      </w:r>
      <w:r>
        <w:rPr>
          <w:rtl w:val="0"/>
          <w:lang w:val="en-US"/>
        </w:rPr>
        <w:t>IIIA or the LH IIIB periods</w:t>
      </w:r>
      <w:r>
        <w:rPr>
          <w:rtl w:val="0"/>
          <w:lang w:val="en-US"/>
        </w:rPr>
        <w:t xml:space="preserve"> found in Ugarit, centuries before any written mention of centaurs in Greek sources.</w:t>
      </w:r>
      <w:r>
        <w:rPr>
          <w:rFonts w:ascii="Lora Regular" w:cs="Lora Regular" w:hAnsi="Lora Regular" w:eastAsia="Lora Regular"/>
          <w:b w:val="0"/>
          <w:bCs w:val="0"/>
          <w:i w:val="0"/>
          <w:iCs w:val="0"/>
          <w:vertAlign w:val="superscript"/>
          <w:lang w:val="en-US"/>
        </w:rPr>
        <w:footnoteReference w:id="18"/>
      </w:r>
    </w:p>
    <w:p>
      <w:pPr>
        <w:pStyle w:val="Body"/>
        <w:bidi w:val="0"/>
        <w:rPr>
          <w:lang w:val="en-US"/>
        </w:rPr>
      </w:pPr>
    </w:p>
    <w:p>
      <w:pPr>
        <w:pStyle w:val="Body"/>
        <w:jc w:val="center"/>
        <w:rPr>
          <w:lang w:val="en-US"/>
        </w:rPr>
      </w:pPr>
      <w:r>
        <w:rPr>
          <w:lang w:val="en-US"/>
        </w:rPr>
        <w:drawing>
          <wp:inline distT="0" distB="0" distL="0" distR="0">
            <wp:extent cx="1826104" cy="2739156"/>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tiff"/>
                    <pic:cNvPicPr>
                      <a:picLocks noChangeAspect="1"/>
                    </pic:cNvPicPr>
                  </pic:nvPicPr>
                  <pic:blipFill>
                    <a:blip r:embed="rId11">
                      <a:extLst/>
                    </a:blip>
                    <a:stretch>
                      <a:fillRect/>
                    </a:stretch>
                  </pic:blipFill>
                  <pic:spPr>
                    <a:xfrm>
                      <a:off x="0" y="0"/>
                      <a:ext cx="1826104" cy="2739156"/>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Fig. 4.</w:t>
      </w:r>
      <w:r>
        <w:rPr>
          <w:rtl w:val="0"/>
          <w:lang w:val="en-US"/>
        </w:rPr>
        <w:t xml:space="preserve"> Lefkandi Centaur ca. 1000BCE. Photograph by Jebulon. </w:t>
      </w:r>
      <w:r>
        <w:rPr>
          <w:rtl w:val="0"/>
        </w:rPr>
        <w:t>Centaur Chiron of Lefkandi</w:t>
      </w:r>
      <w:r>
        <w:rPr>
          <w:rtl w:val="0"/>
        </w:rPr>
        <w:t xml:space="preserve">, </w:t>
      </w:r>
      <w:r>
        <w:rPr>
          <w:rtl w:val="0"/>
        </w:rPr>
        <w:t>1050 - 900 BCE</w:t>
      </w:r>
      <w:r>
        <w:rPr>
          <w:rtl w:val="0"/>
        </w:rPr>
        <w:t>,</w:t>
      </w:r>
      <w:r>
        <w:rPr>
          <w:rtl w:val="0"/>
          <w:lang w:val="en-US"/>
        </w:rPr>
        <w:t xml:space="preserve"> </w:t>
      </w:r>
      <w:r>
        <w:rPr>
          <w:rtl w:val="0"/>
          <w:lang w:val="en-US"/>
        </w:rPr>
        <w:t>2016</w:t>
      </w:r>
      <w:r>
        <w:rPr>
          <w:rtl w:val="0"/>
          <w:lang w:val="en-US"/>
        </w:rPr>
        <w:t xml:space="preserve">, </w:t>
      </w:r>
      <w:r>
        <w:rPr>
          <w:rtl w:val="0"/>
          <w:lang w:val="en-US"/>
        </w:rPr>
        <w:t>Archaeological Museum of Eretria</w:t>
      </w:r>
      <w:r>
        <w:rPr>
          <w:rtl w:val="0"/>
          <w:lang w:val="en-US"/>
        </w:rPr>
        <w:t>. Image: Wikimedia Commons.</w:t>
      </w:r>
    </w:p>
    <w:p>
      <w:pPr>
        <w:pStyle w:val="Body"/>
        <w:jc w:val="center"/>
        <w:rPr>
          <w:lang w:val="en-US"/>
        </w:rPr>
      </w:pPr>
    </w:p>
    <w:p>
      <w:pPr>
        <w:pStyle w:val="Body"/>
        <w:bidi w:val="0"/>
        <w:rPr>
          <w:lang w:val="en-US"/>
        </w:rPr>
      </w:pPr>
      <w:r>
        <w:rPr>
          <w:rtl w:val="0"/>
          <w:lang w:val="en-US"/>
        </w:rPr>
        <w:t xml:space="preserve">From a structuralist point-of-view, centaurs embody a binary thematic opposition within a single character. As Bronner notes, </w:t>
      </w:r>
      <w:r>
        <w:rPr>
          <w:rtl w:val="0"/>
          <w:lang w:val="en-US"/>
        </w:rPr>
        <w:t>‘</w:t>
      </w:r>
      <w:r>
        <w:rPr>
          <w:rtl w:val="0"/>
          <w:lang w:val="en-US"/>
        </w:rPr>
        <w:t>Half-man/half-animal, e.g., a mermaid, or similar combinations of god and man or god and animal would be examples.</w:t>
      </w:r>
      <w:r>
        <w:rPr>
          <w:rtl w:val="0"/>
          <w:lang w:val="en-US"/>
        </w:rPr>
        <w:t>’</w:t>
      </w:r>
      <w:r>
        <w:rPr>
          <w:rFonts w:ascii="Lora Regular" w:cs="Lora Regular" w:hAnsi="Lora Regular" w:eastAsia="Lora Regular"/>
          <w:b w:val="0"/>
          <w:bCs w:val="0"/>
          <w:i w:val="0"/>
          <w:iCs w:val="0"/>
          <w:vertAlign w:val="superscript"/>
          <w:lang w:val="en-US"/>
        </w:rPr>
        <w:footnoteReference w:id="19"/>
      </w:r>
      <w:r>
        <w:rPr>
          <w:rtl w:val="0"/>
          <w:lang w:val="en-US"/>
        </w:rPr>
        <w:t xml:space="preserve"> The dualistic culture/nature opposition using the analytical methods of L</w:t>
      </w:r>
      <w:r>
        <w:rPr>
          <w:rtl w:val="0"/>
          <w:lang w:val="en-US"/>
        </w:rPr>
        <w:t>é</w:t>
      </w:r>
      <w:r>
        <w:rPr>
          <w:rtl w:val="0"/>
          <w:lang w:val="en-US"/>
        </w:rPr>
        <w:t>vy-Strauss has also been applied to centaurs to limited success.</w:t>
      </w:r>
      <w:r>
        <w:rPr>
          <w:rFonts w:ascii="Lora Regular" w:cs="Lora Regular" w:hAnsi="Lora Regular" w:eastAsia="Lora Regular"/>
          <w:b w:val="0"/>
          <w:bCs w:val="0"/>
          <w:i w:val="0"/>
          <w:iCs w:val="0"/>
          <w:vertAlign w:val="superscript"/>
          <w:lang w:val="en-US"/>
        </w:rPr>
        <w:footnoteReference w:id="20"/>
      </w:r>
      <w:r>
        <w:rPr>
          <w:rtl w:val="0"/>
          <w:lang w:val="en-US"/>
        </w:rPr>
        <w:t xml:space="preserve"> However, if one analyzes the mythological figure, decoding its sacred history through the use of constellations as a minimal unit, one can reverse engineer this polymorphic myth. Firstly, around 1200 BCE, the date of the earliest centaurs of Greek art, as Arcturus, the brightest star of B</w:t>
      </w:r>
      <w:r>
        <w:rPr>
          <w:rtl w:val="0"/>
          <w:lang w:val="en-US"/>
        </w:rPr>
        <w:t>ö</w:t>
      </w:r>
      <w:r>
        <w:rPr>
          <w:rtl w:val="0"/>
          <w:lang w:val="en-US"/>
        </w:rPr>
        <w:t>otes was in UC (upper culmination), so was Alpha Centauri of the constellation of Centaurus, linking the foreleg constellation with Greek centaur constellation (Chart 3).</w:t>
      </w:r>
    </w:p>
    <w:p>
      <w:pPr>
        <w:pStyle w:val="Image"/>
        <w:bidi w:val="0"/>
        <w:rPr>
          <w:lang w:val="en-US"/>
        </w:rPr>
      </w:pPr>
    </w:p>
    <w:p>
      <w:pPr>
        <w:pStyle w:val="Image"/>
        <w:bidi w:val="0"/>
      </w:pPr>
      <w:r>
        <w:drawing>
          <wp:inline distT="0" distB="0" distL="0" distR="0">
            <wp:extent cx="5943600" cy="3439427"/>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Ugarit 1200 Arcturus UC : Centaurs UC.jpg"/>
                    <pic:cNvPicPr>
                      <a:picLocks noChangeAspect="1"/>
                    </pic:cNvPicPr>
                  </pic:nvPicPr>
                  <pic:blipFill>
                    <a:blip r:embed="rId12">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3</w:t>
      </w:r>
      <w:r>
        <w:rPr>
          <w:rtl w:val="0"/>
        </w:rPr>
        <w:t>. Arcturus in UC with Alpha Centauri, Ugarit, 1200 BCE.</w:t>
      </w:r>
    </w:p>
    <w:p>
      <w:pPr>
        <w:pStyle w:val="Body"/>
        <w:bidi w:val="0"/>
        <w:rPr>
          <w:lang w:val="en-US"/>
        </w:rPr>
      </w:pPr>
    </w:p>
    <w:p>
      <w:pPr>
        <w:pStyle w:val="Body"/>
        <w:bidi w:val="0"/>
        <w:rPr>
          <w:lang w:val="en-US"/>
        </w:rPr>
      </w:pPr>
      <w:r>
        <w:rPr>
          <w:rtl w:val="0"/>
          <w:lang w:val="en-US"/>
        </w:rPr>
        <w:t xml:space="preserve">Ancient Greek sources accorded the etymological root of the word </w:t>
      </w:r>
      <w:r>
        <w:rPr>
          <w:rtl w:val="0"/>
          <w:lang w:val="en-US"/>
        </w:rPr>
        <w:t>Kentauroi</w:t>
      </w:r>
      <w:r>
        <w:rPr>
          <w:rtl w:val="0"/>
          <w:lang w:val="en-US"/>
        </w:rPr>
        <w:t xml:space="preserve"> to </w:t>
      </w:r>
      <w:r>
        <w:rPr>
          <w:rtl w:val="0"/>
          <w:lang w:val="en-US"/>
        </w:rPr>
        <w:t>‘</w:t>
      </w:r>
      <w:r>
        <w:rPr>
          <w:rtl w:val="0"/>
          <w:lang w:val="en-US"/>
        </w:rPr>
        <w:t>prickers of Bulls</w:t>
      </w:r>
      <w:r>
        <w:rPr>
          <w:rtl w:val="0"/>
          <w:lang w:val="en-US"/>
        </w:rPr>
        <w:t>’</w:t>
      </w:r>
      <w:r>
        <w:rPr>
          <w:rtl w:val="0"/>
          <w:lang w:val="en-US"/>
        </w:rPr>
        <w:t>, which has been largely disregarded by modern scholars.</w:t>
      </w:r>
      <w:r>
        <w:rPr>
          <w:rFonts w:ascii="Lora Regular" w:cs="Lora Regular" w:hAnsi="Lora Regular" w:eastAsia="Lora Regular"/>
          <w:b w:val="0"/>
          <w:bCs w:val="0"/>
          <w:i w:val="0"/>
          <w:iCs w:val="0"/>
          <w:vertAlign w:val="superscript"/>
          <w:lang w:val="en-US"/>
        </w:rPr>
        <w:footnoteReference w:id="21"/>
      </w:r>
      <w:r>
        <w:rPr>
          <w:rtl w:val="0"/>
          <w:lang w:val="en-US"/>
        </w:rPr>
        <w:t xml:space="preserve"> However, a plausible explanation can be found in analyzing that while Arcturus and Sagittarius, the other centaur constellation, were setting in the West, Taurus the bull was rising in the East during the Bronze Age in the Near East, justifying the translation of the name of B</w:t>
      </w:r>
      <w:r>
        <w:rPr>
          <w:rtl w:val="0"/>
          <w:lang w:val="en-US"/>
        </w:rPr>
        <w:t>ö</w:t>
      </w:r>
      <w:r>
        <w:rPr>
          <w:rtl w:val="0"/>
          <w:lang w:val="en-US"/>
        </w:rPr>
        <w:t xml:space="preserve">otes as </w:t>
      </w:r>
      <w:r>
        <w:rPr>
          <w:rtl w:val="0"/>
          <w:lang w:val="en-US"/>
        </w:rPr>
        <w:t>‘</w:t>
      </w:r>
      <w:r>
        <w:rPr>
          <w:rtl w:val="0"/>
          <w:lang w:val="en-US"/>
        </w:rPr>
        <w:t>ox-driver</w:t>
      </w:r>
      <w:r>
        <w:rPr>
          <w:rtl w:val="0"/>
          <w:lang w:val="en-US"/>
        </w:rPr>
        <w:t xml:space="preserve">’ </w:t>
      </w:r>
      <w:r>
        <w:rPr>
          <w:rtl w:val="0"/>
          <w:lang w:val="en-US"/>
        </w:rPr>
        <w:t>(Chart 1).  In addition, as previously discussed, New Kingdom ancient Egyptian representations of Meskhetyu depicted the foreleg with the head of a bull, different from Middle Kingdom representations. This permutation of Meskhetyu is logically explained by the fact that this direct alignment between Arcturus and Aldebaran only began during the New Kingdom due to the precessional drift of the North Celestial Pole.</w:t>
      </w:r>
      <w:r>
        <w:rPr>
          <w:rFonts w:ascii="Lora Regular" w:cs="Lora Regular" w:hAnsi="Lora Regular" w:eastAsia="Lora Regular"/>
          <w:b w:val="0"/>
          <w:bCs w:val="0"/>
          <w:i w:val="0"/>
          <w:iCs w:val="0"/>
          <w:vertAlign w:val="superscript"/>
          <w:lang w:val="en-US"/>
        </w:rPr>
        <w:footnoteReference w:id="22"/>
      </w:r>
      <w:r>
        <w:rPr>
          <w:rtl w:val="0"/>
          <w:lang w:val="en-US"/>
        </w:rPr>
        <w:t xml:space="preserve"> Thus, it can be asserted that the paradigmatic relationships of constellation myths are influenced by latitude, epoch (due to precession of the equinoxes and moving seasonal markers), and localized cultural interpretations of their morphology.</w:t>
      </w:r>
    </w:p>
    <w:p>
      <w:pPr>
        <w:pStyle w:val="Body"/>
        <w:bidi w:val="0"/>
        <w:rPr>
          <w:lang w:val="en-US"/>
        </w:rPr>
      </w:pPr>
      <w:r>
        <w:rPr>
          <w:rtl w:val="0"/>
          <w:lang w:val="en-US"/>
        </w:rPr>
        <w:t>As B</w:t>
      </w:r>
      <w:r>
        <w:rPr>
          <w:rtl w:val="0"/>
          <w:lang w:val="en-US"/>
        </w:rPr>
        <w:t>ö</w:t>
      </w:r>
      <w:r>
        <w:rPr>
          <w:rtl w:val="0"/>
          <w:lang w:val="en-US"/>
        </w:rPr>
        <w:t>otes continued to dip below the horizon, the constellation of Orion, the hunter rose, and Sagittarius set, both of which carried bows. As such, the two minimal units of the hybrid centaur, the horse</w:t>
      </w:r>
      <w:r>
        <w:rPr>
          <w:rtl w:val="0"/>
          <w:lang w:val="en-US"/>
        </w:rPr>
        <w:t>’</w:t>
      </w:r>
      <w:r>
        <w:rPr>
          <w:rtl w:val="0"/>
          <w:lang w:val="en-US"/>
        </w:rPr>
        <w:t xml:space="preserve">s foreleg, and the archer, are mediated through what could be termed an </w:t>
      </w:r>
      <w:r>
        <w:rPr>
          <w:i w:val="1"/>
          <w:iCs w:val="1"/>
          <w:rtl w:val="0"/>
          <w:lang w:val="en-US"/>
        </w:rPr>
        <w:t>astrosynthetic</w:t>
      </w:r>
      <w:r>
        <w:rPr>
          <w:rtl w:val="0"/>
          <w:lang w:val="en-US"/>
        </w:rPr>
        <w:t xml:space="preserve"> process, that is the fusion of multiple constellations as defined by the syntax of horizon and meridian alignments</w:t>
      </w:r>
      <w:r>
        <w:rPr>
          <w:i w:val="1"/>
          <w:iCs w:val="1"/>
          <w:rtl w:val="0"/>
          <w:lang w:val="en-US"/>
        </w:rPr>
        <w:t xml:space="preserve">. </w:t>
      </w:r>
      <w:r>
        <w:rPr>
          <w:rtl w:val="0"/>
          <w:lang w:val="en-US"/>
        </w:rPr>
        <w:t>The horizon</w:t>
      </w:r>
      <w:r>
        <w:rPr>
          <w:rtl w:val="0"/>
          <w:lang w:val="en-US"/>
        </w:rPr>
        <w:t>, in this metaphor,</w:t>
      </w:r>
      <w:r>
        <w:rPr>
          <w:rtl w:val="0"/>
          <w:lang w:val="en-US"/>
        </w:rPr>
        <w:t xml:space="preserve"> </w:t>
      </w:r>
      <w:r>
        <w:rPr>
          <w:rtl w:val="0"/>
          <w:lang w:val="en-US"/>
        </w:rPr>
        <w:t>is the</w:t>
      </w:r>
      <w:r>
        <w:rPr>
          <w:rtl w:val="0"/>
          <w:lang w:val="en-US"/>
        </w:rPr>
        <w:t xml:space="preserve"> semiotician</w:t>
      </w:r>
      <w:r>
        <w:rPr>
          <w:rtl w:val="0"/>
          <w:lang w:val="en-US"/>
        </w:rPr>
        <w:t>’</w:t>
      </w:r>
      <w:r>
        <w:rPr>
          <w:rtl w:val="0"/>
          <w:lang w:val="en-US"/>
        </w:rPr>
        <w:t>s</w:t>
      </w:r>
      <w:r>
        <w:rPr>
          <w:rtl w:val="0"/>
          <w:lang w:val="en-US"/>
        </w:rPr>
        <w:t xml:space="preserve"> </w:t>
      </w:r>
      <w:r>
        <w:rPr>
          <w:rtl w:val="0"/>
          <w:lang w:val="en-US"/>
        </w:rPr>
        <w:t>‘</w:t>
      </w:r>
      <w:r>
        <w:rPr>
          <w:rtl w:val="0"/>
          <w:lang w:val="en-US"/>
        </w:rPr>
        <w:t>bar</w:t>
      </w:r>
      <w:r>
        <w:rPr>
          <w:rtl w:val="0"/>
          <w:lang w:val="en-US"/>
        </w:rPr>
        <w:t>’</w:t>
      </w:r>
      <w:r>
        <w:rPr>
          <w:rtl w:val="0"/>
          <w:lang w:val="en-US"/>
        </w:rPr>
        <w:t xml:space="preserve"> that defines binary or polar semantic oppositions</w:t>
      </w:r>
      <w:r>
        <w:rPr>
          <w:rtl w:val="0"/>
          <w:lang w:val="en-US"/>
        </w:rPr>
        <w:t xml:space="preserve"> by concatenating and appending constellations.</w:t>
      </w:r>
      <w:r>
        <w:rPr>
          <w:i w:val="1"/>
          <w:iCs w:val="1"/>
          <w:rtl w:val="0"/>
          <w:lang w:val="en-US"/>
        </w:rPr>
        <w:t xml:space="preserve"> </w:t>
      </w:r>
      <w:r>
        <w:rPr>
          <w:rtl w:val="0"/>
          <w:lang w:val="en-US"/>
        </w:rPr>
        <w:t xml:space="preserve">The semantic value of this agglutination is transposed to Sagittarius, which </w:t>
      </w:r>
      <w:r>
        <w:rPr>
          <w:rtl w:val="0"/>
          <w:lang w:val="en-US"/>
        </w:rPr>
        <w:t xml:space="preserve">becomes </w:t>
      </w:r>
      <w:r>
        <w:rPr>
          <w:rtl w:val="0"/>
          <w:lang w:val="en-US"/>
        </w:rPr>
        <w:t xml:space="preserve">the </w:t>
      </w:r>
      <w:r>
        <w:rPr>
          <w:rtl w:val="0"/>
          <w:lang w:val="en-US"/>
        </w:rPr>
        <w:t xml:space="preserve">new hierarchical signifier </w:t>
      </w:r>
      <w:r>
        <w:rPr>
          <w:rtl w:val="0"/>
          <w:lang w:val="en-US"/>
        </w:rPr>
        <w:t xml:space="preserve">of </w:t>
      </w:r>
      <w:r>
        <w:rPr>
          <w:rtl w:val="0"/>
          <w:lang w:val="en-US"/>
        </w:rPr>
        <w:t>horse</w:t>
      </w:r>
      <w:r>
        <w:rPr>
          <w:rtl w:val="0"/>
          <w:lang w:val="en-US"/>
        </w:rPr>
        <w:t>/</w:t>
      </w:r>
      <w:r>
        <w:rPr>
          <w:rtl w:val="0"/>
          <w:lang w:val="en-US"/>
        </w:rPr>
        <w:t>man</w:t>
      </w:r>
      <w:r>
        <w:rPr>
          <w:rtl w:val="0"/>
          <w:lang w:val="en-US"/>
        </w:rPr>
        <w:t>.</w:t>
      </w:r>
    </w:p>
    <w:p>
      <w:pPr>
        <w:pStyle w:val="Body"/>
        <w:bidi w:val="0"/>
        <w:rPr>
          <w:lang w:val="en-US"/>
        </w:rPr>
      </w:pPr>
    </w:p>
    <w:p>
      <w:pPr>
        <w:pStyle w:val="Heading 2"/>
        <w:jc w:val="left"/>
        <w:rPr>
          <w:lang w:val="en-US"/>
        </w:rPr>
      </w:pPr>
      <w:r>
        <w:rPr>
          <w:rtl w:val="0"/>
          <w:lang w:val="en-US"/>
        </w:rPr>
        <w:t>The Evolution of Equine Constellations</w:t>
      </w:r>
    </w:p>
    <w:p>
      <w:pPr>
        <w:pStyle w:val="Body"/>
        <w:bidi w:val="0"/>
        <w:rPr>
          <w:lang w:val="en-US"/>
        </w:rPr>
      </w:pPr>
    </w:p>
    <w:p>
      <w:pPr>
        <w:pStyle w:val="Body"/>
        <w:bidi w:val="0"/>
        <w:rPr>
          <w:rFonts w:ascii="Lora Bold" w:cs="Lora Bold" w:hAnsi="Lora Bold" w:eastAsia="Lora Bold"/>
          <w:u w:val="single"/>
          <w:lang w:val="en-US"/>
        </w:rPr>
      </w:pPr>
      <w:r>
        <w:rPr>
          <w:rtl w:val="0"/>
          <w:lang w:val="en-US"/>
        </w:rPr>
        <w:t>Following Dundes system of analysis, the minimal units of the myths have been identified (B</w:t>
      </w:r>
      <w:r>
        <w:rPr>
          <w:rtl w:val="0"/>
          <w:lang w:val="en-US"/>
        </w:rPr>
        <w:t>ö</w:t>
      </w:r>
      <w:r>
        <w:rPr>
          <w:rtl w:val="0"/>
          <w:lang w:val="en-US"/>
        </w:rPr>
        <w:t xml:space="preserve">otes and Orion), their relationships studied (using horizon astronomy), and now they can be compared to other cultures to understand their structure and peculiarities. Ione Shears argued, </w:t>
      </w:r>
      <w:r>
        <w:rPr>
          <w:rtl w:val="0"/>
          <w:lang w:val="en-US"/>
        </w:rPr>
        <w:t>‘</w:t>
      </w:r>
      <w:r>
        <w:rPr>
          <w:rtl w:val="0"/>
          <w:lang w:val="en-US"/>
        </w:rPr>
        <w:t>It has been suggested that the concept of a centaur came from the Near East, but the Near Eastern examples are winged and have a scorpion tail, characteristics not found on the Greek examples</w:t>
      </w:r>
      <w:r>
        <w:rPr>
          <w:rtl w:val="0"/>
          <w:lang w:val="en-US"/>
        </w:rPr>
        <w:t>.</w:t>
      </w:r>
      <w:r>
        <w:rPr>
          <w:rtl w:val="0"/>
          <w:lang w:val="en-US"/>
        </w:rPr>
        <w:t xml:space="preserve"> The absence of these characteristics on the Greek mainland suggests that the Greek centaurs and stories related to them had their origin in some other context.</w:t>
      </w:r>
      <w:r>
        <w:rPr>
          <w:rtl w:val="0"/>
          <w:lang w:val="en-US"/>
        </w:rPr>
        <w:t>’</w:t>
      </w:r>
      <w:r>
        <w:rPr>
          <w:rFonts w:ascii="Lora Regular" w:cs="Lora Regular" w:hAnsi="Lora Regular" w:eastAsia="Lora Regular"/>
          <w:b w:val="0"/>
          <w:bCs w:val="0"/>
          <w:i w:val="0"/>
          <w:iCs w:val="0"/>
          <w:vertAlign w:val="superscript"/>
          <w:lang w:val="en-US"/>
        </w:rPr>
        <w:footnoteReference w:id="23"/>
      </w:r>
      <w:r>
        <w:rPr>
          <w:rFonts w:ascii="Lora Bold" w:hAnsi="Lora Bold"/>
          <w:rtl w:val="0"/>
          <w:lang w:val="en-US"/>
        </w:rPr>
        <w:t xml:space="preserve"> </w:t>
      </w:r>
      <w:r>
        <w:rPr>
          <w:rtl w:val="0"/>
          <w:lang w:val="en-US"/>
        </w:rPr>
        <w:t>Perhaps, it can be shown, that these superficially dissimilar iconographies are in actuality genetically related.</w:t>
      </w:r>
    </w:p>
    <w:p>
      <w:pPr>
        <w:pStyle w:val="Body"/>
        <w:bidi w:val="0"/>
        <w:rPr>
          <w:rFonts w:ascii="Lora Bold" w:cs="Lora Bold" w:hAnsi="Lora Bold" w:eastAsia="Lora Bold"/>
          <w:u w:val="single"/>
          <w:lang w:val="en-US"/>
        </w:rPr>
      </w:pPr>
    </w:p>
    <w:p>
      <w:pPr>
        <w:pStyle w:val="Body"/>
        <w:jc w:val="center"/>
        <w:rPr>
          <w:rFonts w:ascii="Lora Bold" w:cs="Lora Bold" w:hAnsi="Lora Bold" w:eastAsia="Lora Bold"/>
          <w:lang w:val="en-US"/>
        </w:rPr>
      </w:pPr>
      <w:r>
        <w:rPr>
          <w:rFonts w:ascii="Lora Bold" w:cs="Lora Bold" w:hAnsi="Lora Bold" w:eastAsia="Lora Bold"/>
          <w:lang w:val="en-US"/>
        </w:rPr>
        <w:drawing>
          <wp:inline distT="0" distB="0" distL="0" distR="0">
            <wp:extent cx="3603582" cy="2227669"/>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pasted-image.png"/>
                    <pic:cNvPicPr>
                      <a:picLocks noChangeAspect="1"/>
                    </pic:cNvPicPr>
                  </pic:nvPicPr>
                  <pic:blipFill>
                    <a:blip r:embed="rId13">
                      <a:extLst/>
                    </a:blip>
                    <a:stretch>
                      <a:fillRect/>
                    </a:stretch>
                  </pic:blipFill>
                  <pic:spPr>
                    <a:xfrm>
                      <a:off x="0" y="0"/>
                      <a:ext cx="3603582" cy="2227669"/>
                    </a:xfrm>
                    <a:prstGeom prst="rect">
                      <a:avLst/>
                    </a:prstGeom>
                    <a:ln w="12700" cap="flat">
                      <a:noFill/>
                      <a:miter lim="400000"/>
                    </a:ln>
                    <a:effectLst/>
                  </pic:spPr>
                </pic:pic>
              </a:graphicData>
            </a:graphic>
          </wp:inline>
        </w:drawing>
      </w:r>
    </w:p>
    <w:p>
      <w:pPr>
        <w:pStyle w:val="Image Caption"/>
        <w:bidi w:val="0"/>
      </w:pPr>
      <w:r>
        <w:rPr>
          <w:rFonts w:ascii="Lora Bold" w:hAnsi="Lora Bold"/>
          <w:rtl w:val="0"/>
          <w:lang w:val="en-US"/>
        </w:rPr>
        <w:t>Fig. 5.</w:t>
      </w:r>
      <w:r>
        <w:rPr>
          <w:rtl w:val="0"/>
        </w:rPr>
        <w:t xml:space="preserve"> Dendera rectangular zodiac depicting a highly convoluted Sagittarius figure. Photograph by </w:t>
      </w:r>
      <w:r>
        <w:rPr>
          <w:rtl w:val="0"/>
        </w:rPr>
        <w:t>Mick Palarczyk</w:t>
      </w:r>
      <w:r>
        <w:rPr>
          <w:rtl w:val="0"/>
        </w:rPr>
        <w:t xml:space="preserve">, </w:t>
      </w:r>
      <w:r>
        <w:rPr>
          <w:rtl w:val="0"/>
        </w:rPr>
        <w:t>Sagittarius on astronomical ceiling at Dendera</w:t>
      </w:r>
      <w:r>
        <w:rPr>
          <w:rtl w:val="0"/>
        </w:rPr>
        <w:t xml:space="preserve">, Dendera, Egypt. Image: </w:t>
      </w:r>
      <w:r>
        <w:rPr>
          <w:rStyle w:val="Hyperlink.0"/>
        </w:rPr>
        <w:fldChar w:fldCharType="begin" w:fldLock="0"/>
      </w:r>
      <w:r>
        <w:rPr>
          <w:rStyle w:val="Hyperlink.0"/>
        </w:rPr>
        <w:instrText xml:space="preserve"> HYPERLINK "https://paulsmit.smugmug.com/Features/Africa/Egypt-Dendera-temple/i-SkMBjmx/XL"</w:instrText>
      </w:r>
      <w:r>
        <w:rPr>
          <w:rStyle w:val="Hyperlink.0"/>
        </w:rPr>
        <w:fldChar w:fldCharType="separate" w:fldLock="0"/>
      </w:r>
      <w:r>
        <w:rPr>
          <w:rStyle w:val="Hyperlink.0"/>
          <w:rtl w:val="0"/>
        </w:rPr>
        <w:t>https://paulsmit.smugmug.com/Features/Africa/Egypt-Dendera-temple/i-SkMBjmx/XL</w:t>
      </w:r>
      <w:r>
        <w:rPr/>
        <w:fldChar w:fldCharType="end" w:fldLock="0"/>
      </w:r>
    </w:p>
    <w:p>
      <w:pPr>
        <w:pStyle w:val="Image Caption"/>
        <w:bidi w:val="0"/>
        <w:rPr>
          <w:lang w:val="en-US"/>
        </w:rPr>
      </w:pPr>
    </w:p>
    <w:p>
      <w:pPr>
        <w:pStyle w:val="Image"/>
        <w:bidi w:val="0"/>
        <w:rPr>
          <w:lang w:val="en-US"/>
        </w:rPr>
      </w:pPr>
      <w:r>
        <w:rPr>
          <w:lang w:val="en-US"/>
        </w:rPr>
        <w:drawing>
          <wp:inline distT="0" distB="0" distL="0" distR="0">
            <wp:extent cx="5943600" cy="3439427"/>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Dendera -54 Böotes:Ursa Major.jpg"/>
                    <pic:cNvPicPr>
                      <a:picLocks noChangeAspect="1"/>
                    </pic:cNvPicPr>
                  </pic:nvPicPr>
                  <pic:blipFill>
                    <a:blip r:embed="rId14">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4</w:t>
      </w:r>
      <w:r>
        <w:rPr>
          <w:rtl w:val="0"/>
          <w:lang w:val="en-US"/>
        </w:rPr>
        <w:t>. The hoof of B</w:t>
      </w:r>
      <w:r>
        <w:rPr>
          <w:rtl w:val="0"/>
          <w:lang w:val="en-US"/>
        </w:rPr>
        <w:t>ö</w:t>
      </w:r>
      <w:r>
        <w:rPr>
          <w:rtl w:val="0"/>
          <w:lang w:val="en-US"/>
        </w:rPr>
        <w:t>otes in UC, while the wing of Cygnus and Aquila were rising, and Gemini, the twins were setting. Dendera, Egypt - 54BCE.</w:t>
      </w:r>
    </w:p>
    <w:p>
      <w:pPr>
        <w:pStyle w:val="Body"/>
        <w:bidi w:val="0"/>
        <w:rPr>
          <w:lang w:val="en-US"/>
        </w:rPr>
      </w:pPr>
      <w:r>
        <w:rPr>
          <w:rtl w:val="0"/>
          <w:lang w:val="en-US"/>
        </w:rPr>
        <w:t>When the hoof asterism of B</w:t>
      </w:r>
      <w:r>
        <w:rPr>
          <w:rtl w:val="0"/>
          <w:lang w:val="en-US"/>
        </w:rPr>
        <w:t>ö</w:t>
      </w:r>
      <w:r>
        <w:rPr>
          <w:rtl w:val="0"/>
          <w:lang w:val="en-US"/>
        </w:rPr>
        <w:t>otes was setting with the tail of Scorpius, the star Deneb (</w:t>
      </w:r>
      <w:r>
        <w:rPr>
          <w:rFonts w:ascii="Arial Unicode MS" w:cs="Arial Unicode MS" w:hAnsi="Arial Unicode MS" w:eastAsia="Arial Unicode MS" w:hint="default"/>
          <w:b w:val="0"/>
          <w:bCs w:val="0"/>
          <w:i w:val="0"/>
          <w:iCs w:val="0"/>
          <w:rtl w:val="0"/>
          <w:lang w:val="en-US"/>
        </w:rPr>
        <w:t>α</w:t>
      </w:r>
      <w:r>
        <w:rPr>
          <w:rtl w:val="0"/>
          <w:lang w:val="en-US"/>
        </w:rPr>
        <w:t xml:space="preserve"> </w:t>
      </w:r>
      <w:r>
        <w:rPr>
          <w:rtl w:val="0"/>
          <w:lang w:val="en-US"/>
        </w:rPr>
        <w:t xml:space="preserve">Cygni) was in UC, representing the wings of the scorpion-tailed centaur (Chart 4). A late Ptolemaic intaglio in the temple of Denderah depicts a winged Sagittarius with uncharacteristic double-heads. This agglutinative iconography is understood as a trine of Arcturus in UC while Gemini, the twins were setting, and the wings of Cygnus were rising (Chart 4). Therefore, while the lexical constellations may remain the same, differing combinations arise, which are spatially and temporally culturally relative, generating multivalent images with the semblance of </w:t>
      </w:r>
      <w:r>
        <w:rPr>
          <w:rtl w:val="0"/>
          <w:lang w:val="en-US"/>
        </w:rPr>
        <w:t>‘</w:t>
      </w:r>
      <w:r>
        <w:rPr>
          <w:rtl w:val="0"/>
          <w:lang w:val="en-US"/>
        </w:rPr>
        <w:t>independent invention</w:t>
      </w:r>
      <w:r>
        <w:rPr>
          <w:rtl w:val="0"/>
          <w:lang w:val="en-US"/>
        </w:rPr>
        <w:t>’</w:t>
      </w:r>
      <w:r>
        <w:rPr>
          <w:rtl w:val="0"/>
          <w:lang w:val="en-US"/>
        </w:rPr>
        <w:t>.</w:t>
      </w:r>
    </w:p>
    <w:p>
      <w:pPr>
        <w:pStyle w:val="Body"/>
        <w:bidi w:val="0"/>
        <w:rPr>
          <w:rFonts w:ascii="Lora Bold" w:cs="Lora Bold" w:hAnsi="Lora Bold" w:eastAsia="Lora Bold"/>
          <w:lang w:val="en-US"/>
        </w:rPr>
      </w:pPr>
      <w:r>
        <w:rPr>
          <w:rtl w:val="0"/>
          <w:lang w:val="en-US"/>
        </w:rPr>
        <w:t>For further proof, B</w:t>
      </w:r>
      <w:r>
        <w:rPr>
          <w:rtl w:val="0"/>
          <w:lang w:val="en-US"/>
        </w:rPr>
        <w:t>ö</w:t>
      </w:r>
      <w:r>
        <w:rPr>
          <w:rtl w:val="0"/>
          <w:lang w:val="en-US"/>
        </w:rPr>
        <w:t>otes may serve to explain the constellation of Pegasus, another mythical hybrid, the flying horse that sprung from the dripping blood after Perseus beheaded the gorgon Medusa.</w:t>
      </w:r>
      <w:r>
        <w:rPr>
          <w:rFonts w:ascii="Lora Regular" w:cs="Lora Regular" w:hAnsi="Lora Regular" w:eastAsia="Lora Regular"/>
          <w:b w:val="0"/>
          <w:bCs w:val="0"/>
          <w:i w:val="0"/>
          <w:iCs w:val="0"/>
          <w:vertAlign w:val="superscript"/>
          <w:lang w:val="en-US"/>
        </w:rPr>
        <w:footnoteReference w:id="24"/>
      </w:r>
      <w:r>
        <w:rPr>
          <w:rtl w:val="0"/>
          <w:lang w:val="en-US"/>
        </w:rPr>
        <w:t xml:space="preserve"> An ancient Egyptian utterance states that Seth has wings: </w:t>
      </w:r>
      <w:r>
        <w:rPr>
          <w:rtl w:val="0"/>
          <w:lang w:val="en-US"/>
        </w:rPr>
        <w:t>‘</w:t>
      </w:r>
      <w:r>
        <w:rPr>
          <w:rtl w:val="0"/>
          <w:lang w:val="en-US"/>
        </w:rPr>
        <w:t xml:space="preserve">The </w:t>
      </w:r>
      <w:r>
        <w:rPr>
          <w:rtl w:val="0"/>
          <w:lang w:val="en-US"/>
        </w:rPr>
        <w:t>‘</w:t>
      </w:r>
      <w:r>
        <w:rPr>
          <w:rtl w:val="0"/>
          <w:lang w:val="en-US"/>
        </w:rPr>
        <w:t>Eye of Horus</w:t>
      </w:r>
      <w:r>
        <w:rPr>
          <w:rtl w:val="0"/>
          <w:lang w:val="en-US"/>
        </w:rPr>
        <w:t xml:space="preserve">’ </w:t>
      </w:r>
      <w:r>
        <w:rPr>
          <w:rtl w:val="0"/>
          <w:lang w:val="en-US"/>
        </w:rPr>
        <w:t>is placed on the wing of his brother Seth, the ropes are tied, the ferry-boats are made ready for the son of Atum</w:t>
      </w:r>
      <w:r>
        <w:rPr>
          <w:rtl w:val="0"/>
          <w:lang w:val="en-US"/>
        </w:rPr>
        <w:t>, for the son of Atum is not boatless. This King is bound for the son of Atum, and the son of Atum is not boatless. faulkner</w:t>
      </w:r>
      <w:r>
        <w:rPr>
          <w:rtl w:val="0"/>
          <w:lang w:val="en-US"/>
        </w:rPr>
        <w:t>’</w:t>
      </w:r>
      <w:r>
        <w:rPr>
          <w:rtl w:val="0"/>
          <w:lang w:val="en-US"/>
        </w:rPr>
        <w:t>.</w:t>
      </w:r>
      <w:r>
        <w:rPr>
          <w:rFonts w:ascii="Lora Regular" w:cs="Lora Regular" w:hAnsi="Lora Regular" w:eastAsia="Lora Regular"/>
          <w:b w:val="0"/>
          <w:bCs w:val="0"/>
          <w:i w:val="0"/>
          <w:iCs w:val="0"/>
          <w:vertAlign w:val="superscript"/>
          <w:lang w:val="en-US"/>
        </w:rPr>
        <w:footnoteReference w:id="25"/>
      </w:r>
      <w:r>
        <w:rPr>
          <w:rtl w:val="0"/>
          <w:lang w:val="en-US"/>
        </w:rPr>
        <w:t xml:space="preserve"> Furthermore, in</w:t>
      </w:r>
      <w:r>
        <w:rPr>
          <w:rtl w:val="0"/>
        </w:rPr>
        <w:t xml:space="preserve"> </w:t>
      </w:r>
      <w:r>
        <w:rPr>
          <w:rtl w:val="0"/>
          <w:lang w:val="en-US"/>
        </w:rPr>
        <w:t>the Temple of Hibis, Seth is depicted as a winged figure, battling the serpent Apophis.</w:t>
      </w:r>
      <w:r>
        <w:rPr>
          <w:rFonts w:ascii="Lora Regular" w:cs="Lora Regular" w:hAnsi="Lora Regular" w:eastAsia="Lora Regular"/>
          <w:b w:val="0"/>
          <w:bCs w:val="0"/>
          <w:i w:val="0"/>
          <w:iCs w:val="0"/>
          <w:vertAlign w:val="superscript"/>
          <w:lang w:val="en-US"/>
        </w:rPr>
        <w:footnoteReference w:id="26"/>
      </w:r>
      <w:r>
        <w:rPr>
          <w:rtl w:val="0"/>
          <w:lang w:val="en-US"/>
        </w:rPr>
        <w:t xml:space="preserve"> Analyzing the night sky circa 700 BCE, around the time of Homer and Hesiod, when the myth of Pegasus and Bellerophon began to appear, it is perceivable that Arcturus was rising while Cygnus, the swan, and Deneb (</w:t>
      </w:r>
      <w:r>
        <w:rPr>
          <w:rFonts w:ascii="Arial Unicode MS" w:cs="Arial Unicode MS" w:hAnsi="Arial Unicode MS" w:eastAsia="Arial Unicode MS" w:hint="default"/>
          <w:b w:val="0"/>
          <w:bCs w:val="0"/>
          <w:i w:val="0"/>
          <w:iCs w:val="0"/>
          <w:rtl w:val="0"/>
          <w:lang w:val="en-US"/>
        </w:rPr>
        <w:t>α</w:t>
      </w:r>
      <w:r>
        <w:rPr>
          <w:rFonts w:ascii="Lora Bold" w:hAnsi="Lora Bold"/>
          <w:rtl w:val="0"/>
          <w:lang w:val="en-US"/>
        </w:rPr>
        <w:t xml:space="preserve"> </w:t>
      </w:r>
      <w:r>
        <w:rPr>
          <w:rtl w:val="0"/>
          <w:lang w:val="en-US"/>
        </w:rPr>
        <w:t>Cygnii) were setting with the star Scheat (</w:t>
      </w:r>
      <w:r>
        <w:rPr>
          <w:rFonts w:ascii="Arial Unicode MS" w:cs="Arial Unicode MS" w:hAnsi="Arial Unicode MS" w:eastAsia="Arial Unicode MS" w:hint="default"/>
          <w:b w:val="0"/>
          <w:bCs w:val="0"/>
          <w:i w:val="0"/>
          <w:iCs w:val="0"/>
          <w:rtl w:val="0"/>
          <w:lang w:val="en-US"/>
        </w:rPr>
        <w:t>β</w:t>
      </w:r>
      <w:r>
        <w:rPr>
          <w:rtl w:val="0"/>
          <w:lang w:val="en-US"/>
        </w:rPr>
        <w:t xml:space="preserve"> Pegasi) (Chart 5). Therefore, the wings of Cygnus with the horse</w:t>
      </w:r>
      <w:r>
        <w:rPr>
          <w:rtl w:val="0"/>
          <w:lang w:val="en-US"/>
        </w:rPr>
        <w:t>’</w:t>
      </w:r>
      <w:r>
        <w:rPr>
          <w:rtl w:val="0"/>
          <w:lang w:val="en-US"/>
        </w:rPr>
        <w:t>s foreleg of B</w:t>
      </w:r>
      <w:r>
        <w:rPr>
          <w:rtl w:val="0"/>
          <w:lang w:val="en-US"/>
        </w:rPr>
        <w:t>ö</w:t>
      </w:r>
      <w:r>
        <w:rPr>
          <w:rtl w:val="0"/>
          <w:lang w:val="en-US"/>
        </w:rPr>
        <w:t xml:space="preserve">otes, transposed and astrosynthesized to the fused Pegasus, the flying horse, perhaps obfuscating a more primitive Pegasus constellation. </w:t>
      </w:r>
    </w:p>
    <w:p>
      <w:pPr>
        <w:pStyle w:val="Body"/>
        <w:bidi w:val="0"/>
        <w:rPr>
          <w:rFonts w:ascii="Lora Bold" w:cs="Lora Bold" w:hAnsi="Lora Bold" w:eastAsia="Lora Bold"/>
          <w:lang w:val="en-US"/>
        </w:rPr>
      </w:pPr>
    </w:p>
    <w:p>
      <w:pPr>
        <w:pStyle w:val="Image"/>
        <w:bidi w:val="0"/>
        <w:rPr>
          <w:rFonts w:ascii="Lora Bold" w:cs="Lora Bold" w:hAnsi="Lora Bold" w:eastAsia="Lora Bold"/>
          <w:lang w:val="en-US"/>
        </w:rPr>
      </w:pPr>
      <w:r>
        <w:rPr>
          <w:rFonts w:ascii="Lora Bold" w:cs="Lora Bold" w:hAnsi="Lora Bold" w:eastAsia="Lora Bold"/>
          <w:lang w:val="en-US"/>
        </w:rPr>
        <w:drawing>
          <wp:inline distT="0" distB="0" distL="0" distR="0">
            <wp:extent cx="5943600" cy="3439427"/>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Athens 700 BCE Grapes.jpg"/>
                    <pic:cNvPicPr>
                      <a:picLocks noChangeAspect="1"/>
                    </pic:cNvPicPr>
                  </pic:nvPicPr>
                  <pic:blipFill>
                    <a:blip r:embed="rId15">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5</w:t>
      </w:r>
      <w:r>
        <w:rPr>
          <w:rtl w:val="0"/>
        </w:rPr>
        <w:t>. Arcturus (horse</w:t>
      </w:r>
      <w:r>
        <w:rPr>
          <w:rtl w:val="0"/>
        </w:rPr>
        <w:t>’</w:t>
      </w:r>
      <w:r>
        <w:rPr>
          <w:rtl w:val="0"/>
        </w:rPr>
        <w:t>s foreleg) was rising, while Deneb (wings) was setting along with Pegasus (flying horse).</w:t>
      </w:r>
    </w:p>
    <w:p>
      <w:pPr>
        <w:pStyle w:val="Body"/>
        <w:bidi w:val="0"/>
        <w:rPr>
          <w:lang w:val="en-US"/>
        </w:rPr>
      </w:pPr>
    </w:p>
    <w:p>
      <w:pPr>
        <w:pStyle w:val="Heading 2"/>
        <w:jc w:val="left"/>
        <w:rPr>
          <w:lang w:val="en-US"/>
        </w:rPr>
      </w:pPr>
      <w:r>
        <w:rPr>
          <w:rtl w:val="0"/>
          <w:lang w:val="en-US"/>
        </w:rPr>
        <w:t>Deep Structures of The Centaurs</w:t>
      </w:r>
    </w:p>
    <w:p>
      <w:pPr>
        <w:pStyle w:val="Body"/>
        <w:bidi w:val="0"/>
        <w:rPr>
          <w:lang w:val="en-US"/>
        </w:rPr>
      </w:pPr>
    </w:p>
    <w:p>
      <w:pPr>
        <w:pStyle w:val="Body"/>
        <w:bidi w:val="0"/>
      </w:pPr>
      <w:r>
        <w:rPr>
          <w:rtl w:val="0"/>
          <w:lang w:val="en-US"/>
        </w:rPr>
        <w:t xml:space="preserve">As Noam Chomsky proposed that, </w:t>
      </w:r>
      <w:r>
        <w:rPr>
          <w:rtl w:val="0"/>
          <w:lang w:val="en-US"/>
        </w:rPr>
        <w:t>‘</w:t>
      </w:r>
      <w:r>
        <w:rPr>
          <w:rtl w:val="0"/>
          <w:lang w:val="en-US"/>
        </w:rPr>
        <w:t>[</w:t>
      </w:r>
      <w:r>
        <w:rPr>
          <w:rtl w:val="0"/>
          <w:lang w:val="en-US"/>
        </w:rPr>
        <w:t>…</w:t>
      </w:r>
      <w:r>
        <w:rPr>
          <w:rtl w:val="0"/>
          <w:lang w:val="en-US"/>
        </w:rPr>
        <w:t>]</w:t>
      </w:r>
      <w:r>
        <w:rPr>
          <w:rtl w:val="0"/>
          <w:lang w:val="en-US"/>
        </w:rPr>
        <w:t>we can thus distinguish the surface structure of the sentence, the organization into categories and phrases that is directly associated with the physical signal, from the underlying deep structure</w:t>
      </w:r>
      <w:r>
        <w:rPr>
          <w:rtl w:val="0"/>
          <w:lang w:val="en-US"/>
        </w:rPr>
        <w:t>.</w:t>
      </w:r>
      <w:r>
        <w:rPr>
          <w:rtl w:val="0"/>
          <w:lang w:val="en-US"/>
        </w:rPr>
        <w:t>’</w:t>
      </w:r>
      <w:r>
        <w:rPr>
          <w:rFonts w:ascii="Lora Regular" w:cs="Lora Regular" w:hAnsi="Lora Regular" w:eastAsia="Lora Regular"/>
          <w:b w:val="0"/>
          <w:bCs w:val="0"/>
          <w:i w:val="0"/>
          <w:iCs w:val="0"/>
          <w:vertAlign w:val="superscript"/>
          <w:lang w:val="en-US"/>
        </w:rPr>
        <w:footnoteReference w:id="27"/>
      </w:r>
      <w:r>
        <w:rPr>
          <w:rtl w:val="0"/>
          <w:lang w:val="en-US"/>
        </w:rPr>
        <w:t xml:space="preserve"> Similarly, by understanding the celestial architecture of these star myths, one can investigate the hidden 'deep structures' within them. For example, the ancillary details of the myth of Chiron, him carrying a hare on a branch, reveals its hidden lexicon through stellar alignments. For as B</w:t>
      </w:r>
      <w:r>
        <w:rPr>
          <w:rtl w:val="0"/>
          <w:lang w:val="en-US"/>
        </w:rPr>
        <w:t>ö</w:t>
      </w:r>
      <w:r>
        <w:rPr>
          <w:rtl w:val="0"/>
          <w:lang w:val="en-US"/>
        </w:rPr>
        <w:t xml:space="preserve">otes was rising, Lepus, the hare chased by Orion, was in UC (Chart 5). Another mythological suffix is evidenced by the Lefkandi statue, which may have represented Chiron centuries before the written tale: </w:t>
      </w:r>
    </w:p>
    <w:p>
      <w:pPr>
        <w:pStyle w:val="Quot"/>
        <w:bidi w:val="0"/>
        <w:ind w:left="720"/>
        <w:rPr>
          <w:lang w:val="en-US"/>
        </w:rPr>
      </w:pPr>
    </w:p>
    <w:p>
      <w:pPr>
        <w:pStyle w:val="Quot"/>
        <w:bidi w:val="0"/>
        <w:ind w:left="720"/>
        <w:rPr>
          <w:lang w:val="en-US"/>
        </w:rPr>
      </w:pPr>
      <w:r>
        <w:rPr>
          <w:rtl w:val="0"/>
          <w:lang w:val="en-US"/>
        </w:rPr>
        <w:t>There is a deep incision on the left kneecap of the Lefkandi centaur, indicating that the centaur had been wounded. The only known centaur in the mythology to have been wounded on the knee was Cheiron, who suffered from an arrow shot by Herakles.</w:t>
      </w:r>
      <w:r>
        <w:rPr>
          <w:rFonts w:ascii="Lora Regular" w:cs="Lora Regular" w:hAnsi="Lora Regular" w:eastAsia="Lora Regular"/>
          <w:b w:val="0"/>
          <w:bCs w:val="0"/>
          <w:i w:val="0"/>
          <w:iCs w:val="0"/>
          <w:vertAlign w:val="superscript"/>
          <w:lang w:val="en-US"/>
        </w:rPr>
        <w:footnoteReference w:id="28"/>
      </w:r>
    </w:p>
    <w:p>
      <w:pPr>
        <w:pStyle w:val="Quot"/>
        <w:bidi w:val="0"/>
        <w:ind w:left="720"/>
        <w:rPr>
          <w:lang w:val="en-US"/>
        </w:rPr>
      </w:pPr>
    </w:p>
    <w:p>
      <w:pPr>
        <w:pStyle w:val="Image"/>
        <w:bidi w:val="0"/>
        <w:rPr>
          <w:lang w:val="en-US"/>
        </w:rPr>
      </w:pPr>
      <w:r>
        <w:rPr>
          <w:lang w:val="en-US"/>
        </w:rPr>
        <w:drawing>
          <wp:inline distT="0" distB="0" distL="0" distR="0">
            <wp:extent cx="5943600" cy="3439427"/>
            <wp:effectExtent l="0" t="0" r="0" b="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Giza 1200 Böotes:Sagitta.jpg"/>
                    <pic:cNvPicPr>
                      <a:picLocks noChangeAspect="1"/>
                    </pic:cNvPicPr>
                  </pic:nvPicPr>
                  <pic:blipFill>
                    <a:blip r:embed="rId16">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6</w:t>
      </w:r>
      <w:r>
        <w:rPr>
          <w:rtl w:val="0"/>
          <w:lang w:val="en-US"/>
        </w:rPr>
        <w:t>. The hoof of B</w:t>
      </w:r>
      <w:r>
        <w:rPr>
          <w:rtl w:val="0"/>
          <w:lang w:val="en-US"/>
        </w:rPr>
        <w:t>ö</w:t>
      </w:r>
      <w:r>
        <w:rPr>
          <w:rtl w:val="0"/>
          <w:lang w:val="en-US"/>
        </w:rPr>
        <w:t>otes in UC with Alpha Centauri, while Sagitta, the arrow, rises.</w:t>
      </w:r>
    </w:p>
    <w:p>
      <w:pPr>
        <w:pStyle w:val="Post Quote"/>
        <w:bidi w:val="0"/>
        <w:rPr>
          <w:lang w:val="en-US"/>
        </w:rPr>
      </w:pPr>
    </w:p>
    <w:p>
      <w:pPr>
        <w:pStyle w:val="Post Quote"/>
        <w:bidi w:val="0"/>
        <w:rPr>
          <w:lang w:val="en-US"/>
        </w:rPr>
      </w:pPr>
      <w:r>
        <w:rPr>
          <w:rtl w:val="0"/>
          <w:lang w:val="en-US"/>
        </w:rPr>
        <w:t>As the hoof asterism of B</w:t>
      </w:r>
      <w:r>
        <w:rPr>
          <w:rtl w:val="0"/>
          <w:lang w:val="en-US"/>
        </w:rPr>
        <w:t>ö</w:t>
      </w:r>
      <w:r>
        <w:rPr>
          <w:rtl w:val="0"/>
          <w:lang w:val="en-US"/>
        </w:rPr>
        <w:t xml:space="preserve">otes was directly in UC with Centaurus (the constellation representative of Chiron), the arrow of Sagitta was rising, suggesting the arrow which fell on the knee (read foreleg) of Chiron and poisoned him (Chart 6). Incidentally, another famous centaur, Nessos, was also murdered by an arrow. As can be seen, supplementary constellations become suffixes appended to the principal myth giving further confirmation of </w:t>
      </w:r>
      <w:r>
        <w:rPr>
          <w:i w:val="1"/>
          <w:iCs w:val="1"/>
          <w:rtl w:val="0"/>
          <w:lang w:val="en-US"/>
        </w:rPr>
        <w:t>astrosemantic</w:t>
      </w:r>
      <w:r>
        <w:rPr>
          <w:rtl w:val="0"/>
          <w:lang w:val="en-US"/>
        </w:rPr>
        <w:t xml:space="preserve"> analysis.</w:t>
      </w:r>
    </w:p>
    <w:p>
      <w:pPr>
        <w:pStyle w:val="Post Quote"/>
        <w:bidi w:val="0"/>
        <w:rPr>
          <w:lang w:val="en-US"/>
        </w:rPr>
      </w:pPr>
    </w:p>
    <w:p>
      <w:pPr>
        <w:pStyle w:val="Body"/>
        <w:jc w:val="center"/>
        <w:rPr>
          <w:lang w:val="en-US"/>
        </w:rPr>
      </w:pPr>
      <w:r>
        <w:rPr>
          <w:lang w:val="en-US"/>
        </w:rPr>
        <w:drawing>
          <wp:inline distT="0" distB="0" distL="0" distR="0">
            <wp:extent cx="2583973" cy="1937980"/>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pasted-image.tiff"/>
                    <pic:cNvPicPr>
                      <a:picLocks noChangeAspect="1"/>
                    </pic:cNvPicPr>
                  </pic:nvPicPr>
                  <pic:blipFill>
                    <a:blip r:embed="rId17">
                      <a:extLst/>
                    </a:blip>
                    <a:stretch>
                      <a:fillRect/>
                    </a:stretch>
                  </pic:blipFill>
                  <pic:spPr>
                    <a:xfrm>
                      <a:off x="0" y="0"/>
                      <a:ext cx="2583973" cy="1937980"/>
                    </a:xfrm>
                    <a:prstGeom prst="rect">
                      <a:avLst/>
                    </a:prstGeom>
                    <a:ln w="12700" cap="flat">
                      <a:noFill/>
                      <a:miter lim="400000"/>
                    </a:ln>
                    <a:effectLst/>
                  </pic:spPr>
                </pic:pic>
              </a:graphicData>
            </a:graphic>
          </wp:inline>
        </w:drawing>
      </w:r>
    </w:p>
    <w:p>
      <w:pPr>
        <w:pStyle w:val="Caption"/>
        <w:jc w:val="center"/>
        <w:rPr>
          <w:sz w:val="20"/>
          <w:szCs w:val="20"/>
          <w:u w:val="single"/>
          <w:lang w:val="en-US"/>
        </w:rPr>
      </w:pPr>
      <w:r>
        <w:rPr>
          <w:sz w:val="20"/>
          <w:szCs w:val="20"/>
          <w:rtl w:val="0"/>
          <w:lang w:val="en-US"/>
        </w:rPr>
        <w:t xml:space="preserve">Fig. 6. </w:t>
      </w:r>
      <w:r>
        <w:rPr>
          <w:rFonts w:ascii="Lora Regular" w:hAnsi="Lora Regular"/>
          <w:sz w:val="20"/>
          <w:szCs w:val="20"/>
          <w:rtl w:val="0"/>
          <w:lang w:val="en-US"/>
        </w:rPr>
        <w:t>Heracles kills with his arrows the Centaurs while they are fleeing.</w:t>
      </w:r>
      <w:r>
        <w:rPr>
          <w:sz w:val="20"/>
          <w:szCs w:val="20"/>
          <w:rtl w:val="0"/>
          <w:lang w:val="en-US"/>
        </w:rPr>
        <w:t xml:space="preserve"> </w:t>
      </w:r>
      <w:r>
        <w:rPr>
          <w:rFonts w:ascii="Lora Regular" w:hAnsi="Lora Regular"/>
          <w:sz w:val="20"/>
          <w:szCs w:val="20"/>
          <w:rtl w:val="0"/>
          <w:lang w:val="en-US"/>
        </w:rPr>
        <w:t xml:space="preserve">Photograph by Egisto Sani, Heracles vs. Centaurs, </w:t>
      </w:r>
      <w:r>
        <w:rPr>
          <w:rFonts w:ascii="Lora Regular" w:hAnsi="Lora Regular"/>
          <w:sz w:val="20"/>
          <w:szCs w:val="20"/>
          <w:rtl w:val="0"/>
          <w:lang w:val="en-US"/>
        </w:rPr>
        <w:t>ca. 550 BC</w:t>
      </w:r>
      <w:r>
        <w:rPr>
          <w:rFonts w:ascii="Lora Regular" w:hAnsi="Lora Regular"/>
          <w:sz w:val="20"/>
          <w:szCs w:val="20"/>
          <w:rtl w:val="0"/>
          <w:lang w:val="en-US"/>
        </w:rPr>
        <w:t xml:space="preserve">, </w:t>
      </w:r>
      <w:r>
        <w:rPr>
          <w:rFonts w:ascii="Lora Regular" w:hAnsi="Lora Regular"/>
          <w:sz w:val="20"/>
          <w:szCs w:val="20"/>
          <w:rtl w:val="0"/>
          <w:lang w:val="en-US"/>
        </w:rPr>
        <w:t>Black figured Kantharos</w:t>
      </w:r>
      <w:r>
        <w:rPr>
          <w:rFonts w:ascii="Lora Regular" w:hAnsi="Lora Regular"/>
          <w:sz w:val="20"/>
          <w:szCs w:val="20"/>
          <w:rtl w:val="0"/>
          <w:lang w:val="en-US"/>
        </w:rPr>
        <w:t xml:space="preserve">, </w:t>
      </w:r>
      <w:r>
        <w:rPr>
          <w:rFonts w:ascii="Lora Regular" w:hAnsi="Lora Regular"/>
          <w:sz w:val="20"/>
          <w:szCs w:val="20"/>
          <w:rtl w:val="0"/>
          <w:lang w:val="en-US"/>
        </w:rPr>
        <w:t>Munich, Antikensammlungen</w:t>
      </w:r>
      <w:r>
        <w:rPr>
          <w:rFonts w:ascii="Lora Regular" w:hAnsi="Lora Regular"/>
          <w:sz w:val="20"/>
          <w:szCs w:val="20"/>
          <w:rtl w:val="0"/>
          <w:lang w:val="en-US"/>
        </w:rPr>
        <w:t xml:space="preserve">. Image: </w:t>
      </w:r>
      <w:r>
        <w:rPr>
          <w:rFonts w:ascii="Lora Regular" w:hAnsi="Lora Regular"/>
          <w:sz w:val="20"/>
          <w:szCs w:val="20"/>
          <w:rtl w:val="0"/>
          <w:lang w:val="en-US"/>
        </w:rPr>
        <w:t>https://www.flickr.com/photos/69716881@N02/8094358625</w:t>
      </w:r>
    </w:p>
    <w:p>
      <w:pPr>
        <w:pStyle w:val="Body"/>
        <w:bidi w:val="0"/>
        <w:rPr>
          <w:rFonts w:ascii="Lora Bold" w:cs="Lora Bold" w:hAnsi="Lora Bold" w:eastAsia="Lora Bold"/>
          <w:u w:val="single"/>
          <w:lang w:val="en-US"/>
        </w:rPr>
      </w:pPr>
    </w:p>
    <w:p>
      <w:pPr>
        <w:pStyle w:val="Body"/>
        <w:bidi w:val="0"/>
        <w:rPr>
          <w:lang w:val="en-US"/>
        </w:rPr>
      </w:pPr>
      <w:r>
        <w:rPr>
          <w:rtl w:val="0"/>
          <w:lang w:val="en-US"/>
        </w:rPr>
        <w:t>If this method for breaking down star myths continues to prove fortuitous, it should be replicable in other stories as well. This can be exemplified by the satyr, a Greek half-human half-goat, which was originally a half-horse.</w:t>
      </w:r>
      <w:r>
        <w:rPr>
          <w:rFonts w:ascii="Lora Regular" w:cs="Lora Regular" w:hAnsi="Lora Regular" w:eastAsia="Lora Regular"/>
          <w:b w:val="0"/>
          <w:bCs w:val="0"/>
          <w:i w:val="0"/>
          <w:iCs w:val="0"/>
          <w:vertAlign w:val="superscript"/>
          <w:lang w:val="en-US"/>
        </w:rPr>
        <w:footnoteReference w:id="29"/>
      </w:r>
      <w:r>
        <w:rPr>
          <w:rtl w:val="0"/>
          <w:lang w:val="en-US"/>
        </w:rPr>
        <w:t xml:space="preserve"> The evidence suggests that B</w:t>
      </w:r>
      <w:r>
        <w:rPr>
          <w:rtl w:val="0"/>
          <w:lang w:val="en-US"/>
        </w:rPr>
        <w:t>ö</w:t>
      </w:r>
      <w:r>
        <w:rPr>
          <w:rtl w:val="0"/>
          <w:lang w:val="en-US"/>
        </w:rPr>
        <w:t>otes, the multivalent foreleg, sometimes depicted a horse, bull or goat</w:t>
      </w:r>
      <w:r>
        <w:rPr>
          <w:rtl w:val="0"/>
          <w:lang w:val="en-US"/>
        </w:rPr>
        <w:t>’</w:t>
      </w:r>
      <w:r>
        <w:rPr>
          <w:rtl w:val="0"/>
          <w:lang w:val="en-US"/>
        </w:rPr>
        <w:t xml:space="preserve">s leg. The Kom Abu Yasin coffin from the XXX dynasty provides textual clues to the fusion of the satyr. The coffin, to the puzzlement of Neuegebauer and Parker, reads that Meskhetyu </w:t>
      </w:r>
      <w:r>
        <w:rPr>
          <w:rtl w:val="0"/>
          <w:lang w:val="en-US"/>
        </w:rPr>
        <w:t>‘</w:t>
      </w:r>
      <w:r>
        <w:rPr>
          <w:rtl w:val="0"/>
          <w:lang w:val="en-US"/>
        </w:rPr>
        <w:t>are the forelegs</w:t>
      </w:r>
      <w:r>
        <w:rPr>
          <w:rtl w:val="0"/>
          <w:lang w:val="en-US"/>
        </w:rPr>
        <w:t xml:space="preserve">’ </w:t>
      </w:r>
      <w:r>
        <w:rPr>
          <w:rtl w:val="0"/>
          <w:lang w:val="en-US"/>
        </w:rPr>
        <w:t>of Orion, which contradicts previous interpretations of the foreleg as Ursa Major.</w:t>
      </w:r>
      <w:r>
        <w:rPr>
          <w:rFonts w:ascii="Lora Regular" w:cs="Lora Regular" w:hAnsi="Lora Regular" w:eastAsia="Lora Regular"/>
          <w:b w:val="0"/>
          <w:bCs w:val="0"/>
          <w:i w:val="0"/>
          <w:iCs w:val="0"/>
          <w:vertAlign w:val="superscript"/>
          <w:lang w:val="en-US"/>
        </w:rPr>
        <w:footnoteReference w:id="30"/>
      </w:r>
      <w:r>
        <w:rPr>
          <w:rtl w:val="0"/>
          <w:lang w:val="en-US"/>
        </w:rPr>
        <w:t xml:space="preserve"> Lull justifies, </w:t>
      </w:r>
      <w:r>
        <w:rPr>
          <w:rtl w:val="0"/>
          <w:lang w:val="en-US"/>
        </w:rPr>
        <w:t>‘</w:t>
      </w:r>
      <w:r>
        <w:rPr>
          <w:rtl w:val="0"/>
          <w:lang w:val="en-US"/>
        </w:rPr>
        <w:t>No obstante, a veces los textos mitol</w:t>
      </w:r>
      <w:r>
        <w:rPr>
          <w:rtl w:val="0"/>
          <w:lang w:val="en-US"/>
        </w:rPr>
        <w:t>ó</w:t>
      </w:r>
      <w:r>
        <w:rPr>
          <w:rtl w:val="0"/>
          <w:lang w:val="en-US"/>
        </w:rPr>
        <w:t>gicos egipcios parecen contradictorios.</w:t>
      </w:r>
      <w:r>
        <w:rPr>
          <w:rtl w:val="0"/>
          <w:lang w:val="en-US"/>
        </w:rPr>
        <w:t>’</w:t>
      </w:r>
      <w:r>
        <w:rPr>
          <w:rFonts w:ascii="Lora Regular" w:cs="Lora Regular" w:hAnsi="Lora Regular" w:eastAsia="Lora Regular"/>
          <w:b w:val="0"/>
          <w:bCs w:val="0"/>
          <w:i w:val="0"/>
          <w:iCs w:val="0"/>
          <w:vertAlign w:val="superscript"/>
          <w:lang w:val="en-US"/>
        </w:rPr>
        <w:footnoteReference w:id="31"/>
      </w:r>
      <w:r>
        <w:rPr>
          <w:rtl w:val="0"/>
          <w:lang w:val="en-US"/>
        </w:rPr>
        <w:t xml:space="preserve"> However, this contradiction is clarified when one observes the alignment of B</w:t>
      </w:r>
      <w:r>
        <w:rPr>
          <w:rtl w:val="0"/>
          <w:lang w:val="en-US"/>
        </w:rPr>
        <w:t>ö</w:t>
      </w:r>
      <w:r>
        <w:rPr>
          <w:rtl w:val="0"/>
          <w:lang w:val="en-US"/>
        </w:rPr>
        <w:t>otes with Orion, one setting, the other rising, during the late period of ancient Egypt (Chart 7). Therefore, in accepting B</w:t>
      </w:r>
      <w:r>
        <w:rPr>
          <w:rtl w:val="0"/>
          <w:lang w:val="en-US"/>
        </w:rPr>
        <w:t>ö</w:t>
      </w:r>
      <w:r>
        <w:rPr>
          <w:rtl w:val="0"/>
          <w:lang w:val="en-US"/>
        </w:rPr>
        <w:t>otes as emblematic of the foreleg, the evidence indicates that Orion (human) + B</w:t>
      </w:r>
      <w:r>
        <w:rPr>
          <w:rtl w:val="0"/>
          <w:lang w:val="en-US"/>
        </w:rPr>
        <w:t>ö</w:t>
      </w:r>
      <w:r>
        <w:rPr>
          <w:rtl w:val="0"/>
          <w:lang w:val="en-US"/>
        </w:rPr>
        <w:t>otes (horse</w:t>
      </w:r>
      <w:r>
        <w:rPr>
          <w:rtl w:val="0"/>
          <w:lang w:val="en-US"/>
        </w:rPr>
        <w:t>’</w:t>
      </w:r>
      <w:r>
        <w:rPr>
          <w:rtl w:val="0"/>
          <w:lang w:val="en-US"/>
        </w:rPr>
        <w:t>s leg) = Satyr, which makes this astrosynthesis a probable origin for the satyr myth. Whether it be half-horse, bull, or goat, the specific animal appears to be merely a surface structure of these myths, which originated from a hooved foreleg archetype.</w:t>
      </w:r>
    </w:p>
    <w:p>
      <w:pPr>
        <w:pStyle w:val="Image"/>
        <w:bidi w:val="0"/>
        <w:rPr>
          <w:lang w:val="en-US"/>
        </w:rPr>
      </w:pPr>
    </w:p>
    <w:p>
      <w:pPr>
        <w:pStyle w:val="Image"/>
        <w:bidi w:val="0"/>
        <w:rPr>
          <w:lang w:val="en-US"/>
        </w:rPr>
      </w:pPr>
      <w:r>
        <w:rPr>
          <w:lang w:val="en-US"/>
        </w:rPr>
        <w:drawing>
          <wp:inline distT="0" distB="0" distL="0" distR="0">
            <wp:extent cx="5943600" cy="3439427"/>
            <wp:effectExtent l="0" t="0" r="0" b="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Sebennytos 380CE Böotes:Orion.jpg"/>
                    <pic:cNvPicPr>
                      <a:picLocks noChangeAspect="1"/>
                    </pic:cNvPicPr>
                  </pic:nvPicPr>
                  <pic:blipFill>
                    <a:blip r:embed="rId18">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7</w:t>
      </w:r>
      <w:r>
        <w:rPr>
          <w:rtl w:val="0"/>
          <w:lang w:val="en-US"/>
        </w:rPr>
        <w:t>. Orion rising as B</w:t>
      </w:r>
      <w:r>
        <w:rPr>
          <w:rtl w:val="0"/>
          <w:lang w:val="en-US"/>
        </w:rPr>
        <w:t>ö</w:t>
      </w:r>
      <w:r>
        <w:rPr>
          <w:rtl w:val="0"/>
          <w:lang w:val="en-US"/>
        </w:rPr>
        <w:t>otes set, as seen from Sebennytos, Egypt, capital of XXX dynasty.</w:t>
      </w:r>
    </w:p>
    <w:p>
      <w:pPr>
        <w:pStyle w:val="Body"/>
        <w:bidi w:val="0"/>
        <w:rPr>
          <w:lang w:val="en-US"/>
        </w:rPr>
      </w:pPr>
    </w:p>
    <w:p>
      <w:pPr>
        <w:pStyle w:val="Heading 2"/>
        <w:jc w:val="left"/>
        <w:rPr>
          <w:lang w:val="en-US"/>
        </w:rPr>
      </w:pPr>
      <w:r>
        <w:rPr>
          <w:rtl w:val="0"/>
          <w:lang w:val="en-US"/>
        </w:rPr>
        <w:t>The Etiology of Satyrs, Centaurs And The Foreleg Constellation</w:t>
      </w:r>
    </w:p>
    <w:p>
      <w:pPr>
        <w:pStyle w:val="Body"/>
        <w:bidi w:val="0"/>
        <w:rPr>
          <w:lang w:val="en-US"/>
        </w:rPr>
      </w:pPr>
    </w:p>
    <w:p>
      <w:pPr>
        <w:pStyle w:val="Body"/>
        <w:bidi w:val="0"/>
        <w:rPr>
          <w:lang w:val="en-US"/>
        </w:rPr>
      </w:pPr>
      <w:r>
        <w:rPr>
          <w:rtl w:val="0"/>
          <w:lang w:val="en-US"/>
        </w:rPr>
        <w:t>Having understood their origins, the etiology of each myth in their respective cultures can now be analyzed from the vantage point of the constellations. B</w:t>
      </w:r>
      <w:r>
        <w:rPr>
          <w:rtl w:val="0"/>
          <w:lang w:val="en-US"/>
        </w:rPr>
        <w:t>ö</w:t>
      </w:r>
      <w:r>
        <w:rPr>
          <w:rtl w:val="0"/>
          <w:lang w:val="en-US"/>
        </w:rPr>
        <w:t>otes served an important function as a celestial guide for aligning temples in ancient Egypt. One argument put forth, that Meskhetyu was Ursa Major, derives from the alignment of the temple of Hathor at Denderah, measured at 18</w:t>
      </w:r>
      <w:r>
        <w:rPr>
          <w:rtl w:val="0"/>
          <w:lang w:val="en-US"/>
        </w:rPr>
        <w:t>°</w:t>
      </w:r>
      <w:r>
        <w:rPr>
          <w:rtl w:val="0"/>
          <w:lang w:val="en-US"/>
        </w:rPr>
        <w:t>N, pointing to the rising of Alkaid (</w:t>
      </w:r>
      <w:r>
        <w:rPr>
          <w:rFonts w:ascii="Arial Unicode MS" w:cs="Arial Unicode MS" w:hAnsi="Arial Unicode MS" w:eastAsia="Arial Unicode MS" w:hint="default"/>
          <w:b w:val="0"/>
          <w:bCs w:val="0"/>
          <w:i w:val="0"/>
          <w:iCs w:val="0"/>
          <w:rtl w:val="0"/>
          <w:lang w:val="en-US"/>
        </w:rPr>
        <w:t>η</w:t>
      </w:r>
      <w:r>
        <w:rPr>
          <w:rtl w:val="0"/>
          <w:lang w:val="en-US"/>
        </w:rPr>
        <w:t xml:space="preserve"> </w:t>
      </w:r>
      <w:r>
        <w:rPr>
          <w:rtl w:val="0"/>
          <w:lang w:val="en-US"/>
        </w:rPr>
        <w:t>UMa</w:t>
      </w:r>
      <w:r>
        <w:rPr>
          <w:rtl w:val="0"/>
          <w:lang w:val="en-US"/>
        </w:rPr>
        <w:t xml:space="preserve">). Lull cites a text in the temple that details the </w:t>
      </w:r>
      <w:r>
        <w:rPr>
          <w:rtl w:val="0"/>
          <w:lang w:val="en-US"/>
        </w:rPr>
        <w:t>‘</w:t>
      </w:r>
      <w:r>
        <w:rPr>
          <w:rtl w:val="0"/>
          <w:lang w:val="en-US"/>
        </w:rPr>
        <w:t>stretching of the chord</w:t>
      </w:r>
      <w:r>
        <w:rPr>
          <w:rtl w:val="0"/>
          <w:lang w:val="en-US"/>
        </w:rPr>
        <w:t xml:space="preserve">’ </w:t>
      </w:r>
      <w:r>
        <w:rPr>
          <w:rtl w:val="0"/>
          <w:lang w:val="en-US"/>
        </w:rPr>
        <w:t xml:space="preserve">ceremony, and how the pharaoh, looking at the </w:t>
      </w:r>
      <w:r>
        <w:rPr>
          <w:rFonts w:ascii="Transliteration" w:hAnsi="Transliteration"/>
          <w:rtl w:val="0"/>
          <w:lang w:val="en-US"/>
        </w:rPr>
        <w:t>Ax</w:t>
      </w:r>
      <w:r>
        <w:rPr>
          <w:rtl w:val="0"/>
          <w:lang w:val="en-US"/>
        </w:rPr>
        <w:t xml:space="preserve"> of Meskhetyu, aligned the four corners of the temple.</w:t>
      </w:r>
      <w:r>
        <w:rPr>
          <w:rFonts w:ascii="Lora Regular" w:cs="Lora Regular" w:hAnsi="Lora Regular" w:eastAsia="Lora Regular"/>
          <w:b w:val="0"/>
          <w:bCs w:val="0"/>
          <w:i w:val="0"/>
          <w:iCs w:val="0"/>
          <w:vertAlign w:val="superscript"/>
          <w:lang w:val="en-US"/>
        </w:rPr>
        <w:footnoteReference w:id="32"/>
      </w:r>
      <w:r>
        <w:rPr>
          <w:rtl w:val="0"/>
          <w:lang w:val="en-US"/>
        </w:rPr>
        <w:t xml:space="preserve"> He translates </w:t>
      </w:r>
      <w:r>
        <w:rPr>
          <w:rFonts w:ascii="Transliteration" w:hAnsi="Transliteration"/>
          <w:rtl w:val="0"/>
          <w:lang w:val="en-US"/>
        </w:rPr>
        <w:t>Ax</w:t>
      </w:r>
      <w:r>
        <w:rPr>
          <w:rtl w:val="0"/>
          <w:lang w:val="en-US"/>
        </w:rPr>
        <w:t xml:space="preserve"> as </w:t>
      </w:r>
      <w:r>
        <w:rPr>
          <w:rtl w:val="0"/>
          <w:lang w:val="en-US"/>
        </w:rPr>
        <w:t>“</w:t>
      </w:r>
      <w:r>
        <w:rPr>
          <w:rtl w:val="0"/>
          <w:lang w:val="en-US"/>
        </w:rPr>
        <w:t>brilliant one</w:t>
      </w:r>
      <w:r>
        <w:rPr>
          <w:rtl w:val="0"/>
          <w:lang w:val="en-US"/>
        </w:rPr>
        <w:t>”</w:t>
      </w:r>
      <w:r>
        <w:rPr>
          <w:rtl w:val="0"/>
          <w:lang w:val="en-US"/>
        </w:rPr>
        <w:t xml:space="preserve">, which </w:t>
      </w:r>
      <w:r>
        <w:rPr>
          <w:i w:val="1"/>
          <w:iCs w:val="1"/>
          <w:rtl w:val="0"/>
          <w:lang w:val="en-US"/>
        </w:rPr>
        <w:t>prima facie</w:t>
      </w:r>
      <w:r>
        <w:rPr>
          <w:rtl w:val="0"/>
          <w:lang w:val="en-US"/>
        </w:rPr>
        <w:t xml:space="preserve"> is debatable since Alkaid is not the brightest star in Ursa Major, and secondly because </w:t>
      </w:r>
      <w:r>
        <w:rPr>
          <w:rFonts w:ascii="Transliteration" w:hAnsi="Transliteration"/>
          <w:rtl w:val="0"/>
          <w:lang w:val="en-US"/>
        </w:rPr>
        <w:t>Ax</w:t>
      </w:r>
      <w:r>
        <w:rPr>
          <w:rtl w:val="0"/>
          <w:lang w:val="en-US"/>
        </w:rPr>
        <w:t xml:space="preserve"> could also mean </w:t>
      </w:r>
      <w:r>
        <w:rPr>
          <w:rtl w:val="0"/>
          <w:lang w:val="en-US"/>
        </w:rPr>
        <w:t>‘</w:t>
      </w:r>
      <w:r>
        <w:rPr>
          <w:rtl w:val="0"/>
          <w:lang w:val="en-US"/>
        </w:rPr>
        <w:t>useful, beneficial</w:t>
      </w:r>
      <w:r>
        <w:rPr>
          <w:rtl w:val="0"/>
          <w:lang w:val="en-US"/>
        </w:rPr>
        <w:t>’</w:t>
      </w:r>
      <w:r>
        <w:rPr>
          <w:rtl w:val="0"/>
          <w:lang w:val="en-US"/>
        </w:rPr>
        <w:t>.</w:t>
      </w:r>
      <w:r>
        <w:rPr>
          <w:rFonts w:ascii="Lora Regular" w:cs="Lora Regular" w:hAnsi="Lora Regular" w:eastAsia="Lora Regular"/>
          <w:b w:val="0"/>
          <w:bCs w:val="0"/>
          <w:i w:val="0"/>
          <w:iCs w:val="0"/>
          <w:vertAlign w:val="superscript"/>
          <w:lang w:val="en-US"/>
        </w:rPr>
        <w:footnoteReference w:id="33"/>
      </w:r>
      <w:r>
        <w:rPr>
          <w:rtl w:val="0"/>
          <w:lang w:val="en-US"/>
        </w:rPr>
        <w:t xml:space="preserve"> Therefore, one could also translate it as the </w:t>
      </w:r>
      <w:r>
        <w:rPr>
          <w:rtl w:val="0"/>
          <w:lang w:val="en-US"/>
        </w:rPr>
        <w:t>‘</w:t>
      </w:r>
      <w:r>
        <w:rPr>
          <w:rtl w:val="0"/>
          <w:lang w:val="en-US"/>
        </w:rPr>
        <w:t>useful one of Meskhetyu</w:t>
      </w:r>
      <w:r>
        <w:rPr>
          <w:rtl w:val="0"/>
          <w:lang w:val="en-US"/>
        </w:rPr>
        <w:t>’</w:t>
      </w:r>
      <w:r>
        <w:rPr>
          <w:rtl w:val="0"/>
          <w:lang w:val="en-US"/>
        </w:rPr>
        <w:t xml:space="preserve">. Alkaid and the </w:t>
      </w:r>
      <w:r>
        <w:rPr>
          <w:rtl w:val="0"/>
          <w:lang w:val="en-US"/>
        </w:rPr>
        <w:t>‘</w:t>
      </w:r>
      <w:r>
        <w:rPr>
          <w:rtl w:val="0"/>
          <w:lang w:val="en-US"/>
        </w:rPr>
        <w:t>hoof</w:t>
      </w:r>
      <w:r>
        <w:rPr>
          <w:rtl w:val="0"/>
          <w:lang w:val="en-US"/>
        </w:rPr>
        <w:t xml:space="preserve">’ </w:t>
      </w:r>
      <w:r>
        <w:rPr>
          <w:rtl w:val="0"/>
          <w:lang w:val="en-US"/>
        </w:rPr>
        <w:t>of B</w:t>
      </w:r>
      <w:r>
        <w:rPr>
          <w:rtl w:val="0"/>
          <w:lang w:val="en-US"/>
        </w:rPr>
        <w:t>ö</w:t>
      </w:r>
      <w:r>
        <w:rPr>
          <w:rtl w:val="0"/>
          <w:lang w:val="en-US"/>
        </w:rPr>
        <w:t xml:space="preserve">otes aligned exactly in UC over the skies of ancient Egyptian during the construction of this temple, providing a </w:t>
      </w:r>
      <w:r>
        <w:rPr>
          <w:i w:val="1"/>
          <w:iCs w:val="1"/>
          <w:rtl w:val="0"/>
          <w:lang w:val="en-US"/>
        </w:rPr>
        <w:t>useful</w:t>
      </w:r>
      <w:r>
        <w:rPr>
          <w:rtl w:val="0"/>
          <w:lang w:val="en-US"/>
        </w:rPr>
        <w:t xml:space="preserve"> method for finding celestial North (Chart 4). Therefore, Alkaid could have served as a helper to point to Meskhetyu. Indeed archaeoastronomical alignments to Arcturus have been found in Heliopolis and the 5th dynasty sun temple of Niuserre.</w:t>
      </w:r>
      <w:r>
        <w:rPr>
          <w:rFonts w:ascii="Lora Regular" w:cs="Lora Regular" w:hAnsi="Lora Regular" w:eastAsia="Lora Regular"/>
          <w:b w:val="0"/>
          <w:bCs w:val="0"/>
          <w:i w:val="0"/>
          <w:iCs w:val="0"/>
          <w:vertAlign w:val="superscript"/>
          <w:lang w:val="en-US"/>
        </w:rPr>
        <w:footnoteReference w:id="34"/>
      </w:r>
      <w:r>
        <w:rPr>
          <w:rtl w:val="0"/>
          <w:lang w:val="en-US"/>
        </w:rPr>
        <w:t xml:space="preserve"> It should also be noted that in Greece, alignments to the heliacal rising and setting of Arcturus have been found in three different Minoan peak sanctuaries.</w:t>
      </w:r>
      <w:r>
        <w:rPr>
          <w:rFonts w:ascii="Lora Regular" w:cs="Lora Regular" w:hAnsi="Lora Regular" w:eastAsia="Lora Regular"/>
          <w:b w:val="0"/>
          <w:bCs w:val="0"/>
          <w:i w:val="0"/>
          <w:iCs w:val="0"/>
          <w:vertAlign w:val="superscript"/>
          <w:lang w:val="en-US"/>
        </w:rPr>
        <w:footnoteReference w:id="35"/>
      </w:r>
    </w:p>
    <w:p>
      <w:pPr>
        <w:pStyle w:val="Body"/>
        <w:bidi w:val="0"/>
        <w:rPr>
          <w:lang w:val="en-US"/>
        </w:rPr>
      </w:pPr>
      <w:r>
        <w:rPr>
          <w:rtl w:val="0"/>
          <w:lang w:val="en-US"/>
        </w:rPr>
        <w:t xml:space="preserve">The significance of aligning temples to this star can be found in a deceivingly small detail regarding these myths: both satyrs and centaurs were associated with wine and drunkenness. Kletter writes </w:t>
      </w:r>
      <w:r>
        <w:rPr>
          <w:rtl w:val="0"/>
          <w:lang w:val="en-US"/>
        </w:rPr>
        <w:t>‘</w:t>
      </w:r>
      <w:r>
        <w:rPr>
          <w:rtl w:val="0"/>
          <w:lang w:val="en-US"/>
        </w:rPr>
        <w:t>Centaurs are well known from Greek myths as wild and often dangerous creatures of nature, desiring wine and women, roaming woods and mountains of northern Greece in hordes, though two are singled out as wise and civilized exceptions: Chiron and Pholus</w:t>
      </w:r>
      <w:r>
        <w:rPr>
          <w:rtl w:val="0"/>
          <w:lang w:val="en-US"/>
        </w:rPr>
        <w:t>.</w:t>
      </w:r>
      <w:r>
        <w:rPr>
          <w:rtl w:val="0"/>
          <w:lang w:val="en-US"/>
        </w:rPr>
        <w:t>’</w:t>
      </w:r>
      <w:r>
        <w:rPr>
          <w:rFonts w:ascii="Lora Regular" w:cs="Lora Regular" w:hAnsi="Lora Regular" w:eastAsia="Lora Regular"/>
          <w:b w:val="0"/>
          <w:bCs w:val="0"/>
          <w:i w:val="0"/>
          <w:iCs w:val="0"/>
          <w:vertAlign w:val="superscript"/>
          <w:lang w:val="en-US"/>
        </w:rPr>
        <w:footnoteReference w:id="36"/>
      </w:r>
      <w:r>
        <w:rPr>
          <w:rtl w:val="0"/>
          <w:lang w:val="en-US"/>
        </w:rPr>
        <w:t xml:space="preserve"> On December 5</w:t>
      </w:r>
      <w:r>
        <w:rPr>
          <w:vertAlign w:val="superscript"/>
          <w:rtl w:val="0"/>
          <w:lang w:val="en-US"/>
        </w:rPr>
        <w:t>th</w:t>
      </w:r>
      <w:r>
        <w:rPr>
          <w:rtl w:val="0"/>
          <w:lang w:val="en-US"/>
        </w:rPr>
        <w:t>, the ancient Romans celebrated Faunalia, in honor of the satyr god Faunus.</w:t>
      </w:r>
      <w:r>
        <w:rPr>
          <w:rFonts w:ascii="Lora Regular" w:cs="Lora Regular" w:hAnsi="Lora Regular" w:eastAsia="Lora Regular"/>
          <w:b w:val="0"/>
          <w:bCs w:val="0"/>
          <w:i w:val="0"/>
          <w:iCs w:val="0"/>
          <w:vertAlign w:val="superscript"/>
          <w:lang w:val="en-US"/>
        </w:rPr>
        <w:footnoteReference w:id="37"/>
      </w:r>
      <w:r>
        <w:rPr>
          <w:rtl w:val="0"/>
          <w:lang w:val="en-US"/>
        </w:rPr>
        <w:t xml:space="preserve"> His symbols were the goatskin and goblet, and satyrs would often accompany the god of wine Bacchus, syncretic with Greek Dionysus (Fig. 7). According to Herodotus, </w:t>
      </w:r>
      <w:r>
        <w:rPr>
          <w:rtl w:val="0"/>
          <w:lang w:val="en-US"/>
        </w:rPr>
        <w:t>‘</w:t>
      </w:r>
      <w:r>
        <w:rPr>
          <w:rtl w:val="0"/>
          <w:lang w:val="en-US"/>
        </w:rPr>
        <w:t>Osiris is, in the Greek language, Dionysus</w:t>
      </w:r>
      <w:r>
        <w:rPr>
          <w:rtl w:val="0"/>
          <w:lang w:val="en-US"/>
        </w:rPr>
        <w:t>’</w:t>
      </w:r>
      <w:r>
        <w:rPr>
          <w:rFonts w:ascii="Lora Regular" w:cs="Lora Regular" w:hAnsi="Lora Regular" w:eastAsia="Lora Regular"/>
          <w:b w:val="0"/>
          <w:bCs w:val="0"/>
          <w:i w:val="0"/>
          <w:iCs w:val="0"/>
          <w:vertAlign w:val="superscript"/>
          <w:lang w:val="en-US"/>
        </w:rPr>
        <w:footnoteReference w:id="38"/>
      </w:r>
      <w:r>
        <w:rPr>
          <w:rtl w:val="0"/>
          <w:lang w:val="en-US"/>
        </w:rPr>
        <w:t xml:space="preserve"> who by extension would also represent Orion, as stated in the Pyramid Texts.</w:t>
      </w:r>
      <w:r>
        <w:rPr>
          <w:rFonts w:ascii="Lora Regular" w:cs="Lora Regular" w:hAnsi="Lora Regular" w:eastAsia="Lora Regular"/>
          <w:b w:val="0"/>
          <w:bCs w:val="0"/>
          <w:i w:val="0"/>
          <w:iCs w:val="0"/>
          <w:vertAlign w:val="superscript"/>
          <w:lang w:val="en-US"/>
        </w:rPr>
        <w:footnoteReference w:id="39"/>
      </w:r>
      <w:r>
        <w:rPr>
          <w:rtl w:val="0"/>
          <w:lang w:val="en-US"/>
        </w:rPr>
        <w:t xml:space="preserve"> </w:t>
      </w:r>
      <w:r>
        <w:rPr>
          <w:rtl w:val="0"/>
          <w:lang w:val="en-US"/>
        </w:rPr>
        <w:t>Ptolemaeus Chennus of Alexandria</w:t>
      </w:r>
      <w:r>
        <w:rPr>
          <w:rtl w:val="0"/>
          <w:lang w:val="en-US"/>
        </w:rPr>
        <w:t xml:space="preserve"> wrote in the 1st century that </w:t>
      </w:r>
      <w:r>
        <w:rPr>
          <w:rtl w:val="0"/>
          <w:lang w:val="en-US"/>
        </w:rPr>
        <w:t>‘</w:t>
      </w:r>
      <w:r>
        <w:rPr>
          <w:rtl w:val="0"/>
          <w:lang w:val="en-US"/>
        </w:rPr>
        <w:t>Dionysus was loved by Chiron, from whom he learned chants and dances, the bacchic rites and initiations.</w:t>
      </w:r>
      <w:r>
        <w:rPr>
          <w:rtl w:val="0"/>
          <w:lang w:val="en-US"/>
        </w:rPr>
        <w:t>’</w:t>
      </w:r>
      <w:r>
        <w:rPr>
          <w:rFonts w:ascii="Lora Regular" w:cs="Lora Regular" w:hAnsi="Lora Regular" w:eastAsia="Lora Regular"/>
          <w:b w:val="0"/>
          <w:bCs w:val="0"/>
          <w:i w:val="0"/>
          <w:iCs w:val="0"/>
          <w:vertAlign w:val="superscript"/>
          <w:lang w:val="en-US"/>
        </w:rPr>
        <w:footnoteReference w:id="40"/>
      </w:r>
      <w:r>
        <w:rPr>
          <w:rtl w:val="0"/>
          <w:lang w:val="en-US"/>
        </w:rPr>
        <w:t xml:space="preserve"> Therefore, it is not surprising that at sunset on the day of the December Faunalia, as Arcturus would set, Orion would rise in the East (Chart 8).</w:t>
      </w:r>
    </w:p>
    <w:p>
      <w:pPr>
        <w:pStyle w:val="Body"/>
        <w:bidi w:val="0"/>
        <w:rPr>
          <w:lang w:val="en-US"/>
        </w:rPr>
      </w:pPr>
    </w:p>
    <w:p>
      <w:pPr>
        <w:pStyle w:val="Image"/>
        <w:bidi w:val="0"/>
        <w:rPr>
          <w:lang w:val="en-US"/>
        </w:rPr>
      </w:pPr>
      <w:r>
        <w:rPr>
          <w:lang w:val="en-US"/>
        </w:rPr>
        <w:drawing>
          <wp:inline distT="0" distB="0" distL="0" distR="0">
            <wp:extent cx="5943600" cy="3439427"/>
            <wp:effectExtent l="0" t="0" r="0" b="0"/>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Rome 400BCE Faunalia S.jpg"/>
                    <pic:cNvPicPr>
                      <a:picLocks noChangeAspect="1"/>
                    </pic:cNvPicPr>
                  </pic:nvPicPr>
                  <pic:blipFill>
                    <a:blip r:embed="rId19">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8.</w:t>
      </w:r>
      <w:r>
        <w:rPr>
          <w:rtl w:val="0"/>
          <w:lang w:val="en-US"/>
        </w:rPr>
        <w:t xml:space="preserve"> Arcturus setting while Orion rose as seen in Rome, 400 BCE.</w:t>
      </w:r>
    </w:p>
    <w:p>
      <w:pPr>
        <w:pStyle w:val="Body"/>
        <w:bidi w:val="0"/>
        <w:rPr>
          <w:lang w:val="en-US"/>
        </w:rPr>
      </w:pPr>
    </w:p>
    <w:p>
      <w:pPr>
        <w:pStyle w:val="Body"/>
        <w:bidi w:val="0"/>
        <w:rPr>
          <w:lang w:val="en-US"/>
        </w:rPr>
      </w:pPr>
      <w:r>
        <w:rPr>
          <w:rtl w:val="0"/>
          <w:lang w:val="en-US"/>
        </w:rPr>
        <w:t>Hesiod</w:t>
      </w:r>
      <w:r>
        <w:rPr>
          <w:rtl w:val="0"/>
          <w:lang w:val="en-US"/>
        </w:rPr>
        <w:t>’</w:t>
      </w:r>
      <w:r>
        <w:rPr>
          <w:rtl w:val="0"/>
          <w:lang w:val="en-US"/>
        </w:rPr>
        <w:t>s 'Works and Days</w:t>
      </w:r>
      <w:r>
        <w:rPr>
          <w:rtl w:val="0"/>
          <w:lang w:val="en-US"/>
        </w:rPr>
        <w:t xml:space="preserve">’ </w:t>
      </w:r>
      <w:r>
        <w:rPr>
          <w:rtl w:val="0"/>
          <w:lang w:val="en-US"/>
        </w:rPr>
        <w:t xml:space="preserve">cites Arcturus, </w:t>
      </w:r>
      <w:r>
        <w:rPr>
          <w:rtl w:val="0"/>
          <w:lang w:val="en-US"/>
        </w:rPr>
        <w:t>‘</w:t>
      </w:r>
      <w:r>
        <w:rPr>
          <w:rtl w:val="0"/>
          <w:lang w:val="en-US"/>
        </w:rPr>
        <w:t>But when Orion and Sirius are come into midheaven,</w:t>
      </w:r>
      <w:r>
        <w:rPr>
          <w:rtl w:val="0"/>
          <w:lang w:val="en-US"/>
        </w:rPr>
        <w:t xml:space="preserve"> </w:t>
      </w:r>
      <w:r>
        <w:rPr>
          <w:rtl w:val="0"/>
          <w:lang w:val="en-US"/>
        </w:rPr>
        <w:t>and rosy-fingered Dawn sees Arcturus,</w:t>
      </w:r>
      <w:r>
        <w:rPr>
          <w:rtl w:val="0"/>
          <w:lang w:val="en-US"/>
        </w:rPr>
        <w:t xml:space="preserve"> </w:t>
      </w:r>
      <w:r>
        <w:rPr>
          <w:rtl w:val="0"/>
          <w:lang w:val="en-US"/>
        </w:rPr>
        <w:t>then cut off all the grape-clusters</w:t>
      </w:r>
      <w:r>
        <w:rPr>
          <w:rtl w:val="0"/>
          <w:lang w:val="en-US"/>
        </w:rPr>
        <w:t>’</w:t>
      </w:r>
      <w:r>
        <w:rPr>
          <w:rtl w:val="0"/>
          <w:lang w:val="en-US"/>
        </w:rPr>
        <w:t>.</w:t>
      </w:r>
      <w:r>
        <w:rPr>
          <w:rFonts w:ascii="Lora Regular" w:cs="Lora Regular" w:hAnsi="Lora Regular" w:eastAsia="Lora Regular"/>
          <w:b w:val="0"/>
          <w:bCs w:val="0"/>
          <w:i w:val="0"/>
          <w:iCs w:val="0"/>
          <w:vertAlign w:val="superscript"/>
          <w:lang w:val="en-US"/>
        </w:rPr>
        <w:footnoteReference w:id="41"/>
      </w:r>
      <w:r>
        <w:rPr>
          <w:rtl w:val="0"/>
          <w:lang w:val="en-US"/>
        </w:rPr>
        <w:t xml:space="preserve"> During the September grape harvest, as indicated by Hesiod, B</w:t>
      </w:r>
      <w:r>
        <w:rPr>
          <w:rtl w:val="0"/>
          <w:lang w:val="en-US"/>
        </w:rPr>
        <w:t>ö</w:t>
      </w:r>
      <w:r>
        <w:rPr>
          <w:rtl w:val="0"/>
          <w:lang w:val="en-US"/>
        </w:rPr>
        <w:t xml:space="preserve">otes was rising, Orion as Bacchus was in UC, and the constellation of Crater, the water-cup, was also in ascendance (Chart 9). In this context, the water cup may be interpreted as the characteristic wine goblet held by Faunus and Bacchus, appending the </w:t>
      </w:r>
      <w:r>
        <w:rPr>
          <w:rtl w:val="0"/>
          <w:lang w:val="en-US"/>
        </w:rPr>
        <w:t>‘</w:t>
      </w:r>
      <w:r>
        <w:rPr>
          <w:rtl w:val="0"/>
          <w:lang w:val="en-US"/>
        </w:rPr>
        <w:t>drunkenness</w:t>
      </w:r>
      <w:r>
        <w:rPr>
          <w:rtl w:val="0"/>
          <w:lang w:val="en-US"/>
        </w:rPr>
        <w:t xml:space="preserve">’ </w:t>
      </w:r>
      <w:r>
        <w:rPr>
          <w:rtl w:val="0"/>
          <w:lang w:val="en-US"/>
        </w:rPr>
        <w:t>to these polysynthetic myths. As B</w:t>
      </w:r>
      <w:r>
        <w:rPr>
          <w:rtl w:val="0"/>
          <w:lang w:val="en-US"/>
        </w:rPr>
        <w:t>ö</w:t>
      </w:r>
      <w:r>
        <w:rPr>
          <w:rtl w:val="0"/>
          <w:lang w:val="en-US"/>
        </w:rPr>
        <w:t xml:space="preserve">otes finished rising, Canis Major would cross the midheaven, as the cords of Pisces set, demystifying the origin of Faunus as Lupercus, or </w:t>
      </w:r>
      <w:r>
        <w:rPr>
          <w:rtl w:val="0"/>
          <w:lang w:val="en-US"/>
        </w:rPr>
        <w:t>‘</w:t>
      </w:r>
      <w:r>
        <w:rPr>
          <w:rtl w:val="0"/>
          <w:lang w:val="en-US"/>
        </w:rPr>
        <w:t>he who wards off the wolf</w:t>
      </w:r>
      <w:r>
        <w:rPr>
          <w:rtl w:val="0"/>
          <w:lang w:val="en-US"/>
        </w:rPr>
        <w:t>’</w:t>
      </w:r>
      <w:r>
        <w:rPr>
          <w:rtl w:val="0"/>
          <w:lang w:val="en-US"/>
        </w:rPr>
        <w:t>, whose priests during the fertility festival of Lupercalia whipped women on the hand with leather cords.</w:t>
      </w:r>
      <w:r>
        <w:rPr>
          <w:rFonts w:ascii="Lora Regular" w:cs="Lora Regular" w:hAnsi="Lora Regular" w:eastAsia="Lora Regular"/>
          <w:b w:val="0"/>
          <w:bCs w:val="0"/>
          <w:i w:val="0"/>
          <w:iCs w:val="0"/>
          <w:vertAlign w:val="superscript"/>
          <w:lang w:val="en-US"/>
        </w:rPr>
        <w:footnoteReference w:id="42"/>
      </w:r>
      <w:r>
        <w:rPr>
          <w:rtl w:val="0"/>
          <w:lang w:val="en-US"/>
        </w:rPr>
        <w:t xml:space="preserve"> Additionally, this clarifies the cryptic text from Esna, which surprised Neuegebauer and Parker, when it stated that Sothis (Sirius) tethered (cords of Pisces) Meskhetyu (B</w:t>
      </w:r>
      <w:r>
        <w:rPr>
          <w:rtl w:val="0"/>
          <w:lang w:val="en-US"/>
        </w:rPr>
        <w:t>ö</w:t>
      </w:r>
      <w:r>
        <w:rPr>
          <w:rtl w:val="0"/>
          <w:lang w:val="en-US"/>
        </w:rPr>
        <w:t>otes), as well as the Ptolemaic Papyrus of Jumilhac that mythologized Seth as a red dog (read Canis Major) being dismembered by Horus.</w:t>
      </w:r>
      <w:r>
        <w:rPr>
          <w:rFonts w:ascii="Lora Regular" w:cs="Lora Regular" w:hAnsi="Lora Regular" w:eastAsia="Lora Regular"/>
          <w:b w:val="0"/>
          <w:bCs w:val="0"/>
          <w:i w:val="0"/>
          <w:iCs w:val="0"/>
          <w:vertAlign w:val="superscript"/>
          <w:lang w:val="en-US"/>
        </w:rPr>
        <w:footnoteReference w:id="43"/>
      </w:r>
    </w:p>
    <w:p>
      <w:pPr>
        <w:pStyle w:val="Body"/>
        <w:bidi w:val="0"/>
        <w:rPr>
          <w:lang w:val="en-US"/>
        </w:rPr>
      </w:pPr>
    </w:p>
    <w:p>
      <w:pPr>
        <w:pStyle w:val="Body"/>
        <w:jc w:val="center"/>
        <w:rPr>
          <w:lang w:val="en-US"/>
        </w:rPr>
      </w:pPr>
      <w:r>
        <w:rPr>
          <w:lang w:val="en-US"/>
        </w:rPr>
        <w:drawing>
          <wp:inline distT="0" distB="0" distL="0" distR="0">
            <wp:extent cx="2613085" cy="2586954"/>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pasted-image.tiff"/>
                    <pic:cNvPicPr>
                      <a:picLocks noChangeAspect="1"/>
                    </pic:cNvPicPr>
                  </pic:nvPicPr>
                  <pic:blipFill>
                    <a:blip r:embed="rId20">
                      <a:extLst/>
                    </a:blip>
                    <a:stretch>
                      <a:fillRect/>
                    </a:stretch>
                  </pic:blipFill>
                  <pic:spPr>
                    <a:xfrm>
                      <a:off x="0" y="0"/>
                      <a:ext cx="2613085" cy="2586954"/>
                    </a:xfrm>
                    <a:prstGeom prst="rect">
                      <a:avLst/>
                    </a:prstGeom>
                    <a:ln w="12700" cap="flat">
                      <a:noFill/>
                      <a:miter lim="400000"/>
                    </a:ln>
                    <a:effectLst/>
                  </pic:spPr>
                </pic:pic>
              </a:graphicData>
            </a:graphic>
          </wp:inline>
        </w:drawing>
      </w:r>
      <w:r>
        <w:rPr>
          <w:vertAlign w:val="superscript"/>
          <w:lang w:val="en-US"/>
        </w:rPr>
        <w:footnoteReference w:id="44"/>
      </w:r>
    </w:p>
    <w:p>
      <w:pPr>
        <w:pStyle w:val="Caption"/>
        <w:jc w:val="center"/>
        <w:rPr>
          <w:sz w:val="20"/>
          <w:szCs w:val="20"/>
          <w:lang w:val="en-US"/>
        </w:rPr>
      </w:pPr>
      <w:r>
        <w:rPr>
          <w:sz w:val="20"/>
          <w:szCs w:val="20"/>
          <w:rtl w:val="0"/>
          <w:lang w:val="en-US"/>
        </w:rPr>
        <w:t xml:space="preserve">Fig. 7. </w:t>
      </w:r>
      <w:r>
        <w:rPr>
          <w:rFonts w:ascii="Lora Regular" w:hAnsi="Lora Regular"/>
          <w:sz w:val="20"/>
          <w:szCs w:val="20"/>
          <w:rtl w:val="0"/>
          <w:lang w:val="en-US"/>
        </w:rPr>
        <w:t>Dionysus is attended by a Satyriscus (child Satyr).</w:t>
      </w:r>
      <w:r>
        <w:rPr>
          <w:rFonts w:ascii="Lora Regular" w:hAnsi="Lora Regular"/>
          <w:sz w:val="20"/>
          <w:szCs w:val="20"/>
          <w:rtl w:val="0"/>
          <w:lang w:val="en-US"/>
        </w:rPr>
        <w:t xml:space="preserve"> </w:t>
      </w:r>
      <w:r>
        <w:rPr>
          <w:rFonts w:ascii="Lora Regular" w:hAnsi="Lora Regular"/>
          <w:sz w:val="20"/>
          <w:szCs w:val="20"/>
          <w:rtl w:val="0"/>
          <w:lang w:val="en-US"/>
        </w:rPr>
        <w:t>Makron</w:t>
      </w:r>
      <w:r>
        <w:rPr>
          <w:rFonts w:ascii="Lora Regular" w:hAnsi="Lora Regular"/>
          <w:sz w:val="20"/>
          <w:szCs w:val="20"/>
          <w:rtl w:val="0"/>
          <w:lang w:val="en-US"/>
        </w:rPr>
        <w:t xml:space="preserve">, </w:t>
      </w:r>
      <w:r>
        <w:rPr>
          <w:rFonts w:ascii="Lora Regular" w:hAnsi="Lora Regular"/>
          <w:sz w:val="20"/>
          <w:szCs w:val="20"/>
          <w:rtl w:val="0"/>
          <w:lang w:val="en-US"/>
        </w:rPr>
        <w:t>K12.6</w:t>
      </w:r>
      <w:r>
        <w:rPr>
          <w:rFonts w:ascii="Lora Regular" w:hAnsi="Lora Regular"/>
          <w:sz w:val="20"/>
          <w:szCs w:val="20"/>
          <w:rtl w:val="0"/>
          <w:lang w:val="en-US"/>
        </w:rPr>
        <w:t xml:space="preserve">, </w:t>
      </w:r>
      <w:r>
        <w:rPr>
          <w:rFonts w:ascii="Lora Regular" w:hAnsi="Lora Regular"/>
          <w:sz w:val="20"/>
          <w:szCs w:val="20"/>
          <w:rtl w:val="0"/>
          <w:lang w:val="en-US"/>
        </w:rPr>
        <w:t>ca. 490-480 B.C.</w:t>
      </w:r>
      <w:r>
        <w:rPr>
          <w:rFonts w:ascii="Lora Regular" w:hAnsi="Lora Regular"/>
          <w:sz w:val="20"/>
          <w:szCs w:val="20"/>
          <w:rtl w:val="0"/>
          <w:lang w:val="en-US"/>
        </w:rPr>
        <w:t xml:space="preserve">, </w:t>
      </w:r>
      <w:r>
        <w:rPr>
          <w:rFonts w:ascii="Lora Regular" w:hAnsi="Lora Regular"/>
          <w:sz w:val="20"/>
          <w:szCs w:val="20"/>
          <w:rtl w:val="0"/>
          <w:lang w:val="en-US"/>
        </w:rPr>
        <w:t>Attic Red Figure</w:t>
      </w:r>
      <w:r>
        <w:rPr>
          <w:rFonts w:ascii="Lora Regular" w:hAnsi="Lora Regular"/>
          <w:sz w:val="20"/>
          <w:szCs w:val="20"/>
          <w:rtl w:val="0"/>
          <w:lang w:val="en-US"/>
        </w:rPr>
        <w:t xml:space="preserve">, </w:t>
      </w:r>
      <w:r>
        <w:rPr>
          <w:rFonts w:ascii="Lora Regular" w:hAnsi="Lora Regular"/>
          <w:sz w:val="20"/>
          <w:szCs w:val="20"/>
          <w:rtl w:val="0"/>
          <w:lang w:val="en-US"/>
        </w:rPr>
        <w:t>Museum of Fine Arts, Boston</w:t>
      </w:r>
      <w:r>
        <w:rPr>
          <w:rFonts w:ascii="Lora Regular" w:hAnsi="Lora Regular"/>
          <w:sz w:val="20"/>
          <w:szCs w:val="20"/>
          <w:rtl w:val="0"/>
          <w:lang w:val="en-US"/>
        </w:rPr>
        <w:t xml:space="preserve">. Image: </w:t>
      </w:r>
      <w:r>
        <w:rPr>
          <w:rFonts w:ascii="Lora Regular" w:hAnsi="Lora Regular"/>
          <w:sz w:val="20"/>
          <w:szCs w:val="20"/>
          <w:rtl w:val="0"/>
          <w:lang w:val="en-US"/>
        </w:rPr>
        <w:t>https://www.theoi.com/Gallery/K12.6.html</w:t>
      </w:r>
    </w:p>
    <w:p>
      <w:pPr>
        <w:pStyle w:val="Body"/>
        <w:bidi w:val="0"/>
        <w:rPr>
          <w:lang w:val="en-US"/>
        </w:rPr>
      </w:pPr>
    </w:p>
    <w:p>
      <w:pPr>
        <w:pStyle w:val="Body"/>
        <w:bidi w:val="0"/>
        <w:rPr>
          <w:lang w:val="en-US"/>
        </w:rPr>
      </w:pPr>
      <w:r>
        <w:rPr>
          <w:rtl w:val="0"/>
          <w:lang w:val="en-US"/>
        </w:rPr>
        <w:t>This provides further evidence that the association of satyrs and centaurs with wine was not merely mythological, but also astronomical and calendrical in nature. These astrosynthetic details were given semantic value by the grape harvest time. One can easily imagine a Bronze Age Mediterranean farmer and story-teller, with the knowledge of primitive constellations acquired from his ancestors, observing the synchronicity between these constellations on the horizon and christening a hybrid mythical creature as a marker for the ripening grapes. Once the syntax of the stars are analyzed, one can understand that the constellations themselves are diachronic, with the exception of a few neighbouring stars, while their relations are synchronic.</w:t>
      </w:r>
    </w:p>
    <w:p>
      <w:pPr>
        <w:pStyle w:val="Body"/>
        <w:bidi w:val="0"/>
        <w:rPr>
          <w:lang w:val="en-US"/>
        </w:rPr>
      </w:pPr>
    </w:p>
    <w:p>
      <w:pPr>
        <w:pStyle w:val="Image"/>
        <w:bidi w:val="0"/>
        <w:rPr>
          <w:lang w:val="en-US"/>
        </w:rPr>
      </w:pPr>
      <w:r>
        <w:rPr>
          <w:lang w:val="en-US"/>
        </w:rPr>
        <w:drawing>
          <wp:inline distT="0" distB="0" distL="0" distR="0">
            <wp:extent cx="5943600" cy="3439427"/>
            <wp:effectExtent l="0" t="0" r="0" b="0"/>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Athens 700 BCE Grapes.jpg"/>
                    <pic:cNvPicPr>
                      <a:picLocks noChangeAspect="1"/>
                    </pic:cNvPicPr>
                  </pic:nvPicPr>
                  <pic:blipFill>
                    <a:blip r:embed="rId21">
                      <a:extLst/>
                    </a:blip>
                    <a:stretch>
                      <a:fillRect/>
                    </a:stretch>
                  </pic:blipFill>
                  <pic:spPr>
                    <a:xfrm>
                      <a:off x="0" y="0"/>
                      <a:ext cx="5943600" cy="3439427"/>
                    </a:xfrm>
                    <a:prstGeom prst="rect">
                      <a:avLst/>
                    </a:prstGeom>
                    <a:ln w="12700" cap="flat">
                      <a:noFill/>
                      <a:miter lim="400000"/>
                    </a:ln>
                    <a:effectLst/>
                  </pic:spPr>
                </pic:pic>
              </a:graphicData>
            </a:graphic>
          </wp:inline>
        </w:drawing>
      </w:r>
    </w:p>
    <w:p>
      <w:pPr>
        <w:pStyle w:val="Image Caption"/>
        <w:bidi w:val="0"/>
        <w:rPr>
          <w:lang w:val="en-US"/>
        </w:rPr>
      </w:pPr>
      <w:r>
        <w:rPr>
          <w:rFonts w:ascii="Lora Bold" w:hAnsi="Lora Bold"/>
          <w:rtl w:val="0"/>
          <w:lang w:val="en-US"/>
        </w:rPr>
        <w:t>Chart 9.</w:t>
      </w:r>
      <w:r>
        <w:rPr>
          <w:rtl w:val="0"/>
          <w:lang w:val="en-US"/>
        </w:rPr>
        <w:t xml:space="preserve"> B</w:t>
      </w:r>
      <w:r>
        <w:rPr>
          <w:rtl w:val="0"/>
          <w:lang w:val="en-US"/>
        </w:rPr>
        <w:t>ö</w:t>
      </w:r>
      <w:r>
        <w:rPr>
          <w:rtl w:val="0"/>
          <w:lang w:val="en-US"/>
        </w:rPr>
        <w:t>otes, the satyr, rising with Crater, the cup, while Orion, as Dionysus, was in UC, during the September grape harvest, Hesiod</w:t>
      </w:r>
      <w:r>
        <w:rPr>
          <w:rtl w:val="0"/>
          <w:lang w:val="en-US"/>
        </w:rPr>
        <w:t>’</w:t>
      </w:r>
      <w:r>
        <w:rPr>
          <w:rtl w:val="0"/>
          <w:lang w:val="en-US"/>
        </w:rPr>
        <w:t>s time in ancient Greece.</w:t>
      </w:r>
    </w:p>
    <w:p>
      <w:pPr>
        <w:pStyle w:val="Body"/>
        <w:bidi w:val="0"/>
        <w:rPr>
          <w:lang w:val="en-US"/>
        </w:rPr>
      </w:pPr>
    </w:p>
    <w:p>
      <w:pPr>
        <w:pStyle w:val="Heading 2"/>
        <w:jc w:val="left"/>
        <w:rPr>
          <w:lang w:val="en-US"/>
        </w:rPr>
      </w:pPr>
      <w:r>
        <w:rPr>
          <w:rtl w:val="0"/>
          <w:lang w:val="en-US"/>
        </w:rPr>
        <w:t>Conclusion</w:t>
      </w:r>
    </w:p>
    <w:p>
      <w:pPr>
        <w:pStyle w:val="Body"/>
        <w:bidi w:val="0"/>
        <w:rPr>
          <w:lang w:val="en-US"/>
        </w:rPr>
      </w:pPr>
    </w:p>
    <w:p>
      <w:pPr>
        <w:pStyle w:val="Body"/>
        <w:bidi w:val="0"/>
        <w:rPr>
          <w:lang w:val="en-US"/>
        </w:rPr>
      </w:pPr>
      <w:r>
        <w:rPr>
          <w:rtl w:val="0"/>
          <w:lang w:val="en-US"/>
        </w:rPr>
        <w:t xml:space="preserve">As Brenner points out: </w:t>
      </w:r>
      <w:r>
        <w:rPr>
          <w:rtl w:val="0"/>
          <w:lang w:val="en-US"/>
        </w:rPr>
        <w:t>‘</w:t>
      </w:r>
      <w:r>
        <w:rPr>
          <w:rtl w:val="0"/>
          <w:lang w:val="en-US"/>
        </w:rPr>
        <w:t>One aspect of L</w:t>
      </w:r>
      <w:r>
        <w:rPr>
          <w:rtl w:val="0"/>
          <w:lang w:val="en-US"/>
        </w:rPr>
        <w:t>é</w:t>
      </w:r>
      <w:r>
        <w:rPr>
          <w:rtl w:val="0"/>
          <w:lang w:val="en-US"/>
        </w:rPr>
        <w:t>vi-Strauss's theory subjected to criticism is that the abstract level on which the 'algebra operates does not permit 'scientific' verification, because the transformation of the myths resulting from the manipulation of the symbols is not reversible, and also the manipulation often appears arbitrary.</w:t>
      </w:r>
      <w:r>
        <w:rPr>
          <w:rtl w:val="0"/>
          <w:lang w:val="en-US"/>
        </w:rPr>
        <w:t>’</w:t>
      </w:r>
      <w:r>
        <w:rPr>
          <w:rFonts w:ascii="Lora Regular" w:cs="Lora Regular" w:hAnsi="Lora Regular" w:eastAsia="Lora Regular"/>
          <w:b w:val="0"/>
          <w:bCs w:val="0"/>
          <w:i w:val="0"/>
          <w:iCs w:val="0"/>
          <w:vertAlign w:val="superscript"/>
          <w:lang w:val="en-US"/>
        </w:rPr>
        <w:footnoteReference w:id="45"/>
      </w:r>
      <w:r>
        <w:rPr>
          <w:rtl w:val="0"/>
          <w:lang w:val="en-US"/>
        </w:rPr>
        <w:t xml:space="preserve"> By partitioning the myth and its imagery into its granular constituent constellations, the atoms of myths become apparent, allowing one to reverse engineer their genealogies, as they evolved, mutated, and fused. As such it is possible to trace their DNA, from the simple yet archetypal foreleg to convoluted myths of bow-and-arrow wielding scorpion-tailed centaurs to wine-drinking lascivious satyrs. These morphological transformations, may not have originated solely as a result of precession and latitude dependent contexts, but also may have occurred as religious obfuscation or for cultural divergence from nonnative sources. However, there appears to be a continuity in function, as calendrical, architectural and religious guides. Data triangulation of disparate myths and cultures also serves to confirm the identifications, such as B</w:t>
      </w:r>
      <w:r>
        <w:rPr>
          <w:rtl w:val="0"/>
          <w:lang w:val="en-US"/>
        </w:rPr>
        <w:t>ö</w:t>
      </w:r>
      <w:r>
        <w:rPr>
          <w:rtl w:val="0"/>
          <w:lang w:val="en-US"/>
        </w:rPr>
        <w:t>otes with Meskhetyu, and confirms the linguistic breakdown of the constellation myths into their minimal units. As briefly demonstrated, constellational analysis of a myth has the potential to reveal deep structures, the source-code of semantic astronomical constructions.</w:t>
      </w:r>
    </w:p>
    <w:p>
      <w:pPr>
        <w:pStyle w:val="Body"/>
        <w:bidi w:val="0"/>
        <w:rPr>
          <w:lang w:val="en-US"/>
        </w:rPr>
      </w:pPr>
    </w:p>
    <w:p>
      <w:pPr>
        <w:pStyle w:val="Body"/>
        <w:bidi w:val="0"/>
      </w:pPr>
      <w:r>
        <w:rPr>
          <w:rFonts w:ascii="Arial Unicode MS" w:cs="Arial Unicode MS" w:hAnsi="Arial Unicode MS" w:eastAsia="Arial Unicode MS"/>
          <w:b w:val="0"/>
          <w:bCs w:val="0"/>
          <w:i w:val="0"/>
          <w:iCs w:val="0"/>
        </w:rPr>
        <w:br w:type="page"/>
      </w:r>
    </w:p>
    <w:p>
      <w:pPr>
        <w:pStyle w:val="Heading 2"/>
        <w:bidi w:val="0"/>
      </w:pPr>
      <w:r>
        <w:rPr>
          <w:rFonts w:cs="Arial Unicode MS" w:eastAsia="Arial Unicode MS"/>
          <w:rtl w:val="0"/>
          <w:lang w:val="fr-FR"/>
        </w:rPr>
        <w:t>Bibliography</w:t>
      </w:r>
    </w:p>
    <w:p>
      <w:pPr>
        <w:pStyle w:val="Heading"/>
        <w:rPr>
          <w:rFonts w:ascii="Lora Bold" w:cs="Lora Bold" w:hAnsi="Lora Bold" w:eastAsia="Lora Bold"/>
          <w:outline w:val="0"/>
          <w:color w:val="434343"/>
          <w14:textFill>
            <w14:solidFill>
              <w14:srgbClr w14:val="444444"/>
            </w14:solidFill>
          </w14:textFill>
        </w:rPr>
      </w:pPr>
      <w:r>
        <w:rPr>
          <w:rFonts w:ascii="Lora Bold" w:hAnsi="Lora Bold"/>
          <w:outline w:val="0"/>
          <w:color w:val="434343"/>
          <w:rtl w:val="0"/>
          <w:lang w:val="en-US"/>
          <w14:textFill>
            <w14:solidFill>
              <w14:srgbClr w14:val="444444"/>
            </w14:solidFill>
          </w14:textFill>
        </w:rPr>
        <w:t>Primary Sources</w:t>
      </w:r>
    </w:p>
    <w:p>
      <w:pPr>
        <w:pStyle w:val="Body 2"/>
        <w:bidi w:val="0"/>
      </w:pPr>
    </w:p>
    <w:p>
      <w:pPr>
        <w:pStyle w:val="Body 2"/>
        <w:ind w:left="283" w:hanging="283"/>
      </w:pPr>
      <w:r>
        <w:rPr>
          <w:rtl w:val="0"/>
          <w:lang w:val="de-DE"/>
        </w:rPr>
        <w:t>Allen, James P., and Peter Der Manuelian, The Ancient Egyptian Pyramid Texts (Brill: Leiden ; Boston, 2005).</w:t>
      </w:r>
    </w:p>
    <w:p>
      <w:pPr>
        <w:pStyle w:val="Body 2"/>
        <w:ind w:left="283" w:hanging="283"/>
      </w:pPr>
      <w:r>
        <w:rPr>
          <w:rtl w:val="0"/>
          <w:lang w:val="en-US"/>
        </w:rPr>
        <w:t xml:space="preserve">Faulkner, Raymond O., </w:t>
      </w:r>
      <w:r>
        <w:rPr>
          <w:rtl w:val="0"/>
          <w:lang w:val="en-US"/>
        </w:rPr>
        <w:t>The Ancient Egyptian Pyramid Texts</w:t>
      </w:r>
      <w:r>
        <w:rPr>
          <w:rtl w:val="0"/>
          <w:lang w:val="en-US"/>
        </w:rPr>
        <w:t xml:space="preserve"> (Digireads.com, 2007).</w:t>
      </w:r>
    </w:p>
    <w:p>
      <w:pPr>
        <w:pStyle w:val="Body 2"/>
        <w:ind w:left="283" w:hanging="283"/>
      </w:pPr>
      <w:r>
        <w:rPr>
          <w:rtl w:val="0"/>
          <w:lang w:val="en-US"/>
        </w:rPr>
        <w:t>Herodotus, and George Rawlinson, The Histories (A.A. Knopf: New York, 1997).</w:t>
      </w:r>
    </w:p>
    <w:p>
      <w:pPr>
        <w:pStyle w:val="Body 2"/>
        <w:ind w:left="283" w:hanging="283"/>
      </w:pPr>
      <w:r>
        <w:rPr>
          <w:rtl w:val="0"/>
          <w:lang w:val="en-US"/>
        </w:rPr>
        <w:t xml:space="preserve">Hesiod, and R. M. Frazer, </w:t>
      </w:r>
      <w:r>
        <w:rPr>
          <w:i w:val="1"/>
          <w:iCs w:val="1"/>
          <w:rtl w:val="0"/>
          <w:lang w:val="en-US"/>
        </w:rPr>
        <w:t>The Poems of Hesiod</w:t>
      </w:r>
      <w:r>
        <w:rPr>
          <w:rtl w:val="0"/>
          <w:lang w:val="en-US"/>
        </w:rPr>
        <w:t xml:space="preserve"> (University of Oklahoma Press: Norman, 1983).</w:t>
      </w:r>
    </w:p>
    <w:p>
      <w:pPr>
        <w:pStyle w:val="Body 2"/>
        <w:ind w:left="283" w:hanging="283"/>
      </w:pPr>
      <w:r>
        <w:rPr>
          <w:rtl w:val="0"/>
          <w:lang w:val="en-US"/>
        </w:rPr>
        <w:t>Hesiod, Homer, and Hugh G. Evelyn-White, Hesiod, the Homeric Hymns, and Homerica (W. Heinemann; The Macmillan Co.: London, New York, 1914).</w:t>
      </w:r>
    </w:p>
    <w:p>
      <w:pPr>
        <w:pStyle w:val="Body 2"/>
        <w:ind w:left="283" w:hanging="283"/>
      </w:pPr>
      <w:r>
        <w:rPr>
          <w:rtl w:val="0"/>
          <w:lang w:val="en-US"/>
        </w:rPr>
        <w:t xml:space="preserve">Neugebauer, O., and Richard Anthony Parker, </w:t>
      </w:r>
      <w:r>
        <w:rPr>
          <w:i w:val="1"/>
          <w:iCs w:val="1"/>
          <w:rtl w:val="0"/>
          <w:lang w:val="en-US"/>
        </w:rPr>
        <w:t>Egyptian Astronomical Texts</w:t>
      </w:r>
      <w:r>
        <w:rPr>
          <w:rtl w:val="0"/>
          <w:lang w:val="en-US"/>
        </w:rPr>
        <w:t xml:space="preserve"> (Published for Brown University Press, by L. Humphries, London: Providence,, 1960).</w:t>
      </w:r>
    </w:p>
    <w:p>
      <w:pPr>
        <w:pStyle w:val="Body 2"/>
        <w:ind w:left="283" w:hanging="283"/>
      </w:pPr>
      <w:r>
        <w:rPr>
          <w:rtl w:val="0"/>
          <w:lang w:val="en-US"/>
        </w:rPr>
        <w:t xml:space="preserve">Nock, A. D., 'Greek Magical Papyri', </w:t>
      </w:r>
      <w:r>
        <w:rPr>
          <w:i w:val="1"/>
          <w:iCs w:val="1"/>
          <w:rtl w:val="0"/>
          <w:lang w:val="en-US"/>
        </w:rPr>
        <w:t>The Journal of Egyptian Archaeology</w:t>
      </w:r>
      <w:r>
        <w:rPr>
          <w:rtl w:val="0"/>
          <w:lang w:val="en-US"/>
        </w:rPr>
        <w:t>, 15: (1929), 219-35.</w:t>
      </w:r>
    </w:p>
    <w:p>
      <w:pPr>
        <w:pStyle w:val="Body 2"/>
        <w:ind w:left="283" w:hanging="283"/>
      </w:pPr>
      <w:r>
        <w:rPr>
          <w:rtl w:val="0"/>
          <w:lang w:val="it-IT"/>
        </w:rPr>
        <w:t>Photius</w:t>
      </w:r>
      <w:r>
        <w:rPr>
          <w:rtl w:val="0"/>
          <w:lang w:val="en-US"/>
        </w:rPr>
        <w:t xml:space="preserve"> of Constantinople,</w:t>
      </w:r>
      <w:r>
        <w:rPr>
          <w:rtl w:val="0"/>
        </w:rPr>
        <w:t xml:space="preserve"> </w:t>
      </w:r>
      <w:r>
        <w:rPr>
          <w:rtl w:val="0"/>
          <w:lang w:val="en-US"/>
        </w:rPr>
        <w:t>‘</w:t>
      </w:r>
      <w:r>
        <w:rPr>
          <w:rtl w:val="0"/>
          <w:lang w:val="en-US"/>
        </w:rPr>
        <w:t>Bibliotheca</w:t>
      </w:r>
      <w:r>
        <w:rPr>
          <w:rtl w:val="0"/>
          <w:lang w:val="en-US"/>
        </w:rPr>
        <w:t>’</w:t>
      </w:r>
      <w:r>
        <w:rPr>
          <w:rtl w:val="0"/>
          <w:lang w:val="en-US"/>
        </w:rPr>
        <w:t xml:space="preserve">. </w:t>
      </w:r>
      <w:r>
        <w:rPr>
          <w:rStyle w:val="Hyperlink.1"/>
        </w:rPr>
        <w:fldChar w:fldCharType="begin" w:fldLock="0"/>
      </w:r>
      <w:r>
        <w:rPr>
          <w:rStyle w:val="Hyperlink.1"/>
        </w:rPr>
        <w:instrText xml:space="preserve"> HYPERLINK "http://www.tertullian.org/fathers/photius_copyright/photius_05bibliotheca.htm#190"</w:instrText>
      </w:r>
      <w:r>
        <w:rPr>
          <w:rStyle w:val="Hyperlink.1"/>
        </w:rPr>
        <w:fldChar w:fldCharType="separate" w:fldLock="0"/>
      </w:r>
      <w:r>
        <w:rPr>
          <w:rStyle w:val="Hyperlink.1"/>
          <w:rtl w:val="0"/>
          <w:lang w:val="en-US"/>
        </w:rPr>
        <w:t>http://www.tertullian.org/fathers/photius_copyright/photius_05bibliotheca.htm#190</w:t>
      </w:r>
      <w:r>
        <w:rPr/>
        <w:fldChar w:fldCharType="end" w:fldLock="0"/>
      </w:r>
    </w:p>
    <w:p>
      <w:pPr>
        <w:pStyle w:val="Body 2"/>
        <w:bidi w:val="0"/>
      </w:pPr>
    </w:p>
    <w:p>
      <w:pPr>
        <w:pStyle w:val="Heading"/>
        <w:rPr>
          <w:rFonts w:ascii="Lora Bold" w:cs="Lora Bold" w:hAnsi="Lora Bold" w:eastAsia="Lora Bold"/>
          <w:outline w:val="0"/>
          <w:color w:val="434343"/>
          <w14:textFill>
            <w14:solidFill>
              <w14:srgbClr w14:val="444444"/>
            </w14:solidFill>
          </w14:textFill>
        </w:rPr>
      </w:pPr>
      <w:r>
        <w:rPr>
          <w:rFonts w:ascii="Lora Bold" w:hAnsi="Lora Bold"/>
          <w:outline w:val="0"/>
          <w:color w:val="434343"/>
          <w:rtl w:val="0"/>
          <w:lang w:val="en-US"/>
          <w14:textFill>
            <w14:solidFill>
              <w14:srgbClr w14:val="444444"/>
            </w14:solidFill>
          </w14:textFill>
        </w:rPr>
        <w:t>Secondary Sources</w:t>
      </w:r>
    </w:p>
    <w:p>
      <w:pPr>
        <w:pStyle w:val="Body 2"/>
        <w:bidi w:val="0"/>
      </w:pPr>
    </w:p>
    <w:p>
      <w:pPr>
        <w:pStyle w:val="Body 2"/>
        <w:ind w:left="283" w:hanging="283"/>
      </w:pPr>
      <w:r>
        <w:rPr>
          <w:rtl w:val="0"/>
          <w:lang w:val="it-IT"/>
        </w:rPr>
        <w:t>Alliot, M., 'Le Culte D'horus a</w:t>
      </w:r>
      <w:r>
        <w:rPr>
          <w:rtl w:val="0"/>
        </w:rPr>
        <w:t xml:space="preserve">̀ </w:t>
      </w:r>
      <w:r>
        <w:rPr>
          <w:rtl w:val="0"/>
          <w:lang w:val="fr-FR"/>
        </w:rPr>
        <w:t>Edfou Au Temps Des Ptole</w:t>
      </w:r>
      <w:r>
        <w:rPr>
          <w:rtl w:val="0"/>
        </w:rPr>
        <w:t>́</w:t>
      </w:r>
      <w:r>
        <w:rPr>
          <w:rtl w:val="0"/>
          <w:lang w:val="en-US"/>
        </w:rPr>
        <w:t>m</w:t>
      </w:r>
      <w:r>
        <w:rPr>
          <w:rtl w:val="0"/>
        </w:rPr>
        <w:t>e</w:t>
      </w:r>
      <w:r>
        <w:rPr>
          <w:rtl w:val="0"/>
        </w:rPr>
        <w:t>́</w:t>
      </w:r>
      <w:r>
        <w:rPr>
          <w:rtl w:val="0"/>
          <w:lang w:val="en-US"/>
        </w:rPr>
        <w:t>e</w:t>
      </w:r>
      <w:r>
        <w:rPr>
          <w:rtl w:val="0"/>
          <w:lang w:val="nl-NL"/>
        </w:rPr>
        <w:t xml:space="preserve">s', </w:t>
      </w:r>
      <w:r>
        <w:rPr>
          <w:rtl w:val="0"/>
          <w:lang w:val="fr-FR"/>
        </w:rPr>
        <w:t>Imprimerie de l'Institut franc</w:t>
      </w:r>
      <w:r>
        <w:rPr>
          <w:rtl w:val="0"/>
        </w:rPr>
        <w:t>̧</w:t>
      </w:r>
      <w:r>
        <w:rPr>
          <w:rtl w:val="0"/>
          <w:lang w:val="fr-FR"/>
        </w:rPr>
        <w:t>ais d'arche</w:t>
      </w:r>
      <w:r>
        <w:rPr>
          <w:rtl w:val="0"/>
        </w:rPr>
        <w:t>́</w:t>
      </w:r>
      <w:r>
        <w:rPr>
          <w:rtl w:val="0"/>
          <w:lang w:val="fr-FR"/>
        </w:rPr>
        <w:t>ologie orientale, Le Caire</w:t>
      </w:r>
      <w:r>
        <w:rPr>
          <w:rtl w:val="0"/>
        </w:rPr>
        <w:t>: (1949-1954).</w:t>
      </w:r>
    </w:p>
    <w:p>
      <w:pPr>
        <w:pStyle w:val="Body 2"/>
        <w:ind w:left="283" w:hanging="283"/>
      </w:pPr>
      <w:r>
        <w:rPr>
          <w:rtl w:val="0"/>
          <w:lang w:val="en-US"/>
        </w:rPr>
        <w:t xml:space="preserve">Berio, Alessandro, 'The Celestial River: Parallels between the Ancient Egyptian Nomes and the Classical Constellations', </w:t>
      </w:r>
      <w:r>
        <w:rPr>
          <w:i w:val="1"/>
          <w:iCs w:val="1"/>
          <w:rtl w:val="0"/>
          <w:lang w:val="it-IT"/>
        </w:rPr>
        <w:t>Sino-Platonic Papers</w:t>
      </w:r>
      <w:r>
        <w:rPr>
          <w:rtl w:val="0"/>
        </w:rPr>
        <w:t>, November: (2014).</w:t>
      </w:r>
    </w:p>
    <w:p>
      <w:pPr>
        <w:pStyle w:val="Body 2"/>
        <w:ind w:left="283" w:hanging="283"/>
      </w:pPr>
      <w:r>
        <w:rPr>
          <w:rtl w:val="0"/>
          <w:lang w:val="en-US"/>
        </w:rPr>
        <w:t>Blomberg, Mary, and G</w:t>
      </w:r>
      <w:r>
        <w:rPr>
          <w:rtl w:val="0"/>
          <w:lang w:val="sv-SE"/>
        </w:rPr>
        <w:t>ö</w:t>
      </w:r>
      <w:r>
        <w:rPr>
          <w:rtl w:val="0"/>
          <w:lang w:val="en-US"/>
        </w:rPr>
        <w:t xml:space="preserve">ran Henriksson, 'The Minoan Peak Sanctuary on Pyrgos and Its Context', </w:t>
      </w:r>
      <w:r>
        <w:rPr>
          <w:i w:val="1"/>
          <w:iCs w:val="1"/>
          <w:rtl w:val="0"/>
          <w:lang w:val="it-IT"/>
        </w:rPr>
        <w:t>Uppsala Astronomical Observatory Reports</w:t>
      </w:r>
      <w:r>
        <w:rPr>
          <w:rtl w:val="0"/>
        </w:rPr>
        <w:t>, 59: (2003), 127.</w:t>
      </w:r>
    </w:p>
    <w:p>
      <w:pPr>
        <w:pStyle w:val="Body 2"/>
        <w:ind w:left="283" w:hanging="283"/>
      </w:pPr>
      <w:r>
        <w:rPr>
          <w:rtl w:val="0"/>
          <w:lang w:val="en-US"/>
        </w:rPr>
        <w:t xml:space="preserve">Brenner, Art, 'The Structuralism of Claude Levi-Strauss and the Visual Arts', </w:t>
      </w:r>
      <w:r>
        <w:rPr>
          <w:i w:val="1"/>
          <w:iCs w:val="1"/>
          <w:rtl w:val="0"/>
          <w:lang w:val="it-IT"/>
        </w:rPr>
        <w:t>Leonardo</w:t>
      </w:r>
      <w:r>
        <w:rPr>
          <w:rtl w:val="0"/>
        </w:rPr>
        <w:t>, 10: (1977), 303-06.</w:t>
      </w:r>
    </w:p>
    <w:p>
      <w:pPr>
        <w:pStyle w:val="Body 2"/>
        <w:ind w:left="283" w:hanging="283"/>
      </w:pPr>
      <w:r>
        <w:rPr>
          <w:rtl w:val="0"/>
          <w:lang w:val="en-US"/>
        </w:rPr>
        <w:t>Colby, F.M., and T. Williams, The New International Encyclopaedia (Dodd, Mead, 1918).</w:t>
      </w:r>
    </w:p>
    <w:p>
      <w:pPr>
        <w:pStyle w:val="Body 2"/>
        <w:ind w:left="283" w:hanging="283"/>
      </w:pPr>
      <w:r>
        <w:rPr>
          <w:rtl w:val="0"/>
        </w:rPr>
        <w:t xml:space="preserve">Chomsky, Noam, </w:t>
      </w:r>
      <w:r>
        <w:rPr>
          <w:i w:val="1"/>
          <w:iCs w:val="1"/>
          <w:rtl w:val="0"/>
          <w:lang w:val="en-US"/>
        </w:rPr>
        <w:t>Language and Mind</w:t>
      </w:r>
      <w:r>
        <w:rPr>
          <w:rtl w:val="0"/>
          <w:lang w:val="en-US"/>
        </w:rPr>
        <w:t xml:space="preserve"> (Cambridge University Press: Cambridge ; New York, 2006).</w:t>
      </w:r>
    </w:p>
    <w:p>
      <w:pPr>
        <w:pStyle w:val="Body 2"/>
        <w:ind w:left="283" w:hanging="283"/>
      </w:pPr>
      <w:r>
        <w:rPr>
          <w:rtl w:val="0"/>
          <w:lang w:val="en-US"/>
        </w:rPr>
        <w:t xml:space="preserve">Desborough, V. R., R. V. Nicholls, and Mervyn Popham, 'A Euboean Centaur', </w:t>
      </w:r>
      <w:r>
        <w:rPr>
          <w:i w:val="1"/>
          <w:iCs w:val="1"/>
          <w:rtl w:val="0"/>
          <w:lang w:val="en-US"/>
        </w:rPr>
        <w:t>The Annual of the British School at Athens</w:t>
      </w:r>
      <w:r>
        <w:rPr>
          <w:rtl w:val="0"/>
        </w:rPr>
        <w:t>, 65: (1970), 21-30.</w:t>
      </w:r>
    </w:p>
    <w:p>
      <w:pPr>
        <w:pStyle w:val="Body 2"/>
        <w:ind w:left="283" w:hanging="283"/>
      </w:pPr>
      <w:r>
        <w:rPr>
          <w:rtl w:val="0"/>
          <w:lang w:val="en-US"/>
        </w:rPr>
        <w:t xml:space="preserve">Eisler, Robert, 'Egyptian Astronomy: Letters from Dr. Eisler and Dr. Chatley', </w:t>
      </w:r>
      <w:r>
        <w:rPr>
          <w:i w:val="1"/>
          <w:iCs w:val="1"/>
          <w:rtl w:val="0"/>
          <w:lang w:val="en-US"/>
        </w:rPr>
        <w:t>The Journal of Egyptian Archaeology</w:t>
      </w:r>
      <w:r>
        <w:rPr>
          <w:rtl w:val="0"/>
        </w:rPr>
        <w:t>, 27: (1941), 149-52.</w:t>
      </w:r>
    </w:p>
    <w:p>
      <w:pPr>
        <w:pStyle w:val="Body 2"/>
        <w:ind w:left="283" w:hanging="283"/>
      </w:pPr>
      <w:r>
        <w:rPr>
          <w:rtl w:val="0"/>
        </w:rPr>
        <w:t xml:space="preserve">Eliade, Mircea, </w:t>
      </w:r>
      <w:r>
        <w:rPr>
          <w:i w:val="1"/>
          <w:iCs w:val="1"/>
          <w:rtl w:val="0"/>
          <w:lang w:val="en-US"/>
        </w:rPr>
        <w:t>Myth and Reality</w:t>
      </w:r>
      <w:r>
        <w:rPr>
          <w:rtl w:val="0"/>
          <w:lang w:val="en-US"/>
        </w:rPr>
        <w:t xml:space="preserve"> (Harper &amp; Row: New York,, 1963).</w:t>
      </w:r>
    </w:p>
    <w:p>
      <w:pPr>
        <w:pStyle w:val="Body 2"/>
        <w:ind w:left="283" w:hanging="283"/>
      </w:pPr>
      <w:r>
        <w:rPr>
          <w:rtl w:val="0"/>
          <w:lang w:val="en-US"/>
        </w:rPr>
        <w:t>Faulkner, R. O., A Concise Dictionary of Middle Egyptian (Univ. Press: Oxford, 1964).</w:t>
      </w:r>
    </w:p>
    <w:p>
      <w:pPr>
        <w:pStyle w:val="Body 2"/>
        <w:ind w:left="283" w:hanging="283"/>
      </w:pPr>
      <w:r>
        <w:rPr>
          <w:rtl w:val="0"/>
          <w:lang w:val="nl-NL"/>
        </w:rPr>
        <w:t xml:space="preserve">Kletter, Raz, Ze Herzog, 'An Iron Age Hermaphrodite Centaur from Tel Beer Sheba, Israel', </w:t>
      </w:r>
      <w:r>
        <w:rPr>
          <w:i w:val="1"/>
          <w:iCs w:val="1"/>
          <w:rtl w:val="0"/>
          <w:lang w:val="en-US"/>
        </w:rPr>
        <w:t>Bulletin of the American Schools of Oriental Research</w:t>
      </w:r>
      <w:r>
        <w:rPr>
          <w:rtl w:val="0"/>
        </w:rPr>
        <w:t>: (2003), 27-38.</w:t>
      </w:r>
    </w:p>
    <w:p>
      <w:pPr>
        <w:pStyle w:val="Body 2"/>
        <w:ind w:left="283" w:hanging="283"/>
      </w:pPr>
      <w:r>
        <w:rPr>
          <w:rtl w:val="0"/>
        </w:rPr>
        <w:t>L</w:t>
      </w:r>
      <w:r>
        <w:rPr>
          <w:rtl w:val="0"/>
          <w:lang w:val="fr-FR"/>
        </w:rPr>
        <w:t>é</w:t>
      </w:r>
      <w:r>
        <w:rPr>
          <w:rtl w:val="0"/>
          <w:lang w:val="en-US"/>
        </w:rPr>
        <w:t xml:space="preserve">vi-Strauss, Claude, 'The Structural Study of Myth', </w:t>
      </w:r>
      <w:r>
        <w:rPr>
          <w:i w:val="1"/>
          <w:iCs w:val="1"/>
          <w:rtl w:val="0"/>
          <w:lang w:val="en-US"/>
        </w:rPr>
        <w:t>The Journal of American Folklore</w:t>
      </w:r>
      <w:r>
        <w:rPr>
          <w:rtl w:val="0"/>
        </w:rPr>
        <w:t>, 68: (1955), 428-44.</w:t>
      </w:r>
    </w:p>
    <w:p>
      <w:pPr>
        <w:pStyle w:val="Body 2"/>
        <w:ind w:left="283" w:hanging="283"/>
      </w:pPr>
      <w:r>
        <w:rPr>
          <w:rtl w:val="0"/>
          <w:lang w:val="en-US"/>
        </w:rPr>
        <w:t>Lull, Jos</w:t>
      </w:r>
      <w:r>
        <w:rPr>
          <w:rtl w:val="0"/>
          <w:lang w:val="fr-FR"/>
        </w:rPr>
        <w:t>é</w:t>
      </w:r>
      <w:r>
        <w:rPr>
          <w:rtl w:val="0"/>
          <w:lang w:val="es-ES_tradnl"/>
        </w:rPr>
        <w:t>, 'La Constelacio</w:t>
      </w:r>
      <w:r>
        <w:rPr>
          <w:rtl w:val="0"/>
        </w:rPr>
        <w:t>́</w:t>
      </w:r>
      <w:r>
        <w:rPr>
          <w:rtl w:val="0"/>
          <w:lang w:val="en-US"/>
        </w:rPr>
        <w:t>n</w:t>
      </w:r>
      <w:r>
        <w:rPr>
          <w:rtl w:val="0"/>
          <w:lang w:val="es-ES_tradnl"/>
        </w:rPr>
        <w:t xml:space="preserve"> De Mesjetiu (Osa Mayor) En El Antiguo Egipto', </w:t>
      </w:r>
      <w:r>
        <w:rPr>
          <w:i w:val="1"/>
          <w:iCs w:val="1"/>
          <w:rtl w:val="0"/>
          <w:lang w:val="it-IT"/>
        </w:rPr>
        <w:t>Astronom</w:t>
      </w:r>
      <w:r>
        <w:rPr>
          <w:i w:val="1"/>
          <w:iCs w:val="1"/>
          <w:rtl w:val="0"/>
        </w:rPr>
        <w:t>í</w:t>
      </w:r>
      <w:r>
        <w:rPr>
          <w:i w:val="1"/>
          <w:iCs w:val="1"/>
          <w:rtl w:val="0"/>
        </w:rPr>
        <w:t>a</w:t>
      </w:r>
      <w:r>
        <w:rPr>
          <w:rtl w:val="0"/>
        </w:rPr>
        <w:t>: (2006).</w:t>
      </w:r>
    </w:p>
    <w:p>
      <w:pPr>
        <w:pStyle w:val="Body 2"/>
        <w:ind w:left="283" w:hanging="283"/>
      </w:pPr>
      <w:r>
        <w:rPr>
          <w:rtl w:val="0"/>
          <w:lang w:val="en-US"/>
        </w:rPr>
        <w:t>Magli, Giulio, 'Topography, Astronomy and Dynastic History in the Alignments of the Pyramid Fields of the Old Kingdom': (2009).</w:t>
      </w:r>
    </w:p>
    <w:p>
      <w:pPr>
        <w:pStyle w:val="Body 2"/>
        <w:ind w:left="283" w:hanging="283"/>
      </w:pPr>
      <w:r>
        <w:rPr>
          <w:rtl w:val="0"/>
          <w:lang w:val="en-US"/>
        </w:rPr>
        <w:t xml:space="preserve">Nash, Harvey, 'The Centaur's Origin: A Psychological Perspective', </w:t>
      </w:r>
      <w:r>
        <w:rPr>
          <w:i w:val="1"/>
          <w:iCs w:val="1"/>
          <w:rtl w:val="0"/>
          <w:lang w:val="en-US"/>
        </w:rPr>
        <w:t>The Classical World</w:t>
      </w:r>
      <w:r>
        <w:rPr>
          <w:rtl w:val="0"/>
        </w:rPr>
        <w:t>, 77: (1984), 273-91.</w:t>
      </w:r>
    </w:p>
    <w:p>
      <w:pPr>
        <w:pStyle w:val="Body 2"/>
        <w:ind w:left="283" w:hanging="283"/>
      </w:pPr>
      <w:r>
        <w:rPr>
          <w:rtl w:val="0"/>
          <w:lang w:val="en-US"/>
        </w:rPr>
        <w:t xml:space="preserve">Pogo, A., 'The Astronomical Ceiling-Decoration in the Tomb of Senmut (Xviiith Dynasty)', </w:t>
      </w:r>
      <w:r>
        <w:rPr>
          <w:i w:val="1"/>
          <w:iCs w:val="1"/>
          <w:rtl w:val="0"/>
        </w:rPr>
        <w:t>Isis</w:t>
      </w:r>
      <w:r>
        <w:rPr>
          <w:rtl w:val="0"/>
        </w:rPr>
        <w:t>, 14: (1930), 301-25.</w:t>
      </w:r>
    </w:p>
    <w:p>
      <w:pPr>
        <w:pStyle w:val="Body 2"/>
        <w:ind w:left="283" w:hanging="283"/>
      </w:pPr>
      <w:r>
        <w:rPr>
          <w:rtl w:val="0"/>
          <w:lang w:val="en-US"/>
        </w:rPr>
        <w:t xml:space="preserve">Renouf, Le Page, 'Calendar of Astronomical Observations Found in Royal Tombs of the Xxth Dynasty', </w:t>
      </w:r>
      <w:r>
        <w:rPr>
          <w:i w:val="1"/>
          <w:iCs w:val="1"/>
          <w:rtl w:val="0"/>
          <w:lang w:val="en-US"/>
        </w:rPr>
        <w:t>Transactions of the Society of Biblical Archaeology 3</w:t>
      </w:r>
      <w:r>
        <w:rPr>
          <w:rtl w:val="0"/>
        </w:rPr>
        <w:t>: (1874), 400-21.</w:t>
      </w:r>
    </w:p>
    <w:p>
      <w:pPr>
        <w:pStyle w:val="Body 2"/>
        <w:ind w:left="283" w:hanging="283"/>
      </w:pPr>
      <w:r>
        <w:rPr>
          <w:rtl w:val="0"/>
          <w:lang w:val="en-US"/>
        </w:rPr>
        <w:t xml:space="preserve">Scobie, Alex, 'The Origins of 'Centaurs'', </w:t>
      </w:r>
      <w:r>
        <w:rPr>
          <w:i w:val="1"/>
          <w:iCs w:val="1"/>
          <w:rtl w:val="0"/>
          <w:lang w:val="de-DE"/>
        </w:rPr>
        <w:t>Folklore</w:t>
      </w:r>
      <w:r>
        <w:rPr>
          <w:rtl w:val="0"/>
        </w:rPr>
        <w:t>, 89: (1978), 142-47.</w:t>
      </w:r>
    </w:p>
    <w:p>
      <w:pPr>
        <w:pStyle w:val="Body 2"/>
        <w:ind w:left="283" w:hanging="283"/>
      </w:pPr>
      <w:r>
        <w:rPr>
          <w:rtl w:val="0"/>
          <w:lang w:val="en-US"/>
        </w:rPr>
        <w:t xml:space="preserve">Shear, Ione Mylonas, 'Mycenaean Centaurs at Ugarit', </w:t>
      </w:r>
      <w:r>
        <w:rPr>
          <w:i w:val="1"/>
          <w:iCs w:val="1"/>
          <w:rtl w:val="0"/>
          <w:lang w:val="en-US"/>
        </w:rPr>
        <w:t>The Journal of Hellenic Studies</w:t>
      </w:r>
      <w:r>
        <w:rPr>
          <w:rtl w:val="0"/>
        </w:rPr>
        <w:t>, 122: (2002), 147-53.</w:t>
      </w:r>
    </w:p>
    <w:p>
      <w:pPr>
        <w:pStyle w:val="Body 2"/>
        <w:ind w:left="283" w:hanging="283"/>
      </w:pPr>
      <w:r>
        <w:rPr>
          <w:rtl w:val="0"/>
          <w:lang w:val="en-US"/>
        </w:rPr>
        <w:t xml:space="preserve">'Structuralism and Folklore.' in. Simon J. Bronner (ed.), </w:t>
      </w:r>
      <w:r>
        <w:rPr>
          <w:i w:val="1"/>
          <w:iCs w:val="1"/>
          <w:rtl w:val="0"/>
          <w:lang w:val="en-US"/>
        </w:rPr>
        <w:t>Meaning of Folklore</w:t>
      </w:r>
      <w:r>
        <w:rPr>
          <w:rtl w:val="0"/>
          <w:lang w:val="en-US"/>
        </w:rPr>
        <w:t xml:space="preserve"> (University Press of Colorado, 2007).</w:t>
      </w:r>
    </w:p>
    <w:p>
      <w:pPr>
        <w:pStyle w:val="Body 2"/>
        <w:ind w:left="283" w:hanging="283"/>
      </w:pPr>
      <w:r>
        <w:rPr>
          <w:rtl w:val="0"/>
          <w:lang w:val="de-DE"/>
        </w:rPr>
        <w:t xml:space="preserve">Wilkinson, Richard H., </w:t>
      </w:r>
      <w:r>
        <w:rPr>
          <w:rtl w:val="0"/>
          <w:lang w:val="en-US"/>
        </w:rPr>
        <w:t>The Complete Gods and Goddesses of Ancient Egypt</w:t>
      </w:r>
      <w:r>
        <w:rPr>
          <w:rtl w:val="0"/>
          <w:lang w:val="en-US"/>
        </w:rPr>
        <w:t xml:space="preserve"> (Thames &amp; Hudson: New York, 2003).</w:t>
      </w:r>
    </w:p>
    <w:p>
      <w:pPr>
        <w:pStyle w:val="Body 2"/>
        <w:ind w:left="283" w:hanging="283"/>
      </w:pPr>
      <w:r>
        <w:rPr>
          <w:rtl w:val="0"/>
          <w:lang w:val="en-US"/>
        </w:rPr>
        <w:t>Peck, Harry Thurston, 'Harper's Dictionary of Classical Antiquities': (1898).</w:t>
      </w:r>
      <w:r>
        <w:rPr>
          <w:rtl w:val="0"/>
          <w:lang w:val="en-US"/>
        </w:rPr>
        <w:t xml:space="preserve"> </w:t>
      </w:r>
      <w:r>
        <w:rPr>
          <w:rStyle w:val="Hyperlink.1"/>
        </w:rPr>
        <w:fldChar w:fldCharType="begin" w:fldLock="0"/>
      </w:r>
      <w:r>
        <w:rPr>
          <w:rStyle w:val="Hyperlink.1"/>
        </w:rPr>
        <w:instrText xml:space="preserve"> HYPERLINK "http://perseus.uchicago.edu/cgi-bin/philologic/getobject.pl?c.22:1:73.harpers"</w:instrText>
      </w:r>
      <w:r>
        <w:rPr>
          <w:rStyle w:val="Hyperlink.1"/>
        </w:rPr>
        <w:fldChar w:fldCharType="separate" w:fldLock="0"/>
      </w:r>
      <w:r>
        <w:rPr>
          <w:rStyle w:val="Hyperlink.1"/>
          <w:rtl w:val="0"/>
          <w:lang w:val="en-US"/>
        </w:rPr>
        <w:t>http://perseus.uchicago.edu/cgi-bin/philologic/getobject.pl?c.22:1:73.harpers</w:t>
      </w:r>
      <w:r>
        <w:rPr/>
        <w:fldChar w:fldCharType="end" w:fldLock="0"/>
      </w:r>
    </w:p>
    <w:sectPr>
      <w:headerReference w:type="default" r:id="rId22"/>
      <w:footerReference w:type="default" r:id="rId23"/>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Lora Regular">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 w:name="Trebuchet MS">
    <w:charset w:val="00"/>
    <w:family w:val="roman"/>
    <w:pitch w:val="default"/>
  </w:font>
  <w:font w:name="Lora Bold">
    <w:charset w:val="00"/>
    <w:family w:val="roman"/>
    <w:pitch w:val="default"/>
  </w:font>
  <w:font w:name="Transliteratio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lang w:val="de-DE"/>
        </w:rPr>
        <w:t xml:space="preserve"> Art</w:t>
      </w:r>
      <w:r>
        <w:rPr>
          <w:rFonts w:cs="Arial Unicode MS" w:eastAsia="Arial Unicode MS"/>
          <w:rtl w:val="0"/>
          <w:lang w:val="en-US"/>
        </w:rPr>
        <w:t xml:space="preserve"> </w:t>
      </w:r>
      <w:r>
        <w:rPr>
          <w:rFonts w:cs="Arial Unicode MS" w:eastAsia="Arial Unicode MS"/>
          <w:rtl w:val="0"/>
          <w:lang w:val="en-US"/>
        </w:rPr>
        <w:t xml:space="preserve">Brenner, 'The Structuralism of Claude Levi-Strauss and the Visual Arts', </w:t>
      </w:r>
      <w:r>
        <w:rPr>
          <w:rFonts w:cs="Arial Unicode MS" w:eastAsia="Arial Unicode MS"/>
          <w:i w:val="1"/>
          <w:iCs w:val="1"/>
          <w:rtl w:val="0"/>
          <w:lang w:val="it-IT"/>
        </w:rPr>
        <w:t>Leonardo</w:t>
      </w:r>
      <w:r>
        <w:rPr>
          <w:rFonts w:cs="Arial Unicode MS" w:eastAsia="Arial Unicode MS"/>
          <w:rtl w:val="0"/>
        </w:rPr>
        <w:t xml:space="preserve">, 10: (1977), </w:t>
      </w:r>
      <w:r>
        <w:rPr>
          <w:rFonts w:cs="Arial Unicode MS" w:eastAsia="Arial Unicode MS"/>
          <w:rtl w:val="0"/>
          <w:lang w:val="en-US"/>
        </w:rPr>
        <w:t xml:space="preserve">p. </w:t>
      </w:r>
      <w:r>
        <w:rPr>
          <w:rFonts w:cs="Arial Unicode MS" w:eastAsia="Arial Unicode MS"/>
          <w:rtl w:val="0"/>
        </w:rPr>
        <w:t>303.</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Mircea </w:t>
      </w:r>
      <w:r>
        <w:rPr>
          <w:rFonts w:cs="Arial Unicode MS" w:eastAsia="Arial Unicode MS"/>
          <w:rtl w:val="0"/>
        </w:rPr>
        <w:t>Eliade</w:t>
      </w:r>
      <w:r>
        <w:rPr>
          <w:rFonts w:cs="Arial Unicode MS" w:eastAsia="Arial Unicode MS"/>
          <w:rtl w:val="0"/>
          <w:lang w:val="en-US"/>
        </w:rPr>
        <w:t xml:space="preserve">, </w:t>
      </w:r>
      <w:r>
        <w:rPr>
          <w:rFonts w:cs="Arial Unicode MS" w:eastAsia="Arial Unicode MS"/>
          <w:i w:val="1"/>
          <w:iCs w:val="1"/>
          <w:rtl w:val="0"/>
          <w:lang w:val="en-US"/>
        </w:rPr>
        <w:t>Myth and Reality</w:t>
      </w:r>
      <w:r>
        <w:rPr>
          <w:rFonts w:cs="Arial Unicode MS" w:eastAsia="Arial Unicode MS"/>
          <w:rtl w:val="0"/>
          <w:lang w:val="en-US"/>
        </w:rPr>
        <w:t xml:space="preserve"> (Harper &amp; Row: New York,, 1963), p. 5.</w:t>
      </w:r>
    </w:p>
  </w:footnote>
  <w:footnote w:id="3">
    <w:p>
      <w:pPr>
        <w:pStyle w:val="Footnote"/>
        <w:bidi w:val="0"/>
      </w:pPr>
      <w:r>
        <w:rPr>
          <w:vertAlign w:val="superscript"/>
        </w:rPr>
        <w:footnoteRef/>
      </w:r>
      <w:r>
        <w:rPr>
          <w:rFonts w:cs="Arial Unicode MS" w:eastAsia="Arial Unicode MS"/>
          <w:rtl w:val="0"/>
        </w:rPr>
        <w:t xml:space="preserve"> Claude</w:t>
      </w:r>
      <w:r>
        <w:rPr>
          <w:rFonts w:cs="Arial Unicode MS" w:eastAsia="Arial Unicode MS"/>
          <w:rtl w:val="0"/>
          <w:lang w:val="en-US"/>
        </w:rPr>
        <w:t xml:space="preserve"> L</w:t>
      </w:r>
      <w:r>
        <w:rPr>
          <w:rFonts w:cs="Arial Unicode MS" w:eastAsia="Arial Unicode MS" w:hint="default"/>
          <w:rtl w:val="0"/>
          <w:lang w:val="en-US"/>
        </w:rPr>
        <w:t>é</w:t>
      </w:r>
      <w:r>
        <w:rPr>
          <w:rFonts w:cs="Arial Unicode MS" w:eastAsia="Arial Unicode MS"/>
          <w:rtl w:val="0"/>
          <w:lang w:val="en-US"/>
        </w:rPr>
        <w:t xml:space="preserve">vi-Strauss, 'The Structural Study of Myth', </w:t>
      </w:r>
      <w:r>
        <w:rPr>
          <w:rFonts w:cs="Arial Unicode MS" w:eastAsia="Arial Unicode MS"/>
          <w:i w:val="1"/>
          <w:iCs w:val="1"/>
          <w:rtl w:val="0"/>
          <w:lang w:val="en-US"/>
        </w:rPr>
        <w:t>The Journal of American Folklore</w:t>
      </w:r>
      <w:r>
        <w:rPr>
          <w:rFonts w:cs="Arial Unicode MS" w:eastAsia="Arial Unicode MS"/>
          <w:rtl w:val="0"/>
          <w:lang w:val="en-US"/>
        </w:rPr>
        <w:t>, 68: (1955), p. 431.</w:t>
      </w:r>
    </w:p>
  </w:footnote>
  <w:footnote w:id="4">
    <w:p>
      <w:pPr>
        <w:pStyle w:val="Footnote"/>
        <w:bidi w:val="0"/>
      </w:pPr>
      <w:r>
        <w:rPr>
          <w:vertAlign w:val="superscript"/>
        </w:rPr>
        <w:footnoteRef/>
      </w:r>
      <w:r>
        <w:rPr>
          <w:rFonts w:cs="Arial Unicode MS" w:eastAsia="Arial Unicode MS"/>
          <w:rtl w:val="0"/>
        </w:rPr>
        <w:t xml:space="preserve"> Noam</w:t>
      </w:r>
      <w:r>
        <w:rPr>
          <w:rFonts w:cs="Arial Unicode MS" w:eastAsia="Arial Unicode MS"/>
          <w:rtl w:val="0"/>
          <w:lang w:val="en-US"/>
        </w:rPr>
        <w:t xml:space="preserve"> </w:t>
      </w:r>
      <w:r>
        <w:rPr>
          <w:rFonts w:cs="Arial Unicode MS" w:eastAsia="Arial Unicode MS"/>
          <w:rtl w:val="0"/>
        </w:rPr>
        <w:t xml:space="preserve">Chomsky, </w:t>
      </w:r>
      <w:r>
        <w:rPr>
          <w:rFonts w:cs="Arial Unicode MS" w:eastAsia="Arial Unicode MS"/>
          <w:i w:val="1"/>
          <w:iCs w:val="1"/>
          <w:rtl w:val="0"/>
          <w:lang w:val="en-US"/>
        </w:rPr>
        <w:t>Language and Mind</w:t>
      </w:r>
      <w:r>
        <w:rPr>
          <w:rFonts w:cs="Arial Unicode MS" w:eastAsia="Arial Unicode MS"/>
          <w:rtl w:val="0"/>
          <w:lang w:val="en-US"/>
        </w:rPr>
        <w:t xml:space="preserve"> (Cambridge University Press: Cambridge ; New York, 2006)</w:t>
      </w:r>
      <w:r>
        <w:rPr>
          <w:rFonts w:cs="Arial Unicode MS" w:eastAsia="Arial Unicode MS"/>
          <w:rtl w:val="0"/>
          <w:lang w:val="en-US"/>
        </w:rPr>
        <w:t>, p. 25.</w:t>
      </w:r>
    </w:p>
  </w:footnote>
  <w:footnote w:id="5">
    <w:p>
      <w:pPr>
        <w:pStyle w:val="Footnote"/>
        <w:bidi w:val="0"/>
      </w:pPr>
      <w:r>
        <w:rPr>
          <w:vertAlign w:val="superscript"/>
        </w:rPr>
        <w:footnoteRef/>
      </w:r>
      <w:r>
        <w:rPr>
          <w:rFonts w:cs="Arial Unicode MS" w:eastAsia="Arial Unicode MS"/>
          <w:rtl w:val="0"/>
          <w:lang w:val="fr-FR"/>
        </w:rPr>
        <w:t xml:space="preserve"> Simon J. Bronner</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 xml:space="preserve">Structuralism and Folklore.' in. Simon J. Bronner (ed.), </w:t>
      </w:r>
      <w:r>
        <w:rPr>
          <w:rFonts w:cs="Arial Unicode MS" w:eastAsia="Arial Unicode MS"/>
          <w:i w:val="1"/>
          <w:iCs w:val="1"/>
          <w:rtl w:val="0"/>
          <w:lang w:val="en-US"/>
        </w:rPr>
        <w:t>Meaning of Folklore</w:t>
      </w:r>
      <w:r>
        <w:rPr>
          <w:rFonts w:cs="Arial Unicode MS" w:eastAsia="Arial Unicode MS"/>
          <w:rtl w:val="0"/>
          <w:lang w:val="en-US"/>
        </w:rPr>
        <w:t xml:space="preserve"> (University Press of Colorado, 2007), p. 124.</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Otto Neugebauer and Richard Anthony Parker, </w:t>
      </w:r>
      <w:r>
        <w:rPr>
          <w:rFonts w:cs="Arial Unicode MS" w:eastAsia="Arial Unicode MS"/>
          <w:i w:val="1"/>
          <w:iCs w:val="1"/>
          <w:rtl w:val="0"/>
          <w:lang w:val="en-US"/>
        </w:rPr>
        <w:t>Egyptian Astronomical Texts</w:t>
      </w:r>
      <w:r>
        <w:rPr>
          <w:rFonts w:cs="Arial Unicode MS" w:eastAsia="Arial Unicode MS"/>
          <w:rtl w:val="0"/>
          <w:lang w:val="en-US"/>
        </w:rPr>
        <w:t xml:space="preserve"> (Published for Brown University Press, by L. Humphries, London: Providence,, 1960). </w:t>
      </w:r>
      <w:r>
        <w:rPr>
          <w:rFonts w:cs="Arial Unicode MS" w:eastAsia="Arial Unicode MS"/>
          <w:rtl w:val="0"/>
        </w:rPr>
        <w:t>III,</w:t>
      </w:r>
      <w:r>
        <w:rPr>
          <w:rFonts w:cs="Arial Unicode MS" w:eastAsia="Arial Unicode MS"/>
          <w:rtl w:val="0"/>
          <w:lang w:val="en-US"/>
        </w:rPr>
        <w:t xml:space="preserve"> pt.1,</w:t>
      </w:r>
      <w:r>
        <w:rPr>
          <w:rFonts w:cs="Arial Unicode MS" w:eastAsia="Arial Unicode MS"/>
          <w:rtl w:val="0"/>
        </w:rPr>
        <w:t xml:space="preserve"> </w:t>
      </w:r>
      <w:r>
        <w:rPr>
          <w:rFonts w:cs="Arial Unicode MS" w:eastAsia="Arial Unicode MS"/>
          <w:rtl w:val="0"/>
          <w:lang w:val="en-US"/>
        </w:rPr>
        <w:t xml:space="preserve">p. </w:t>
      </w:r>
      <w:r>
        <w:rPr>
          <w:rFonts w:cs="Arial Unicode MS" w:eastAsia="Arial Unicode MS"/>
          <w:rtl w:val="0"/>
        </w:rPr>
        <w:t>190</w:t>
      </w:r>
      <w:r>
        <w:rPr>
          <w:rFonts w:cs="Arial Unicode MS" w:eastAsia="Arial Unicode MS"/>
          <w:rtl w:val="0"/>
          <w:lang w:val="en-US"/>
        </w:rPr>
        <w:t>.</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Alexander Pogo, </w:t>
      </w:r>
      <w:r>
        <w:rPr>
          <w:rFonts w:cs="Arial Unicode MS" w:eastAsia="Arial Unicode MS" w:hint="default"/>
          <w:rtl w:val="0"/>
          <w:lang w:val="en-US"/>
        </w:rPr>
        <w:t>’</w:t>
      </w:r>
      <w:r>
        <w:rPr>
          <w:rFonts w:cs="Arial Unicode MS" w:eastAsia="Arial Unicode MS"/>
          <w:rtl w:val="0"/>
          <w:lang w:val="en-US"/>
        </w:rPr>
        <w:t xml:space="preserve">The Astronomical Ceiling-Decoration in the Tomb of Senmut (Xviiith Dynasty)', </w:t>
      </w:r>
      <w:r>
        <w:rPr>
          <w:rFonts w:cs="Arial Unicode MS" w:eastAsia="Arial Unicode MS"/>
          <w:i w:val="1"/>
          <w:iCs w:val="1"/>
          <w:rtl w:val="0"/>
          <w:lang w:val="en-US"/>
        </w:rPr>
        <w:t>Isis</w:t>
      </w:r>
      <w:r>
        <w:rPr>
          <w:rFonts w:cs="Arial Unicode MS" w:eastAsia="Arial Unicode MS"/>
          <w:rtl w:val="0"/>
          <w:lang w:val="en-US"/>
        </w:rPr>
        <w:t xml:space="preserve">, 14: (1930), p. 309 and </w:t>
      </w:r>
      <w:r>
        <w:rPr>
          <w:rFonts w:cs="Arial Unicode MS" w:eastAsia="Arial Unicode MS"/>
          <w:rtl w:val="0"/>
          <w:lang w:val="fr-FR"/>
        </w:rPr>
        <w:t>Le Page</w:t>
      </w:r>
      <w:r>
        <w:rPr>
          <w:rFonts w:cs="Arial Unicode MS" w:eastAsia="Arial Unicode MS"/>
          <w:rtl w:val="0"/>
          <w:lang w:val="en-US"/>
        </w:rPr>
        <w:t xml:space="preserve"> Renouf, 'Calendar of Astronomical Observations Found in Royal Tombs of the Xxth Dynasty', </w:t>
      </w:r>
      <w:r>
        <w:rPr>
          <w:rFonts w:cs="Arial Unicode MS" w:eastAsia="Arial Unicode MS"/>
          <w:i w:val="1"/>
          <w:iCs w:val="1"/>
          <w:rtl w:val="0"/>
          <w:lang w:val="en-US"/>
        </w:rPr>
        <w:t>Transactions of the Society of Biblical Archaeology 3</w:t>
      </w:r>
      <w:r>
        <w:rPr>
          <w:rFonts w:cs="Arial Unicode MS" w:eastAsia="Arial Unicode MS"/>
          <w:rtl w:val="0"/>
          <w:lang w:val="en-US"/>
        </w:rPr>
        <w:t xml:space="preserve">: (1874), p. </w:t>
      </w:r>
      <w:r>
        <w:rPr>
          <w:rFonts w:cs="Arial Unicode MS" w:eastAsia="Arial Unicode MS"/>
          <w:rtl w:val="0"/>
          <w:lang w:val="en-US"/>
        </w:rPr>
        <w:t>8.</w:t>
      </w:r>
    </w:p>
  </w:footnote>
  <w:footnote w:id="8">
    <w:p>
      <w:pPr>
        <w:pStyle w:val="Footnote"/>
        <w:bidi w:val="0"/>
      </w:pPr>
      <w:r>
        <w:rPr>
          <w:vertAlign w:val="superscript"/>
        </w:rPr>
        <w:footnoteRef/>
      </w:r>
      <w:r>
        <w:rPr>
          <w:rFonts w:cs="Arial Unicode MS" w:eastAsia="Arial Unicode MS"/>
          <w:rtl w:val="0"/>
        </w:rPr>
        <w:t xml:space="preserve"> A. D.</w:t>
      </w:r>
      <w:r>
        <w:rPr>
          <w:rFonts w:cs="Arial Unicode MS" w:eastAsia="Arial Unicode MS"/>
          <w:rtl w:val="0"/>
          <w:lang w:val="en-US"/>
        </w:rPr>
        <w:t xml:space="preserve"> Nock, 'Greek Magical Papyri', </w:t>
      </w:r>
      <w:r>
        <w:rPr>
          <w:rFonts w:cs="Arial Unicode MS" w:eastAsia="Arial Unicode MS"/>
          <w:i w:val="1"/>
          <w:iCs w:val="1"/>
          <w:rtl w:val="0"/>
          <w:lang w:val="en-US"/>
        </w:rPr>
        <w:t>The Journal of Egyptian Archaeology</w:t>
      </w:r>
      <w:r>
        <w:rPr>
          <w:rFonts w:cs="Arial Unicode MS" w:eastAsia="Arial Unicode MS"/>
          <w:rtl w:val="0"/>
          <w:lang w:val="en-US"/>
        </w:rPr>
        <w:t>, 15: (1929), p. 231.</w:t>
      </w:r>
    </w:p>
  </w:footnote>
  <w:footnote w:id="9">
    <w:p>
      <w:pPr>
        <w:pStyle w:val="Footnote"/>
        <w:bidi w:val="0"/>
      </w:pPr>
      <w:r>
        <w:rPr>
          <w:vertAlign w:val="superscript"/>
        </w:rPr>
        <w:footnoteRef/>
      </w:r>
      <w:r>
        <w:rPr>
          <w:rFonts w:cs="Arial Unicode MS" w:eastAsia="Arial Unicode MS"/>
          <w:rtl w:val="0"/>
          <w:lang w:val="it-IT"/>
        </w:rPr>
        <w:t xml:space="preserve"> Alessandro</w:t>
      </w:r>
      <w:r>
        <w:rPr>
          <w:rFonts w:cs="Arial Unicode MS" w:eastAsia="Arial Unicode MS"/>
          <w:rtl w:val="0"/>
          <w:lang w:val="en-US"/>
        </w:rPr>
        <w:t xml:space="preserve"> </w:t>
      </w:r>
      <w:r>
        <w:rPr>
          <w:rFonts w:cs="Arial Unicode MS" w:eastAsia="Arial Unicode MS"/>
          <w:rtl w:val="0"/>
          <w:lang w:val="en-US"/>
        </w:rPr>
        <w:t xml:space="preserve">Berio, 'The Celestial River: </w:t>
      </w:r>
      <w:r>
        <w:rPr>
          <w:rFonts w:cs="Arial Unicode MS" w:eastAsia="Arial Unicode MS"/>
          <w:rtl w:val="0"/>
          <w:lang w:val="en-US"/>
        </w:rPr>
        <w:t>Identifying the Ancient Egyptian Constellations</w:t>
      </w:r>
      <w:r>
        <w:rPr>
          <w:rFonts w:cs="Arial Unicode MS" w:eastAsia="Arial Unicode MS"/>
          <w:rtl w:val="0"/>
          <w:lang w:val="nl-NL"/>
        </w:rPr>
        <w:t xml:space="preserve">', </w:t>
      </w:r>
      <w:r>
        <w:rPr>
          <w:rFonts w:cs="Arial Unicode MS" w:eastAsia="Arial Unicode MS"/>
          <w:i w:val="1"/>
          <w:iCs w:val="1"/>
          <w:rtl w:val="0"/>
          <w:lang w:val="it-IT"/>
        </w:rPr>
        <w:t>Sino-Platonic Papers</w:t>
      </w:r>
      <w:r>
        <w:rPr>
          <w:rFonts w:cs="Arial Unicode MS" w:eastAsia="Arial Unicode MS"/>
          <w:rtl w:val="0"/>
        </w:rPr>
        <w:t>, November: (2014)</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p. 43.</w:t>
      </w:r>
    </w:p>
  </w:footnote>
  <w:footnote w:id="10">
    <w:p>
      <w:pPr>
        <w:pStyle w:val="Footnote"/>
        <w:bidi w:val="0"/>
      </w:pPr>
      <w:r>
        <w:rPr>
          <w:vertAlign w:val="superscript"/>
        </w:rPr>
        <w:footnoteRef/>
      </w:r>
      <w:r>
        <w:rPr>
          <w:rFonts w:cs="Arial Unicode MS" w:eastAsia="Arial Unicode MS"/>
          <w:rtl w:val="0"/>
        </w:rPr>
        <w:t xml:space="preserve"> Jos</w:t>
      </w:r>
      <w:r>
        <w:rPr>
          <w:rFonts w:cs="Arial Unicode MS" w:eastAsia="Arial Unicode MS" w:hint="default"/>
          <w:rtl w:val="0"/>
          <w:lang w:val="fr-FR"/>
        </w:rPr>
        <w:t>é</w:t>
      </w:r>
      <w:r>
        <w:rPr>
          <w:rFonts w:cs="Arial Unicode MS" w:eastAsia="Arial Unicode MS"/>
          <w:rtl w:val="0"/>
          <w:lang w:val="en-US"/>
        </w:rPr>
        <w:t xml:space="preserve"> Lull, 'La Constelacio</w:t>
      </w:r>
      <w:r>
        <w:rPr>
          <w:rFonts w:cs="Arial Unicode MS" w:eastAsia="Arial Unicode MS" w:hint="default"/>
          <w:rtl w:val="0"/>
          <w:lang w:val="en-US"/>
        </w:rPr>
        <w:t>́</w:t>
      </w:r>
      <w:r>
        <w:rPr>
          <w:rFonts w:cs="Arial Unicode MS" w:eastAsia="Arial Unicode MS"/>
          <w:rtl w:val="0"/>
          <w:lang w:val="en-US"/>
        </w:rPr>
        <w:t xml:space="preserve">n De Mesjetiu (Osa Mayor) En El Antiguo Egipto', </w:t>
      </w:r>
      <w:r>
        <w:rPr>
          <w:rFonts w:cs="Arial Unicode MS" w:eastAsia="Arial Unicode MS"/>
          <w:i w:val="1"/>
          <w:iCs w:val="1"/>
          <w:rtl w:val="0"/>
          <w:lang w:val="en-US"/>
        </w:rPr>
        <w:t>Astronom</w:t>
      </w:r>
      <w:r>
        <w:rPr>
          <w:rFonts w:cs="Arial Unicode MS" w:eastAsia="Arial Unicode MS" w:hint="default"/>
          <w:i w:val="1"/>
          <w:iCs w:val="1"/>
          <w:rtl w:val="0"/>
          <w:lang w:val="en-US"/>
        </w:rPr>
        <w:t>í</w:t>
      </w:r>
      <w:r>
        <w:rPr>
          <w:rFonts w:cs="Arial Unicode MS" w:eastAsia="Arial Unicode MS"/>
          <w:i w:val="1"/>
          <w:iCs w:val="1"/>
          <w:rtl w:val="0"/>
          <w:lang w:val="en-US"/>
        </w:rPr>
        <w:t>a</w:t>
      </w:r>
      <w:r>
        <w:rPr>
          <w:rFonts w:cs="Arial Unicode MS" w:eastAsia="Arial Unicode MS"/>
          <w:rtl w:val="0"/>
          <w:lang w:val="en-US"/>
        </w:rPr>
        <w:t>: (2006), p. 28.</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Berio, </w:t>
      </w:r>
      <w:r>
        <w:rPr>
          <w:rFonts w:cs="Arial Unicode MS" w:eastAsia="Arial Unicode MS"/>
          <w:i w:val="1"/>
          <w:iCs w:val="1"/>
          <w:rtl w:val="0"/>
          <w:lang w:val="en-US"/>
        </w:rPr>
        <w:t>Celestial</w:t>
      </w:r>
      <w:r>
        <w:rPr>
          <w:rFonts w:cs="Arial Unicode MS" w:eastAsia="Arial Unicode MS"/>
          <w:rtl w:val="0"/>
          <w:lang w:val="en-US"/>
        </w:rPr>
        <w:t>, p. 40.</w:t>
      </w:r>
    </w:p>
  </w:footnote>
  <w:footnote w:id="12">
    <w:p>
      <w:pPr>
        <w:pStyle w:val="Footnote"/>
        <w:bidi w:val="0"/>
      </w:pPr>
      <w:r>
        <w:rPr>
          <w:vertAlign w:val="superscript"/>
        </w:rPr>
        <w:footnoteRef/>
      </w:r>
      <w:r>
        <w:rPr>
          <w:rFonts w:cs="Arial Unicode MS" w:eastAsia="Arial Unicode MS"/>
          <w:rtl w:val="0"/>
          <w:lang w:val="en-US"/>
        </w:rPr>
        <w:t xml:space="preserve"> https://www.scientificamerican.com/slideshow/surprising-new-finds-from-ancient-egyptian-star-charts-slide-show/</w:t>
      </w:r>
    </w:p>
  </w:footnote>
  <w:footnote w:id="13">
    <w:p>
      <w:pPr>
        <w:pStyle w:val="Footnote"/>
        <w:bidi w:val="0"/>
      </w:pPr>
      <w:r>
        <w:rPr>
          <w:vertAlign w:val="superscript"/>
        </w:rPr>
        <w:footnoteRef/>
      </w:r>
      <w:r>
        <w:rPr>
          <w:rFonts w:cs="Arial Unicode MS" w:eastAsia="Arial Unicode MS"/>
          <w:rtl w:val="0"/>
        </w:rPr>
        <w:t xml:space="preserve"> Robert</w:t>
      </w:r>
      <w:r>
        <w:rPr>
          <w:rFonts w:cs="Arial Unicode MS" w:eastAsia="Arial Unicode MS"/>
          <w:rtl w:val="0"/>
          <w:lang w:val="en-US"/>
        </w:rPr>
        <w:t xml:space="preserve"> Eisler, 'Egyptian Astronomy: Letters from Dr. Eisler and Dr. Chatley', </w:t>
      </w:r>
      <w:r>
        <w:rPr>
          <w:rFonts w:cs="Arial Unicode MS" w:eastAsia="Arial Unicode MS"/>
          <w:i w:val="1"/>
          <w:iCs w:val="1"/>
          <w:rtl w:val="0"/>
          <w:lang w:val="en-US"/>
        </w:rPr>
        <w:t>The Journal of Egyptian Archaeology</w:t>
      </w:r>
      <w:r>
        <w:rPr>
          <w:rFonts w:cs="Arial Unicode MS" w:eastAsia="Arial Unicode MS"/>
          <w:rtl w:val="0"/>
          <w:lang w:val="en-US"/>
        </w:rPr>
        <w:t>, 27: (1941), p. 149.</w:t>
      </w:r>
    </w:p>
  </w:footnote>
  <w:footnote w:id="14">
    <w:p>
      <w:pPr>
        <w:pStyle w:val="Footnote"/>
        <w:bidi w:val="0"/>
      </w:pPr>
      <w:r>
        <w:rPr>
          <w:vertAlign w:val="superscript"/>
        </w:rPr>
        <w:footnoteRef/>
      </w:r>
      <w:r>
        <w:rPr>
          <w:rFonts w:cs="Arial Unicode MS" w:eastAsia="Arial Unicode MS"/>
          <w:rtl w:val="0"/>
        </w:rPr>
        <w:t xml:space="preserve"> Alex</w:t>
      </w:r>
      <w:r>
        <w:rPr>
          <w:rFonts w:cs="Arial Unicode MS" w:eastAsia="Arial Unicode MS"/>
          <w:rtl w:val="0"/>
          <w:lang w:val="en-US"/>
        </w:rPr>
        <w:t xml:space="preserve"> Scobie, 'The Origins of 'Centaurs'', </w:t>
      </w:r>
      <w:r>
        <w:rPr>
          <w:rFonts w:cs="Arial Unicode MS" w:eastAsia="Arial Unicode MS"/>
          <w:i w:val="1"/>
          <w:iCs w:val="1"/>
          <w:rtl w:val="0"/>
          <w:lang w:val="en-US"/>
        </w:rPr>
        <w:t>Folklore</w:t>
      </w:r>
      <w:r>
        <w:rPr>
          <w:rFonts w:cs="Arial Unicode MS" w:eastAsia="Arial Unicode MS"/>
          <w:rtl w:val="0"/>
          <w:lang w:val="en-US"/>
        </w:rPr>
        <w:t xml:space="preserve">, 89: (1978), p. 143 and </w:t>
      </w:r>
      <w:r>
        <w:rPr>
          <w:rFonts w:cs="Arial Unicode MS" w:eastAsia="Arial Unicode MS"/>
          <w:rtl w:val="0"/>
          <w:lang w:val="en-US"/>
        </w:rPr>
        <w:t>Harvey</w:t>
      </w:r>
      <w:r>
        <w:rPr>
          <w:rFonts w:cs="Arial Unicode MS" w:eastAsia="Arial Unicode MS"/>
          <w:rtl w:val="0"/>
          <w:lang w:val="en-US"/>
        </w:rPr>
        <w:t xml:space="preserve"> Nash, 'The Centaur's Origin: A Psychological Perspective', </w:t>
      </w:r>
      <w:r>
        <w:rPr>
          <w:rFonts w:cs="Arial Unicode MS" w:eastAsia="Arial Unicode MS"/>
          <w:i w:val="1"/>
          <w:iCs w:val="1"/>
          <w:rtl w:val="0"/>
          <w:lang w:val="en-US"/>
        </w:rPr>
        <w:t>The Classical World</w:t>
      </w:r>
      <w:r>
        <w:rPr>
          <w:rFonts w:cs="Arial Unicode MS" w:eastAsia="Arial Unicode MS"/>
          <w:rtl w:val="0"/>
          <w:lang w:val="en-US"/>
        </w:rPr>
        <w:t>, 77: (1984), p. 274.</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Scobie, </w:t>
      </w:r>
      <w:r>
        <w:rPr>
          <w:rFonts w:cs="Arial Unicode MS" w:eastAsia="Arial Unicode MS"/>
          <w:i w:val="1"/>
          <w:iCs w:val="1"/>
          <w:rtl w:val="0"/>
          <w:lang w:val="en-US"/>
        </w:rPr>
        <w:t>Origins</w:t>
      </w:r>
      <w:r>
        <w:rPr>
          <w:rFonts w:cs="Arial Unicode MS" w:eastAsia="Arial Unicode MS"/>
          <w:rtl w:val="0"/>
          <w:lang w:val="en-US"/>
        </w:rPr>
        <w:t>, p. 142.</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Ibid. p. </w:t>
      </w:r>
      <w:r>
        <w:rPr>
          <w:rFonts w:cs="Arial Unicode MS" w:eastAsia="Arial Unicode MS"/>
          <w:rtl w:val="0"/>
          <w:lang w:val="en-US"/>
        </w:rPr>
        <w:t>142-3.</w:t>
      </w:r>
    </w:p>
  </w:footnote>
  <w:footnote w:id="17">
    <w:p>
      <w:pPr>
        <w:pStyle w:val="Footnote"/>
        <w:bidi w:val="0"/>
      </w:pPr>
      <w:r>
        <w:rPr>
          <w:vertAlign w:val="superscript"/>
        </w:rPr>
        <w:footnoteRef/>
      </w:r>
      <w:r>
        <w:rPr>
          <w:rFonts w:cs="Arial Unicode MS" w:eastAsia="Arial Unicode MS"/>
          <w:rtl w:val="0"/>
        </w:rPr>
        <w:t xml:space="preserve"> Raz</w:t>
      </w:r>
      <w:r>
        <w:rPr>
          <w:rFonts w:cs="Arial Unicode MS" w:eastAsia="Arial Unicode MS"/>
          <w:rtl w:val="0"/>
          <w:lang w:val="en-US"/>
        </w:rPr>
        <w:t xml:space="preserve"> Kletter, Ze Herzog, 'An Iron Age Hermaphrodite Centaur from Tel Beer Sheba, Israel', </w:t>
      </w:r>
      <w:r>
        <w:rPr>
          <w:rFonts w:cs="Arial Unicode MS" w:eastAsia="Arial Unicode MS"/>
          <w:i w:val="1"/>
          <w:iCs w:val="1"/>
          <w:rtl w:val="0"/>
          <w:lang w:val="en-US"/>
        </w:rPr>
        <w:t>Bulletin of the American Schools of Oriental Research</w:t>
      </w:r>
      <w:r>
        <w:rPr>
          <w:rFonts w:cs="Arial Unicode MS" w:eastAsia="Arial Unicode MS"/>
          <w:rtl w:val="0"/>
          <w:lang w:val="en-US"/>
        </w:rPr>
        <w:t xml:space="preserve">: (2003), p. 33 and Ione Mylonas </w:t>
      </w:r>
      <w:r>
        <w:rPr>
          <w:rFonts w:cs="Arial Unicode MS" w:eastAsia="Arial Unicode MS"/>
          <w:rtl w:val="0"/>
          <w:lang w:val="en-US"/>
        </w:rPr>
        <w:t>Shear</w:t>
      </w:r>
      <w:r>
        <w:rPr>
          <w:rFonts w:cs="Arial Unicode MS" w:eastAsia="Arial Unicode MS"/>
          <w:rtl w:val="0"/>
          <w:lang w:val="en-US"/>
        </w:rPr>
        <w:t xml:space="preserve">, 'Mycenaean Centaurs at Ugarit', </w:t>
      </w:r>
      <w:r>
        <w:rPr>
          <w:rFonts w:cs="Arial Unicode MS" w:eastAsia="Arial Unicode MS"/>
          <w:i w:val="1"/>
          <w:iCs w:val="1"/>
          <w:rtl w:val="0"/>
          <w:lang w:val="en-US"/>
        </w:rPr>
        <w:t>The Journal of Hellenic Studies</w:t>
      </w:r>
      <w:r>
        <w:rPr>
          <w:rFonts w:cs="Arial Unicode MS" w:eastAsia="Arial Unicode MS"/>
          <w:rtl w:val="0"/>
          <w:lang w:val="en-US"/>
        </w:rPr>
        <w:t>, 122: (2002), p. 151.</w:t>
      </w:r>
    </w:p>
  </w:footnote>
  <w:footnote w:id="18">
    <w:p>
      <w:pPr>
        <w:pStyle w:val="Footnote"/>
        <w:bidi w:val="0"/>
      </w:pPr>
      <w:r>
        <w:rPr>
          <w:vertAlign w:val="superscript"/>
        </w:rPr>
        <w:footnoteRef/>
      </w:r>
      <w:r>
        <w:rPr>
          <w:rFonts w:cs="Arial Unicode MS" w:eastAsia="Arial Unicode MS"/>
          <w:rtl w:val="0"/>
        </w:rPr>
        <w:t xml:space="preserve"> V. R.</w:t>
      </w:r>
      <w:r>
        <w:rPr>
          <w:rFonts w:cs="Arial Unicode MS" w:eastAsia="Arial Unicode MS"/>
          <w:rtl w:val="0"/>
          <w:lang w:val="en-US"/>
        </w:rPr>
        <w:t xml:space="preserve"> Desborough, R. V. Nicholls, and Mervyn Popham, 'A Euboean Centaur', </w:t>
      </w:r>
      <w:r>
        <w:rPr>
          <w:rFonts w:cs="Arial Unicode MS" w:eastAsia="Arial Unicode MS"/>
          <w:i w:val="1"/>
          <w:iCs w:val="1"/>
          <w:rtl w:val="0"/>
          <w:lang w:val="en-US"/>
        </w:rPr>
        <w:t>The Annual of the British School at Athens</w:t>
      </w:r>
      <w:r>
        <w:rPr>
          <w:rFonts w:cs="Arial Unicode MS" w:eastAsia="Arial Unicode MS"/>
          <w:rtl w:val="0"/>
          <w:lang w:val="en-US"/>
        </w:rPr>
        <w:t xml:space="preserve">, 65: (1970), p. 28 and Shear, </w:t>
      </w:r>
      <w:r>
        <w:rPr>
          <w:rFonts w:cs="Arial Unicode MS" w:eastAsia="Arial Unicode MS"/>
          <w:i w:val="1"/>
          <w:iCs w:val="1"/>
          <w:rtl w:val="0"/>
          <w:lang w:val="en-US"/>
        </w:rPr>
        <w:t xml:space="preserve">Mycenaean </w:t>
      </w:r>
      <w:r>
        <w:rPr>
          <w:rFonts w:cs="Arial Unicode MS" w:eastAsia="Arial Unicode MS"/>
          <w:rtl w:val="0"/>
          <w:lang w:val="en-US"/>
        </w:rPr>
        <w:t>p. 148.</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Bronner, </w:t>
      </w:r>
      <w:r>
        <w:rPr>
          <w:rFonts w:cs="Arial Unicode MS" w:eastAsia="Arial Unicode MS"/>
          <w:i w:val="1"/>
          <w:iCs w:val="1"/>
          <w:rtl w:val="0"/>
          <w:lang w:val="en-US"/>
        </w:rPr>
        <w:t>Folklore</w:t>
      </w:r>
      <w:r>
        <w:rPr>
          <w:rFonts w:cs="Arial Unicode MS" w:eastAsia="Arial Unicode MS"/>
          <w:rtl w:val="0"/>
          <w:lang w:val="en-US"/>
        </w:rPr>
        <w:t xml:space="preserve">, p. </w:t>
      </w:r>
      <w:r>
        <w:rPr>
          <w:rFonts w:cs="Arial Unicode MS" w:eastAsia="Arial Unicode MS"/>
          <w:rtl w:val="0"/>
          <w:lang w:val="en-US"/>
        </w:rPr>
        <w:t>135.</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Scobie, </w:t>
      </w:r>
      <w:r>
        <w:rPr>
          <w:rFonts w:cs="Arial Unicode MS" w:eastAsia="Arial Unicode MS"/>
          <w:i w:val="1"/>
          <w:iCs w:val="1"/>
          <w:rtl w:val="0"/>
          <w:lang w:val="en-US"/>
        </w:rPr>
        <w:t>Origins</w:t>
      </w:r>
      <w:r>
        <w:rPr>
          <w:rFonts w:cs="Arial Unicode MS" w:eastAsia="Arial Unicode MS"/>
          <w:rtl w:val="0"/>
          <w:lang w:val="en-US"/>
        </w:rPr>
        <w:t>, pp. 144-5.</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Scobie, </w:t>
      </w:r>
      <w:r>
        <w:rPr>
          <w:rFonts w:cs="Arial Unicode MS" w:eastAsia="Arial Unicode MS"/>
          <w:i w:val="1"/>
          <w:iCs w:val="1"/>
          <w:rtl w:val="0"/>
          <w:lang w:val="en-US"/>
        </w:rPr>
        <w:t>Origins</w:t>
      </w:r>
      <w:r>
        <w:rPr>
          <w:rFonts w:cs="Arial Unicode MS" w:eastAsia="Arial Unicode MS"/>
          <w:rtl w:val="0"/>
          <w:lang w:val="en-US"/>
        </w:rPr>
        <w:t>, p. 142.</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Berio, </w:t>
      </w:r>
      <w:r>
        <w:rPr>
          <w:rFonts w:cs="Arial Unicode MS" w:eastAsia="Arial Unicode MS"/>
          <w:i w:val="1"/>
          <w:iCs w:val="1"/>
          <w:rtl w:val="0"/>
          <w:lang w:val="en-US"/>
        </w:rPr>
        <w:t>Celestial</w:t>
      </w:r>
      <w:r>
        <w:rPr>
          <w:rFonts w:cs="Arial Unicode MS" w:eastAsia="Arial Unicode MS"/>
          <w:rtl w:val="0"/>
          <w:lang w:val="en-US"/>
        </w:rPr>
        <w:t>, p. 45.</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Shear, </w:t>
      </w:r>
      <w:r>
        <w:rPr>
          <w:rFonts w:cs="Arial Unicode MS" w:eastAsia="Arial Unicode MS"/>
          <w:i w:val="1"/>
          <w:iCs w:val="1"/>
          <w:rtl w:val="0"/>
          <w:lang w:val="en-US"/>
        </w:rPr>
        <w:t>Mycenaean</w:t>
      </w:r>
      <w:r>
        <w:rPr>
          <w:rFonts w:cs="Arial Unicode MS" w:eastAsia="Arial Unicode MS"/>
          <w:rtl w:val="0"/>
          <w:lang w:val="en-US"/>
        </w:rPr>
        <w:t>, p. 151.</w:t>
      </w:r>
    </w:p>
  </w:footnote>
  <w:footnote w:id="24">
    <w:p>
      <w:pPr>
        <w:pStyle w:val="Footnote"/>
        <w:bidi w:val="0"/>
      </w:pPr>
      <w:r>
        <w:rPr>
          <w:vertAlign w:val="superscript"/>
        </w:rPr>
        <w:footnoteRef/>
      </w:r>
      <w:r>
        <w:rPr>
          <w:rFonts w:cs="Arial Unicode MS" w:eastAsia="Arial Unicode MS"/>
          <w:rtl w:val="0"/>
          <w:lang w:val="en-US"/>
        </w:rPr>
        <w:t xml:space="preserve"> Hesiod, Homer, and Hugh G. Evelyn-White, Hesiod, the Homeric Hymns, and Homerica (W. Heinemann; The Macmillan Co.: London, New York, 1914)</w:t>
      </w:r>
      <w:r>
        <w:rPr>
          <w:rFonts w:cs="Arial Unicode MS" w:eastAsia="Arial Unicode MS"/>
          <w:rtl w:val="0"/>
          <w:lang w:val="en-US"/>
        </w:rPr>
        <w:t xml:space="preserve">, </w:t>
      </w:r>
      <w:r>
        <w:rPr>
          <w:rFonts w:cs="Arial Unicode MS" w:eastAsia="Arial Unicode MS"/>
          <w:i w:val="1"/>
          <w:iCs w:val="1"/>
          <w:rtl w:val="0"/>
          <w:lang w:val="en-US"/>
        </w:rPr>
        <w:t>Theogony</w:t>
      </w:r>
      <w:r>
        <w:rPr>
          <w:rFonts w:cs="Arial Unicode MS" w:eastAsia="Arial Unicode MS"/>
          <w:rtl w:val="0"/>
          <w:lang w:val="en-US"/>
        </w:rPr>
        <w:t>, line 280.</w:t>
      </w:r>
    </w:p>
  </w:footnote>
  <w:footnote w:id="25">
    <w:p>
      <w:pPr>
        <w:pStyle w:val="Footnote"/>
        <w:bidi w:val="0"/>
      </w:pPr>
      <w:r>
        <w:rPr>
          <w:vertAlign w:val="superscript"/>
        </w:rPr>
        <w:footnoteRef/>
      </w:r>
      <w:r>
        <w:rPr>
          <w:rFonts w:cs="Arial Unicode MS" w:eastAsia="Arial Unicode MS"/>
          <w:rtl w:val="0"/>
          <w:lang w:val="en-US"/>
        </w:rPr>
        <w:t xml:space="preserve"> James P.</w:t>
      </w:r>
      <w:r>
        <w:rPr>
          <w:rFonts w:cs="Arial Unicode MS" w:eastAsia="Arial Unicode MS"/>
          <w:rtl w:val="0"/>
          <w:lang w:val="en-US"/>
        </w:rPr>
        <w:t xml:space="preserve"> </w:t>
      </w:r>
      <w:r>
        <w:rPr>
          <w:rFonts w:cs="Arial Unicode MS" w:eastAsia="Arial Unicode MS"/>
          <w:rtl w:val="0"/>
          <w:lang w:val="de-DE"/>
        </w:rPr>
        <w:t>Allen and Peter Der Manuelian, The Ancient Egyptian Pyramid Texts (Brill: Leiden ; Boston, 2005)</w:t>
      </w:r>
      <w:r>
        <w:rPr>
          <w:rFonts w:cs="Arial Unicode MS" w:eastAsia="Arial Unicode MS"/>
          <w:rtl w:val="0"/>
          <w:lang w:val="en-US"/>
        </w:rPr>
        <w:t>, p. 234.</w:t>
      </w:r>
    </w:p>
  </w:footnote>
  <w:footnote w:id="26">
    <w:p>
      <w:pPr>
        <w:pStyle w:val="Footnote"/>
        <w:bidi w:val="0"/>
      </w:pPr>
      <w:r>
        <w:rPr>
          <w:vertAlign w:val="superscript"/>
        </w:rPr>
        <w:footnoteRef/>
      </w:r>
      <w:r>
        <w:rPr>
          <w:rFonts w:cs="Arial Unicode MS" w:eastAsia="Arial Unicode MS"/>
          <w:rtl w:val="0"/>
          <w:lang w:val="de-DE"/>
        </w:rPr>
        <w:t xml:space="preserve"> Richard H.</w:t>
      </w:r>
      <w:r>
        <w:rPr>
          <w:rFonts w:cs="Arial Unicode MS" w:eastAsia="Arial Unicode MS"/>
          <w:rtl w:val="0"/>
          <w:lang w:val="en-US"/>
        </w:rPr>
        <w:t xml:space="preserve"> Wilkinson, The Complete Gods and Goddesses of Ancient Egypt (Thames &amp; Hudson: New York, 2003), p. 199.</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Chomsky, </w:t>
      </w:r>
      <w:r>
        <w:rPr>
          <w:rFonts w:cs="Arial Unicode MS" w:eastAsia="Arial Unicode MS"/>
          <w:i w:val="1"/>
          <w:iCs w:val="1"/>
          <w:rtl w:val="0"/>
          <w:lang w:val="en-US"/>
        </w:rPr>
        <w:t xml:space="preserve">Language, </w:t>
      </w:r>
      <w:r>
        <w:rPr>
          <w:rFonts w:cs="Arial Unicode MS" w:eastAsia="Arial Unicode MS"/>
          <w:rtl w:val="0"/>
          <w:lang w:val="en-US"/>
        </w:rPr>
        <w:t>p. 25.</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Shear, </w:t>
      </w:r>
      <w:r>
        <w:rPr>
          <w:rFonts w:cs="Arial Unicode MS" w:eastAsia="Arial Unicode MS"/>
          <w:i w:val="1"/>
          <w:iCs w:val="1"/>
          <w:rtl w:val="0"/>
          <w:lang w:val="en-US"/>
        </w:rPr>
        <w:t>Mycenaean</w:t>
      </w:r>
      <w:r>
        <w:rPr>
          <w:rFonts w:cs="Arial Unicode MS" w:eastAsia="Arial Unicode MS"/>
          <w:rtl w:val="0"/>
          <w:lang w:val="en-US"/>
        </w:rPr>
        <w:t>, p. 149.</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Nash, </w:t>
      </w:r>
      <w:r>
        <w:rPr>
          <w:rFonts w:cs="Arial Unicode MS" w:eastAsia="Arial Unicode MS"/>
          <w:i w:val="1"/>
          <w:iCs w:val="1"/>
          <w:rtl w:val="0"/>
          <w:lang w:val="en-US"/>
        </w:rPr>
        <w:t>Centaurs</w:t>
      </w:r>
      <w:r>
        <w:rPr>
          <w:rFonts w:cs="Arial Unicode MS" w:eastAsia="Arial Unicode MS"/>
          <w:rtl w:val="0"/>
          <w:lang w:val="en-US"/>
        </w:rPr>
        <w:t xml:space="preserve">, p. </w:t>
      </w:r>
      <w:r>
        <w:rPr>
          <w:rFonts w:cs="Arial Unicode MS" w:eastAsia="Arial Unicode MS"/>
          <w:rtl w:val="0"/>
        </w:rPr>
        <w:t>277</w:t>
      </w:r>
      <w:r>
        <w:rPr>
          <w:rFonts w:cs="Arial Unicode MS" w:eastAsia="Arial Unicode MS"/>
          <w:rtl w:val="0"/>
          <w:lang w:val="en-US"/>
        </w:rPr>
        <w:t>.</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N&amp;P, EAT, p. 191.</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Lull, </w:t>
      </w:r>
      <w:r>
        <w:rPr>
          <w:rFonts w:cs="Arial Unicode MS" w:eastAsia="Arial Unicode MS"/>
          <w:i w:val="1"/>
          <w:iCs w:val="1"/>
          <w:rtl w:val="0"/>
          <w:lang w:val="en-US"/>
        </w:rPr>
        <w:t>Constelaci</w:t>
      </w:r>
      <w:r>
        <w:rPr>
          <w:rFonts w:cs="Arial Unicode MS" w:eastAsia="Arial Unicode MS" w:hint="default"/>
          <w:i w:val="1"/>
          <w:iCs w:val="1"/>
          <w:rtl w:val="0"/>
          <w:lang w:val="en-US"/>
        </w:rPr>
        <w:t>ó</w:t>
      </w:r>
      <w:r>
        <w:rPr>
          <w:rFonts w:cs="Arial Unicode MS" w:eastAsia="Arial Unicode MS"/>
          <w:i w:val="1"/>
          <w:iCs w:val="1"/>
          <w:rtl w:val="0"/>
          <w:lang w:val="en-US"/>
        </w:rPr>
        <w:t>n</w:t>
      </w:r>
      <w:r>
        <w:rPr>
          <w:rFonts w:cs="Arial Unicode MS" w:eastAsia="Arial Unicode MS"/>
          <w:rtl w:val="0"/>
          <w:lang w:val="en-US"/>
        </w:rPr>
        <w:t xml:space="preserve">, p. </w:t>
      </w:r>
      <w:r>
        <w:rPr>
          <w:rFonts w:cs="Arial Unicode MS" w:eastAsia="Arial Unicode MS"/>
          <w:rtl w:val="0"/>
          <w:lang w:val="en-US"/>
        </w:rPr>
        <w:t>26.</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Lull, </w:t>
      </w:r>
      <w:r>
        <w:rPr>
          <w:rFonts w:cs="Arial Unicode MS" w:eastAsia="Arial Unicode MS"/>
          <w:i w:val="1"/>
          <w:iCs w:val="1"/>
          <w:rtl w:val="0"/>
          <w:lang w:val="en-US"/>
        </w:rPr>
        <w:t>Constelaci</w:t>
      </w:r>
      <w:r>
        <w:rPr>
          <w:rFonts w:cs="Arial Unicode MS" w:eastAsia="Arial Unicode MS" w:hint="default"/>
          <w:i w:val="1"/>
          <w:iCs w:val="1"/>
          <w:rtl w:val="0"/>
          <w:lang w:val="en-US"/>
        </w:rPr>
        <w:t>ó</w:t>
      </w:r>
      <w:r>
        <w:rPr>
          <w:rFonts w:cs="Arial Unicode MS" w:eastAsia="Arial Unicode MS"/>
          <w:i w:val="1"/>
          <w:iCs w:val="1"/>
          <w:rtl w:val="0"/>
          <w:lang w:val="en-US"/>
        </w:rPr>
        <w:t>n</w:t>
      </w:r>
      <w:r>
        <w:rPr>
          <w:rFonts w:cs="Arial Unicode MS" w:eastAsia="Arial Unicode MS"/>
          <w:rtl w:val="0"/>
          <w:lang w:val="en-US"/>
        </w:rPr>
        <w:t>, p. 30.</w:t>
      </w:r>
    </w:p>
  </w:footnote>
  <w:footnote w:id="33">
    <w:p>
      <w:pPr>
        <w:pStyle w:val="Footnote"/>
        <w:bidi w:val="0"/>
      </w:pPr>
      <w:r>
        <w:rPr>
          <w:vertAlign w:val="superscript"/>
        </w:rPr>
        <w:footnoteRef/>
      </w:r>
      <w:r>
        <w:rPr>
          <w:rFonts w:cs="Arial Unicode MS" w:eastAsia="Arial Unicode MS"/>
          <w:rtl w:val="0"/>
        </w:rPr>
        <w:t xml:space="preserve"> R. O.</w:t>
      </w:r>
      <w:r>
        <w:rPr>
          <w:rFonts w:cs="Arial Unicode MS" w:eastAsia="Arial Unicode MS"/>
          <w:rtl w:val="0"/>
          <w:lang w:val="en-US"/>
        </w:rPr>
        <w:t xml:space="preserve"> Faulkner, A Concise Dictionary of Middle Egyptian (Univ. Press: Oxford, 1964), p. 4.</w:t>
      </w:r>
    </w:p>
  </w:footnote>
  <w:footnote w:id="34">
    <w:p>
      <w:pPr>
        <w:pStyle w:val="Footnote"/>
        <w:bidi w:val="0"/>
      </w:pPr>
      <w:r>
        <w:rPr>
          <w:vertAlign w:val="superscript"/>
        </w:rPr>
        <w:footnoteRef/>
      </w:r>
      <w:r>
        <w:rPr>
          <w:rFonts w:cs="Arial Unicode MS" w:eastAsia="Arial Unicode MS"/>
          <w:rtl w:val="0"/>
          <w:lang w:val="en-US"/>
        </w:rPr>
        <w:t xml:space="preserve"> Mary</w:t>
      </w:r>
      <w:r>
        <w:rPr>
          <w:rFonts w:cs="Arial Unicode MS" w:eastAsia="Arial Unicode MS"/>
          <w:rtl w:val="0"/>
          <w:lang w:val="en-US"/>
        </w:rPr>
        <w:t xml:space="preserve"> </w:t>
      </w:r>
      <w:r>
        <w:rPr>
          <w:rFonts w:cs="Arial Unicode MS" w:eastAsia="Arial Unicode MS"/>
          <w:rtl w:val="0"/>
          <w:lang w:val="en-US"/>
        </w:rPr>
        <w:t>Blomberg and G</w:t>
      </w:r>
      <w:r>
        <w:rPr>
          <w:rFonts w:cs="Arial Unicode MS" w:eastAsia="Arial Unicode MS" w:hint="default"/>
          <w:rtl w:val="0"/>
          <w:lang w:val="sv-SE"/>
        </w:rPr>
        <w:t>ö</w:t>
      </w:r>
      <w:r>
        <w:rPr>
          <w:rFonts w:cs="Arial Unicode MS" w:eastAsia="Arial Unicode MS"/>
          <w:rtl w:val="0"/>
          <w:lang w:val="en-US"/>
        </w:rPr>
        <w:t xml:space="preserve">ran Henriksson, 'The Minoan Peak Sanctuary on Pyrgos and Its Context', </w:t>
      </w:r>
      <w:r>
        <w:rPr>
          <w:rFonts w:cs="Arial Unicode MS" w:eastAsia="Arial Unicode MS"/>
          <w:i w:val="1"/>
          <w:iCs w:val="1"/>
          <w:rtl w:val="0"/>
          <w:lang w:val="it-IT"/>
        </w:rPr>
        <w:t>Uppsala Astronomical Observatory Reports</w:t>
      </w:r>
      <w:r>
        <w:rPr>
          <w:rFonts w:cs="Arial Unicode MS" w:eastAsia="Arial Unicode MS"/>
          <w:rtl w:val="0"/>
        </w:rPr>
        <w:t xml:space="preserve">, 59: (2003), </w:t>
      </w:r>
      <w:r>
        <w:rPr>
          <w:rFonts w:cs="Arial Unicode MS" w:eastAsia="Arial Unicode MS"/>
          <w:rtl w:val="0"/>
          <w:lang w:val="en-US"/>
        </w:rPr>
        <w:t xml:space="preserve">p. </w:t>
      </w:r>
      <w:r>
        <w:rPr>
          <w:rFonts w:cs="Arial Unicode MS" w:eastAsia="Arial Unicode MS"/>
          <w:rtl w:val="0"/>
        </w:rPr>
        <w:t>132</w:t>
      </w:r>
      <w:r>
        <w:rPr>
          <w:rFonts w:cs="Arial Unicode MS" w:eastAsia="Arial Unicode MS"/>
          <w:rtl w:val="0"/>
          <w:lang w:val="en-US"/>
        </w:rPr>
        <w:t xml:space="preserve"> and </w:t>
      </w:r>
      <w:r>
        <w:rPr>
          <w:rFonts w:cs="Arial Unicode MS" w:eastAsia="Arial Unicode MS"/>
          <w:rtl w:val="0"/>
          <w:lang w:val="en-US"/>
        </w:rPr>
        <w:t>Giulio Magli, 'Topography, Astronomy and Dynastic History in the Alignments of the Pyramid Fields of the Old Kingdom': (2009), p. 13.</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Blomberg, </w:t>
      </w:r>
      <w:r>
        <w:rPr>
          <w:rFonts w:cs="Arial Unicode MS" w:eastAsia="Arial Unicode MS"/>
          <w:i w:val="1"/>
          <w:iCs w:val="1"/>
          <w:rtl w:val="0"/>
          <w:lang w:val="en-US"/>
        </w:rPr>
        <w:t xml:space="preserve">Peak, </w:t>
      </w:r>
      <w:r>
        <w:rPr>
          <w:rFonts w:cs="Arial Unicode MS" w:eastAsia="Arial Unicode MS"/>
          <w:rtl w:val="0"/>
          <w:lang w:val="en-US"/>
        </w:rPr>
        <w:t>p. 132.</w:t>
      </w:r>
    </w:p>
  </w:footnote>
  <w:footnote w:id="36">
    <w:p>
      <w:pPr>
        <w:pStyle w:val="Footnote"/>
        <w:bidi w:val="0"/>
      </w:pPr>
      <w:r>
        <w:rPr>
          <w:vertAlign w:val="superscript"/>
        </w:rPr>
        <w:footnoteRef/>
      </w:r>
      <w:r>
        <w:rPr>
          <w:rFonts w:cs="Arial Unicode MS" w:eastAsia="Arial Unicode MS"/>
          <w:rtl w:val="0"/>
        </w:rPr>
        <w:t xml:space="preserve"> Kletter</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rPr>
        <w:t>Hermaphrodite</w:t>
      </w:r>
      <w:r>
        <w:rPr>
          <w:rFonts w:cs="Arial Unicode MS" w:eastAsia="Arial Unicode MS"/>
          <w:rtl w:val="0"/>
          <w:lang w:val="en-US"/>
        </w:rPr>
        <w:t xml:space="preserve">, p. </w:t>
      </w:r>
      <w:r>
        <w:rPr>
          <w:rFonts w:cs="Arial Unicode MS" w:eastAsia="Arial Unicode MS"/>
          <w:rtl w:val="0"/>
          <w:lang w:val="en-US"/>
        </w:rPr>
        <w:t>33</w:t>
      </w:r>
      <w:r>
        <w:rPr>
          <w:rFonts w:cs="Arial Unicode MS" w:eastAsia="Arial Unicode MS"/>
          <w:rtl w:val="0"/>
          <w:lang w:val="en-US"/>
        </w:rPr>
        <w:t>.</w:t>
      </w:r>
    </w:p>
  </w:footnote>
  <w:footnote w:id="37">
    <w:p>
      <w:pPr>
        <w:pStyle w:val="Footnote"/>
        <w:bidi w:val="0"/>
      </w:pPr>
      <w:r>
        <w:rPr>
          <w:vertAlign w:val="superscript"/>
        </w:rPr>
        <w:footnoteRef/>
      </w:r>
      <w:r>
        <w:rPr>
          <w:rFonts w:cs="Arial Unicode MS" w:eastAsia="Arial Unicode MS"/>
          <w:rtl w:val="0"/>
          <w:lang w:val="en-US"/>
        </w:rPr>
        <w:t xml:space="preserve"> Harry Thurston Peck, 'Harper's Dictionary of Classical Antiquities': (1898)</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Faunus</w:t>
      </w:r>
      <w:r>
        <w:rPr>
          <w:rFonts w:cs="Arial Unicode MS" w:eastAsia="Arial Unicode MS" w:hint="default"/>
          <w:rtl w:val="0"/>
          <w:lang w:val="en-US"/>
        </w:rPr>
        <w:t>”</w:t>
      </w:r>
      <w:r>
        <w:rPr>
          <w:rFonts w:cs="Arial Unicode MS" w:eastAsia="Arial Unicode MS"/>
          <w:rtl w:val="0"/>
          <w:lang w:val="en-US"/>
        </w:rPr>
        <w:t>.</w:t>
      </w:r>
    </w:p>
  </w:footnote>
  <w:footnote w:id="38">
    <w:p>
      <w:pPr>
        <w:pStyle w:val="Footnote"/>
        <w:bidi w:val="0"/>
      </w:pPr>
      <w:r>
        <w:rPr>
          <w:vertAlign w:val="superscript"/>
        </w:rPr>
        <w:footnoteRef/>
      </w:r>
      <w:r>
        <w:rPr>
          <w:rFonts w:cs="Arial Unicode MS" w:eastAsia="Arial Unicode MS"/>
          <w:rtl w:val="0"/>
          <w:lang w:val="en-US"/>
        </w:rPr>
        <w:t xml:space="preserve"> Herodotus and George Rawlinson, The Histories (A.A. Knopf: New York, 1997)</w:t>
      </w:r>
      <w:r>
        <w:rPr>
          <w:rFonts w:cs="Arial Unicode MS" w:eastAsia="Arial Unicode MS"/>
          <w:rtl w:val="0"/>
          <w:lang w:val="en-US"/>
        </w:rPr>
        <w:t>, 2.144.</w:t>
      </w:r>
    </w:p>
  </w:footnote>
  <w:footnote w:id="3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Wilkinson, </w:t>
      </w:r>
      <w:r>
        <w:rPr>
          <w:rFonts w:cs="Arial Unicode MS" w:eastAsia="Arial Unicode MS"/>
          <w:i w:val="1"/>
          <w:iCs w:val="1"/>
          <w:rtl w:val="0"/>
          <w:lang w:val="en-US"/>
        </w:rPr>
        <w:t>Complete</w:t>
      </w:r>
      <w:r>
        <w:rPr>
          <w:rFonts w:cs="Arial Unicode MS" w:eastAsia="Arial Unicode MS"/>
          <w:rtl w:val="0"/>
          <w:lang w:val="en-US"/>
        </w:rPr>
        <w:t>, p. 127.</w:t>
      </w:r>
    </w:p>
  </w:footnote>
  <w:footnote w:id="4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Photios of Constantinople, </w:t>
      </w:r>
      <w:r>
        <w:rPr>
          <w:rFonts w:cs="Arial Unicode MS" w:eastAsia="Arial Unicode MS" w:hint="default"/>
          <w:rtl w:val="0"/>
          <w:lang w:val="en-US"/>
        </w:rPr>
        <w:t>‘</w:t>
      </w:r>
      <w:r>
        <w:rPr>
          <w:rFonts w:cs="Arial Unicode MS" w:eastAsia="Arial Unicode MS"/>
          <w:rtl w:val="0"/>
          <w:lang w:val="en-US"/>
        </w:rPr>
        <w:t>Bibliotheca</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rtl w:val="0"/>
        </w:rPr>
        <w:t>190.</w:t>
      </w:r>
    </w:p>
  </w:footnote>
  <w:footnote w:id="41">
    <w:p>
      <w:pPr>
        <w:pStyle w:val="Footnote"/>
        <w:bidi w:val="0"/>
      </w:pPr>
      <w:r>
        <w:rPr>
          <w:vertAlign w:val="superscript"/>
        </w:rPr>
        <w:footnoteRef/>
      </w:r>
      <w:r>
        <w:rPr>
          <w:rFonts w:cs="Arial Unicode MS" w:eastAsia="Arial Unicode MS"/>
          <w:rtl w:val="0"/>
          <w:lang w:val="en-US"/>
        </w:rPr>
        <w:t xml:space="preserve"> Hesiod, and R. M. Frazer, </w:t>
      </w:r>
      <w:r>
        <w:rPr>
          <w:rFonts w:cs="Arial Unicode MS" w:eastAsia="Arial Unicode MS"/>
          <w:i w:val="1"/>
          <w:iCs w:val="1"/>
          <w:rtl w:val="0"/>
          <w:lang w:val="en-US"/>
        </w:rPr>
        <w:t>The Poems of Hesiod</w:t>
      </w:r>
      <w:r>
        <w:rPr>
          <w:rFonts w:cs="Arial Unicode MS" w:eastAsia="Arial Unicode MS"/>
          <w:i w:val="1"/>
          <w:iCs w:val="1"/>
          <w:rtl w:val="0"/>
          <w:lang w:val="en-US"/>
        </w:rPr>
        <w:t>: W</w:t>
      </w:r>
      <w:r>
        <w:rPr>
          <w:rFonts w:cs="Arial Unicode MS" w:eastAsia="Arial Unicode MS"/>
          <w:i w:val="1"/>
          <w:iCs w:val="1"/>
          <w:rtl w:val="0"/>
          <w:lang w:val="en-US"/>
        </w:rPr>
        <w:t xml:space="preserve">orks and </w:t>
      </w:r>
      <w:r>
        <w:rPr>
          <w:rFonts w:cs="Arial Unicode MS" w:eastAsia="Arial Unicode MS"/>
          <w:i w:val="1"/>
          <w:iCs w:val="1"/>
          <w:rtl w:val="0"/>
          <w:lang w:val="en-US"/>
        </w:rPr>
        <w:t>D</w:t>
      </w:r>
      <w:r>
        <w:rPr>
          <w:rFonts w:cs="Arial Unicode MS" w:eastAsia="Arial Unicode MS"/>
          <w:i w:val="1"/>
          <w:iCs w:val="1"/>
          <w:rtl w:val="0"/>
          <w:lang w:val="en-US"/>
        </w:rPr>
        <w:t>ays</w:t>
      </w:r>
      <w:r>
        <w:rPr>
          <w:rFonts w:cs="Arial Unicode MS" w:eastAsia="Arial Unicode MS"/>
          <w:rtl w:val="0"/>
          <w:lang w:val="en-US"/>
        </w:rPr>
        <w:t xml:space="preserve"> (University of Oklahoma Press: Norman, 1983)</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pp. 609-610.</w:t>
      </w:r>
    </w:p>
  </w:footnote>
  <w:footnote w:id="42">
    <w:p>
      <w:pPr>
        <w:pStyle w:val="Footnote"/>
        <w:bidi w:val="0"/>
      </w:pPr>
      <w:r>
        <w:rPr>
          <w:vertAlign w:val="superscript"/>
        </w:rPr>
        <w:footnoteRef/>
      </w:r>
      <w:r>
        <w:rPr>
          <w:rFonts w:cs="Arial Unicode MS" w:eastAsia="Arial Unicode MS"/>
          <w:rtl w:val="0"/>
        </w:rPr>
        <w:t xml:space="preserve"> F.M.</w:t>
      </w:r>
      <w:r>
        <w:rPr>
          <w:rFonts w:cs="Arial Unicode MS" w:eastAsia="Arial Unicode MS"/>
          <w:rtl w:val="0"/>
          <w:lang w:val="en-US"/>
        </w:rPr>
        <w:t xml:space="preserve"> Colby and T. Williams, The New International Encyclopaedia (Dodd, Mead, 1918) p. 480.</w:t>
      </w:r>
    </w:p>
  </w:footnote>
  <w:footnote w:id="4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N&amp;P, EAT, p. 190-1.</w:t>
      </w:r>
    </w:p>
  </w:footnote>
  <w:footnote w:id="44">
    <w:p>
      <w:pPr>
        <w:pStyle w:val="Footnote"/>
        <w:bidi w:val="0"/>
      </w:pPr>
      <w:r>
        <w:rPr>
          <w:vertAlign w:val="superscript"/>
        </w:rPr>
        <w:footnoteRef/>
      </w:r>
      <w:r>
        <w:rPr>
          <w:rFonts w:cs="Arial Unicode MS" w:eastAsia="Arial Unicode MS"/>
          <w:rtl w:val="0"/>
          <w:lang w:val="en-US"/>
        </w:rPr>
        <w:t xml:space="preserve"> https://www.theoi.com/Gallery/K12.6.html</w:t>
      </w:r>
    </w:p>
  </w:footnote>
  <w:footnote w:id="4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Brenner, </w:t>
      </w:r>
      <w:r>
        <w:rPr>
          <w:rFonts w:cs="Arial Unicode MS" w:eastAsia="Arial Unicode MS"/>
          <w:i w:val="1"/>
          <w:iCs w:val="1"/>
          <w:rtl w:val="0"/>
          <w:lang w:val="en-US"/>
        </w:rPr>
        <w:t>Structuralism</w:t>
      </w:r>
      <w:r>
        <w:rPr>
          <w:rFonts w:cs="Arial Unicode MS" w:eastAsia="Arial Unicode MS"/>
          <w:rtl w:val="0"/>
          <w:lang w:val="en-US"/>
        </w:rPr>
        <w:t xml:space="preserve">, </w:t>
      </w:r>
      <w:r>
        <w:rPr>
          <w:rFonts w:cs="Arial Unicode MS" w:eastAsia="Arial Unicode MS"/>
          <w:rtl w:val="0"/>
          <w:lang w:val="en-US"/>
        </w:rPr>
        <w:t>p. 303.</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s>
      <w:jc w:val="left"/>
    </w:pPr>
    <w:r>
      <w:rPr>
        <w:outline w:val="0"/>
        <w:color w:val="7a7a7a"/>
        <w:rtl w:val="0"/>
        <w:lang w:val="en-US"/>
        <w14:textFill>
          <w14:solidFill>
            <w14:srgbClr w14:val="7A7A7A"/>
          </w14:solidFill>
        </w14:textFill>
      </w:rPr>
      <w:t xml:space="preserve">Alessandro berio </w:t>
    </w:r>
    <w:r>
      <w:rPr>
        <w:outline w:val="0"/>
        <w:color w:val="7a7a7a"/>
        <w:rtl w:val="0"/>
        <w14:textFill>
          <w14:solidFill>
            <w14:srgbClr w14:val="7A7A7A"/>
          </w14:solidFill>
        </w14:textFill>
      </w:rPr>
      <w:t>1907991</w:t>
      <w:tab/>
      <w:tab/>
    </w:r>
    <w:r>
      <w:rPr>
        <w:outline w:val="0"/>
        <w:color w:val="434343"/>
        <w:rtl w:val="0"/>
        <w:lang w:val="en-US"/>
        <w14:textFill>
          <w14:solidFill>
            <w14:srgbClr w14:val="444444"/>
          </w14:solidFill>
        </w14:textFill>
      </w:rPr>
      <w:t xml:space="preserve">Page </w:t>
    </w:r>
    <w:r>
      <w:rPr>
        <w:outline w:val="0"/>
        <w:color w:val="434343"/>
        <w14:textFill>
          <w14:solidFill>
            <w14:srgbClr w14:val="444444"/>
          </w14:solidFill>
        </w14:textFill>
      </w:rPr>
      <w:fldChar w:fldCharType="begin" w:fldLock="0"/>
    </w:r>
    <w:r>
      <w:rPr>
        <w:outline w:val="0"/>
        <w:color w:val="434343"/>
        <w14:textFill>
          <w14:solidFill>
            <w14:srgbClr w14:val="444444"/>
          </w14:solidFill>
        </w14:textFill>
      </w:rPr>
      <w:instrText xml:space="preserve"> PAGE </w:instrText>
    </w:r>
    <w:r>
      <w:rPr>
        <w:outline w:val="0"/>
        <w:color w:val="434343"/>
        <w14:textFill>
          <w14:solidFill>
            <w14:srgbClr w14:val="444444"/>
          </w14:solidFill>
        </w14:textFill>
      </w:rPr>
      <w:fldChar w:fldCharType="separate" w:fldLock="0"/>
    </w:r>
    <w:r>
      <w:rPr>
        <w:outline w:val="0"/>
        <w:color w:val="434343"/>
        <w14:textFill>
          <w14:solidFill>
            <w14:srgbClr w14:val="444444"/>
          </w14:solidFill>
        </w14:textFill>
      </w:rPr>
    </w:r>
    <w:r>
      <w:rPr>
        <w:outline w:val="0"/>
        <w:color w:val="434343"/>
        <w14:textFill>
          <w14:solidFill>
            <w14:srgbClr w14:val="444444"/>
          </w14:solidFill>
        </w14:textFill>
      </w:rPr>
      <w:fldChar w:fldCharType="end" w:fldLock="0"/>
    </w:r>
    <w:r>
      <w:rPr>
        <w:outline w:val="0"/>
        <w:color w:val="434343"/>
        <w:rtl w:val="0"/>
        <w:lang w:val="en-US"/>
        <w14:textFill>
          <w14:solidFill>
            <w14:srgbClr w14:val="444444"/>
          </w14:solidFill>
        </w14:textFill>
      </w:rPr>
      <w:t xml:space="preserve"> of </w:t>
    </w:r>
    <w:r>
      <w:rPr>
        <w:outline w:val="0"/>
        <w:color w:val="434343"/>
        <w14:textFill>
          <w14:solidFill>
            <w14:srgbClr w14:val="444444"/>
          </w14:solidFill>
        </w14:textFill>
      </w:rPr>
      <w:fldChar w:fldCharType="begin" w:fldLock="0"/>
    </w:r>
    <w:r>
      <w:rPr>
        <w:outline w:val="0"/>
        <w:color w:val="434343"/>
        <w14:textFill>
          <w14:solidFill>
            <w14:srgbClr w14:val="444444"/>
          </w14:solidFill>
        </w14:textFill>
      </w:rPr>
      <w:instrText xml:space="preserve"> NUMPAGES </w:instrText>
    </w:r>
    <w:r>
      <w:rPr>
        <w:outline w:val="0"/>
        <w:color w:val="434343"/>
        <w14:textFill>
          <w14:solidFill>
            <w14:srgbClr w14:val="444444"/>
          </w14:solidFill>
        </w14:textFill>
      </w:rPr>
      <w:fldChar w:fldCharType="separate" w:fldLock="0"/>
    </w:r>
    <w:r>
      <w:rPr>
        <w:outline w:val="0"/>
        <w:color w:val="434343"/>
        <w14:textFill>
          <w14:solidFill>
            <w14:srgbClr w14:val="444444"/>
          </w14:solidFill>
        </w14:textFill>
      </w:rPr>
    </w:r>
    <w:r>
      <w:rPr>
        <w:outline w:val="0"/>
        <w:color w:val="434343"/>
        <w14:textFill>
          <w14:solidFill>
            <w14:srgbClr w14:val="444444"/>
          </w14:solidFill>
        </w14:textFill>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0"/>
      <w:szCs w:val="20"/>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4"/>
      <w:szCs w:val="24"/>
      <w:u w:val="none"/>
      <w:vertAlign w:val="baseline"/>
      <w14:textOutline>
        <w14:noFill/>
      </w14:textOutline>
      <w14:textFill>
        <w14:solidFill>
          <w14:srgbClr w14:val="444444"/>
        </w14:solidFill>
      </w14:textFill>
    </w:rPr>
  </w:style>
  <w:style w:type="character" w:styleId="Hyperlink.0">
    <w:name w:val="Hyperlink.0"/>
    <w:basedOn w:val="Hyperlink"/>
    <w:next w:val="Hyperlink.0"/>
    <w:rPr>
      <w:u w:val="single"/>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434343"/>
      <w:spacing w:val="0"/>
      <w:kern w:val="0"/>
      <w:position w:val="0"/>
      <w:sz w:val="24"/>
      <w:szCs w:val="24"/>
      <w:u w:val="none"/>
      <w:vertAlign w:val="baseline"/>
      <w:lang w:val="en-US"/>
      <w14:textOutline>
        <w14:noFill/>
      </w14:textOutline>
      <w14:textFill>
        <w14:solidFill>
          <w14:srgbClr w14:val="444444"/>
        </w14:solidFill>
      </w14:textFill>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Lora Regular" w:cs="Lora Regular" w:hAnsi="Lora Regular" w:eastAsia="Lora Regular"/>
      <w:b w:val="0"/>
      <w:bCs w:val="0"/>
      <w:i w:val="0"/>
      <w:iCs w:val="0"/>
      <w:caps w:val="0"/>
      <w:smallCaps w:val="0"/>
      <w:strike w:val="0"/>
      <w:dstrike w:val="0"/>
      <w:outline w:val="0"/>
      <w:color w:val="dc5921"/>
      <w:spacing w:val="6"/>
      <w:kern w:val="0"/>
      <w:position w:val="0"/>
      <w:sz w:val="64"/>
      <w:szCs w:val="64"/>
      <w:u w:val="none"/>
      <w:vertAlign w:val="baseline"/>
      <w14:textOutline>
        <w14:noFill/>
      </w14:textOutline>
      <w14:textFill>
        <w14:solidFill>
          <w14:srgbClr w14:val="DC5922"/>
        </w14:solidFill>
      </w14:textFill>
    </w:rPr>
  </w:style>
  <w:style w:type="paragraph" w:styleId="Subheading">
    <w:name w:val="Subheading"/>
    <w:next w:val="Body 2"/>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Lora Regular" w:hAnsi="Lora Regular" w:eastAsia="Lora Regular"/>
      <w:b w:val="0"/>
      <w:bCs w:val="0"/>
      <w:i w:val="0"/>
      <w:iCs w:val="0"/>
      <w:caps w:val="0"/>
      <w:smallCaps w:val="0"/>
      <w:strike w:val="0"/>
      <w:dstrike w:val="0"/>
      <w:outline w:val="0"/>
      <w:color w:val="5b422a"/>
      <w:spacing w:val="0"/>
      <w:kern w:val="0"/>
      <w:position w:val="0"/>
      <w:sz w:val="36"/>
      <w:szCs w:val="36"/>
      <w:u w:val="none"/>
      <w:vertAlign w:val="baseline"/>
      <w14:textOutline>
        <w14:noFill/>
      </w14:textOutline>
      <w14:textFill>
        <w14:solidFill>
          <w14:srgbClr w14:val="5C432B"/>
        </w14:solidFill>
      </w14:textFill>
    </w:rPr>
  </w:style>
  <w:style w:type="paragraph" w:styleId="Heading 2">
    <w:name w:val="Heading 2"/>
    <w:next w:val="Body 2"/>
    <w:pPr>
      <w:keepNext w:val="1"/>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Lora Regular" w:hAnsi="Lora Regular" w:eastAsia="Lora Regular"/>
      <w:b w:val="0"/>
      <w:bCs w:val="0"/>
      <w:i w:val="0"/>
      <w:iCs w:val="0"/>
      <w:caps w:val="0"/>
      <w:smallCaps w:val="0"/>
      <w:strike w:val="0"/>
      <w:dstrike w:val="0"/>
      <w:outline w:val="0"/>
      <w:color w:val="5a5754"/>
      <w:spacing w:val="0"/>
      <w:kern w:val="0"/>
      <w:position w:val="0"/>
      <w:sz w:val="36"/>
      <w:szCs w:val="36"/>
      <w:u w:val="none"/>
      <w:vertAlign w:val="baseline"/>
      <w14:textOutline>
        <w14:noFill/>
      </w14:textOutline>
      <w14:textFill>
        <w14:solidFill>
          <w14:srgbClr w14:val="5B5854"/>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0"/>
      <w:szCs w:val="20"/>
      <w:u w:val="none"/>
      <w:vertAlign w:val="baseline"/>
      <w14:textOutline>
        <w14:noFill/>
      </w14:textOutline>
      <w14:textFill>
        <w14:solidFill>
          <w14:srgbClr w14:val="444444"/>
        </w14:solidFill>
      </w14:textFill>
    </w:rPr>
  </w:style>
  <w:style w:type="paragraph" w:styleId="Image">
    <w:name w:val="Image"/>
    <w:next w:val="Image"/>
    <w:pPr>
      <w:keepNext w:val="0"/>
      <w:keepLines w:val="0"/>
      <w:pageBreakBefore w:val="0"/>
      <w:widowControl w:val="1"/>
      <w:shd w:val="clear" w:color="auto" w:fill="auto"/>
      <w:suppressAutoHyphens w:val="0"/>
      <w:bidi w:val="0"/>
      <w:spacing w:before="0" w:after="0" w:line="360" w:lineRule="auto"/>
      <w:ind w:left="0" w:right="0" w:firstLine="0"/>
      <w:jc w:val="center"/>
      <w:outlineLvl w:val="9"/>
    </w:pPr>
    <w:rPr>
      <w:rFonts w:ascii="Lora Regular" w:cs="Lora Regular" w:hAnsi="Lora Regular" w:eastAsia="Lora Regular"/>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Image Caption">
    <w:name w:val="Image Caption"/>
    <w:next w:val="Image Caption"/>
    <w:pPr>
      <w:keepNext w:val="0"/>
      <w:keepLines w:val="0"/>
      <w:pageBreakBefore w:val="0"/>
      <w:widowControl w:val="1"/>
      <w:shd w:val="clear" w:color="auto" w:fill="auto"/>
      <w:suppressAutoHyphens w:val="0"/>
      <w:bidi w:val="0"/>
      <w:spacing w:before="0" w:after="200" w:line="240" w:lineRule="auto"/>
      <w:ind w:left="0" w:right="0" w:firstLine="0"/>
      <w:jc w:val="center"/>
      <w:outlineLvl w:val="9"/>
    </w:pPr>
    <w:rPr>
      <w:rFonts w:ascii="Lora Regular" w:cs="Arial Unicode MS" w:hAnsi="Lora Regular" w:eastAsia="Arial Unicode MS"/>
      <w:b w:val="0"/>
      <w:bCs w:val="0"/>
      <w:i w:val="0"/>
      <w:iCs w:val="0"/>
      <w:caps w:val="0"/>
      <w:smallCaps w:val="0"/>
      <w:strike w:val="0"/>
      <w:dstrike w:val="0"/>
      <w:outline w:val="0"/>
      <w:color w:val="434343"/>
      <w:spacing w:val="0"/>
      <w:kern w:val="0"/>
      <w:position w:val="0"/>
      <w:sz w:val="20"/>
      <w:szCs w:val="20"/>
      <w:u w:val="none"/>
      <w:vertAlign w:val="baseline"/>
      <w:lang w:val="en-US"/>
      <w14:textOutline>
        <w14:noFill/>
      </w14:textOutline>
      <w14:textFill>
        <w14:solidFill>
          <w14:srgbClr w14:val="444444"/>
        </w14:solidFill>
      </w14:textFill>
    </w:rPr>
  </w:style>
  <w:style w:type="paragraph" w:styleId="Caption">
    <w:name w:val="Caption"/>
    <w:next w:val="Caption"/>
    <w:pPr>
      <w:keepNext w:val="0"/>
      <w:keepLines w:val="0"/>
      <w:pageBreakBefore w:val="0"/>
      <w:widowControl w:val="1"/>
      <w:shd w:val="clear" w:color="auto" w:fill="auto"/>
      <w:suppressAutoHyphens w:val="0"/>
      <w:bidi w:val="0"/>
      <w:spacing w:before="0" w:after="0" w:line="288" w:lineRule="auto"/>
      <w:ind w:left="0" w:right="0" w:firstLine="0"/>
      <w:jc w:val="left"/>
      <w:outlineLvl w:val="9"/>
    </w:pPr>
    <w:rPr>
      <w:rFonts w:ascii="Lora Bold" w:cs="Lora Bold" w:hAnsi="Lora Bold" w:eastAsia="Lora Bold"/>
      <w:b w:val="0"/>
      <w:bCs w:val="0"/>
      <w:i w:val="0"/>
      <w:iCs w:val="0"/>
      <w:caps w:val="0"/>
      <w:smallCaps w:val="0"/>
      <w:strike w:val="0"/>
      <w:dstrike w:val="0"/>
      <w:outline w:val="0"/>
      <w:color w:val="5a5754"/>
      <w:spacing w:val="0"/>
      <w:kern w:val="0"/>
      <w:position w:val="0"/>
      <w:sz w:val="22"/>
      <w:szCs w:val="22"/>
      <w:u w:val="none"/>
      <w:vertAlign w:val="baseline"/>
      <w14:textOutline>
        <w14:noFill/>
      </w14:textOutline>
      <w14:textFill>
        <w14:solidFill>
          <w14:srgbClr w14:val="5B5854"/>
        </w14:solidFill>
      </w14:textFill>
    </w:rPr>
  </w:style>
  <w:style w:type="paragraph" w:styleId="Quot">
    <w:name w:val="Quot"/>
    <w:next w:val="Quot"/>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Post Quote">
    <w:name w:val="Post Quote"/>
    <w:next w:val="Post Quote"/>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Heading">
    <w:name w:val="Heading"/>
    <w:next w:val="Body 2"/>
    <w:pPr>
      <w:keepNext w:val="0"/>
      <w:keepLines w:val="0"/>
      <w:pageBreakBefore w:val="0"/>
      <w:widowControl w:val="1"/>
      <w:shd w:val="clear" w:color="auto" w:fill="auto"/>
      <w:suppressAutoHyphens w:val="0"/>
      <w:bidi w:val="0"/>
      <w:spacing w:before="0" w:after="0" w:line="312" w:lineRule="auto"/>
      <w:ind w:left="0" w:right="0" w:firstLine="0"/>
      <w:jc w:val="left"/>
      <w:outlineLvl w:val="0"/>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6"/>
      <w:szCs w:val="26"/>
      <w:u w:val="none"/>
      <w:vertAlign w:val="baseline"/>
      <w:lang w:val="en-US"/>
      <w14:textOutline>
        <w14:noFill/>
      </w14:textOutline>
      <w14:textFill>
        <w14:solidFill>
          <w14:srgbClr w14:val="000000"/>
        </w14:solidFill>
      </w14:textFill>
    </w:rPr>
  </w:style>
  <w:style w:type="character" w:styleId="Hyperlink.1">
    <w:name w:val="Hyperlink.1"/>
    <w:basedOn w:val="Hyperlink.0"/>
    <w:next w:val="Hyperlink.1"/>
    <w:rPr>
      <w:u w:val="no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1.jpe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1.tif"/><Relationship Id="rId10" Type="http://schemas.openxmlformats.org/officeDocument/2006/relationships/image" Target="media/image2.jpeg"/><Relationship Id="rId11" Type="http://schemas.openxmlformats.org/officeDocument/2006/relationships/image" Target="media/image2.tif"/><Relationship Id="rId12" Type="http://schemas.openxmlformats.org/officeDocument/2006/relationships/image" Target="media/image3.jpeg"/><Relationship Id="rId13" Type="http://schemas.openxmlformats.org/officeDocument/2006/relationships/image" Target="media/image5.png"/><Relationship Id="rId14" Type="http://schemas.openxmlformats.org/officeDocument/2006/relationships/image" Target="media/image4.jpeg"/><Relationship Id="rId15" Type="http://schemas.openxmlformats.org/officeDocument/2006/relationships/image" Target="media/image5.jpeg"/><Relationship Id="rId16" Type="http://schemas.openxmlformats.org/officeDocument/2006/relationships/image" Target="media/image6.jpeg"/><Relationship Id="rId17" Type="http://schemas.openxmlformats.org/officeDocument/2006/relationships/image" Target="media/image3.tif"/><Relationship Id="rId18" Type="http://schemas.openxmlformats.org/officeDocument/2006/relationships/image" Target="media/image7.jpeg"/><Relationship Id="rId19" Type="http://schemas.openxmlformats.org/officeDocument/2006/relationships/image" Target="media/image8.jpeg"/><Relationship Id="rId20" Type="http://schemas.openxmlformats.org/officeDocument/2006/relationships/image" Target="media/image4.tif"/><Relationship Id="rId21" Type="http://schemas.openxmlformats.org/officeDocument/2006/relationships/image" Target="media/image9.jpeg"/><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notes" Target="footnotes.xml"/><Relationship Id="rId2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000000"/>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Lora Regular"/>
        <a:ea typeface="Lora Regular"/>
        <a:cs typeface="Lora Regular"/>
      </a:majorFont>
      <a:minorFont>
        <a:latin typeface="Lora Bold"/>
        <a:ea typeface="Lora Bold"/>
        <a:cs typeface="Lora Bold"/>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hueOff val="304431"/>
            <a:satOff val="14136"/>
            <a:lumOff val="-27777"/>
          </a:schemeClr>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FFFFFF"/>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AAAAAA"/>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20000"/>
          </a:lnSpc>
          <a:spcBef>
            <a:spcPts val="400"/>
          </a:spcBef>
          <a:spcAft>
            <a:spcPts val="0"/>
          </a:spcAft>
          <a:buClrTx/>
          <a:buSzTx/>
          <a:buFontTx/>
          <a:buNone/>
          <a:tabLst/>
          <a:defRPr b="0" baseline="0" cap="none" i="0" spc="0" strike="noStrike" sz="1200" u="none" kumimoji="0" normalizeH="0">
            <a:ln>
              <a:noFill/>
            </a:ln>
            <a:solidFill>
              <a:srgbClr val="444444"/>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