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DD556E" w14:textId="77777777" w:rsidR="00861A19" w:rsidRPr="00087BDC" w:rsidRDefault="00861A19" w:rsidP="00861A19">
      <w:pPr>
        <w:spacing w:line="480" w:lineRule="auto"/>
      </w:pPr>
      <w:r w:rsidRPr="00087BDC">
        <w:t>Genesis 4:1-17 is the focus for this summary of two academic journal articles</w:t>
      </w:r>
      <w:r>
        <w:t>, together with m</w:t>
      </w:r>
      <w:r w:rsidRPr="00087BDC">
        <w:t xml:space="preserve">y own fresh </w:t>
      </w:r>
      <w:r>
        <w:t>reflections</w:t>
      </w:r>
      <w:r w:rsidRPr="00087BDC">
        <w:t>. From the story of Cain and Abel, Greenberger’s</w:t>
      </w:r>
      <w:r w:rsidRPr="00087BDC">
        <w:rPr>
          <w:vertAlign w:val="superscript"/>
        </w:rPr>
        <w:footnoteReference w:id="1"/>
      </w:r>
      <w:r w:rsidRPr="00087BDC">
        <w:t xml:space="preserve"> traditional narrative textual analysis supports her professional medical interest into the relationship between Scripture and medical ethics within a Jewish environment, exploring</w:t>
      </w:r>
      <w:r>
        <w:t xml:space="preserve"> here</w:t>
      </w:r>
      <w:r w:rsidRPr="00087BDC">
        <w:t xml:space="preserve"> ‘the process and consequences of human mismanagement of unexpected rejection’</w:t>
      </w:r>
      <w:r w:rsidRPr="00087BDC">
        <w:rPr>
          <w:vertAlign w:val="superscript"/>
        </w:rPr>
        <w:footnoteReference w:id="2"/>
      </w:r>
      <w:r w:rsidRPr="00087BDC">
        <w:t>. González</w:t>
      </w:r>
      <w:r w:rsidRPr="00087BDC">
        <w:rPr>
          <w:vertAlign w:val="superscript"/>
        </w:rPr>
        <w:footnoteReference w:id="3"/>
      </w:r>
      <w:r w:rsidRPr="00087BDC">
        <w:t xml:space="preserve"> </w:t>
      </w:r>
      <w:r>
        <w:t>contributes to ‘</w:t>
      </w:r>
      <w:proofErr w:type="spellStart"/>
      <w:r>
        <w:t>decentering</w:t>
      </w:r>
      <w:proofErr w:type="spellEnd"/>
      <w:r>
        <w:t>’</w:t>
      </w:r>
      <w:r>
        <w:rPr>
          <w:rStyle w:val="FootnoteReference"/>
        </w:rPr>
        <w:footnoteReference w:id="4"/>
      </w:r>
      <w:r>
        <w:t xml:space="preserve"> dominant traditional interpretations of scripture with </w:t>
      </w:r>
      <w:r w:rsidRPr="00087BDC">
        <w:t xml:space="preserve">a Christian semiotic analysis focusing on 4:4, Cain’s murder of Abel, through artists’ eyes. </w:t>
      </w:r>
    </w:p>
    <w:p w14:paraId="62234C01" w14:textId="77777777" w:rsidR="00861A19" w:rsidRPr="00087BDC" w:rsidRDefault="00861A19" w:rsidP="00861A19">
      <w:pPr>
        <w:spacing w:line="480" w:lineRule="auto"/>
      </w:pPr>
    </w:p>
    <w:p w14:paraId="7F27A38B" w14:textId="77777777" w:rsidR="00861A19" w:rsidRPr="00087BDC" w:rsidRDefault="00861A19" w:rsidP="00861A19">
      <w:pPr>
        <w:spacing w:line="480" w:lineRule="auto"/>
      </w:pPr>
      <w:r w:rsidRPr="00087BDC">
        <w:t xml:space="preserve">Greenberger first studies how objective decision-making before the Fall (Genesis 3) moves into the novel, lived </w:t>
      </w:r>
      <w:r>
        <w:t xml:space="preserve">post-Eden </w:t>
      </w:r>
      <w:r w:rsidRPr="00087BDC">
        <w:t>experience of moral choices. God’s provision of opportunities to master one’s emotions</w:t>
      </w:r>
      <w:r>
        <w:t>, however,</w:t>
      </w:r>
      <w:r w:rsidRPr="00087BDC">
        <w:t xml:space="preserve"> brings possibility of flawed moral decision-making, Cain, Adam and Eve’s firstborn son, being the first ‘challenged by this new reality’</w:t>
      </w:r>
      <w:r w:rsidRPr="00087BDC">
        <w:rPr>
          <w:vertAlign w:val="superscript"/>
        </w:rPr>
        <w:footnoteReference w:id="5"/>
      </w:r>
      <w:r w:rsidRPr="00087BDC">
        <w:t>. Greenberger explores the contrasting nature of the brothers, commenting on naming, physique, roles and perceived status of the first-born. Nuances and emphasis of text point to Cain’s flawed reasoning that God values Abel over himself</w:t>
      </w:r>
      <w:r w:rsidRPr="00087BDC">
        <w:rPr>
          <w:vertAlign w:val="superscript"/>
        </w:rPr>
        <w:footnoteReference w:id="6"/>
      </w:r>
      <w:r w:rsidRPr="00087BDC">
        <w:t xml:space="preserve">, diverting personal responsibility for </w:t>
      </w:r>
      <w:r>
        <w:t>his</w:t>
      </w:r>
      <w:r w:rsidRPr="00087BDC">
        <w:t xml:space="preserve"> actions away from </w:t>
      </w:r>
      <w:r>
        <w:t>himself and towards God</w:t>
      </w:r>
      <w:r w:rsidRPr="00087BDC">
        <w:t xml:space="preserve">. </w:t>
      </w:r>
      <w:r>
        <w:t>Greenberger</w:t>
      </w:r>
      <w:r w:rsidRPr="00087BDC">
        <w:t xml:space="preserve"> seems to cast a medical professional’s eye over the text</w:t>
      </w:r>
      <w:r>
        <w:t>,</w:t>
      </w:r>
      <w:r w:rsidRPr="00087BDC">
        <w:t xml:space="preserve"> questioning the absence of human support mechanisms. Adam and Eve struggling to cope with their new feelings and </w:t>
      </w:r>
      <w:r>
        <w:t>inability</w:t>
      </w:r>
      <w:r w:rsidRPr="00087BDC">
        <w:t xml:space="preserve"> to provide necessary support</w:t>
      </w:r>
      <w:r w:rsidRPr="00087BDC">
        <w:rPr>
          <w:vertAlign w:val="superscript"/>
        </w:rPr>
        <w:footnoteReference w:id="7"/>
      </w:r>
      <w:r>
        <w:t>arouse questions surrounding some modern parenting issues.</w:t>
      </w:r>
      <w:r w:rsidRPr="00087BDC">
        <w:t xml:space="preserve"> </w:t>
      </w:r>
      <w:r>
        <w:lastRenderedPageBreak/>
        <w:t xml:space="preserve">Greenberger affirms </w:t>
      </w:r>
      <w:r w:rsidRPr="00087BDC">
        <w:t>God</w:t>
      </w:r>
      <w:r>
        <w:t>’s</w:t>
      </w:r>
      <w:r w:rsidRPr="00087BDC">
        <w:t xml:space="preserve"> constan</w:t>
      </w:r>
      <w:r>
        <w:t>cy of</w:t>
      </w:r>
      <w:r w:rsidRPr="00087BDC">
        <w:t xml:space="preserve"> support as father and spiritual reflector/mentor</w:t>
      </w:r>
      <w:r>
        <w:t xml:space="preserve">, </w:t>
      </w:r>
      <w:r w:rsidRPr="00087BDC">
        <w:t>calling Cain to explore and understand the apparent rejection and then master his own emotions – as well as potential reject</w:t>
      </w:r>
      <w:r>
        <w:t>ion of</w:t>
      </w:r>
      <w:r w:rsidRPr="00087BDC">
        <w:t xml:space="preserve"> the invitation and </w:t>
      </w:r>
      <w:r>
        <w:t xml:space="preserve">resultant </w:t>
      </w:r>
      <w:r w:rsidRPr="00087BDC">
        <w:t xml:space="preserve">moral deterioration. </w:t>
      </w:r>
    </w:p>
    <w:p w14:paraId="2EB9FBE4" w14:textId="77777777" w:rsidR="00861A19" w:rsidRPr="00087BDC" w:rsidRDefault="00861A19" w:rsidP="00861A19">
      <w:pPr>
        <w:spacing w:line="480" w:lineRule="auto"/>
      </w:pPr>
    </w:p>
    <w:p w14:paraId="30011EFD" w14:textId="77777777" w:rsidR="00861A19" w:rsidRDefault="00861A19" w:rsidP="00861A19">
      <w:pPr>
        <w:spacing w:line="480" w:lineRule="auto"/>
      </w:pPr>
      <w:r w:rsidRPr="00087BDC">
        <w:t>Recognising the relationship between good moral choices, reward and the ability to do right places modern mental health approaches into a clear scriptural context. The lesson to be learnt is that ‘man after Eden is capable of and expected to behave morally’</w:t>
      </w:r>
      <w:r w:rsidRPr="00087BDC">
        <w:rPr>
          <w:vertAlign w:val="superscript"/>
        </w:rPr>
        <w:footnoteReference w:id="8"/>
      </w:r>
      <w:r w:rsidRPr="00087BDC">
        <w:t>. God is gracious and loving, punishing Cain justly. Cain can develop a fresh self-worth, ‘not for what he owns, but for what he is’</w:t>
      </w:r>
      <w:r w:rsidRPr="00087BDC">
        <w:rPr>
          <w:vertAlign w:val="superscript"/>
        </w:rPr>
        <w:footnoteReference w:id="9"/>
      </w:r>
      <w:r w:rsidRPr="00087BDC">
        <w:t xml:space="preserve">. </w:t>
      </w:r>
    </w:p>
    <w:p w14:paraId="360E9C7D" w14:textId="77777777" w:rsidR="00861A19" w:rsidRDefault="00861A19" w:rsidP="00861A19">
      <w:pPr>
        <w:spacing w:line="480" w:lineRule="auto"/>
      </w:pPr>
    </w:p>
    <w:p w14:paraId="6996334F" w14:textId="77777777" w:rsidR="00861A19" w:rsidRPr="00087BDC" w:rsidRDefault="00861A19" w:rsidP="00861A19">
      <w:pPr>
        <w:spacing w:line="480" w:lineRule="auto"/>
      </w:pPr>
      <w:r w:rsidRPr="00087BDC">
        <w:t>God’s price, a constant reminder of the crime, is the protective mark of Cain, which ‘paradoxically uncovers his act for all to see and scorn’</w:t>
      </w:r>
      <w:r w:rsidRPr="00087BDC">
        <w:rPr>
          <w:vertAlign w:val="superscript"/>
        </w:rPr>
        <w:footnoteReference w:id="10"/>
      </w:r>
      <w:r w:rsidRPr="00087BDC">
        <w:t xml:space="preserve">. The consequences of Cain’s act embed its immoral nature, which society will bear for ever. Through building a city in honour of his son, Cain begins restitution of himself by building a future for others, with a universal, timeless </w:t>
      </w:r>
      <w:r>
        <w:t>message</w:t>
      </w:r>
      <w:r w:rsidRPr="00087BDC">
        <w:t xml:space="preserve">. </w:t>
      </w:r>
    </w:p>
    <w:p w14:paraId="423B5DFA" w14:textId="77777777" w:rsidR="00861A19" w:rsidRPr="00087BDC" w:rsidRDefault="00861A19" w:rsidP="00861A19">
      <w:pPr>
        <w:spacing w:line="480" w:lineRule="auto"/>
      </w:pPr>
    </w:p>
    <w:p w14:paraId="7A911875" w14:textId="77777777" w:rsidR="00861A19" w:rsidRPr="00087BDC" w:rsidRDefault="00861A19" w:rsidP="00861A19">
      <w:pPr>
        <w:spacing w:line="480" w:lineRule="auto"/>
      </w:pPr>
      <w:r w:rsidRPr="00087BDC">
        <w:t xml:space="preserve">All individuals encountering first-time serious confrontation between </w:t>
      </w:r>
      <w:r>
        <w:t xml:space="preserve">the avoidable </w:t>
      </w:r>
      <w:r w:rsidRPr="00087BDC">
        <w:t>conflict and moral choices</w:t>
      </w:r>
      <w:r>
        <w:t xml:space="preserve"> that</w:t>
      </w:r>
      <w:r w:rsidRPr="00087BDC">
        <w:t xml:space="preserve"> face Cain’s dilemma</w:t>
      </w:r>
      <w:r>
        <w:t xml:space="preserve"> but </w:t>
      </w:r>
      <w:r w:rsidRPr="00087BDC">
        <w:t xml:space="preserve">all must find ways of resolving. Personal rejection blinds people to potential sources of support, including God. </w:t>
      </w:r>
      <w:r>
        <w:t>H</w:t>
      </w:r>
      <w:r w:rsidRPr="00087BDC">
        <w:t xml:space="preserve">ope </w:t>
      </w:r>
      <w:r>
        <w:t>and support from God are</w:t>
      </w:r>
      <w:r w:rsidRPr="00087BDC">
        <w:t xml:space="preserve"> always present to </w:t>
      </w:r>
      <w:r>
        <w:t>enable</w:t>
      </w:r>
      <w:r w:rsidRPr="00087BDC">
        <w:t xml:space="preserve"> amend</w:t>
      </w:r>
      <w:r>
        <w:t>ment</w:t>
      </w:r>
      <w:r w:rsidRPr="00087BDC">
        <w:t xml:space="preserve"> for wrong choices. Rebuilding one’s life for future positive outcomes is always possible, but, however hard we try, the future is beyond our personal control, as </w:t>
      </w:r>
      <w:proofErr w:type="spellStart"/>
      <w:r w:rsidRPr="00087BDC">
        <w:t>Lamlech’s</w:t>
      </w:r>
      <w:proofErr w:type="spellEnd"/>
      <w:r w:rsidRPr="00087BDC">
        <w:t xml:space="preserve"> crime (Gen. 4:19-24) illustrates. Society can only </w:t>
      </w:r>
      <w:r w:rsidRPr="00087BDC">
        <w:lastRenderedPageBreak/>
        <w:t>provide a framework and culture to enable good moral living and necessary support when people lapse. In the end, no-one is immune from a fall from grace; ‘ultimately, every individual stands alone in confronting his moral challenges’</w:t>
      </w:r>
      <w:r w:rsidRPr="00087BDC">
        <w:rPr>
          <w:vertAlign w:val="superscript"/>
        </w:rPr>
        <w:footnoteReference w:id="11"/>
      </w:r>
      <w:r w:rsidRPr="00087BDC">
        <w:t>, a theme picked up in the article by González.</w:t>
      </w:r>
    </w:p>
    <w:p w14:paraId="2B643C23" w14:textId="77777777" w:rsidR="00861A19" w:rsidRPr="00087BDC" w:rsidRDefault="00861A19" w:rsidP="00861A19">
      <w:pPr>
        <w:spacing w:line="480" w:lineRule="auto"/>
      </w:pPr>
    </w:p>
    <w:p w14:paraId="3F63D977" w14:textId="77777777" w:rsidR="00861A19" w:rsidRPr="00087BDC" w:rsidRDefault="00861A19" w:rsidP="00861A19">
      <w:pPr>
        <w:spacing w:line="480" w:lineRule="auto"/>
      </w:pPr>
      <w:r w:rsidRPr="00087BDC">
        <w:t xml:space="preserve">Noting Renaissance interest in eroticism and death, González applies semiotic analysis to Genesis 4:1-17 through four carefully selected images of the crucial moment of Cain’s killing of Abel (4:4): </w:t>
      </w:r>
      <w:proofErr w:type="spellStart"/>
      <w:r w:rsidRPr="00087BDC">
        <w:t>Dürer</w:t>
      </w:r>
      <w:proofErr w:type="spellEnd"/>
      <w:r w:rsidRPr="00087BDC">
        <w:t xml:space="preserve"> (1511), </w:t>
      </w:r>
      <w:proofErr w:type="spellStart"/>
      <w:r w:rsidRPr="00087BDC">
        <w:t>Harmensz</w:t>
      </w:r>
      <w:proofErr w:type="spellEnd"/>
      <w:r w:rsidRPr="00087BDC">
        <w:t xml:space="preserve"> (c.1590), </w:t>
      </w:r>
      <w:proofErr w:type="spellStart"/>
      <w:r w:rsidRPr="00087BDC">
        <w:t>Crespi</w:t>
      </w:r>
      <w:proofErr w:type="spellEnd"/>
      <w:r w:rsidRPr="00087BDC">
        <w:t xml:space="preserve"> (c.1618) and </w:t>
      </w:r>
      <w:proofErr w:type="spellStart"/>
      <w:r w:rsidRPr="00087BDC">
        <w:t>Falguière</w:t>
      </w:r>
      <w:proofErr w:type="spellEnd"/>
      <w:r w:rsidRPr="00087BDC">
        <w:t xml:space="preserve"> (1876). After discussing the meaning of religion, González adopts </w:t>
      </w:r>
      <w:proofErr w:type="spellStart"/>
      <w:r w:rsidRPr="00087BDC">
        <w:t>Bataille’s</w:t>
      </w:r>
      <w:proofErr w:type="spellEnd"/>
      <w:r w:rsidRPr="00087BDC">
        <w:t xml:space="preserve"> definition: “the search for the lost intimacy”</w:t>
      </w:r>
      <w:r w:rsidRPr="00087BDC">
        <w:rPr>
          <w:vertAlign w:val="superscript"/>
        </w:rPr>
        <w:footnoteReference w:id="12"/>
      </w:r>
      <w:r w:rsidRPr="00087BDC">
        <w:t>. Erotic activity is a way of attaining that intimacy.</w:t>
      </w:r>
    </w:p>
    <w:p w14:paraId="749A8065" w14:textId="77777777" w:rsidR="00861A19" w:rsidRPr="00087BDC" w:rsidRDefault="00861A19" w:rsidP="00861A19">
      <w:pPr>
        <w:spacing w:line="480" w:lineRule="auto"/>
      </w:pPr>
    </w:p>
    <w:p w14:paraId="663C9E8C" w14:textId="77777777" w:rsidR="00861A19" w:rsidRPr="00087BDC" w:rsidRDefault="00861A19" w:rsidP="00861A19">
      <w:pPr>
        <w:spacing w:line="480" w:lineRule="auto"/>
      </w:pPr>
      <w:r w:rsidRPr="00087BDC">
        <w:t xml:space="preserve">Scripture gives little contextual support about character or setting, which, González argues, gives free rein to the artist. His first section considers ‘Abel’s </w:t>
      </w:r>
      <w:r w:rsidRPr="00060D44">
        <w:rPr>
          <w:b/>
          <w:bCs/>
        </w:rPr>
        <w:t>Death</w:t>
      </w:r>
      <w:r>
        <w:rPr>
          <w:rStyle w:val="FootnoteReference"/>
          <w:b/>
          <w:bCs/>
        </w:rPr>
        <w:footnoteReference w:id="13"/>
      </w:r>
      <w:r w:rsidRPr="00087BDC">
        <w:t xml:space="preserve">: Erotic </w:t>
      </w:r>
      <w:r w:rsidRPr="00060D44">
        <w:rPr>
          <w:b/>
          <w:bCs/>
        </w:rPr>
        <w:t>Ambiguity</w:t>
      </w:r>
      <w:r w:rsidRPr="00087BDC">
        <w:t>’</w:t>
      </w:r>
      <w:r w:rsidRPr="00087BDC">
        <w:rPr>
          <w:vertAlign w:val="superscript"/>
        </w:rPr>
        <w:footnoteReference w:id="14"/>
      </w:r>
      <w:r w:rsidRPr="00087BDC">
        <w:t xml:space="preserve"> seen through 15th/16th century artists’ eyes. Each artist invites viewers to share his own visualisations, evoking deep, inner responses within artist and viewer. Traditional objective interpretation of sibling envy and rivalry moves from coldness to intense subjective ambiguity within the Cain/Abel sibling relationship. </w:t>
      </w:r>
    </w:p>
    <w:p w14:paraId="3E9B4471" w14:textId="77777777" w:rsidR="00861A19" w:rsidRPr="00087BDC" w:rsidRDefault="00861A19" w:rsidP="00861A19">
      <w:pPr>
        <w:spacing w:line="480" w:lineRule="auto"/>
      </w:pPr>
    </w:p>
    <w:p w14:paraId="659D65E3" w14:textId="77777777" w:rsidR="00861A19" w:rsidRPr="00087BDC" w:rsidRDefault="00861A19" w:rsidP="00861A19">
      <w:pPr>
        <w:spacing w:line="480" w:lineRule="auto"/>
      </w:pPr>
      <w:r w:rsidRPr="00087BDC">
        <w:t>González suggests the minute subtle nuances of hand and body position, facial expression and general demeanour imply ‘masochism, eroticism and submission to violence, a perverse enjoyment in punishment and pain’</w:t>
      </w:r>
      <w:r w:rsidRPr="00087BDC">
        <w:rPr>
          <w:vertAlign w:val="superscript"/>
        </w:rPr>
        <w:footnoteReference w:id="15"/>
      </w:r>
      <w:r w:rsidRPr="00087BDC">
        <w:t xml:space="preserve">, an erotic/homoerotic view of Abel’s sibling </w:t>
      </w:r>
      <w:r w:rsidRPr="00087BDC">
        <w:lastRenderedPageBreak/>
        <w:t xml:space="preserve">relationship with Cain. However, González fails to </w:t>
      </w:r>
      <w:r>
        <w:t>provide meaning for</w:t>
      </w:r>
      <w:r w:rsidRPr="00087BDC">
        <w:t xml:space="preserve"> the retreating figure in </w:t>
      </w:r>
      <w:proofErr w:type="spellStart"/>
      <w:r w:rsidRPr="00087BDC">
        <w:t>Harmensz’s</w:t>
      </w:r>
      <w:proofErr w:type="spellEnd"/>
      <w:r w:rsidRPr="00087BDC">
        <w:t xml:space="preserve"> image</w:t>
      </w:r>
      <w:r>
        <w:t>ry</w:t>
      </w:r>
      <w:r w:rsidRPr="00087BDC">
        <w:t>.</w:t>
      </w:r>
    </w:p>
    <w:p w14:paraId="625A9034" w14:textId="77777777" w:rsidR="00861A19" w:rsidRPr="00087BDC" w:rsidRDefault="00861A19" w:rsidP="00861A19">
      <w:pPr>
        <w:spacing w:line="480" w:lineRule="auto"/>
      </w:pPr>
    </w:p>
    <w:p w14:paraId="475AF375" w14:textId="77777777" w:rsidR="00861A19" w:rsidRPr="00087BDC" w:rsidRDefault="00861A19" w:rsidP="00861A19">
      <w:pPr>
        <w:spacing w:line="480" w:lineRule="auto"/>
      </w:pPr>
      <w:r w:rsidRPr="00087BDC">
        <w:t xml:space="preserve">In </w:t>
      </w:r>
      <w:proofErr w:type="spellStart"/>
      <w:r w:rsidRPr="00087BDC">
        <w:t>Falguière’s</w:t>
      </w:r>
      <w:proofErr w:type="spellEnd"/>
      <w:r w:rsidRPr="00087BDC">
        <w:t xml:space="preserve"> painting</w:t>
      </w:r>
      <w:r>
        <w:t>,</w:t>
      </w:r>
      <w:r w:rsidRPr="00087BDC">
        <w:t xml:space="preserve"> González’s second section, ‘Cain’s </w:t>
      </w:r>
      <w:r w:rsidRPr="00060D44">
        <w:rPr>
          <w:b/>
          <w:bCs/>
        </w:rPr>
        <w:t>Life</w:t>
      </w:r>
      <w:r w:rsidRPr="00087BDC">
        <w:t xml:space="preserve">: Awareness of </w:t>
      </w:r>
      <w:r w:rsidRPr="00060D44">
        <w:rPr>
          <w:b/>
          <w:bCs/>
        </w:rPr>
        <w:t>Death</w:t>
      </w:r>
      <w:r w:rsidRPr="00087BDC">
        <w:t>’</w:t>
      </w:r>
      <w:r w:rsidRPr="00087BDC">
        <w:rPr>
          <w:vertAlign w:val="superscript"/>
        </w:rPr>
        <w:footnoteReference w:id="16"/>
      </w:r>
      <w:r w:rsidRPr="00087BDC">
        <w:t xml:space="preserve">, Abel’s death </w:t>
      </w:r>
      <w:r>
        <w:t>becomes</w:t>
      </w:r>
      <w:r w:rsidRPr="00087BDC">
        <w:t xml:space="preserve"> humanity’s reminder of the fragility of life. The absence of narrative context ‘illustrates that the naked bodies are for the spectator’s pleasure’</w:t>
      </w:r>
      <w:r w:rsidRPr="00087BDC">
        <w:rPr>
          <w:vertAlign w:val="superscript"/>
        </w:rPr>
        <w:footnoteReference w:id="17"/>
      </w:r>
      <w:r>
        <w:t>.</w:t>
      </w:r>
      <w:r w:rsidRPr="00087BDC">
        <w:t xml:space="preserve"> </w:t>
      </w:r>
      <w:r>
        <w:t>Abel reflects</w:t>
      </w:r>
      <w:r w:rsidRPr="00087BDC">
        <w:t xml:space="preserve"> ‘virginity and vulnerability of a teenage woman’</w:t>
      </w:r>
      <w:r w:rsidRPr="00087BDC">
        <w:rPr>
          <w:vertAlign w:val="superscript"/>
        </w:rPr>
        <w:footnoteReference w:id="18"/>
      </w:r>
      <w:r w:rsidRPr="00087BDC">
        <w:t xml:space="preserve">. </w:t>
      </w:r>
      <w:r>
        <w:t>Within</w:t>
      </w:r>
      <w:r w:rsidRPr="00087BDC">
        <w:t xml:space="preserve"> Genesis 4:11a, González sees carrying Abel’s body as the mark of Cain, demonstrating ‘his humanity by the awareness of carrying Abel’s death’</w:t>
      </w:r>
      <w:r w:rsidRPr="00087BDC">
        <w:rPr>
          <w:vertAlign w:val="superscript"/>
        </w:rPr>
        <w:footnoteReference w:id="19"/>
      </w:r>
      <w:r w:rsidRPr="00087BDC">
        <w:t xml:space="preserve">. </w:t>
      </w:r>
    </w:p>
    <w:p w14:paraId="073A9DCF" w14:textId="77777777" w:rsidR="00861A19" w:rsidRPr="00087BDC" w:rsidRDefault="00861A19" w:rsidP="00861A19">
      <w:pPr>
        <w:spacing w:line="480" w:lineRule="auto"/>
      </w:pPr>
    </w:p>
    <w:p w14:paraId="6EC4BA8E" w14:textId="77777777" w:rsidR="00861A19" w:rsidRPr="00087BDC" w:rsidRDefault="00861A19" w:rsidP="00861A19">
      <w:pPr>
        <w:spacing w:line="480" w:lineRule="auto"/>
      </w:pPr>
      <w:r w:rsidRPr="00087BDC">
        <w:t xml:space="preserve">González </w:t>
      </w:r>
      <w:r>
        <w:t>asserts that</w:t>
      </w:r>
      <w:r w:rsidRPr="00087BDC">
        <w:t xml:space="preserve"> all are potential killers, open to the potential dangers of our desires that may bring death and alienation from society and work’</w:t>
      </w:r>
      <w:r w:rsidRPr="00087BDC">
        <w:rPr>
          <w:vertAlign w:val="superscript"/>
        </w:rPr>
        <w:footnoteReference w:id="20"/>
      </w:r>
      <w:r w:rsidRPr="00087BDC">
        <w:t xml:space="preserve">. Genesis 4 places humanity permanently under the curse of death implicit in the fragile interactions of life. </w:t>
      </w:r>
      <w:r>
        <w:t>He</w:t>
      </w:r>
      <w:r w:rsidRPr="00087BDC">
        <w:t xml:space="preserve"> </w:t>
      </w:r>
      <w:r>
        <w:t>accuses</w:t>
      </w:r>
      <w:r w:rsidRPr="00087BDC">
        <w:t xml:space="preserve"> Christian traditional</w:t>
      </w:r>
      <w:r>
        <w:t>ism of a</w:t>
      </w:r>
      <w:r w:rsidRPr="00087BDC">
        <w:t xml:space="preserve"> ‘fantasy of eradicating pain, fear, and death by the glorification of Abel’</w:t>
      </w:r>
      <w:r w:rsidRPr="00087BDC">
        <w:rPr>
          <w:vertAlign w:val="superscript"/>
        </w:rPr>
        <w:footnoteReference w:id="21"/>
      </w:r>
      <w:r w:rsidRPr="00087BDC">
        <w:t>. He suggests our difficulty in the twenty-first century is ‘to admit the vulnerability of life and the certainty that death encompasses it’</w:t>
      </w:r>
      <w:r w:rsidRPr="00087BDC">
        <w:rPr>
          <w:vertAlign w:val="superscript"/>
        </w:rPr>
        <w:footnoteReference w:id="22"/>
      </w:r>
      <w:r w:rsidRPr="00087BDC">
        <w:t xml:space="preserve">. González </w:t>
      </w:r>
      <w:r>
        <w:t xml:space="preserve">finally </w:t>
      </w:r>
      <w:r w:rsidRPr="00087BDC">
        <w:t>challenge</w:t>
      </w:r>
      <w:r>
        <w:t>s</w:t>
      </w:r>
      <w:r w:rsidRPr="00087BDC">
        <w:t xml:space="preserve"> students to ‘transcend obsolete and oppressive forms of reading’</w:t>
      </w:r>
      <w:r w:rsidRPr="00087BDC">
        <w:rPr>
          <w:vertAlign w:val="superscript"/>
        </w:rPr>
        <w:footnoteReference w:id="23"/>
      </w:r>
      <w:r w:rsidRPr="00087BDC">
        <w:rPr>
          <w:vertAlign w:val="superscript"/>
        </w:rPr>
        <w:t xml:space="preserve"> </w:t>
      </w:r>
      <w:r w:rsidRPr="00087BDC">
        <w:t>and search for new meaning.</w:t>
      </w:r>
    </w:p>
    <w:p w14:paraId="0C35C7CF" w14:textId="77777777" w:rsidR="00861A19" w:rsidRPr="00087BDC" w:rsidRDefault="00861A19" w:rsidP="00861A19">
      <w:pPr>
        <w:spacing w:line="480" w:lineRule="auto"/>
      </w:pPr>
    </w:p>
    <w:p w14:paraId="063F0B2C" w14:textId="77777777" w:rsidR="00861A19" w:rsidRPr="00087BDC" w:rsidRDefault="00861A19" w:rsidP="00861A19">
      <w:pPr>
        <w:spacing w:line="480" w:lineRule="auto"/>
      </w:pPr>
      <w:r>
        <w:lastRenderedPageBreak/>
        <w:t>The</w:t>
      </w:r>
      <w:r w:rsidRPr="00087BDC">
        <w:t xml:space="preserve"> articles </w:t>
      </w:r>
      <w:r>
        <w:t>address</w:t>
      </w:r>
      <w:r w:rsidRPr="00087BDC">
        <w:t xml:space="preserve"> a text I </w:t>
      </w:r>
      <w:r>
        <w:t>often</w:t>
      </w:r>
      <w:r w:rsidRPr="00087BDC">
        <w:t xml:space="preserve"> glossed over</w:t>
      </w:r>
      <w:r>
        <w:t xml:space="preserve">. I quickly realised connections between </w:t>
      </w:r>
      <w:r w:rsidRPr="00087BDC">
        <w:t xml:space="preserve">the </w:t>
      </w:r>
      <w:r>
        <w:t xml:space="preserve">narrator’s </w:t>
      </w:r>
      <w:r w:rsidRPr="00087BDC">
        <w:t>scriptural</w:t>
      </w:r>
      <w:r>
        <w:t xml:space="preserve"> accounting for the </w:t>
      </w:r>
      <w:r w:rsidRPr="00087BDC">
        <w:t>roots of human moral decision-making and</w:t>
      </w:r>
      <w:r>
        <w:t xml:space="preserve"> </w:t>
      </w:r>
      <w:r w:rsidRPr="00087BDC">
        <w:t>modern mental health</w:t>
      </w:r>
      <w:r>
        <w:t xml:space="preserve"> concerns</w:t>
      </w:r>
      <w:r w:rsidRPr="00087BDC">
        <w:t xml:space="preserve">, highlighted especially in these Covid times. In researching for her own </w:t>
      </w:r>
      <w:r>
        <w:t xml:space="preserve">medical </w:t>
      </w:r>
      <w:r w:rsidRPr="00087BDC">
        <w:t>teaching context, Greenberger’s concise and purposeful analysis and conclusions, rooted in clear textual analysis, have enhanced my own pastoral and spiritual support resources.</w:t>
      </w:r>
    </w:p>
    <w:p w14:paraId="3B9C4896" w14:textId="77777777" w:rsidR="00861A19" w:rsidRPr="00087BDC" w:rsidRDefault="00861A19" w:rsidP="00861A19">
      <w:pPr>
        <w:spacing w:line="480" w:lineRule="auto"/>
      </w:pPr>
    </w:p>
    <w:p w14:paraId="759985C5" w14:textId="77777777" w:rsidR="00861A19" w:rsidRDefault="00861A19" w:rsidP="00861A19">
      <w:pPr>
        <w:spacing w:line="480" w:lineRule="auto"/>
      </w:pPr>
      <w:r w:rsidRPr="00087BDC">
        <w:t>Semiosis is new to me</w:t>
      </w:r>
      <w:r>
        <w:t>.</w:t>
      </w:r>
      <w:r w:rsidRPr="00087BDC">
        <w:t xml:space="preserve"> </w:t>
      </w:r>
      <w:r>
        <w:t>I am cautious of uncritical use of its</w:t>
      </w:r>
      <w:r w:rsidRPr="00087BDC">
        <w:t xml:space="preserve"> </w:t>
      </w:r>
      <w:r>
        <w:t xml:space="preserve">selective </w:t>
      </w:r>
      <w:r w:rsidRPr="00087BDC">
        <w:t>subjectiv</w:t>
      </w:r>
      <w:r>
        <w:t>ity</w:t>
      </w:r>
      <w:r w:rsidRPr="00087BDC">
        <w:t xml:space="preserve">. González’s article reads </w:t>
      </w:r>
      <w:r>
        <w:t xml:space="preserve">purely </w:t>
      </w:r>
      <w:r w:rsidRPr="00087BDC">
        <w:t xml:space="preserve">like a theological educator’s illustration of semiotic analysis </w:t>
      </w:r>
      <w:r>
        <w:t>but does cause me to dig deeper into my emotional response to the text</w:t>
      </w:r>
      <w:r w:rsidRPr="00087BDC">
        <w:t xml:space="preserve">. I question my personal discomfort at his seemingly deliberately provocative choice of images. </w:t>
      </w:r>
      <w:r>
        <w:t xml:space="preserve">Yet, unexpectedly, I ignore this discomfort and warm to the positive potential of </w:t>
      </w:r>
      <w:r w:rsidRPr="00087BDC">
        <w:t xml:space="preserve">discovering nuances </w:t>
      </w:r>
      <w:r>
        <w:t>proffered</w:t>
      </w:r>
      <w:r w:rsidRPr="00087BDC">
        <w:t xml:space="preserve"> by others </w:t>
      </w:r>
      <w:r>
        <w:t xml:space="preserve">to </w:t>
      </w:r>
      <w:r w:rsidRPr="00087BDC">
        <w:t>add a selectively subjective edge to my anal</w:t>
      </w:r>
      <w:r>
        <w:t>yses</w:t>
      </w:r>
      <w:r w:rsidRPr="00087BDC">
        <w:t xml:space="preserve">. </w:t>
      </w:r>
      <w:r>
        <w:t>González’s</w:t>
      </w:r>
      <w:r w:rsidRPr="00087BDC">
        <w:t xml:space="preserve"> declared educational mission</w:t>
      </w:r>
      <w:r w:rsidRPr="00087BDC">
        <w:rPr>
          <w:vertAlign w:val="superscript"/>
        </w:rPr>
        <w:footnoteReference w:id="24"/>
      </w:r>
      <w:r w:rsidRPr="00087BDC">
        <w:rPr>
          <w:vertAlign w:val="superscript"/>
        </w:rPr>
        <w:t xml:space="preserve"> </w:t>
      </w:r>
      <w:r w:rsidRPr="00087BDC">
        <w:t>refocuses me: ‘to be a responsible reader means to become self-conscious about what we do when we read texts and look at images, recognizing that our gaze upon them informs our gaze upon each other and the world’</w:t>
      </w:r>
      <w:r w:rsidRPr="00087BDC">
        <w:rPr>
          <w:vertAlign w:val="superscript"/>
        </w:rPr>
        <w:footnoteReference w:id="25"/>
      </w:r>
      <w:r w:rsidRPr="00087BDC">
        <w:t>.</w:t>
      </w:r>
    </w:p>
    <w:p w14:paraId="1DADCA42" w14:textId="77777777" w:rsidR="00861A19" w:rsidRDefault="00861A19" w:rsidP="00861A19"/>
    <w:p w14:paraId="2F350AD6" w14:textId="77777777" w:rsidR="00861A19" w:rsidRDefault="00861A19" w:rsidP="00861A19">
      <w:pPr>
        <w:rPr>
          <w:b/>
          <w:bCs/>
        </w:rPr>
      </w:pPr>
      <w:r>
        <w:rPr>
          <w:b/>
          <w:bCs/>
        </w:rPr>
        <w:t>Bibliography</w:t>
      </w:r>
    </w:p>
    <w:p w14:paraId="20ED8AD0" w14:textId="77777777" w:rsidR="00861A19" w:rsidRDefault="00861A19" w:rsidP="00861A19">
      <w:pPr>
        <w:rPr>
          <w:b/>
          <w:bCs/>
        </w:rPr>
      </w:pPr>
    </w:p>
    <w:p w14:paraId="53F30396" w14:textId="77777777" w:rsidR="00861A19" w:rsidRPr="00BD3F53" w:rsidRDefault="00861A19" w:rsidP="00861A19">
      <w:pPr>
        <w:pStyle w:val="Bibliography"/>
        <w:rPr>
          <w:rFonts w:ascii="Calibri" w:cs="Calibri"/>
        </w:rPr>
      </w:pPr>
      <w:r>
        <w:fldChar w:fldCharType="begin"/>
      </w:r>
      <w:r>
        <w:instrText xml:space="preserve"> ADDIN ZOTERO_BIBL {"uncited":[],"omitted":[],"custom":[]} CSL_BIBLIOGRAPHY </w:instrText>
      </w:r>
      <w:r>
        <w:fldChar w:fldCharType="separate"/>
      </w:r>
      <w:proofErr w:type="spellStart"/>
      <w:r w:rsidRPr="00BD3F53">
        <w:rPr>
          <w:rFonts w:ascii="Calibri" w:cs="Calibri"/>
        </w:rPr>
        <w:t>Bataille</w:t>
      </w:r>
      <w:proofErr w:type="spellEnd"/>
      <w:r w:rsidRPr="00BD3F53">
        <w:rPr>
          <w:rFonts w:ascii="Calibri" w:cs="Calibri"/>
        </w:rPr>
        <w:t xml:space="preserve">, Georges. </w:t>
      </w:r>
      <w:r w:rsidRPr="00BD3F53">
        <w:rPr>
          <w:rFonts w:ascii="Calibri" w:cs="Calibri"/>
          <w:i/>
          <w:iCs/>
        </w:rPr>
        <w:t>Theory of Religion</w:t>
      </w:r>
      <w:r w:rsidRPr="00BD3F53">
        <w:rPr>
          <w:rFonts w:ascii="Calibri" w:cs="Calibri"/>
        </w:rPr>
        <w:t>. New York: Zone Books, 1989.</w:t>
      </w:r>
    </w:p>
    <w:p w14:paraId="2CDD69E9" w14:textId="77777777" w:rsidR="00861A19" w:rsidRPr="00BD3F53" w:rsidRDefault="00861A19" w:rsidP="00861A19">
      <w:pPr>
        <w:pStyle w:val="Bibliography"/>
        <w:rPr>
          <w:rFonts w:ascii="Calibri" w:cs="Calibri"/>
        </w:rPr>
      </w:pPr>
      <w:r w:rsidRPr="00BD3F53">
        <w:rPr>
          <w:rFonts w:ascii="Calibri" w:cs="Calibri"/>
        </w:rPr>
        <w:t>Church Divinity School of the Pacific. ‘</w:t>
      </w:r>
      <w:proofErr w:type="spellStart"/>
      <w:r w:rsidRPr="00BD3F53">
        <w:rPr>
          <w:rFonts w:ascii="Calibri" w:cs="Calibri"/>
        </w:rPr>
        <w:t>Dr.</w:t>
      </w:r>
      <w:proofErr w:type="spellEnd"/>
      <w:r w:rsidRPr="00BD3F53">
        <w:rPr>
          <w:rFonts w:ascii="Calibri" w:cs="Calibri"/>
        </w:rPr>
        <w:t xml:space="preserve"> Julián Andrés González Holguín’. Accessed 17 June 2021. https://cdsp.edu/faculty/julian-gonzalez/.</w:t>
      </w:r>
    </w:p>
    <w:p w14:paraId="4534D002" w14:textId="77777777" w:rsidR="00861A19" w:rsidRPr="00BD3F53" w:rsidRDefault="00861A19" w:rsidP="00861A19">
      <w:pPr>
        <w:pStyle w:val="Bibliography"/>
        <w:rPr>
          <w:rFonts w:ascii="Calibri" w:cs="Calibri"/>
        </w:rPr>
      </w:pPr>
      <w:r w:rsidRPr="00BD3F53">
        <w:rPr>
          <w:rFonts w:ascii="Calibri" w:cs="Calibri"/>
        </w:rPr>
        <w:t xml:space="preserve">González Holguin, Julián Andrés. ‘Painted Eroticism: Sex and Death in Cain and Abel’s Story’. </w:t>
      </w:r>
      <w:r w:rsidRPr="00BD3F53">
        <w:rPr>
          <w:rFonts w:ascii="Calibri" w:cs="Calibri"/>
          <w:i/>
          <w:iCs/>
        </w:rPr>
        <w:t>Biblical Interpretation</w:t>
      </w:r>
      <w:r w:rsidRPr="00BD3F53">
        <w:rPr>
          <w:rFonts w:ascii="Calibri" w:cs="Calibri"/>
        </w:rPr>
        <w:t xml:space="preserve"> 29, no. 1 (9 October 2020): 1–24. https://doi.org/10.1163/15685152-00284P01.</w:t>
      </w:r>
    </w:p>
    <w:p w14:paraId="161CB7B1" w14:textId="77777777" w:rsidR="00861A19" w:rsidRPr="00BD3F53" w:rsidRDefault="00861A19" w:rsidP="00861A19">
      <w:pPr>
        <w:pStyle w:val="Bibliography"/>
        <w:rPr>
          <w:rFonts w:ascii="Calibri" w:cs="Calibri"/>
        </w:rPr>
      </w:pPr>
      <w:r w:rsidRPr="00BD3F53">
        <w:rPr>
          <w:rFonts w:ascii="Calibri" w:cs="Calibri"/>
        </w:rPr>
        <w:t xml:space="preserve">Greenberger, Chaya. ‘Cain and Abel: Mis(Managing) Rejection and Unmet Expectations’. </w:t>
      </w:r>
      <w:r w:rsidRPr="00BD3F53">
        <w:rPr>
          <w:rFonts w:ascii="Calibri" w:cs="Calibri"/>
          <w:i/>
          <w:iCs/>
        </w:rPr>
        <w:t>Jewish Bible Quarterly</w:t>
      </w:r>
      <w:r w:rsidRPr="00BD3F53">
        <w:rPr>
          <w:rFonts w:ascii="Calibri" w:cs="Calibri"/>
        </w:rPr>
        <w:t xml:space="preserve"> 44, no. 2 (April 2016): 116–24.</w:t>
      </w:r>
    </w:p>
    <w:p w14:paraId="68EDE40C" w14:textId="66BFC868" w:rsidR="00753612" w:rsidRDefault="00861A19" w:rsidP="00861A19">
      <w:r>
        <w:rPr>
          <w:b/>
          <w:bCs/>
        </w:rPr>
        <w:fldChar w:fldCharType="end"/>
      </w:r>
    </w:p>
    <w:sectPr w:rsidR="00753612" w:rsidSect="005729F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785A80" w14:textId="77777777" w:rsidR="00773AC0" w:rsidRDefault="00773AC0" w:rsidP="00861A19">
      <w:r>
        <w:separator/>
      </w:r>
    </w:p>
  </w:endnote>
  <w:endnote w:type="continuationSeparator" w:id="0">
    <w:p w14:paraId="5A2295AF" w14:textId="77777777" w:rsidR="00773AC0" w:rsidRDefault="00773AC0" w:rsidP="00861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45E645" w14:textId="77777777" w:rsidR="00773AC0" w:rsidRDefault="00773AC0" w:rsidP="00861A19">
      <w:r>
        <w:separator/>
      </w:r>
    </w:p>
  </w:footnote>
  <w:footnote w:type="continuationSeparator" w:id="0">
    <w:p w14:paraId="333B6C31" w14:textId="77777777" w:rsidR="00773AC0" w:rsidRDefault="00773AC0" w:rsidP="00861A19">
      <w:r>
        <w:continuationSeparator/>
      </w:r>
    </w:p>
  </w:footnote>
  <w:footnote w:id="1">
    <w:p w14:paraId="66782614"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{"citationID":"eYVejVuZ","properties":{"formattedCitation":"Chaya Greenberger, \\uc0\\u8216{}Cain and Abel: Mis(Managing) Rejection and Unmet Expectations\\uc0\\u8217{}, {\\i{}Jewish Bible Quarterly} 44, no. 2 (April 2016): 116\\uc0\\u8211{}24.","plainCitation":"Chaya Greenberger, ‘Cain and Abel: Mis(Managing) Rejection and Unmet Expectations’, Jewish Bible Quarterly 44, no. 2 (April 2016): 116–24.","noteIndex":1},"citationItems":[{"id":200,"uris":["http://zotero.org/users/7540819/items/FIU5PI42"],"uri":["http://zotero.org/users/7540819/items/FIU5PI42"],"itemData":{"id":200,"type":"article-journal","archive":"Atla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sidRPr="00AA2F41">
        <w:rPr>
          <w:rFonts w:ascii="Calibri" w:cs="Calibri"/>
        </w:rPr>
        <w:t xml:space="preserve">Chaya Greenberger, ‘Cain and Abel: Mis(Managing) Rejection and Unmet Expectations’, </w:t>
      </w:r>
      <w:r w:rsidRPr="00AA2F41">
        <w:rPr>
          <w:rFonts w:ascii="Calibri" w:cs="Calibri"/>
          <w:i/>
          <w:iCs/>
        </w:rPr>
        <w:t>Jewish Bible Quarterly</w:t>
      </w:r>
      <w:r w:rsidRPr="00AA2F41">
        <w:rPr>
          <w:rFonts w:ascii="Calibri" w:cs="Calibri"/>
        </w:rPr>
        <w:t xml:space="preserve"> 44, no. 2 (April 2016): 116–24.</w:t>
      </w:r>
      <w:r>
        <w:fldChar w:fldCharType="end"/>
      </w:r>
    </w:p>
  </w:footnote>
  <w:footnote w:id="2">
    <w:p w14:paraId="2A59C77A"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tXHtEWgX","properties":{"formattedCitation":"Greenberger.","plainCitation":"Greenberger.","dontUpdate":true,"noteIndex":2},"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Pr>
          <w:noProof/>
        </w:rPr>
        <w:t>Greenberger, '</w:t>
      </w:r>
      <w:r w:rsidRPr="007E09FC">
        <w:rPr>
          <w:rFonts w:ascii="Calibri" w:cs="Calibri"/>
        </w:rPr>
        <w:t xml:space="preserve"> </w:t>
      </w:r>
      <w:r w:rsidRPr="00876654">
        <w:rPr>
          <w:rFonts w:ascii="Calibri" w:cs="Calibri"/>
        </w:rPr>
        <w:t>Cain and Abel</w:t>
      </w:r>
      <w:r>
        <w:rPr>
          <w:rFonts w:ascii="Calibri" w:cs="Calibri"/>
        </w:rPr>
        <w:t>',</w:t>
      </w:r>
      <w:r>
        <w:rPr>
          <w:noProof/>
        </w:rPr>
        <w:t xml:space="preserve"> 116.</w:t>
      </w:r>
      <w:r>
        <w:fldChar w:fldCharType="end"/>
      </w:r>
    </w:p>
  </w:footnote>
  <w:footnote w:id="3">
    <w:p w14:paraId="5146509C" w14:textId="77777777" w:rsidR="00861A19" w:rsidRDefault="00861A19" w:rsidP="00861A19">
      <w:pPr>
        <w:pStyle w:val="FootnoteText"/>
      </w:pPr>
      <w:r w:rsidRPr="00701987">
        <w:rPr>
          <w:rStyle w:val="FootnoteReference"/>
        </w:rPr>
        <w:footnoteRef/>
      </w:r>
      <w:r>
        <w:t xml:space="preserve"> </w:t>
      </w:r>
      <w:r>
        <w:fldChar w:fldCharType="begin"/>
      </w:r>
      <w:r>
        <w:instrText xml:space="preserve"> ADDIN ZOTERO_ITEM CSL_CITATION {"citationID":"CD0oV5Me","properties":{"formattedCitation":"Juli\\uc0\\u225{}n Andr\\uc0\\u233{}s Gonz\\uc0\\u225{}lez Holguin, \\uc0\\u8216{}Painted Eroticism: Sex and Death in Cain and Abel\\uc0\\u8217{}s Story\\uc0\\u8217{}, {\\i{}Biblical Interpretation} 29, no. 1 (9 October 2020): 1\\uc0\\u8211{}24, https://doi.org/10.1163/15685152-00284P01.","plainCitation":"Julián Andrés González Holguin, ‘Painted Eroticism: Sex and Death in Cain and Abel’s Story’, Biblical Interpretation 29, no. 1 (9 October 2020): 1–24, https://doi.org/10.1163/15685152-00284P01.","noteIndex":3},"citationItems":[{"id":216,"uris":["http://zotero.org/users/7540819/items/ERQKVQ8J"],"uri":["http://zotero.org/users/7540819/items/ERQKVQ8J"],"itemData":{"id":216,"type":"article-journal","container-title":"Biblical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B46B6A">
        <w:rPr>
          <w:rFonts w:ascii="Calibri" w:cs="Calibri"/>
        </w:rPr>
        <w:t xml:space="preserve">Julián Andrés González Holguin, ‘Painted Eroticism: Sex and Death in Cain and Abel’s Story’, </w:t>
      </w:r>
      <w:r w:rsidRPr="00B46B6A">
        <w:rPr>
          <w:rFonts w:ascii="Calibri" w:cs="Calibri"/>
          <w:i/>
          <w:iCs/>
        </w:rPr>
        <w:t>Biblical Interpretation</w:t>
      </w:r>
      <w:r w:rsidRPr="00B46B6A">
        <w:rPr>
          <w:rFonts w:ascii="Calibri" w:cs="Calibri"/>
        </w:rPr>
        <w:t xml:space="preserve"> 29, no. 1 (9 October 2020): 1–24, https://doi.org/10.1163/15685152-00284P01.</w:t>
      </w:r>
      <w:r>
        <w:fldChar w:fldCharType="end"/>
      </w:r>
    </w:p>
  </w:footnote>
  <w:footnote w:id="4">
    <w:p w14:paraId="118F60D8"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{"citationID":"lQ2XM7bI","properties":{"formattedCitation":"Gonz\\uc0\\u225{}lez Holguin.","plainCitation":"González Holguin.","noteIndex":4},"citationItems":[{"id":216,"uris":["http://zotero.org/users/7540819/items/ERQKVQ8J"],"uri":["http://zotero.org/users/7540819/items/ERQKVQ8J"],"itemData":{"id":216,"type":"article-journal","container-title":"Biblical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BD3F53">
        <w:rPr>
          <w:rFonts w:ascii="Calibri" w:cs="Calibri"/>
        </w:rPr>
        <w:t>González Holguin</w:t>
      </w:r>
      <w:r w:rsidRPr="006E52AA">
        <w:rPr>
          <w:rFonts w:ascii="Calibri" w:cs="Calibri"/>
        </w:rPr>
        <w:t>, ‘Painted Eroticism: Sex and Death in Cain and Abel’s Story’</w:t>
      </w:r>
      <w:r>
        <w:rPr>
          <w:rFonts w:ascii="Calibri" w:cs="Calibri"/>
        </w:rPr>
        <w:t>, 3</w:t>
      </w:r>
      <w:r w:rsidRPr="00BD3F53">
        <w:rPr>
          <w:rFonts w:ascii="Calibri" w:cs="Calibri"/>
        </w:rPr>
        <w:t>.</w:t>
      </w:r>
      <w:r>
        <w:fldChar w:fldCharType="end"/>
      </w:r>
    </w:p>
  </w:footnote>
  <w:footnote w:id="5">
    <w:p w14:paraId="4482EEB9" w14:textId="77777777" w:rsidR="00861A19" w:rsidRDefault="00861A19" w:rsidP="00861A19">
      <w:pPr>
        <w:pStyle w:val="FootnoteText"/>
      </w:pPr>
      <w:r w:rsidRPr="00701987">
        <w:rPr>
          <w:rStyle w:val="FootnoteReference"/>
        </w:rPr>
        <w:footnoteRef/>
      </w:r>
      <w:r>
        <w:t xml:space="preserve"> </w:t>
      </w:r>
      <w:r>
        <w:fldChar w:fldCharType="begin"/>
      </w:r>
      <w:r>
        <w:instrText xml:space="preserve"> ADDIN ZOTERO_ITEM CSL_CITATION {"citationID":"Ne5kzplV","properties":{"formattedCitation":"Greenberger.","plainCitation":"Greenberger.","dontUpdate":true,"noteIndex":5},"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Pr>
          <w:noProof/>
        </w:rPr>
        <w:t xml:space="preserve">Greenberger, </w:t>
      </w:r>
      <w:r w:rsidRPr="00876654">
        <w:rPr>
          <w:rFonts w:ascii="Calibri" w:cs="Calibri"/>
        </w:rPr>
        <w:t>‘Cain and Abel</w:t>
      </w:r>
      <w:r>
        <w:rPr>
          <w:rFonts w:ascii="Calibri" w:cs="Calibri"/>
        </w:rPr>
        <w:t>', 116</w:t>
      </w:r>
      <w:r>
        <w:rPr>
          <w:noProof/>
        </w:rPr>
        <w:t>.</w:t>
      </w:r>
      <w:r>
        <w:fldChar w:fldCharType="end"/>
      </w:r>
    </w:p>
  </w:footnote>
  <w:footnote w:id="6">
    <w:p w14:paraId="6E0D0825"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h4aRNL2m","properties":{"formattedCitation":"Greenberger.","plainCitation":"Greenberger.","dontUpdate":true,"noteIndex":6},"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Pr>
          <w:noProof/>
        </w:rPr>
        <w:t xml:space="preserve">Greenberger, </w:t>
      </w:r>
      <w:r w:rsidRPr="00876654">
        <w:rPr>
          <w:rFonts w:ascii="Calibri" w:cs="Calibri"/>
        </w:rPr>
        <w:t>‘Cain and Abel</w:t>
      </w:r>
      <w:r>
        <w:rPr>
          <w:rFonts w:ascii="Calibri" w:cs="Calibri"/>
        </w:rPr>
        <w:t>', 117</w:t>
      </w:r>
      <w:r>
        <w:rPr>
          <w:noProof/>
        </w:rPr>
        <w:t>.</w:t>
      </w:r>
      <w:r>
        <w:fldChar w:fldCharType="end"/>
      </w:r>
    </w:p>
  </w:footnote>
  <w:footnote w:id="7">
    <w:p w14:paraId="04FE6496"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jwA3cyXe","properties":{"formattedCitation":"Greenberger.","plainCitation":"Greenberger.","dontUpdate":true,"noteIndex":7},"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Pr>
          <w:noProof/>
        </w:rPr>
        <w:t xml:space="preserve">Greenberger, </w:t>
      </w:r>
      <w:r w:rsidRPr="00876654">
        <w:rPr>
          <w:rFonts w:ascii="Calibri" w:cs="Calibri"/>
        </w:rPr>
        <w:t>‘Cain and Abel</w:t>
      </w:r>
      <w:r>
        <w:rPr>
          <w:rFonts w:ascii="Calibri" w:cs="Calibri"/>
        </w:rPr>
        <w:t>', 119</w:t>
      </w:r>
      <w:r>
        <w:rPr>
          <w:noProof/>
        </w:rPr>
        <w:t>.</w:t>
      </w:r>
      <w:r>
        <w:fldChar w:fldCharType="end"/>
      </w:r>
    </w:p>
  </w:footnote>
  <w:footnote w:id="8">
    <w:p w14:paraId="2E658CC2"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gjaj83FF","properties":{"formattedCitation":"Greenberger.","plainCitation":"Greenberger.","dontUpdate":true,"noteIndex":8},"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Pr>
          <w:noProof/>
        </w:rPr>
        <w:t xml:space="preserve">Greenberger, </w:t>
      </w:r>
      <w:r w:rsidRPr="00876654">
        <w:rPr>
          <w:rFonts w:ascii="Calibri" w:cs="Calibri"/>
        </w:rPr>
        <w:t>‘Cain and Abel</w:t>
      </w:r>
      <w:r>
        <w:rPr>
          <w:rFonts w:ascii="Calibri" w:cs="Calibri"/>
        </w:rPr>
        <w:t>', 119</w:t>
      </w:r>
      <w:r>
        <w:rPr>
          <w:noProof/>
        </w:rPr>
        <w:t>.</w:t>
      </w:r>
      <w:r>
        <w:fldChar w:fldCharType="end"/>
      </w:r>
    </w:p>
  </w:footnote>
  <w:footnote w:id="9">
    <w:p w14:paraId="08D5C625" w14:textId="77777777" w:rsidR="00861A19" w:rsidRDefault="00861A19" w:rsidP="00861A19">
      <w:pPr>
        <w:pStyle w:val="FootnoteText"/>
      </w:pPr>
      <w:r w:rsidRPr="00701987">
        <w:rPr>
          <w:rStyle w:val="FootnoteReference"/>
        </w:rPr>
        <w:footnoteRef/>
      </w:r>
      <w:r>
        <w:t xml:space="preserve"> </w:t>
      </w:r>
      <w:r>
        <w:fldChar w:fldCharType="begin"/>
      </w:r>
      <w:r>
        <w:instrText xml:space="preserve"> ADDIN ZOTERO_ITEM CSL_CITATION {"citationID":"dC7KBTlI","properties":{"formattedCitation":"Greenberger.","plainCitation":"Greenberger.","dontUpdate":true,"noteIndex":9},"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Pr>
          <w:noProof/>
        </w:rPr>
        <w:t>Greenberger, '</w:t>
      </w:r>
      <w:r w:rsidRPr="007E09FC">
        <w:rPr>
          <w:rFonts w:ascii="Calibri" w:cs="Calibri"/>
        </w:rPr>
        <w:t xml:space="preserve"> </w:t>
      </w:r>
      <w:r w:rsidRPr="00876654">
        <w:rPr>
          <w:rFonts w:ascii="Calibri" w:cs="Calibri"/>
        </w:rPr>
        <w:t>Cain and Abel</w:t>
      </w:r>
      <w:r>
        <w:rPr>
          <w:rFonts w:ascii="Calibri" w:cs="Calibri"/>
        </w:rPr>
        <w:t>',</w:t>
      </w:r>
      <w:r>
        <w:rPr>
          <w:noProof/>
        </w:rPr>
        <w:t xml:space="preserve"> 120.</w:t>
      </w:r>
      <w:r>
        <w:fldChar w:fldCharType="end"/>
      </w:r>
    </w:p>
  </w:footnote>
  <w:footnote w:id="10">
    <w:p w14:paraId="0C1F40DA" w14:textId="77777777" w:rsidR="00861A19" w:rsidRDefault="00861A19" w:rsidP="00861A19">
      <w:pPr>
        <w:pStyle w:val="FootnoteText"/>
      </w:pPr>
      <w:r w:rsidRPr="00701987">
        <w:rPr>
          <w:rStyle w:val="FootnoteReference"/>
        </w:rPr>
        <w:footnoteRef/>
      </w:r>
      <w:r>
        <w:t xml:space="preserve"> </w:t>
      </w:r>
      <w:r>
        <w:fldChar w:fldCharType="begin"/>
      </w:r>
      <w:r>
        <w:instrText xml:space="preserve"> ADDIN ZOTERO_ITEM CSL_CITATION {"citationID":"rg91tXa5","properties":{"formattedCitation":"Greenberger.","plainCitation":"Greenberger.","dontUpdate":true,"noteIndex":10},"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Pr>
          <w:noProof/>
        </w:rPr>
        <w:t>Greenberger, '</w:t>
      </w:r>
      <w:r w:rsidRPr="007E09FC">
        <w:rPr>
          <w:rFonts w:ascii="Calibri" w:cs="Calibri"/>
        </w:rPr>
        <w:t xml:space="preserve"> </w:t>
      </w:r>
      <w:r w:rsidRPr="00876654">
        <w:rPr>
          <w:rFonts w:ascii="Calibri" w:cs="Calibri"/>
        </w:rPr>
        <w:t>Cain and Abel</w:t>
      </w:r>
      <w:r>
        <w:rPr>
          <w:rFonts w:ascii="Calibri" w:cs="Calibri"/>
        </w:rPr>
        <w:t>',</w:t>
      </w:r>
      <w:r>
        <w:rPr>
          <w:noProof/>
        </w:rPr>
        <w:t xml:space="preserve"> 120.</w:t>
      </w:r>
      <w:r>
        <w:fldChar w:fldCharType="end"/>
      </w:r>
    </w:p>
  </w:footnote>
  <w:footnote w:id="11">
    <w:p w14:paraId="2607A2A5"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{"citationID":"J4umkQPr","properties":{"formattedCitation":"Greenberger, \\uc0\\u8216{}Cain and Abel: Mis(Managing) Rejection and Unmet Expectations\\uc0\\u8217{}.","plainCitation":"Greenberger, ‘Cain and Abel: Mis(Managing) Rejection and Unmet Expectations’.","dontUpdate":true,"noteIndex":11},"citationItems":[{"id":200,"uris":["http://zotero.org/users/7540819/items/FIU5PI42"],"uri":["http://zotero.org/users/7540819/items/FIU5PI42"],"itemData":{"id":200,"type":"article-journal","archive":"Atla Religion Database with AtlaSerials","container-title":"Jewish Bible Quarterly","ISSN":"0792-3910","issue":"2","journalAbbreviation":"Jewish Bible Quarterly","page":"116-124","source":"EBSCOhost","title":"Cain and Abel: mis(managing) rejection and unmet expectations","volume":"44","author":[{"family":"Greenberger","given":"Chaya"}],"issued":{"date-parts":[["2016",4]]}}}],"schema":"https://github.com/citation-style-language/schema/raw/master/csl-citation.json"} </w:instrText>
      </w:r>
      <w:r>
        <w:fldChar w:fldCharType="separate"/>
      </w:r>
      <w:r w:rsidRPr="00C4001E">
        <w:rPr>
          <w:rFonts w:ascii="Calibri" w:cs="Calibri"/>
        </w:rPr>
        <w:t>Greenberger, ‘Cain and Abel</w:t>
      </w:r>
      <w:r>
        <w:rPr>
          <w:rFonts w:ascii="Calibri" w:cs="Calibri"/>
        </w:rPr>
        <w:t>', 123</w:t>
      </w:r>
      <w:r w:rsidRPr="00C4001E">
        <w:rPr>
          <w:rFonts w:ascii="Calibri" w:cs="Calibri"/>
        </w:rPr>
        <w:t>.</w:t>
      </w:r>
      <w:r>
        <w:fldChar w:fldCharType="end"/>
      </w:r>
    </w:p>
  </w:footnote>
  <w:footnote w:id="12">
    <w:p w14:paraId="0DF7574E" w14:textId="77777777" w:rsidR="00861A19" w:rsidRDefault="00861A19" w:rsidP="00861A19">
      <w:pPr>
        <w:pStyle w:val="FootnoteText"/>
      </w:pPr>
      <w:r w:rsidRPr="00701987">
        <w:rPr>
          <w:rStyle w:val="FootnoteReference"/>
        </w:rPr>
        <w:footnoteRef/>
      </w:r>
      <w:r>
        <w:t xml:space="preserve"> </w:t>
      </w:r>
      <w:r>
        <w:fldChar w:fldCharType="begin"/>
      </w:r>
      <w:r>
        <w:instrText xml:space="preserve"> ADDIN ZOTERO_ITEM CSL_CITATION {"citationID":"t3I4E0ik","properties":{"formattedCitation":"Georges Bataille, {\\i{}Theory of Religion} (New York: Zone Books, 1989).","plainCitation":"Georges Bataille, Theory of Religion (New York: Zone Books, 1989).","dontUpdate":true,"noteIndex":12},"citationItems":[{"id":229,"uris":["http://zotero.org/users/7540819/items/EQVR2TFL"],"uri":["http://zotero.org/users/7540819/items/EQVR2TFL"],"itemData":{"id":229,"type":"book","call-number":"BL48 .B3713 1989","event-place":"New York","ISBN":"978-0-942299-08-3","language":"engfre","number-of-pages":"126","publisher":"Zone Books","publisher-place":"New York","source":"Library of Congress ISBN","title":"Theory of religion","author":[{"family":"Bataille","given":"Georges"}],"issued":{"date-parts":[["1989"]]}}}],"schema":"https://github.com/citation-style-language/schema/raw/master/csl-citation.json"} </w:instrText>
      </w:r>
      <w:r>
        <w:fldChar w:fldCharType="separate"/>
      </w:r>
      <w:r w:rsidRPr="006C079F">
        <w:rPr>
          <w:rFonts w:ascii="Calibri" w:cs="Calibri"/>
        </w:rPr>
        <w:t xml:space="preserve">Georges </w:t>
      </w:r>
      <w:proofErr w:type="spellStart"/>
      <w:r w:rsidRPr="006C079F">
        <w:rPr>
          <w:rFonts w:ascii="Calibri" w:cs="Calibri"/>
        </w:rPr>
        <w:t>Bataille</w:t>
      </w:r>
      <w:proofErr w:type="spellEnd"/>
      <w:r w:rsidRPr="006C079F">
        <w:rPr>
          <w:rFonts w:ascii="Calibri" w:cs="Calibri"/>
        </w:rPr>
        <w:t xml:space="preserve">, </w:t>
      </w:r>
      <w:r w:rsidRPr="006C079F">
        <w:rPr>
          <w:rFonts w:ascii="Calibri" w:cs="Calibri"/>
          <w:i/>
          <w:iCs/>
        </w:rPr>
        <w:t>Theory of Religion</w:t>
      </w:r>
      <w:r w:rsidRPr="006C079F">
        <w:rPr>
          <w:rFonts w:ascii="Calibri" w:cs="Calibri"/>
        </w:rPr>
        <w:t xml:space="preserve"> (New York: Zone Books, 1989)</w:t>
      </w:r>
      <w:r>
        <w:rPr>
          <w:rFonts w:ascii="Calibri" w:cs="Calibri"/>
        </w:rPr>
        <w:t>, 56</w:t>
      </w:r>
      <w:r w:rsidRPr="006C079F">
        <w:rPr>
          <w:rFonts w:ascii="Calibri" w:cs="Calibri"/>
        </w:rPr>
        <w:t>.</w:t>
      </w:r>
      <w:r>
        <w:fldChar w:fldCharType="end"/>
      </w:r>
    </w:p>
  </w:footnote>
  <w:footnote w:id="13">
    <w:p w14:paraId="64DD0A20" w14:textId="77777777" w:rsidR="00861A19" w:rsidRDefault="00861A19" w:rsidP="00861A19">
      <w:pPr>
        <w:pStyle w:val="FootnoteText"/>
      </w:pPr>
      <w:r>
        <w:rPr>
          <w:rStyle w:val="FootnoteReference"/>
        </w:rPr>
        <w:footnoteRef/>
      </w:r>
      <w:r>
        <w:t xml:space="preserve"> Here and below my emphasis</w:t>
      </w:r>
    </w:p>
  </w:footnote>
  <w:footnote w:id="14">
    <w:p w14:paraId="0EDA4FB6"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{"citationID":"MIFQEdOG","properties":{"formattedCitation":"Gonz\\uc0\\u225{}lez Holguin, \\uc0\\u8216{}Painted Eroticism: Sex and Death in Cain and Abel\\uc0\\u8217{}s Story\\uc0\\u8217{}.","plainCitation":"González Holguin, ‘Painted Eroticism: Sex and Death in Cain and Abel’s Story’.","dontUpdate":true,"noteIndex":14},"citationItems":[{"id":216,"uris":["http://zotero.org/users/7540819/items/ERQKVQ8J"],"uri":["http://zotero.org/users/7540819/items/ERQKVQ8J"],"itemData":{"id":216,"type":"article-journal","container-title":"Biblical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6E52AA">
        <w:rPr>
          <w:rFonts w:ascii="Calibri" w:cs="Calibri"/>
        </w:rPr>
        <w:t>González Holguin, ‘Painted Eroticism: Sex and Death in Cain and Abel’s Story’</w:t>
      </w:r>
      <w:r>
        <w:rPr>
          <w:rFonts w:ascii="Calibri" w:cs="Calibri"/>
        </w:rPr>
        <w:t>, 9</w:t>
      </w:r>
      <w:r w:rsidRPr="006E52AA">
        <w:rPr>
          <w:rFonts w:ascii="Calibri" w:cs="Calibri"/>
        </w:rPr>
        <w:t>.</w:t>
      </w:r>
      <w:r>
        <w:fldChar w:fldCharType="end"/>
      </w:r>
    </w:p>
  </w:footnote>
  <w:footnote w:id="15">
    <w:p w14:paraId="6830A3AD"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{"citationID":"Rkae2pFf","properties":{"formattedCitation":"Gonz\\uc0\\u225{}lez Holguin, \\uc0\\u8216{}Painted Eroticism: Sex and Death in Cain and Abel\\uc0\\u8217{}s Story\\uc0\\u8217{}.","plainCitation":"González Holguin, ‘Painted Eroticism: Sex and Death in Cain and Abel’s Story’.","dontUpdate":true,"noteIndex":15},"citationItems":[{"id":216,"uris":["http://zotero.org/users/7540819/items/ERQKVQ8J"],"uri":["http://zotero.org/users/7540819/items/ERQKVQ8J"],"itemData":{"id":216,"type":"article-journal","container-title":"Biblical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AC6E9A">
        <w:rPr>
          <w:rFonts w:ascii="Calibri" w:cs="Calibri"/>
        </w:rPr>
        <w:t>González Holguin, ‘Painted Eroticism: Sex and Death in Cain and Abel’s Story’</w:t>
      </w:r>
      <w:r>
        <w:rPr>
          <w:rFonts w:ascii="Calibri" w:cs="Calibri"/>
        </w:rPr>
        <w:t>, 18</w:t>
      </w:r>
      <w:r w:rsidRPr="00AC6E9A">
        <w:rPr>
          <w:rFonts w:ascii="Calibri" w:cs="Calibri"/>
        </w:rPr>
        <w:t>.</w:t>
      </w:r>
      <w:r>
        <w:fldChar w:fldCharType="end"/>
      </w:r>
    </w:p>
  </w:footnote>
  <w:footnote w:id="16">
    <w:p w14:paraId="2D040448"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{"citationID":"gSmmgvP5","properties":{"formattedCitation":"Gonz\\uc0\\u225{}lez Holguin.","plainCitation":"González Holguin.","dontUpdate":true,"noteIndex":16},"citationItems":[{"id":216,"uris":["http://zotero.org/users/7540819/items/ERQKVQ8J"],"uri":["http://zotero.org/users/7540819/items/ERQKVQ8J"],"itemData":{"id":216,"type":"article-journal","container-title":"Biblical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CF7868">
        <w:rPr>
          <w:rFonts w:ascii="Calibri" w:cs="Calibri"/>
        </w:rPr>
        <w:t>González Holguin</w:t>
      </w:r>
      <w:r w:rsidRPr="00AC6E9A">
        <w:rPr>
          <w:rFonts w:ascii="Calibri" w:cs="Calibri"/>
        </w:rPr>
        <w:t>, ‘Painted Eroticism: Sex and Death in Cain and Abel’s Story’</w:t>
      </w:r>
      <w:r>
        <w:rPr>
          <w:rFonts w:ascii="Calibri" w:cs="Calibri"/>
        </w:rPr>
        <w:t>, 18</w:t>
      </w:r>
      <w:r>
        <w:fldChar w:fldCharType="end"/>
      </w:r>
    </w:p>
  </w:footnote>
  <w:footnote w:id="17">
    <w:p w14:paraId="0E250F3B"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{"citationID":"lYCvqART","properties":{"formattedCitation":"Gonz\\uc0\\u225{}lez Holguin.","plainCitation":"González Holguin.","dontUpdate":true,"noteIndex":17},"citationItems":[{"id":216,"uris":["http://zotero.org/users/7540819/items/ERQKVQ8J"],"uri":["http://zotero.org/users/7540819/items/ERQKVQ8J"],"itemData":{"id":216,"type":"article-journal","container-title":"Biblical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BD62C9">
        <w:rPr>
          <w:rFonts w:ascii="Calibri" w:cs="Calibri"/>
        </w:rPr>
        <w:t>González Holguin</w:t>
      </w:r>
      <w:r>
        <w:rPr>
          <w:rFonts w:ascii="Calibri" w:cs="Calibri"/>
        </w:rPr>
        <w:t xml:space="preserve">, </w:t>
      </w:r>
      <w:r w:rsidRPr="00AC6E9A">
        <w:rPr>
          <w:rFonts w:ascii="Calibri" w:cs="Calibri"/>
        </w:rPr>
        <w:t>‘Painted Eroticism: Sex and Death in Cain and Abel’s Story’</w:t>
      </w:r>
      <w:r>
        <w:rPr>
          <w:rFonts w:ascii="Calibri" w:cs="Calibri"/>
        </w:rPr>
        <w:t>, 18</w:t>
      </w:r>
      <w:r w:rsidRPr="00BD62C9">
        <w:rPr>
          <w:rFonts w:ascii="Calibri" w:cs="Calibri"/>
        </w:rPr>
        <w:t>.</w:t>
      </w:r>
      <w:r>
        <w:fldChar w:fldCharType="end"/>
      </w:r>
    </w:p>
  </w:footnote>
  <w:footnote w:id="18">
    <w:p w14:paraId="3EC61271"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{"citationID":"AcNgCzPE","properties":{"formattedCitation":"Gonz\\uc0\\u225{}lez Holguin.","plainCitation":"González Holguin.","dontUpdate":true,"noteIndex":18},"citationItems":[{"id":216,"uris":["http://zotero.org/users/7540819/items/ERQKVQ8J"],"uri":["http://zotero.org/users/7540819/items/ERQKVQ8J"],"itemData":{"id":216,"type":"article-journal","container-title":"Biblical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5F00C9">
        <w:rPr>
          <w:rFonts w:ascii="Calibri" w:cs="Calibri"/>
        </w:rPr>
        <w:t>González Holguin</w:t>
      </w:r>
      <w:r>
        <w:rPr>
          <w:rFonts w:ascii="Calibri" w:cs="Calibri"/>
        </w:rPr>
        <w:t xml:space="preserve">, </w:t>
      </w:r>
      <w:r w:rsidRPr="00AC6E9A">
        <w:rPr>
          <w:rFonts w:ascii="Calibri" w:cs="Calibri"/>
        </w:rPr>
        <w:t>‘Painted Eroticism: Sex and Death in Cain and Abel’s Story’</w:t>
      </w:r>
      <w:r>
        <w:rPr>
          <w:rFonts w:ascii="Calibri" w:cs="Calibri"/>
        </w:rPr>
        <w:t>, 19</w:t>
      </w:r>
      <w:r w:rsidRPr="005F00C9">
        <w:rPr>
          <w:rFonts w:ascii="Calibri" w:cs="Calibri"/>
        </w:rPr>
        <w:t>.</w:t>
      </w:r>
      <w:r>
        <w:fldChar w:fldCharType="end"/>
      </w:r>
    </w:p>
  </w:footnote>
  <w:footnote w:id="19">
    <w:p w14:paraId="4FBE41E1"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{"citationID":"W3plPKe4","properties":{"formattedCitation":"Gonz\\uc0\\u225{}lez Holguin.","plainCitation":"González Holguin.","dontUpdate":true,"noteIndex":19},"citationItems":[{"id":216,"uris":["http://zotero.org/users/7540819/items/ERQKVQ8J"],"uri":["http://zotero.org/users/7540819/items/ERQKVQ8J"],"itemData":{"id":216,"type":"article-journal","container-title":"Biblical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800AC1">
        <w:rPr>
          <w:rFonts w:ascii="Calibri" w:cs="Calibri"/>
        </w:rPr>
        <w:t>González Holguin</w:t>
      </w:r>
      <w:r>
        <w:rPr>
          <w:rFonts w:ascii="Calibri" w:cs="Calibri"/>
        </w:rPr>
        <w:t xml:space="preserve">, </w:t>
      </w:r>
      <w:r w:rsidRPr="00AC6E9A">
        <w:rPr>
          <w:rFonts w:ascii="Calibri" w:cs="Calibri"/>
        </w:rPr>
        <w:t>‘Painted Eroticism: Sex and Death in Cain and Abel’s Story’</w:t>
      </w:r>
      <w:r>
        <w:rPr>
          <w:rFonts w:ascii="Calibri" w:cs="Calibri"/>
        </w:rPr>
        <w:t>, 20</w:t>
      </w:r>
      <w:r w:rsidRPr="00800AC1">
        <w:rPr>
          <w:rFonts w:ascii="Calibri" w:cs="Calibri"/>
        </w:rPr>
        <w:t>.</w:t>
      </w:r>
      <w:r>
        <w:fldChar w:fldCharType="end"/>
      </w:r>
    </w:p>
  </w:footnote>
  <w:footnote w:id="20">
    <w:p w14:paraId="50F243DB"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{"citationID":"9RHl7gcy","properties":{"formattedCitation":"Gonz\\uc0\\u225{}lez Holguin.","plainCitation":"González Holguin.","dontUpdate":true,"noteIndex":20},"citationItems":[{"id":216,"uris":["http://zotero.org/users/7540819/items/ERQKVQ8J"],"uri":["http://zotero.org/users/7540819/items/ERQKVQ8J"],"itemData":{"id":216,"type":"article-journal","container-title":"Biblical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F00B16">
        <w:rPr>
          <w:rFonts w:ascii="Calibri" w:cs="Calibri"/>
        </w:rPr>
        <w:t>González Holguin</w:t>
      </w:r>
      <w:r>
        <w:rPr>
          <w:rFonts w:ascii="Calibri" w:cs="Calibri"/>
        </w:rPr>
        <w:t xml:space="preserve">, </w:t>
      </w:r>
      <w:r w:rsidRPr="00AC6E9A">
        <w:rPr>
          <w:rFonts w:ascii="Calibri" w:cs="Calibri"/>
        </w:rPr>
        <w:t>‘Painted Eroticism: Sex and Death in Cain and Abel’s Story’</w:t>
      </w:r>
      <w:r>
        <w:rPr>
          <w:rFonts w:ascii="Calibri" w:cs="Calibri"/>
        </w:rPr>
        <w:t>, 22</w:t>
      </w:r>
      <w:r w:rsidRPr="00F00B16">
        <w:rPr>
          <w:rFonts w:ascii="Calibri" w:cs="Calibri"/>
        </w:rPr>
        <w:t>.</w:t>
      </w:r>
      <w:r>
        <w:fldChar w:fldCharType="end"/>
      </w:r>
    </w:p>
  </w:footnote>
  <w:footnote w:id="21">
    <w:p w14:paraId="792210B5"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{"citationID":"bD8suhHT","properties":{"formattedCitation":"Gonz\\uc0\\u225{}lez Holguin.","plainCitation":"González Holguin.","dontUpdate":true,"noteIndex":21},"citationItems":[{"id":216,"uris":["http://zotero.org/users/7540819/items/ERQKVQ8J"],"uri":["http://zotero.org/users/7540819/items/ERQKVQ8J"],"itemData":{"id":216,"type":"article-journal","container-title":"Biblical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2B5B46">
        <w:rPr>
          <w:rFonts w:ascii="Calibri" w:cs="Calibri"/>
        </w:rPr>
        <w:t>González Holguin</w:t>
      </w:r>
      <w:r>
        <w:rPr>
          <w:rFonts w:ascii="Calibri" w:cs="Calibri"/>
        </w:rPr>
        <w:t xml:space="preserve">, </w:t>
      </w:r>
      <w:r w:rsidRPr="00AC6E9A">
        <w:rPr>
          <w:rFonts w:ascii="Calibri" w:cs="Calibri"/>
        </w:rPr>
        <w:t>‘Painted Eroticism: Sex and Death in Cain and Abel’s Story’</w:t>
      </w:r>
      <w:r>
        <w:rPr>
          <w:rFonts w:ascii="Calibri" w:cs="Calibri"/>
        </w:rPr>
        <w:t>, 23</w:t>
      </w:r>
      <w:r w:rsidRPr="002B5B46">
        <w:rPr>
          <w:rFonts w:ascii="Calibri" w:cs="Calibri"/>
        </w:rPr>
        <w:t>.</w:t>
      </w:r>
      <w:r>
        <w:fldChar w:fldCharType="end"/>
      </w:r>
    </w:p>
  </w:footnote>
  <w:footnote w:id="22">
    <w:p w14:paraId="2AE7DC07"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{"citationID":"TmZoucOz","properties":{"formattedCitation":"Gonz\\uc0\\u225{}lez Holguin.","plainCitation":"González Holguin.","dontUpdate":true,"noteIndex":22},"citationItems":[{"id":216,"uris":["http://zotero.org/users/7540819/items/ERQKVQ8J"],"uri":["http://zotero.org/users/7540819/items/ERQKVQ8J"],"itemData":{"id":216,"type":"article-journal","container-title":"Biblical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2B5B46">
        <w:rPr>
          <w:rFonts w:ascii="Calibri" w:cs="Calibri"/>
        </w:rPr>
        <w:t>González Holguin</w:t>
      </w:r>
      <w:r>
        <w:rPr>
          <w:rFonts w:ascii="Calibri" w:cs="Calibri"/>
        </w:rPr>
        <w:t xml:space="preserve">, </w:t>
      </w:r>
      <w:r w:rsidRPr="00AC6E9A">
        <w:rPr>
          <w:rFonts w:ascii="Calibri" w:cs="Calibri"/>
        </w:rPr>
        <w:t>‘Painted Eroticism: Sex and Death in Cain and Abel’s Story’</w:t>
      </w:r>
      <w:r>
        <w:rPr>
          <w:rFonts w:ascii="Calibri" w:cs="Calibri"/>
        </w:rPr>
        <w:t>, 23</w:t>
      </w:r>
      <w:r w:rsidRPr="002B5B46">
        <w:rPr>
          <w:rFonts w:ascii="Calibri" w:cs="Calibri"/>
        </w:rPr>
        <w:t>.</w:t>
      </w:r>
      <w:r>
        <w:fldChar w:fldCharType="end"/>
      </w:r>
    </w:p>
  </w:footnote>
  <w:footnote w:id="23">
    <w:p w14:paraId="1BF0BE27"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{"citationID":"QR1FJ2oJ","properties":{"formattedCitation":"Gonz\\uc0\\u225{}lez Holguin.","plainCitation":"González Holguin.","dontUpdate":true,"noteIndex":23},"citationItems":[{"id":216,"uris":["http://zotero.org/users/7540819/items/ERQKVQ8J"],"uri":["http://zotero.org/users/7540819/items/ERQKVQ8J"],"itemData":{"id":216,"type":"article-journal","container-title":"Biblical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8B2E02">
        <w:rPr>
          <w:rFonts w:ascii="Calibri" w:cs="Calibri"/>
        </w:rPr>
        <w:t>González Holguin</w:t>
      </w:r>
      <w:r>
        <w:rPr>
          <w:rFonts w:ascii="Calibri" w:cs="Calibri"/>
        </w:rPr>
        <w:t xml:space="preserve">, </w:t>
      </w:r>
      <w:r w:rsidRPr="00AC6E9A">
        <w:rPr>
          <w:rFonts w:ascii="Calibri" w:cs="Calibri"/>
        </w:rPr>
        <w:t>‘Painted Eroticism: Sex and Death in Cain and Abel’s Story’</w:t>
      </w:r>
      <w:r>
        <w:rPr>
          <w:rFonts w:ascii="Calibri" w:cs="Calibri"/>
        </w:rPr>
        <w:t>, 24</w:t>
      </w:r>
      <w:r w:rsidRPr="008B2E02">
        <w:rPr>
          <w:rFonts w:ascii="Calibri" w:cs="Calibri"/>
        </w:rPr>
        <w:t>.</w:t>
      </w:r>
      <w:r>
        <w:fldChar w:fldCharType="end"/>
      </w:r>
    </w:p>
  </w:footnote>
  <w:footnote w:id="24">
    <w:p w14:paraId="7DBBAE30"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{"citationID":"py6uFCX8","properties":{"formattedCitation":"\\uc0\\u8216{}Dr. Juli\\uc0\\u225{}n Andr\\uc0\\u233{}s Gonz\\uc0\\u225{}lez Holgu\\uc0\\u237{}n\\uc0\\u8217{}, Church Divinity School of the Pacific, accessed 17 June 2021, https://cdsp.edu/faculty/julian-gonzalez/.","plainCitation":"‘Dr. Julián Andrés González Holguín’, Church Divinity School of the Pacific, accessed 17 June 2021, https://cdsp.edu/faculty/julian-gonzalez/.","noteIndex":24},"citationItems":[{"id":239,"uris":["http://zotero.org/users/7540819/items/IF3IRC7B"],"uri":["http://zotero.org/users/7540819/items/IF3IRC7B"],"itemData":{"id":239,"type":"webpage","abstract":"Associate Professor of Old Testamentjgonzalez@cdsp.eduPh.D. in Religious Studies, Perkins School of Theology, Southern Methodist UniversityM.Div., George Truett Theological Seminary, Baylor UniversityElectronic Engineer, Pontificia Universidad Javeriana, Cali, Colombia Curriculum Vitae Bio: Julián Andrés is a Colombian scholar who migrated to the United States seeking education in religious studies. He sees education as a human right in...Read more...","container-title":"Church Divinity School of the Pacific","language":"en-US","title":"Dr. Julián Andrés González Holguín","URL":"https://cdsp.edu/faculty/julian-gonzalez/","accessed":{"date-parts":[["2021",6,17]]}}}],"schema":"https://github.com/citation-style-language/schema/raw/master/csl-citation.json"} </w:instrText>
      </w:r>
      <w:r>
        <w:fldChar w:fldCharType="separate"/>
      </w:r>
      <w:r w:rsidRPr="00D51641">
        <w:rPr>
          <w:rFonts w:ascii="Calibri" w:cs="Calibri"/>
        </w:rPr>
        <w:t>‘</w:t>
      </w:r>
      <w:proofErr w:type="spellStart"/>
      <w:r w:rsidRPr="00D51641">
        <w:rPr>
          <w:rFonts w:ascii="Calibri" w:cs="Calibri"/>
        </w:rPr>
        <w:t>Dr.</w:t>
      </w:r>
      <w:proofErr w:type="spellEnd"/>
      <w:r w:rsidRPr="00D51641">
        <w:rPr>
          <w:rFonts w:ascii="Calibri" w:cs="Calibri"/>
        </w:rPr>
        <w:t xml:space="preserve"> Julián Andrés González Holguín’, Church Divinity School of the Pacific, accessed 17 June 2021, https://cdsp.edu/faculty/julian-gonzalez/.</w:t>
      </w:r>
      <w:r>
        <w:fldChar w:fldCharType="end"/>
      </w:r>
    </w:p>
  </w:footnote>
  <w:footnote w:id="25">
    <w:p w14:paraId="24166758" w14:textId="77777777" w:rsidR="00861A19" w:rsidRDefault="00861A19" w:rsidP="00861A19">
      <w:pPr>
        <w:pStyle w:val="FootnoteText"/>
      </w:pPr>
      <w:r>
        <w:rPr>
          <w:rStyle w:val="FootnoteReference"/>
        </w:rPr>
        <w:footnoteRef/>
      </w:r>
      <w:r>
        <w:t xml:space="preserve"> </w:t>
      </w:r>
      <w:r>
        <w:fldChar w:fldCharType="begin"/>
      </w:r>
      <w:r>
        <w:instrText xml:space="preserve"> ADDIN ZOTERO_ITEM CSL_CITATION {"citationID":"EQ4fpLMh","properties":{"formattedCitation":"Gonz\\uc0\\u225{}lez Holguin.","plainCitation":"González Holguin.","dontUpdate":true,"noteIndex":25},"citationItems":[{"id":216,"uris":["http://zotero.org/users/7540819/items/ERQKVQ8J"],"uri":["http://zotero.org/users/7540819/items/ERQKVQ8J"],"itemData":{"id":216,"type":"article-journal","container-title":"Biblical Interpretation","DOI":"10.1163/15685152-00284P01","issue":"1","journalAbbreviation":"Biblical Interpretation","language":"English","note":"publisher-place: Leiden, The Netherlands\npublisher: Brill","page":"1-24","title":"Painted Eroticism: Sex and Death in Cain and Abel's Story","volume":"29","author":[{"family":"González Holguin","given":"Julián Andrés"}],"issued":{"date-parts":[["2020",10,9]]}}}],"schema":"https://github.com/citation-style-language/schema/raw/master/csl-citation.json"} </w:instrText>
      </w:r>
      <w:r>
        <w:fldChar w:fldCharType="separate"/>
      </w:r>
      <w:r w:rsidRPr="006D71E9">
        <w:rPr>
          <w:rFonts w:ascii="Calibri" w:cs="Calibri"/>
        </w:rPr>
        <w:t>González Holguin</w:t>
      </w:r>
      <w:r>
        <w:rPr>
          <w:rFonts w:ascii="Calibri" w:cs="Calibri"/>
        </w:rPr>
        <w:t xml:space="preserve">, </w:t>
      </w:r>
      <w:r w:rsidRPr="00AC6E9A">
        <w:rPr>
          <w:rFonts w:ascii="Calibri" w:cs="Calibri"/>
        </w:rPr>
        <w:t>‘Painted Eroticism: Sex and Death in Cain and Abel’s Story’</w:t>
      </w:r>
      <w:r>
        <w:rPr>
          <w:rFonts w:ascii="Calibri" w:cs="Calibri"/>
        </w:rPr>
        <w:t>, 24</w:t>
      </w:r>
      <w:r w:rsidRPr="006D71E9">
        <w:rPr>
          <w:rFonts w:ascii="Calibri" w:cs="Calibri"/>
        </w:rPr>
        <w:t>.</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A19"/>
    <w:rsid w:val="005729FD"/>
    <w:rsid w:val="00753612"/>
    <w:rsid w:val="00773AC0"/>
    <w:rsid w:val="00861A19"/>
    <w:rsid w:val="00F56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8E1809"/>
  <w15:chartTrackingRefBased/>
  <w15:docId w15:val="{AE93CE81-D0B9-444E-BAC7-10785715B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A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61A19"/>
    <w:rPr>
      <w:sz w:val="20"/>
      <w:szCs w:val="20"/>
    </w:rPr>
  </w:style>
  <w:style w:type="character" w:customStyle="1" w:styleId="FootnoteTextChar">
    <w:name w:val="Footnote Text Char"/>
    <w:basedOn w:val="DefaultParagraphFont"/>
    <w:link w:val="FootnoteText"/>
    <w:uiPriority w:val="99"/>
    <w:semiHidden/>
    <w:rsid w:val="00861A19"/>
    <w:rPr>
      <w:sz w:val="20"/>
      <w:szCs w:val="20"/>
    </w:rPr>
  </w:style>
  <w:style w:type="character" w:styleId="FootnoteReference">
    <w:name w:val="footnote reference"/>
    <w:basedOn w:val="DefaultParagraphFont"/>
    <w:uiPriority w:val="99"/>
    <w:semiHidden/>
    <w:unhideWhenUsed/>
    <w:rsid w:val="00861A19"/>
    <w:rPr>
      <w:vertAlign w:val="superscript"/>
    </w:rPr>
  </w:style>
  <w:style w:type="paragraph" w:styleId="Bibliography">
    <w:name w:val="Bibliography"/>
    <w:basedOn w:val="Normal"/>
    <w:next w:val="Normal"/>
    <w:uiPriority w:val="37"/>
    <w:unhideWhenUsed/>
    <w:rsid w:val="00861A19"/>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1164</Words>
  <Characters>6637</Characters>
  <Application>Microsoft Office Word</Application>
  <DocSecurity>0</DocSecurity>
  <Lines>55</Lines>
  <Paragraphs>15</Paragraphs>
  <ScaleCrop>false</ScaleCrop>
  <Company/>
  <LinksUpToDate>false</LinksUpToDate>
  <CharactersWithSpaces>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Douglas Spenceley</dc:creator>
  <cp:keywords/>
  <dc:description/>
  <cp:lastModifiedBy>Douglas Spenceley</cp:lastModifiedBy>
  <cp:revision>1</cp:revision>
  <dcterms:created xsi:type="dcterms:W3CDTF">2021-06-29T10:44:00Z</dcterms:created>
  <dcterms:modified xsi:type="dcterms:W3CDTF">2021-06-29T10:47:00Z</dcterms:modified>
</cp:coreProperties>
</file>