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32F51A" w14:textId="77777777" w:rsidR="008E4BC2" w:rsidRDefault="008E4BC2" w:rsidP="008E4BC2">
      <w:pPr>
        <w:rPr>
          <w:rFonts w:ascii="Times New Roman" w:hAnsi="Times New Roman" w:cs="Times New Roman"/>
          <w:sz w:val="28"/>
          <w:szCs w:val="28"/>
          <w:u w:val="single"/>
        </w:rPr>
      </w:pPr>
      <w:r>
        <w:rPr>
          <w:rFonts w:ascii="Times New Roman" w:hAnsi="Times New Roman" w:cs="Times New Roman"/>
          <w:sz w:val="28"/>
          <w:szCs w:val="28"/>
          <w:u w:val="single"/>
        </w:rPr>
        <w:t>Bernadette Horton</w:t>
      </w:r>
    </w:p>
    <w:p w14:paraId="0AF1C2FC" w14:textId="77777777" w:rsidR="008E4BC2" w:rsidRDefault="008E4BC2" w:rsidP="008E4BC2">
      <w:pPr>
        <w:rPr>
          <w:rFonts w:ascii="Times New Roman" w:hAnsi="Times New Roman" w:cs="Times New Roman"/>
          <w:sz w:val="28"/>
          <w:szCs w:val="28"/>
          <w:u w:val="single"/>
        </w:rPr>
      </w:pPr>
      <w:r>
        <w:rPr>
          <w:rFonts w:ascii="Times New Roman" w:hAnsi="Times New Roman" w:cs="Times New Roman"/>
          <w:sz w:val="28"/>
          <w:szCs w:val="28"/>
          <w:u w:val="single"/>
        </w:rPr>
        <w:t>Student No: 1800006</w:t>
      </w:r>
    </w:p>
    <w:p w14:paraId="77D1FD88" w14:textId="77777777" w:rsidR="008E4BC2" w:rsidRDefault="008E4BC2" w:rsidP="008E4BC2">
      <w:pPr>
        <w:rPr>
          <w:rFonts w:ascii="Times New Roman" w:hAnsi="Times New Roman" w:cs="Times New Roman"/>
          <w:sz w:val="28"/>
          <w:szCs w:val="28"/>
          <w:u w:val="single"/>
        </w:rPr>
      </w:pPr>
      <w:r>
        <w:rPr>
          <w:rFonts w:ascii="Times New Roman" w:hAnsi="Times New Roman" w:cs="Times New Roman"/>
          <w:sz w:val="28"/>
          <w:szCs w:val="28"/>
          <w:u w:val="single"/>
        </w:rPr>
        <w:t>Module: HPAH4009</w:t>
      </w:r>
    </w:p>
    <w:p w14:paraId="4DF84F41" w14:textId="77777777" w:rsidR="008E4BC2" w:rsidRDefault="008E4BC2" w:rsidP="008E4BC2">
      <w:pPr>
        <w:rPr>
          <w:rFonts w:ascii="Times New Roman" w:hAnsi="Times New Roman" w:cs="Times New Roman"/>
          <w:sz w:val="28"/>
          <w:szCs w:val="28"/>
          <w:u w:val="single"/>
        </w:rPr>
      </w:pPr>
    </w:p>
    <w:p w14:paraId="4A054C66" w14:textId="77777777" w:rsidR="008E4BC2" w:rsidRDefault="008E4BC2" w:rsidP="008E4BC2">
      <w:pPr>
        <w:rPr>
          <w:rFonts w:ascii="Times New Roman" w:hAnsi="Times New Roman" w:cs="Times New Roman"/>
          <w:sz w:val="28"/>
          <w:szCs w:val="28"/>
          <w:u w:val="single"/>
        </w:rPr>
      </w:pPr>
    </w:p>
    <w:p w14:paraId="4850D273" w14:textId="77777777" w:rsidR="008E4BC2" w:rsidRDefault="008E4BC2" w:rsidP="008E4BC2">
      <w:pPr>
        <w:rPr>
          <w:rFonts w:ascii="Times New Roman" w:hAnsi="Times New Roman" w:cs="Times New Roman"/>
          <w:sz w:val="28"/>
          <w:szCs w:val="28"/>
          <w:u w:val="single"/>
        </w:rPr>
      </w:pPr>
    </w:p>
    <w:p w14:paraId="5FA6671C" w14:textId="77777777" w:rsidR="008E4BC2" w:rsidRDefault="008E4BC2" w:rsidP="008E4BC2">
      <w:pPr>
        <w:spacing w:after="100" w:afterAutospacing="1" w:line="360" w:lineRule="auto"/>
        <w:rPr>
          <w:rFonts w:ascii="Times New Roman" w:hAnsi="Times New Roman" w:cs="Times New Roman"/>
          <w:sz w:val="28"/>
          <w:szCs w:val="28"/>
        </w:rPr>
      </w:pPr>
      <w:r>
        <w:rPr>
          <w:rFonts w:ascii="Times New Roman" w:hAnsi="Times New Roman" w:cs="Times New Roman"/>
          <w:b/>
          <w:sz w:val="28"/>
          <w:szCs w:val="28"/>
        </w:rPr>
        <w:t>Essay:</w:t>
      </w:r>
      <w:r>
        <w:rPr>
          <w:rFonts w:ascii="Times New Roman" w:hAnsi="Times New Roman" w:cs="Times New Roman"/>
          <w:sz w:val="28"/>
          <w:szCs w:val="28"/>
        </w:rPr>
        <w:t xml:space="preserve"> Discuss how art and architecture were used as a medium of communication to convey political and ideological messages in the Roman Empire.</w:t>
      </w:r>
    </w:p>
    <w:p w14:paraId="0DCE7524" w14:textId="77777777" w:rsidR="008E4BC2" w:rsidRDefault="008E4BC2" w:rsidP="008E4BC2">
      <w:pPr>
        <w:spacing w:after="100" w:afterAutospacing="1" w:line="360" w:lineRule="auto"/>
        <w:rPr>
          <w:rFonts w:ascii="Times New Roman" w:hAnsi="Times New Roman" w:cs="Times New Roman"/>
          <w:sz w:val="28"/>
          <w:szCs w:val="28"/>
        </w:rPr>
      </w:pPr>
    </w:p>
    <w:p w14:paraId="4470A2FF"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The Roman Empire commencing with Augustus in 27 BC was a time of radical change for art and architecture in Rome and the wider empire as was already shown by P. </w:t>
      </w:r>
      <w:proofErr w:type="spellStart"/>
      <w:r>
        <w:rPr>
          <w:rFonts w:ascii="Times New Roman" w:hAnsi="Times New Roman" w:cs="Times New Roman"/>
          <w:sz w:val="24"/>
          <w:szCs w:val="24"/>
        </w:rPr>
        <w:t>Zanker</w:t>
      </w:r>
      <w:proofErr w:type="spellEnd"/>
      <w:r>
        <w:rPr>
          <w:rFonts w:ascii="Times New Roman" w:hAnsi="Times New Roman" w:cs="Times New Roman"/>
          <w:sz w:val="24"/>
          <w:szCs w:val="24"/>
        </w:rPr>
        <w:t xml:space="preserve"> (1990</w:t>
      </w:r>
      <w:r>
        <w:rPr>
          <w:rFonts w:ascii="Times New Roman" w:hAnsi="Times New Roman" w:cs="Times New Roman"/>
          <w:color w:val="000000" w:themeColor="text1"/>
          <w:sz w:val="24"/>
          <w:szCs w:val="24"/>
        </w:rPr>
        <w:t>).</w:t>
      </w:r>
      <w:r>
        <w:rPr>
          <w:rStyle w:val="FootnoteReference"/>
          <w:color w:val="000000" w:themeColor="text1"/>
          <w:sz w:val="24"/>
          <w:szCs w:val="24"/>
        </w:rPr>
        <w:footnoteReference w:id="1"/>
      </w:r>
      <w:r>
        <w:rPr>
          <w:rFonts w:ascii="Times New Roman" w:hAnsi="Times New Roman" w:cs="Times New Roman"/>
          <w:color w:val="000000" w:themeColor="text1"/>
          <w:sz w:val="24"/>
          <w:szCs w:val="24"/>
        </w:rPr>
        <w:t xml:space="preserve"> “The building activity and architectural revival (…) was linked to the new political situation and the sense of excitement</w:t>
      </w:r>
      <w:r>
        <w:rPr>
          <w:rFonts w:ascii="Times New Roman" w:hAnsi="Times New Roman" w:cs="Times New Roman"/>
          <w:sz w:val="24"/>
          <w:szCs w:val="24"/>
        </w:rPr>
        <w:t xml:space="preserve"> that went with it”  In this essay, I will be focussing on how the reign of Augustus brought about a long-term planning programme for monuments, statues, sculptures, buildings and paintings within the Roman Empire. I will discuss the messages Augustus was looking to convey through this ‘cultural revolution’ – a term used by </w:t>
      </w:r>
      <w:proofErr w:type="spellStart"/>
      <w:r>
        <w:rPr>
          <w:rFonts w:ascii="Times New Roman" w:hAnsi="Times New Roman" w:cs="Times New Roman"/>
          <w:sz w:val="24"/>
          <w:szCs w:val="24"/>
        </w:rPr>
        <w:t>Zanker</w:t>
      </w:r>
      <w:proofErr w:type="spellEnd"/>
      <w:r>
        <w:rPr>
          <w:rFonts w:ascii="Times New Roman" w:hAnsi="Times New Roman" w:cs="Times New Roman"/>
          <w:sz w:val="24"/>
          <w:szCs w:val="24"/>
        </w:rPr>
        <w:t xml:space="preserve"> (1990) and Galinsky (2005) – and briefly look at whether his successors carried on his works.</w:t>
      </w:r>
    </w:p>
    <w:p w14:paraId="3029DDF7"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Augustus was quick to realise that works of art and architecture building would stimulate the Roman economy, via the building industry. He knew his building programme would find favour with  Roman citizens.  According to Wilson,</w:t>
      </w:r>
      <w:r>
        <w:rPr>
          <w:rStyle w:val="FootnoteReference"/>
          <w:sz w:val="24"/>
          <w:szCs w:val="24"/>
        </w:rPr>
        <w:footnoteReference w:id="2"/>
      </w:r>
      <w:r>
        <w:rPr>
          <w:rFonts w:ascii="Times New Roman" w:hAnsi="Times New Roman" w:cs="Times New Roman"/>
          <w:sz w:val="24"/>
          <w:szCs w:val="24"/>
        </w:rPr>
        <w:t xml:space="preserve"> “the Emperor provided a motivated patronage which drew architects, sculptors and painters to the capital (…) creating the right conditions for works on a grand scale. Augustus was also not slow to realise the political overtones of a lavish architectural and structural programme.” This would provide the paths to three of Augustus’ main aims for the future of Rome.</w:t>
      </w:r>
    </w:p>
    <w:p w14:paraId="51351197"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Victory, Pax (peace) and Prosperity were key ideologies conveyed by this vast building programme and Augustan reorganisation of the Roman state and empire. It had a major </w:t>
      </w:r>
      <w:r>
        <w:rPr>
          <w:rFonts w:ascii="Times New Roman" w:hAnsi="Times New Roman" w:cs="Times New Roman"/>
          <w:sz w:val="24"/>
          <w:szCs w:val="24"/>
        </w:rPr>
        <w:lastRenderedPageBreak/>
        <w:t>impact on all: senators, army, and other Roman citizens. The Pantheon, built by Marcus Agrippa in 27 BC, just one of the many temples built under Augustus</w:t>
      </w:r>
      <w:bookmarkStart w:id="0" w:name="_Hlk532035794"/>
      <w:r>
        <w:rPr>
          <w:rFonts w:ascii="Times New Roman" w:hAnsi="Times New Roman" w:cs="Times New Roman"/>
          <w:sz w:val="24"/>
          <w:szCs w:val="24"/>
        </w:rPr>
        <w:t xml:space="preserve">, </w:t>
      </w:r>
      <w:bookmarkEnd w:id="0"/>
      <w:r>
        <w:rPr>
          <w:rFonts w:ascii="Times New Roman" w:hAnsi="Times New Roman" w:cs="Times New Roman"/>
          <w:sz w:val="24"/>
          <w:szCs w:val="24"/>
        </w:rPr>
        <w:t xml:space="preserve">was on such a grand scale of construction it was designed to intimidate people. </w:t>
      </w:r>
      <w:proofErr w:type="spellStart"/>
      <w:r>
        <w:rPr>
          <w:rFonts w:ascii="Times New Roman" w:hAnsi="Times New Roman" w:cs="Times New Roman"/>
          <w:sz w:val="24"/>
          <w:szCs w:val="24"/>
        </w:rPr>
        <w:t>Zanker</w:t>
      </w:r>
      <w:proofErr w:type="spellEnd"/>
      <w:r>
        <w:rPr>
          <w:rFonts w:ascii="Times New Roman" w:hAnsi="Times New Roman" w:cs="Times New Roman"/>
          <w:sz w:val="24"/>
          <w:szCs w:val="24"/>
        </w:rPr>
        <w:t xml:space="preserve"> comments:</w:t>
      </w:r>
      <w:r>
        <w:rPr>
          <w:rStyle w:val="FootnoteReference"/>
          <w:sz w:val="24"/>
          <w:szCs w:val="24"/>
        </w:rPr>
        <w:footnoteReference w:id="3"/>
      </w:r>
    </w:p>
    <w:p w14:paraId="7BF0A4EB" w14:textId="77777777" w:rsidR="008E4BC2" w:rsidRDefault="008E4BC2" w:rsidP="008E4BC2">
      <w:pPr>
        <w:spacing w:after="100" w:afterAutospacing="1" w:line="360" w:lineRule="auto"/>
        <w:ind w:left="1134" w:right="1134"/>
        <w:rPr>
          <w:rFonts w:ascii="Times New Roman" w:hAnsi="Times New Roman" w:cs="Times New Roman"/>
          <w:sz w:val="24"/>
          <w:szCs w:val="24"/>
        </w:rPr>
      </w:pPr>
      <w:r>
        <w:rPr>
          <w:rFonts w:ascii="Times New Roman" w:hAnsi="Times New Roman" w:cs="Times New Roman"/>
          <w:sz w:val="24"/>
          <w:szCs w:val="24"/>
        </w:rPr>
        <w:t xml:space="preserve">‘“Nothing is too good for the Gods” is now the slogan. The gleaming white temple facades built of marble from the new quarries near </w:t>
      </w:r>
      <w:proofErr w:type="spellStart"/>
      <w:r>
        <w:rPr>
          <w:rFonts w:ascii="Times New Roman" w:hAnsi="Times New Roman" w:cs="Times New Roman"/>
          <w:sz w:val="24"/>
          <w:szCs w:val="24"/>
        </w:rPr>
        <w:t>Luni</w:t>
      </w:r>
      <w:proofErr w:type="spellEnd"/>
      <w:r>
        <w:rPr>
          <w:rFonts w:ascii="Times New Roman" w:hAnsi="Times New Roman" w:cs="Times New Roman"/>
          <w:sz w:val="24"/>
          <w:szCs w:val="24"/>
        </w:rPr>
        <w:t xml:space="preserve"> with their dazzling ornament became hallmarks of the new age.’ </w:t>
      </w:r>
    </w:p>
    <w:p w14:paraId="59F3CE1F"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Augustus was the first to exploit this new marble for architectural purposes. Suetonius tells us:</w:t>
      </w:r>
      <w:r>
        <w:rPr>
          <w:rStyle w:val="FootnoteReference"/>
          <w:sz w:val="24"/>
          <w:szCs w:val="24"/>
        </w:rPr>
        <w:footnoteReference w:id="4"/>
      </w:r>
      <w:r>
        <w:rPr>
          <w:rFonts w:ascii="Times New Roman" w:hAnsi="Times New Roman" w:cs="Times New Roman"/>
          <w:sz w:val="24"/>
          <w:szCs w:val="24"/>
        </w:rPr>
        <w:t xml:space="preserve"> “ [Augustus] found Rome a city of brick and left it a city of marble.”</w:t>
      </w:r>
    </w:p>
    <w:p w14:paraId="793753C0"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Augustus’ ‘Victory ideology’ can be seen in various forms: already in 29/28 BC, Augustus founded a new city </w:t>
      </w:r>
      <w:proofErr w:type="spellStart"/>
      <w:r>
        <w:rPr>
          <w:rFonts w:ascii="Times New Roman" w:hAnsi="Times New Roman" w:cs="Times New Roman"/>
          <w:sz w:val="24"/>
          <w:szCs w:val="24"/>
        </w:rPr>
        <w:t>Nikopolis</w:t>
      </w:r>
      <w:proofErr w:type="spellEnd"/>
      <w:r>
        <w:rPr>
          <w:rFonts w:ascii="Times New Roman" w:hAnsi="Times New Roman" w:cs="Times New Roman"/>
          <w:sz w:val="24"/>
          <w:szCs w:val="24"/>
        </w:rPr>
        <w:t xml:space="preserve"> meaning ‘City of Victory’ in Greece, to commemorate his victory in 31 BC of the Battle of Actium. </w:t>
      </w: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xml:space="preserve"> comments</w:t>
      </w:r>
      <w:r>
        <w:rPr>
          <w:rStyle w:val="FootnoteReference"/>
          <w:sz w:val="24"/>
          <w:szCs w:val="24"/>
        </w:rPr>
        <w:footnoteReference w:id="5"/>
      </w:r>
      <w:r>
        <w:rPr>
          <w:rFonts w:ascii="Times New Roman" w:hAnsi="Times New Roman" w:cs="Times New Roman"/>
          <w:sz w:val="24"/>
          <w:szCs w:val="24"/>
        </w:rPr>
        <w:t xml:space="preserve">, “he founded the city of </w:t>
      </w:r>
      <w:proofErr w:type="spellStart"/>
      <w:r>
        <w:rPr>
          <w:rFonts w:ascii="Times New Roman" w:hAnsi="Times New Roman" w:cs="Times New Roman"/>
          <w:sz w:val="24"/>
          <w:szCs w:val="24"/>
        </w:rPr>
        <w:t>Nikopolis</w:t>
      </w:r>
      <w:proofErr w:type="spellEnd"/>
      <w:r>
        <w:rPr>
          <w:rFonts w:ascii="Times New Roman" w:hAnsi="Times New Roman" w:cs="Times New Roman"/>
          <w:sz w:val="24"/>
          <w:szCs w:val="24"/>
        </w:rPr>
        <w:t xml:space="preserve"> at Actium. Augustus’ decision to </w:t>
      </w:r>
      <w:proofErr w:type="gramStart"/>
      <w:r>
        <w:rPr>
          <w:rFonts w:ascii="Times New Roman" w:hAnsi="Times New Roman" w:cs="Times New Roman"/>
          <w:sz w:val="24"/>
          <w:szCs w:val="24"/>
        </w:rPr>
        <w:t>found</w:t>
      </w:r>
      <w:proofErr w:type="gramEnd"/>
      <w:r>
        <w:rPr>
          <w:rFonts w:ascii="Times New Roman" w:hAnsi="Times New Roman" w:cs="Times New Roman"/>
          <w:sz w:val="24"/>
          <w:szCs w:val="24"/>
        </w:rPr>
        <w:t xml:space="preserve"> a victory city follows Alexander’s practice.” Alexander the Great was renowned for building around thirty new cities, including Alexandria, to celebrate his victories following invasions. This founding of a new city in the very early reign of Augustus, showed Roman citizens and the senate that Augustus was keen on expanding the Roman empire, and bringing prosperity to Rome. It also elevated his personal standing.</w:t>
      </w:r>
    </w:p>
    <w:p w14:paraId="5A94DA72"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Other works that symbolised Augustus’ victories were the building of La </w:t>
      </w:r>
      <w:proofErr w:type="spellStart"/>
      <w:r>
        <w:rPr>
          <w:rFonts w:ascii="Times New Roman" w:hAnsi="Times New Roman" w:cs="Times New Roman"/>
          <w:sz w:val="24"/>
          <w:szCs w:val="24"/>
        </w:rPr>
        <w:t>Turbie</w:t>
      </w:r>
      <w:proofErr w:type="spellEnd"/>
      <w:r>
        <w:rPr>
          <w:rFonts w:ascii="Times New Roman" w:hAnsi="Times New Roman" w:cs="Times New Roman"/>
          <w:sz w:val="24"/>
          <w:szCs w:val="24"/>
        </w:rPr>
        <w:t xml:space="preserve"> near Nice, and a Roman arch in Orange (Southern Gaul).</w:t>
      </w:r>
      <w:r>
        <w:rPr>
          <w:rFonts w:ascii="Times New Roman" w:hAnsi="Times New Roman" w:cs="Times New Roman"/>
          <w:color w:val="FFFFFF" w:themeColor="background1"/>
          <w:sz w:val="24"/>
          <w:szCs w:val="24"/>
        </w:rPr>
        <w:t xml:space="preserve"> </w:t>
      </w:r>
      <w:r>
        <w:rPr>
          <w:rFonts w:ascii="Times New Roman" w:hAnsi="Times New Roman" w:cs="Times New Roman"/>
          <w:sz w:val="24"/>
          <w:szCs w:val="24"/>
        </w:rPr>
        <w:t>For alongside victory, came peaceful times which in turn led to prosperity, ideologies that had a profound impact on Rome, its citizens and its empire.</w:t>
      </w:r>
    </w:p>
    <w:p w14:paraId="1B8D1E42"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One of the most important structures built was the Forum </w:t>
      </w:r>
      <w:proofErr w:type="spellStart"/>
      <w:r>
        <w:rPr>
          <w:rFonts w:ascii="Times New Roman" w:hAnsi="Times New Roman" w:cs="Times New Roman"/>
          <w:sz w:val="24"/>
          <w:szCs w:val="24"/>
        </w:rPr>
        <w:t>Augusti</w:t>
      </w:r>
      <w:proofErr w:type="spellEnd"/>
      <w:r>
        <w:rPr>
          <w:rFonts w:ascii="Times New Roman" w:hAnsi="Times New Roman" w:cs="Times New Roman"/>
          <w:sz w:val="24"/>
          <w:szCs w:val="24"/>
        </w:rPr>
        <w:t xml:space="preserve">. It was a temple dedicated to Mars </w:t>
      </w:r>
      <w:proofErr w:type="spellStart"/>
      <w:r>
        <w:rPr>
          <w:rFonts w:ascii="Times New Roman" w:hAnsi="Times New Roman" w:cs="Times New Roman"/>
          <w:sz w:val="24"/>
          <w:szCs w:val="24"/>
        </w:rPr>
        <w:t>Ultor</w:t>
      </w:r>
      <w:proofErr w:type="spellEnd"/>
      <w:r>
        <w:rPr>
          <w:rFonts w:ascii="Times New Roman" w:hAnsi="Times New Roman" w:cs="Times New Roman"/>
          <w:sz w:val="24"/>
          <w:szCs w:val="24"/>
        </w:rPr>
        <w:t>. According to Potter</w:t>
      </w:r>
      <w:r>
        <w:rPr>
          <w:rStyle w:val="FootnoteReference"/>
          <w:sz w:val="24"/>
          <w:szCs w:val="24"/>
        </w:rPr>
        <w:footnoteReference w:id="6"/>
      </w:r>
      <w:r>
        <w:rPr>
          <w:rFonts w:ascii="Times New Roman" w:hAnsi="Times New Roman" w:cs="Times New Roman"/>
          <w:sz w:val="24"/>
          <w:szCs w:val="24"/>
        </w:rPr>
        <w:t xml:space="preserve"> “ (…) this massive project initially commemorated Augustus’s role as the avenger of Caesar (…) and as time went by, his role as avenger of disasters of the previous generation more generally. On one side were members of the Julian dynasty (…) and on the other portraits of the ‘best men’ whose deeds had ensured the growth </w:t>
      </w:r>
      <w:r>
        <w:rPr>
          <w:rFonts w:ascii="Times New Roman" w:hAnsi="Times New Roman" w:cs="Times New Roman"/>
          <w:sz w:val="24"/>
          <w:szCs w:val="24"/>
        </w:rPr>
        <w:lastRenderedPageBreak/>
        <w:t xml:space="preserve">of the empire.” Dynasty was important to Augustus in all his ideology, whether this be in the building of the Augustan mausoleum, or in the Ara </w:t>
      </w:r>
      <w:proofErr w:type="spellStart"/>
      <w:r>
        <w:rPr>
          <w:rFonts w:ascii="Times New Roman" w:hAnsi="Times New Roman" w:cs="Times New Roman"/>
          <w:sz w:val="24"/>
          <w:szCs w:val="24"/>
        </w:rPr>
        <w:t>Pacis</w:t>
      </w:r>
      <w:proofErr w:type="spellEnd"/>
      <w:r>
        <w:rPr>
          <w:rFonts w:ascii="Times New Roman" w:hAnsi="Times New Roman" w:cs="Times New Roman"/>
          <w:sz w:val="24"/>
          <w:szCs w:val="24"/>
        </w:rPr>
        <w:t>, later in this essay.</w:t>
      </w:r>
    </w:p>
    <w:p w14:paraId="0FCE9176" w14:textId="77777777" w:rsidR="008E4BC2" w:rsidRDefault="008E4BC2" w:rsidP="008E4BC2">
      <w:pPr>
        <w:spacing w:line="360" w:lineRule="auto"/>
        <w:rPr>
          <w:rFonts w:ascii="Times New Roman" w:hAnsi="Times New Roman" w:cs="Times New Roman"/>
          <w:sz w:val="24"/>
          <w:szCs w:val="24"/>
        </w:rPr>
      </w:pPr>
      <w:r>
        <w:rPr>
          <w:rFonts w:ascii="Times New Roman" w:hAnsi="Times New Roman" w:cs="Times New Roman"/>
          <w:sz w:val="24"/>
          <w:szCs w:val="24"/>
        </w:rPr>
        <w:t xml:space="preserve">Augustus was also very aware of building his own personal public image. Greek sculptors were used to create statesmanlike, authoritative portraits, and statues. The statues and portraits that emerged were a clever entwining of Augustus’s own self representation and image alongside that of ideology and a propaganda tool. Once he became Augustus, </w:t>
      </w:r>
      <w:proofErr w:type="spellStart"/>
      <w:r>
        <w:rPr>
          <w:rFonts w:ascii="Times New Roman" w:hAnsi="Times New Roman" w:cs="Times New Roman"/>
          <w:sz w:val="24"/>
          <w:szCs w:val="24"/>
        </w:rPr>
        <w:t>Zanker</w:t>
      </w:r>
      <w:proofErr w:type="spellEnd"/>
      <w:r>
        <w:rPr>
          <w:rFonts w:ascii="Times New Roman" w:hAnsi="Times New Roman" w:cs="Times New Roman"/>
          <w:sz w:val="24"/>
          <w:szCs w:val="24"/>
        </w:rPr>
        <w:t xml:space="preserve"> tells us “the face is now characterized by a calm elevated expression (...) and a timeless remote dignity. The new portrait is completely intellectual and artificial work of art. The youthfulness of Octavian is transformed into an ageless ‘classical’ beauty.”</w:t>
      </w:r>
      <w:r>
        <w:rPr>
          <w:rStyle w:val="FootnoteReference"/>
          <w:sz w:val="24"/>
          <w:szCs w:val="24"/>
        </w:rPr>
        <w:footnoteReference w:id="7"/>
      </w:r>
      <w:r>
        <w:rPr>
          <w:rFonts w:ascii="Times New Roman" w:hAnsi="Times New Roman" w:cs="Times New Roman"/>
          <w:sz w:val="24"/>
          <w:szCs w:val="24"/>
        </w:rPr>
        <w:t xml:space="preserve"> Likewise the Prima Porta Statue of Augustus around 20 BC, signifies the victorious ‘supreme ruler’ clad in armoured cuirass, hand outstretched to the people, in a very detailed piece of sculpture.</w:t>
      </w:r>
      <w:r>
        <w:rPr>
          <w:rStyle w:val="FootnoteReference"/>
          <w:sz w:val="24"/>
          <w:szCs w:val="24"/>
        </w:rPr>
        <w:footnoteReference w:id="8"/>
      </w:r>
    </w:p>
    <w:p w14:paraId="02AF1A49" w14:textId="77777777" w:rsidR="008E4BC2" w:rsidRDefault="008E4BC2" w:rsidP="008E4BC2">
      <w:pPr>
        <w:keepNext/>
        <w:spacing w:line="360" w:lineRule="auto"/>
      </w:pPr>
      <w:r>
        <w:rPr>
          <w:rFonts w:ascii="Times New Roman" w:hAnsi="Times New Roman" w:cs="Times New Roman"/>
          <w:noProof/>
          <w:sz w:val="24"/>
          <w:szCs w:val="24"/>
        </w:rPr>
        <w:drawing>
          <wp:inline distT="0" distB="0" distL="0" distR="0" wp14:anchorId="7E8A208E" wp14:editId="140FDDE7">
            <wp:extent cx="1514475" cy="17049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14475" cy="1704975"/>
                    </a:xfrm>
                    <a:prstGeom prst="rect">
                      <a:avLst/>
                    </a:prstGeom>
                    <a:noFill/>
                    <a:ln>
                      <a:noFill/>
                    </a:ln>
                  </pic:spPr>
                </pic:pic>
              </a:graphicData>
            </a:graphic>
          </wp:inline>
        </w:drawing>
      </w:r>
    </w:p>
    <w:p w14:paraId="129021C3" w14:textId="77777777" w:rsidR="008E4BC2" w:rsidRDefault="008E4BC2" w:rsidP="008E4BC2">
      <w:pPr>
        <w:pStyle w:val="Caption"/>
        <w:rPr>
          <w:rFonts w:ascii="Times New Roman" w:hAnsi="Times New Roman" w:cs="Times New Roman"/>
          <w:sz w:val="24"/>
          <w:szCs w:val="24"/>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Prima Porta statue of Augustus</w:t>
      </w:r>
    </w:p>
    <w:p w14:paraId="3E6BF502" w14:textId="77777777" w:rsidR="008E4BC2" w:rsidRDefault="008E4BC2" w:rsidP="008E4BC2">
      <w:pPr>
        <w:keepNext/>
        <w:spacing w:line="360" w:lineRule="auto"/>
        <w:rPr>
          <w:rFonts w:ascii="Times New Roman" w:hAnsi="Times New Roman" w:cs="Times New Roman"/>
          <w:sz w:val="24"/>
          <w:szCs w:val="24"/>
        </w:rPr>
      </w:pPr>
      <w:r>
        <w:rPr>
          <w:rFonts w:ascii="Times New Roman" w:hAnsi="Times New Roman" w:cs="Times New Roman"/>
          <w:sz w:val="24"/>
          <w:szCs w:val="24"/>
        </w:rPr>
        <w:t>While Augustus celebrated his victories by restoring public buildings, creating new statues and temples, a new era of peace from a very warlike previous Roman Republic emerged. The image of Augustus as pious, peaceful religious leader emerged in the form of a veiled statue, which obviously pre-dates Christ in statues and paintings of him as ‘The Good Shepherd’</w:t>
      </w:r>
      <w:r>
        <w:rPr>
          <w:rStyle w:val="CommentReference"/>
        </w:rPr>
        <w:t xml:space="preserve"> </w:t>
      </w:r>
      <w:r>
        <w:rPr>
          <w:rFonts w:ascii="Times New Roman" w:hAnsi="Times New Roman" w:cs="Times New Roman"/>
          <w:sz w:val="24"/>
          <w:szCs w:val="24"/>
        </w:rPr>
        <w:t xml:space="preserve">which we are more familiar with today. Augustus was viewed as Pater Patriae ‘Father of the </w:t>
      </w:r>
      <w:r>
        <w:rPr>
          <w:rFonts w:ascii="Times New Roman" w:hAnsi="Times New Roman" w:cs="Times New Roman"/>
          <w:sz w:val="24"/>
          <w:szCs w:val="24"/>
        </w:rPr>
        <w:lastRenderedPageBreak/>
        <w:t>Fatherland’ very similar to the later images of Christ.</w:t>
      </w:r>
      <w:r>
        <w:rPr>
          <w:rStyle w:val="FootnoteReference"/>
          <w:sz w:val="24"/>
          <w:szCs w:val="24"/>
        </w:rPr>
        <w:footnoteReference w:id="9"/>
      </w:r>
      <w:r>
        <w:rPr>
          <w:rFonts w:ascii="Times New Roman" w:hAnsi="Times New Roman" w:cs="Times New Roman"/>
          <w:sz w:val="24"/>
          <w:szCs w:val="24"/>
        </w:rPr>
        <w:t xml:space="preserve"> This statue again represents a very good piece of ideology, transforming Augustus into a religious entity. </w:t>
      </w:r>
    </w:p>
    <w:p w14:paraId="4EA31CED" w14:textId="77777777" w:rsidR="008E4BC2" w:rsidRDefault="008E4BC2" w:rsidP="008E4BC2">
      <w:pPr>
        <w:keepNext/>
        <w:spacing w:line="360" w:lineRule="auto"/>
      </w:pPr>
      <w:r>
        <w:rPr>
          <w:rFonts w:ascii="Times New Roman" w:hAnsi="Times New Roman" w:cs="Times New Roman"/>
          <w:noProof/>
          <w:sz w:val="24"/>
          <w:szCs w:val="24"/>
        </w:rPr>
        <w:drawing>
          <wp:inline distT="0" distB="0" distL="0" distR="0" wp14:anchorId="3FC09333" wp14:editId="59DBF2C7">
            <wp:extent cx="762000" cy="1628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2000" cy="1628775"/>
                    </a:xfrm>
                    <a:prstGeom prst="rect">
                      <a:avLst/>
                    </a:prstGeom>
                    <a:noFill/>
                    <a:ln>
                      <a:noFill/>
                    </a:ln>
                  </pic:spPr>
                </pic:pic>
              </a:graphicData>
            </a:graphic>
          </wp:inline>
        </w:drawing>
      </w:r>
      <w:r>
        <w:rPr>
          <w:rFonts w:ascii="Times New Roman" w:hAnsi="Times New Roman" w:cs="Times New Roman"/>
          <w:sz w:val="24"/>
          <w:szCs w:val="24"/>
        </w:rPr>
        <w:t xml:space="preserve"> </w:t>
      </w:r>
    </w:p>
    <w:p w14:paraId="629989B6" w14:textId="77777777" w:rsidR="008E4BC2" w:rsidRDefault="008E4BC2" w:rsidP="008E4BC2">
      <w:pPr>
        <w:pStyle w:val="Caption"/>
        <w:rPr>
          <w:rFonts w:ascii="Times New Roman" w:hAnsi="Times New Roman" w:cs="Times New Roman"/>
          <w:sz w:val="24"/>
          <w:szCs w:val="24"/>
        </w:rPr>
      </w:pPr>
      <w:bookmarkStart w:id="1" w:name="_Hlk532223902"/>
      <w:r>
        <w:t xml:space="preserve">Figure </w:t>
      </w:r>
      <w:r>
        <w:fldChar w:fldCharType="begin"/>
      </w:r>
      <w:r>
        <w:rPr>
          <w:noProof/>
        </w:rPr>
        <w:instrText xml:space="preserve"> SEQ Figure \* ARABIC </w:instrText>
      </w:r>
      <w:r>
        <w:fldChar w:fldCharType="separate"/>
      </w:r>
      <w:r>
        <w:rPr>
          <w:noProof/>
        </w:rPr>
        <w:t>2</w:t>
      </w:r>
      <w:r>
        <w:fldChar w:fldCharType="end"/>
      </w:r>
      <w:r>
        <w:t xml:space="preserve"> Statue of Augustus  (after 12 BC)</w:t>
      </w:r>
    </w:p>
    <w:bookmarkEnd w:id="1"/>
    <w:p w14:paraId="3744EE40" w14:textId="77777777" w:rsidR="008E4BC2" w:rsidRDefault="008E4BC2" w:rsidP="008E4BC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Zanker</w:t>
      </w:r>
      <w:proofErr w:type="spellEnd"/>
      <w:r>
        <w:rPr>
          <w:rFonts w:ascii="Times New Roman" w:hAnsi="Times New Roman" w:cs="Times New Roman"/>
          <w:sz w:val="24"/>
          <w:szCs w:val="24"/>
        </w:rPr>
        <w:t xml:space="preserve"> comments, </w:t>
      </w:r>
      <w:r>
        <w:rPr>
          <w:rStyle w:val="FootnoteReference"/>
          <w:sz w:val="24"/>
          <w:szCs w:val="24"/>
        </w:rPr>
        <w:footnoteReference w:id="10"/>
      </w:r>
      <w:r>
        <w:rPr>
          <w:rFonts w:ascii="Times New Roman" w:hAnsi="Times New Roman" w:cs="Times New Roman"/>
          <w:sz w:val="24"/>
          <w:szCs w:val="24"/>
        </w:rPr>
        <w:t xml:space="preserve"> “Augustus offered himself as the greatest </w:t>
      </w:r>
      <w:r>
        <w:rPr>
          <w:rFonts w:ascii="Times New Roman" w:hAnsi="Times New Roman" w:cs="Times New Roman"/>
          <w:i/>
          <w:sz w:val="24"/>
          <w:szCs w:val="24"/>
        </w:rPr>
        <w:t>exemplum</w:t>
      </w:r>
      <w:r>
        <w:rPr>
          <w:rFonts w:ascii="Times New Roman" w:hAnsi="Times New Roman" w:cs="Times New Roman"/>
          <w:sz w:val="24"/>
          <w:szCs w:val="24"/>
        </w:rPr>
        <w:t xml:space="preserve"> and tried in his private and public appearance to be a constant advertisement for the </w:t>
      </w:r>
      <w:r>
        <w:rPr>
          <w:rFonts w:ascii="Times New Roman" w:hAnsi="Times New Roman" w:cs="Times New Roman"/>
          <w:i/>
          <w:sz w:val="24"/>
          <w:szCs w:val="24"/>
        </w:rPr>
        <w:t>mores maiorum</w:t>
      </w:r>
      <w:r>
        <w:rPr>
          <w:rFonts w:ascii="Times New Roman" w:hAnsi="Times New Roman" w:cs="Times New Roman"/>
          <w:sz w:val="24"/>
          <w:szCs w:val="24"/>
        </w:rPr>
        <w:t>.” Augustus believed that the moral codes and order within families were in decline and believed he should symbolize a moral renewal.</w:t>
      </w:r>
      <w:r>
        <w:rPr>
          <w:rFonts w:ascii="Times New Roman" w:hAnsi="Times New Roman" w:cs="Times New Roman"/>
          <w:noProof/>
          <w:sz w:val="24"/>
          <w:szCs w:val="24"/>
        </w:rPr>
        <w:t xml:space="preserve"> </w:t>
      </w:r>
    </w:p>
    <w:p w14:paraId="6A74CCA3" w14:textId="77777777" w:rsidR="008E4BC2" w:rsidRDefault="008E4BC2" w:rsidP="008E4BC2">
      <w:pPr>
        <w:spacing w:line="360" w:lineRule="auto"/>
        <w:rPr>
          <w:rFonts w:ascii="Times New Roman" w:hAnsi="Times New Roman" w:cs="Times New Roman"/>
          <w:sz w:val="24"/>
          <w:szCs w:val="24"/>
        </w:rPr>
      </w:pPr>
      <w:r>
        <w:rPr>
          <w:rFonts w:ascii="Times New Roman" w:hAnsi="Times New Roman" w:cs="Times New Roman"/>
          <w:sz w:val="24"/>
          <w:szCs w:val="24"/>
        </w:rPr>
        <w:t xml:space="preserve">Perhaps one of the most symbolic pieces of the Pax ideology is the Ara </w:t>
      </w:r>
      <w:proofErr w:type="spellStart"/>
      <w:r>
        <w:rPr>
          <w:rFonts w:ascii="Times New Roman" w:hAnsi="Times New Roman" w:cs="Times New Roman"/>
          <w:sz w:val="24"/>
          <w:szCs w:val="24"/>
        </w:rPr>
        <w:t>Pacis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Augustae</w:t>
      </w:r>
      <w:proofErr w:type="spellEnd"/>
      <w:r>
        <w:rPr>
          <w:rFonts w:ascii="Times New Roman" w:hAnsi="Times New Roman" w:cs="Times New Roman"/>
          <w:sz w:val="24"/>
          <w:szCs w:val="24"/>
        </w:rPr>
        <w:t xml:space="preserve"> and its friezes erected in Rome between 13-9 BC (see Figs 3 and 4).</w:t>
      </w:r>
      <w:r>
        <w:rPr>
          <w:rStyle w:val="FootnoteReference"/>
          <w:sz w:val="24"/>
          <w:szCs w:val="24"/>
        </w:rPr>
        <w:footnoteReference w:id="11"/>
      </w:r>
      <w:r>
        <w:rPr>
          <w:rFonts w:ascii="Times New Roman" w:hAnsi="Times New Roman" w:cs="Times New Roman"/>
          <w:sz w:val="24"/>
          <w:szCs w:val="24"/>
        </w:rPr>
        <w:t xml:space="preserve"> It depicts the Augustan imperial family of men, women and children. It presents a strong view of how important dynasty and family was to Augustus. It is also an excellent piece of imperial family representation to the public as propaganda. Galinsky tells us,</w:t>
      </w:r>
      <w:r>
        <w:rPr>
          <w:rStyle w:val="FootnoteReference"/>
          <w:sz w:val="24"/>
          <w:szCs w:val="24"/>
        </w:rPr>
        <w:footnoteReference w:id="12"/>
      </w:r>
      <w:r>
        <w:rPr>
          <w:rFonts w:ascii="Times New Roman" w:hAnsi="Times New Roman" w:cs="Times New Roman"/>
          <w:sz w:val="24"/>
          <w:szCs w:val="24"/>
        </w:rPr>
        <w:t xml:space="preserve"> “Many of the faces are mapped with the emperor’s political ideology and social mores.”</w:t>
      </w:r>
    </w:p>
    <w:p w14:paraId="1DDB7CAF" w14:textId="77777777" w:rsidR="008E4BC2" w:rsidRDefault="008E4BC2" w:rsidP="008E4BC2">
      <w:pPr>
        <w:pStyle w:val="Caption"/>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5FDA1AB" wp14:editId="4E30141B">
            <wp:extent cx="2286000" cy="1581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0" cy="1581150"/>
                    </a:xfrm>
                    <a:prstGeom prst="rect">
                      <a:avLst/>
                    </a:prstGeom>
                    <a:noFill/>
                    <a:ln>
                      <a:noFill/>
                    </a:ln>
                  </pic:spPr>
                </pic:pic>
              </a:graphicData>
            </a:graphic>
          </wp:inline>
        </w:drawing>
      </w:r>
      <w:r>
        <w:t xml:space="preserve"> Figure </w:t>
      </w:r>
      <w:r>
        <w:rPr>
          <w:noProof/>
        </w:rPr>
        <w:t>3</w:t>
      </w:r>
      <w:r>
        <w:t xml:space="preserve"> Ara </w:t>
      </w:r>
      <w:proofErr w:type="spellStart"/>
      <w:r>
        <w:t>Pacis</w:t>
      </w:r>
      <w:proofErr w:type="spellEnd"/>
    </w:p>
    <w:p w14:paraId="084AF588" w14:textId="77777777" w:rsidR="008E4BC2" w:rsidRDefault="008E4BC2" w:rsidP="008E4BC2">
      <w:pPr>
        <w:spacing w:line="360" w:lineRule="auto"/>
        <w:rPr>
          <w:rFonts w:ascii="Times New Roman" w:hAnsi="Times New Roman" w:cs="Times New Roman"/>
          <w:sz w:val="24"/>
          <w:szCs w:val="24"/>
        </w:rPr>
      </w:pPr>
    </w:p>
    <w:p w14:paraId="3EBA1F79" w14:textId="77777777" w:rsidR="008E4BC2" w:rsidRDefault="008E4BC2" w:rsidP="008E4BC2">
      <w:pPr>
        <w:spacing w:line="360" w:lineRule="auto"/>
        <w:rPr>
          <w:rFonts w:ascii="Times New Roman" w:hAnsi="Times New Roman" w:cs="Times New Roman"/>
          <w:sz w:val="24"/>
          <w:szCs w:val="24"/>
        </w:rPr>
      </w:pPr>
    </w:p>
    <w:p w14:paraId="05564039" w14:textId="77777777" w:rsidR="008E4BC2" w:rsidRDefault="008E4BC2" w:rsidP="008E4BC2">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803ABC" wp14:editId="4359F97E">
            <wp:extent cx="1943100" cy="1362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43100" cy="1362075"/>
                    </a:xfrm>
                    <a:prstGeom prst="rect">
                      <a:avLst/>
                    </a:prstGeom>
                    <a:noFill/>
                    <a:ln>
                      <a:noFill/>
                    </a:ln>
                  </pic:spPr>
                </pic:pic>
              </a:graphicData>
            </a:graphic>
          </wp:inline>
        </w:drawing>
      </w:r>
    </w:p>
    <w:p w14:paraId="58EA8753" w14:textId="77777777" w:rsidR="008E4BC2" w:rsidRDefault="008E4BC2" w:rsidP="008E4BC2">
      <w:pPr>
        <w:pStyle w:val="Caption"/>
        <w:rPr>
          <w:rFonts w:ascii="Times New Roman" w:hAnsi="Times New Roman" w:cs="Times New Roman"/>
          <w:sz w:val="24"/>
          <w:szCs w:val="24"/>
        </w:rPr>
      </w:pPr>
      <w:bookmarkStart w:id="2" w:name="_Hlk532224322"/>
      <w:r>
        <w:t xml:space="preserve">Figure </w:t>
      </w:r>
      <w:r>
        <w:rPr>
          <w:noProof/>
        </w:rPr>
        <w:t>4</w:t>
      </w:r>
      <w:r>
        <w:t xml:space="preserve"> Ara </w:t>
      </w:r>
      <w:proofErr w:type="spellStart"/>
      <w:r>
        <w:t>pacis</w:t>
      </w:r>
      <w:proofErr w:type="spellEnd"/>
      <w:r>
        <w:t xml:space="preserve"> Frieze</w:t>
      </w:r>
    </w:p>
    <w:bookmarkEnd w:id="2"/>
    <w:p w14:paraId="385652F8" w14:textId="77777777" w:rsidR="008E4BC2" w:rsidRDefault="008E4BC2" w:rsidP="008E4BC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Gemma </w:t>
      </w:r>
      <w:proofErr w:type="spellStart"/>
      <w:r>
        <w:rPr>
          <w:rFonts w:ascii="Times New Roman" w:hAnsi="Times New Roman" w:cs="Times New Roman"/>
          <w:sz w:val="24"/>
          <w:szCs w:val="24"/>
        </w:rPr>
        <w:t>Augustea</w:t>
      </w:r>
      <w:proofErr w:type="spellEnd"/>
      <w:r>
        <w:rPr>
          <w:rFonts w:ascii="Times New Roman" w:hAnsi="Times New Roman" w:cs="Times New Roman"/>
          <w:sz w:val="24"/>
          <w:szCs w:val="24"/>
        </w:rPr>
        <w:t xml:space="preserve"> is an engraved cameo gem made from Arabian Onyx stone. It depicts Augustus being handed a civic crown. Below Augustus is the eagle of Jupiter. This could be signifying Augustus as the god, Jupiter. There are also goddesses holding spears, chariots, Capricorn, the goddess Diana; all pointing to the deity company kept by Augustus. The Gemma </w:t>
      </w:r>
      <w:proofErr w:type="spellStart"/>
      <w:r>
        <w:rPr>
          <w:rFonts w:ascii="Times New Roman" w:hAnsi="Times New Roman" w:cs="Times New Roman"/>
          <w:sz w:val="24"/>
          <w:szCs w:val="24"/>
        </w:rPr>
        <w:t>Augustea</w:t>
      </w:r>
      <w:proofErr w:type="spellEnd"/>
      <w:r>
        <w:rPr>
          <w:rFonts w:ascii="Times New Roman" w:hAnsi="Times New Roman" w:cs="Times New Roman"/>
          <w:sz w:val="24"/>
          <w:szCs w:val="24"/>
        </w:rPr>
        <w:t xml:space="preserve"> signifies both peace and victory.</w:t>
      </w:r>
    </w:p>
    <w:p w14:paraId="62B9C96F" w14:textId="77777777" w:rsidR="008E4BC2" w:rsidRDefault="008E4BC2" w:rsidP="008E4BC2">
      <w:pPr>
        <w:spacing w:line="360" w:lineRule="auto"/>
        <w:rPr>
          <w:rFonts w:ascii="Times New Roman" w:hAnsi="Times New Roman" w:cs="Times New Roman"/>
          <w:sz w:val="24"/>
          <w:szCs w:val="24"/>
        </w:rPr>
      </w:pPr>
      <w:r>
        <w:rPr>
          <w:rFonts w:ascii="Times New Roman" w:hAnsi="Times New Roman" w:cs="Times New Roman"/>
          <w:sz w:val="24"/>
          <w:szCs w:val="24"/>
        </w:rPr>
        <w:t>Wells comments,</w:t>
      </w:r>
      <w:r>
        <w:rPr>
          <w:rStyle w:val="FootnoteReference"/>
          <w:sz w:val="24"/>
          <w:szCs w:val="24"/>
        </w:rPr>
        <w:footnoteReference w:id="13"/>
      </w:r>
      <w:r>
        <w:rPr>
          <w:rFonts w:ascii="Times New Roman" w:hAnsi="Times New Roman" w:cs="Times New Roman"/>
          <w:sz w:val="24"/>
          <w:szCs w:val="24"/>
        </w:rPr>
        <w:t xml:space="preserve"> “Coins were used for propaganda, to advertise notable events or official programmes.” To convey his message of peace throughout the empire, Augustus had coins minted to circulate among the people displaying the </w:t>
      </w:r>
      <w:proofErr w:type="spellStart"/>
      <w:r>
        <w:rPr>
          <w:rFonts w:ascii="Times New Roman" w:hAnsi="Times New Roman" w:cs="Times New Roman"/>
          <w:sz w:val="24"/>
          <w:szCs w:val="24"/>
        </w:rPr>
        <w:t>pax</w:t>
      </w:r>
      <w:proofErr w:type="spellEnd"/>
      <w:r>
        <w:rPr>
          <w:rFonts w:ascii="Times New Roman" w:hAnsi="Times New Roman" w:cs="Times New Roman"/>
          <w:sz w:val="24"/>
          <w:szCs w:val="24"/>
        </w:rPr>
        <w:t xml:space="preserve"> message. (Fig.5)</w:t>
      </w:r>
      <w:r>
        <w:rPr>
          <w:rStyle w:val="FootnoteReference"/>
          <w:sz w:val="24"/>
          <w:szCs w:val="24"/>
        </w:rPr>
        <w:footnoteReference w:id="14"/>
      </w:r>
      <w:r>
        <w:rPr>
          <w:rFonts w:ascii="Times New Roman" w:hAnsi="Times New Roman" w:cs="Times New Roman"/>
          <w:sz w:val="24"/>
          <w:szCs w:val="24"/>
        </w:rPr>
        <w:t xml:space="preserve"> Thus people would understand a new Augustan era of peace leading to prosperity was now upon them.</w:t>
      </w:r>
    </w:p>
    <w:p w14:paraId="0C71A342" w14:textId="77777777" w:rsidR="008E4BC2" w:rsidRDefault="008E4BC2" w:rsidP="008E4BC2">
      <w:pPr>
        <w:spacing w:line="360" w:lineRule="auto"/>
        <w:rPr>
          <w:rFonts w:ascii="Times New Roman" w:hAnsi="Times New Roman" w:cs="Times New Roman"/>
          <w:sz w:val="24"/>
          <w:szCs w:val="24"/>
        </w:rPr>
      </w:pPr>
    </w:p>
    <w:p w14:paraId="7E90DF15" w14:textId="77777777" w:rsidR="008E4BC2" w:rsidRDefault="008E4BC2" w:rsidP="008E4BC2">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DC51D47" wp14:editId="3E012A13">
            <wp:extent cx="3009900" cy="1476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9900" cy="1476375"/>
                    </a:xfrm>
                    <a:prstGeom prst="rect">
                      <a:avLst/>
                    </a:prstGeom>
                    <a:noFill/>
                    <a:ln>
                      <a:noFill/>
                    </a:ln>
                  </pic:spPr>
                </pic:pic>
              </a:graphicData>
            </a:graphic>
          </wp:inline>
        </w:drawing>
      </w:r>
    </w:p>
    <w:p w14:paraId="16CB2D1B" w14:textId="77777777" w:rsidR="008E4BC2" w:rsidRDefault="008E4BC2" w:rsidP="008E4BC2">
      <w:pPr>
        <w:pStyle w:val="Caption"/>
        <w:rPr>
          <w:rFonts w:ascii="Times New Roman" w:hAnsi="Times New Roman" w:cs="Times New Roman"/>
          <w:sz w:val="24"/>
          <w:szCs w:val="24"/>
        </w:rPr>
      </w:pPr>
      <w:r>
        <w:t xml:space="preserve">Figure </w:t>
      </w:r>
      <w:r>
        <w:rPr>
          <w:noProof/>
        </w:rPr>
        <w:t>5</w:t>
      </w:r>
      <w:r>
        <w:t xml:space="preserve"> Ara Silver Denarius</w:t>
      </w:r>
    </w:p>
    <w:p w14:paraId="0B8E1DAF" w14:textId="77777777" w:rsidR="008E4BC2" w:rsidRDefault="008E4BC2" w:rsidP="008E4BC2">
      <w:pPr>
        <w:spacing w:line="360" w:lineRule="auto"/>
        <w:rPr>
          <w:rFonts w:ascii="Times New Roman" w:hAnsi="Times New Roman" w:cs="Times New Roman"/>
          <w:sz w:val="24"/>
          <w:szCs w:val="24"/>
        </w:rPr>
      </w:pPr>
    </w:p>
    <w:p w14:paraId="661570E1"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The Secular Games  (</w:t>
      </w:r>
      <w:proofErr w:type="spellStart"/>
      <w:r>
        <w:rPr>
          <w:rFonts w:ascii="Times New Roman" w:hAnsi="Times New Roman" w:cs="Times New Roman"/>
          <w:i/>
          <w:sz w:val="24"/>
          <w:szCs w:val="24"/>
        </w:rPr>
        <w:t>ludi</w:t>
      </w:r>
      <w:proofErr w:type="spellEnd"/>
      <w:r>
        <w:rPr>
          <w:rFonts w:ascii="Times New Roman" w:hAnsi="Times New Roman" w:cs="Times New Roman"/>
          <w:i/>
          <w:sz w:val="24"/>
          <w:szCs w:val="24"/>
        </w:rPr>
        <w:t xml:space="preserve"> seculars</w:t>
      </w:r>
      <w:r>
        <w:rPr>
          <w:rFonts w:ascii="Times New Roman" w:hAnsi="Times New Roman" w:cs="Times New Roman"/>
          <w:sz w:val="24"/>
          <w:szCs w:val="24"/>
        </w:rPr>
        <w:t xml:space="preserve">) were the epitome of the new prosperity under Augustan rule. The public were invited to a week-long series of ceremonies, performances and </w:t>
      </w:r>
      <w:r>
        <w:rPr>
          <w:rFonts w:ascii="Times New Roman" w:hAnsi="Times New Roman" w:cs="Times New Roman"/>
          <w:sz w:val="24"/>
          <w:szCs w:val="24"/>
        </w:rPr>
        <w:lastRenderedPageBreak/>
        <w:t xml:space="preserve">banquets. At the end of the week Horace’s </w:t>
      </w:r>
      <w:r>
        <w:rPr>
          <w:rFonts w:ascii="Times New Roman" w:hAnsi="Times New Roman" w:cs="Times New Roman"/>
          <w:i/>
          <w:sz w:val="24"/>
          <w:szCs w:val="24"/>
        </w:rPr>
        <w:t xml:space="preserve">Carmen </w:t>
      </w:r>
      <w:proofErr w:type="spellStart"/>
      <w:r>
        <w:rPr>
          <w:rFonts w:ascii="Times New Roman" w:hAnsi="Times New Roman" w:cs="Times New Roman"/>
          <w:i/>
          <w:sz w:val="24"/>
          <w:szCs w:val="24"/>
        </w:rPr>
        <w:t>Saeculares</w:t>
      </w:r>
      <w:proofErr w:type="spellEnd"/>
      <w:r>
        <w:rPr>
          <w:rFonts w:ascii="Times New Roman" w:hAnsi="Times New Roman" w:cs="Times New Roman"/>
          <w:sz w:val="24"/>
          <w:szCs w:val="24"/>
        </w:rPr>
        <w:t xml:space="preserve"> (Hymn for the new century) was performed. This was followed up with Latin plays and hunts. According to Wells</w:t>
      </w:r>
      <w:r>
        <w:rPr>
          <w:rStyle w:val="FootnoteReference"/>
          <w:sz w:val="24"/>
          <w:szCs w:val="24"/>
        </w:rPr>
        <w:footnoteReference w:id="15"/>
      </w:r>
      <w:r>
        <w:rPr>
          <w:rFonts w:ascii="Times New Roman" w:hAnsi="Times New Roman" w:cs="Times New Roman"/>
          <w:sz w:val="24"/>
          <w:szCs w:val="24"/>
        </w:rPr>
        <w:t xml:space="preserve">  “The </w:t>
      </w:r>
      <w:proofErr w:type="spellStart"/>
      <w:r>
        <w:rPr>
          <w:rFonts w:ascii="Times New Roman" w:hAnsi="Times New Roman" w:cs="Times New Roman"/>
          <w:sz w:val="24"/>
          <w:szCs w:val="24"/>
        </w:rPr>
        <w:t>ludi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Saeculares</w:t>
      </w:r>
      <w:proofErr w:type="spellEnd"/>
      <w:r>
        <w:rPr>
          <w:rFonts w:ascii="Times New Roman" w:hAnsi="Times New Roman" w:cs="Times New Roman"/>
          <w:sz w:val="24"/>
          <w:szCs w:val="24"/>
        </w:rPr>
        <w:t xml:space="preserve"> were the most detailed and carefully crafted example of a synthesis of Augustan propaganda (…) images were reiterated as the developing political and ideological concepts informing the regimes’ policies and programmes were both fashioned and communicated through all the artistic media.” The rise of  literature also took place under Augustus’s rule. Under Augustus, Ovid, Horace, Livy and Vergil were all writing great epic works of plays and poetry. It was a golden era of peace, prosperity and security which Roman citizens had not experienced in centuries. It was also an age of Roman world domination. </w:t>
      </w:r>
    </w:p>
    <w:p w14:paraId="5F984B51"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Augustus’s successors, Tiberius, Caligula, Claudius and Nero, although not building on the scale of Augustus, certainly contributed to the art and architecture of the Roman Empire. In Caligula’s short reign he started to build two aqueducts; the Aqua Claudio and </w:t>
      </w:r>
      <w:proofErr w:type="spellStart"/>
      <w:r>
        <w:rPr>
          <w:rFonts w:ascii="Times New Roman" w:hAnsi="Times New Roman" w:cs="Times New Roman"/>
          <w:sz w:val="24"/>
          <w:szCs w:val="24"/>
        </w:rPr>
        <w:t>Anio</w:t>
      </w:r>
      <w:proofErr w:type="spellEnd"/>
      <w:r>
        <w:rPr>
          <w:rFonts w:ascii="Times New Roman" w:hAnsi="Times New Roman" w:cs="Times New Roman"/>
          <w:sz w:val="24"/>
          <w:szCs w:val="24"/>
        </w:rPr>
        <w:t xml:space="preserve"> Novus but also built many theatres and temples. Claudius finished them, but like Augustus had a love of marble, and restored posts at Circus Maximus in the stone. He also built the Baths of Agrippa. Nero was very fond of culture and built many theatres. None of Augustus’ immediate successors built on the scale he did, and it is Augustus who is remembered for a Golden Age of Roman culture today.</w:t>
      </w:r>
    </w:p>
    <w:p w14:paraId="708E4B9F"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Augustus certainly used his power to promote his own persona and used the state propaganda tools in art and architecture to elevate his position. However, he is also to be credited with achieving a much-needed peace, restoring moral values and building great edifices, many of which still survive today.</w:t>
      </w:r>
    </w:p>
    <w:p w14:paraId="1DF813DE" w14:textId="77777777" w:rsidR="008E4BC2" w:rsidRDefault="008E4BC2" w:rsidP="008E4BC2">
      <w:pPr>
        <w:spacing w:after="100" w:afterAutospacing="1" w:line="360" w:lineRule="auto"/>
        <w:rPr>
          <w:rFonts w:ascii="Times New Roman" w:hAnsi="Times New Roman" w:cs="Times New Roman"/>
          <w:b/>
          <w:sz w:val="24"/>
          <w:szCs w:val="24"/>
          <w:u w:val="single"/>
        </w:rPr>
      </w:pPr>
    </w:p>
    <w:p w14:paraId="511EDDED" w14:textId="77777777" w:rsidR="008E4BC2" w:rsidRDefault="008E4BC2" w:rsidP="008E4BC2">
      <w:pPr>
        <w:spacing w:after="100" w:afterAutospacing="1" w:line="360" w:lineRule="auto"/>
        <w:rPr>
          <w:rFonts w:ascii="Times New Roman" w:hAnsi="Times New Roman" w:cs="Times New Roman"/>
          <w:b/>
          <w:sz w:val="24"/>
          <w:szCs w:val="24"/>
          <w:u w:val="single"/>
        </w:rPr>
      </w:pPr>
    </w:p>
    <w:p w14:paraId="2834A25E" w14:textId="77777777" w:rsidR="008E4BC2" w:rsidRDefault="008E4BC2" w:rsidP="008E4BC2">
      <w:pPr>
        <w:spacing w:after="100" w:afterAutospacing="1" w:line="360" w:lineRule="auto"/>
        <w:rPr>
          <w:rFonts w:ascii="Times New Roman" w:hAnsi="Times New Roman" w:cs="Times New Roman"/>
          <w:b/>
          <w:sz w:val="24"/>
          <w:szCs w:val="24"/>
          <w:u w:val="single"/>
        </w:rPr>
      </w:pPr>
    </w:p>
    <w:p w14:paraId="0645BEC1" w14:textId="77777777" w:rsidR="008E4BC2" w:rsidRDefault="008E4BC2" w:rsidP="008E4BC2">
      <w:pPr>
        <w:spacing w:after="100" w:afterAutospacing="1" w:line="360" w:lineRule="auto"/>
        <w:rPr>
          <w:rFonts w:ascii="Times New Roman" w:hAnsi="Times New Roman" w:cs="Times New Roman"/>
          <w:b/>
          <w:sz w:val="24"/>
          <w:szCs w:val="24"/>
          <w:u w:val="single"/>
        </w:rPr>
      </w:pPr>
    </w:p>
    <w:p w14:paraId="3CB393FB" w14:textId="77777777" w:rsidR="008E4BC2" w:rsidRDefault="008E4BC2" w:rsidP="008E4BC2">
      <w:pPr>
        <w:spacing w:after="100" w:afterAutospacing="1" w:line="360" w:lineRule="auto"/>
        <w:rPr>
          <w:rFonts w:ascii="Times New Roman" w:hAnsi="Times New Roman" w:cs="Times New Roman"/>
          <w:b/>
          <w:sz w:val="24"/>
          <w:szCs w:val="24"/>
          <w:u w:val="single"/>
        </w:rPr>
      </w:pPr>
    </w:p>
    <w:p w14:paraId="5040E1EB" w14:textId="77777777" w:rsidR="008E4BC2" w:rsidRDefault="008E4BC2" w:rsidP="008E4BC2">
      <w:pPr>
        <w:spacing w:after="100" w:afterAutospacing="1" w:line="360" w:lineRule="auto"/>
        <w:rPr>
          <w:rFonts w:ascii="Times New Roman" w:hAnsi="Times New Roman" w:cs="Times New Roman"/>
          <w:b/>
          <w:sz w:val="24"/>
          <w:szCs w:val="24"/>
          <w:u w:val="single"/>
        </w:rPr>
      </w:pPr>
    </w:p>
    <w:p w14:paraId="6427D720" w14:textId="77777777" w:rsidR="008E4BC2" w:rsidRDefault="008E4BC2" w:rsidP="008E4BC2">
      <w:pPr>
        <w:spacing w:after="100" w:afterAutospacing="1" w:line="360" w:lineRule="auto"/>
        <w:rPr>
          <w:rFonts w:ascii="Times New Roman" w:hAnsi="Times New Roman" w:cs="Times New Roman"/>
          <w:b/>
          <w:sz w:val="24"/>
          <w:szCs w:val="24"/>
          <w:u w:val="single"/>
        </w:rPr>
      </w:pPr>
      <w:r>
        <w:rPr>
          <w:rFonts w:ascii="Times New Roman" w:hAnsi="Times New Roman" w:cs="Times New Roman"/>
          <w:b/>
          <w:sz w:val="24"/>
          <w:szCs w:val="24"/>
          <w:u w:val="single"/>
        </w:rPr>
        <w:t>Bibliography</w:t>
      </w:r>
    </w:p>
    <w:p w14:paraId="6774CFE6" w14:textId="77777777" w:rsidR="008E4BC2" w:rsidRDefault="008E4BC2" w:rsidP="008E4BC2">
      <w:pPr>
        <w:spacing w:after="100" w:afterAutospacing="1" w:line="360" w:lineRule="auto"/>
        <w:rPr>
          <w:rFonts w:ascii="Times New Roman" w:hAnsi="Times New Roman" w:cs="Times New Roman"/>
          <w:sz w:val="24"/>
          <w:szCs w:val="24"/>
        </w:rPr>
      </w:pP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Cassius, 51.1.3 (Translation Loeb Classical Library, 1931.)</w:t>
      </w:r>
    </w:p>
    <w:p w14:paraId="07588C44"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Galinsky, Karl, (ed) (2005)  </w:t>
      </w:r>
      <w:r>
        <w:rPr>
          <w:rFonts w:ascii="Times New Roman" w:hAnsi="Times New Roman" w:cs="Times New Roman"/>
          <w:i/>
          <w:sz w:val="24"/>
          <w:szCs w:val="24"/>
        </w:rPr>
        <w:t>The Cambridge Companion to the Age of Augustus</w:t>
      </w:r>
      <w:r>
        <w:rPr>
          <w:rFonts w:ascii="Times New Roman" w:hAnsi="Times New Roman" w:cs="Times New Roman"/>
          <w:sz w:val="24"/>
          <w:szCs w:val="24"/>
        </w:rPr>
        <w:t>. Cambridge University Press.</w:t>
      </w:r>
    </w:p>
    <w:p w14:paraId="6B09BAC8" w14:textId="77777777" w:rsidR="008E4BC2" w:rsidRDefault="008E4BC2" w:rsidP="008E4BC2">
      <w:pPr>
        <w:spacing w:after="100" w:afterAutospacing="1" w:line="360" w:lineRule="auto"/>
        <w:rPr>
          <w:rFonts w:ascii="Times New Roman" w:hAnsi="Times New Roman" w:cs="Times New Roman"/>
          <w:sz w:val="24"/>
          <w:szCs w:val="24"/>
        </w:rPr>
      </w:pPr>
      <w:bookmarkStart w:id="3" w:name="_Hlk532123939"/>
      <w:r>
        <w:rPr>
          <w:rFonts w:ascii="Times New Roman" w:hAnsi="Times New Roman" w:cs="Times New Roman"/>
          <w:sz w:val="24"/>
          <w:szCs w:val="24"/>
        </w:rPr>
        <w:t xml:space="preserve">Potter, D. (2014) </w:t>
      </w:r>
      <w:r>
        <w:rPr>
          <w:rFonts w:ascii="Times New Roman" w:hAnsi="Times New Roman" w:cs="Times New Roman"/>
          <w:i/>
          <w:sz w:val="24"/>
          <w:szCs w:val="24"/>
        </w:rPr>
        <w:t>Rome in the Ancient World</w:t>
      </w:r>
      <w:r>
        <w:rPr>
          <w:rFonts w:ascii="Times New Roman" w:hAnsi="Times New Roman" w:cs="Times New Roman"/>
          <w:sz w:val="24"/>
          <w:szCs w:val="24"/>
        </w:rPr>
        <w:t>.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Thames and Hudson Ltd.</w:t>
      </w:r>
    </w:p>
    <w:bookmarkEnd w:id="3"/>
    <w:p w14:paraId="6F4F7FB1"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Suetonius, Augustus 28. (Translation Loeb Classical Library, 1931)</w:t>
      </w:r>
    </w:p>
    <w:p w14:paraId="57E29F03" w14:textId="77777777" w:rsidR="008E4BC2" w:rsidRDefault="008E4BC2" w:rsidP="008E4BC2">
      <w:pPr>
        <w:spacing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Wells, Colin. (1992) </w:t>
      </w:r>
      <w:r>
        <w:rPr>
          <w:rFonts w:ascii="Times New Roman" w:hAnsi="Times New Roman" w:cs="Times New Roman"/>
          <w:i/>
          <w:sz w:val="24"/>
          <w:szCs w:val="24"/>
        </w:rPr>
        <w:t>The Roman Empire.</w:t>
      </w:r>
      <w:r>
        <w:rPr>
          <w:rFonts w:ascii="Times New Roman" w:hAnsi="Times New Roman" w:cs="Times New Roman"/>
          <w:sz w:val="24"/>
          <w:szCs w:val="24"/>
        </w:rPr>
        <w:t xml:space="preserve">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Fontana Press.</w:t>
      </w:r>
    </w:p>
    <w:p w14:paraId="2BFB1DB8" w14:textId="77777777" w:rsidR="008E4BC2" w:rsidRDefault="008E4BC2" w:rsidP="008E4BC2">
      <w:pPr>
        <w:spacing w:after="100" w:afterAutospacing="1" w:line="360" w:lineRule="auto"/>
        <w:rPr>
          <w:rFonts w:ascii="Times New Roman" w:hAnsi="Times New Roman" w:cs="Times New Roman"/>
        </w:rPr>
      </w:pPr>
      <w:r>
        <w:rPr>
          <w:rFonts w:ascii="Times New Roman" w:hAnsi="Times New Roman" w:cs="Times New Roman"/>
          <w:sz w:val="24"/>
          <w:szCs w:val="24"/>
        </w:rPr>
        <w:t xml:space="preserve">Wilson, R. J. A. (1991) “Roman Art and Architecture”, in J. </w:t>
      </w:r>
      <w:r>
        <w:rPr>
          <w:rFonts w:ascii="Times New Roman" w:hAnsi="Times New Roman" w:cs="Times New Roman"/>
        </w:rPr>
        <w:t xml:space="preserve">Boardman, J. Griffin and O. Murray, O. (eds) </w:t>
      </w:r>
      <w:r>
        <w:rPr>
          <w:rFonts w:ascii="Times New Roman" w:hAnsi="Times New Roman" w:cs="Times New Roman"/>
          <w:i/>
        </w:rPr>
        <w:t>Oxford History of the Roman World</w:t>
      </w:r>
      <w:r>
        <w:rPr>
          <w:rFonts w:ascii="Times New Roman" w:hAnsi="Times New Roman" w:cs="Times New Roman"/>
        </w:rPr>
        <w:t>. Oxford and New York: Oxford University Press, pp. 413-448.</w:t>
      </w:r>
    </w:p>
    <w:p w14:paraId="5BAFD756" w14:textId="0C6E2AD4" w:rsidR="008E4BC2" w:rsidRDefault="008E4BC2" w:rsidP="008E4BC2">
      <w:pPr>
        <w:spacing w:after="100" w:afterAutospacing="1" w:line="360" w:lineRule="auto"/>
        <w:rPr>
          <w:rStyle w:val="Hyperlink"/>
          <w:rFonts w:cstheme="minorHAnsi"/>
          <w:color w:val="000000" w:themeColor="text1"/>
        </w:rPr>
      </w:pPr>
      <w:proofErr w:type="spellStart"/>
      <w:r>
        <w:rPr>
          <w:rFonts w:ascii="Times New Roman" w:hAnsi="Times New Roman" w:cs="Times New Roman"/>
        </w:rPr>
        <w:t>Zanker</w:t>
      </w:r>
      <w:proofErr w:type="spellEnd"/>
      <w:r>
        <w:rPr>
          <w:rFonts w:ascii="Times New Roman" w:hAnsi="Times New Roman" w:cs="Times New Roman"/>
        </w:rPr>
        <w:t xml:space="preserve">, P. (1990) </w:t>
      </w:r>
      <w:r>
        <w:rPr>
          <w:rFonts w:ascii="Times New Roman" w:hAnsi="Times New Roman" w:cs="Times New Roman"/>
          <w:i/>
          <w:sz w:val="24"/>
          <w:szCs w:val="24"/>
        </w:rPr>
        <w:t>The Power of Images in the Age of Augustus.</w:t>
      </w:r>
      <w:r>
        <w:rPr>
          <w:rFonts w:ascii="Times New Roman" w:hAnsi="Times New Roman" w:cs="Times New Roman"/>
        </w:rPr>
        <w:t xml:space="preserve"> University of Michigan Pres</w:t>
      </w:r>
      <w:r>
        <w:rPr>
          <w:rFonts w:ascii="Times New Roman" w:hAnsi="Times New Roman" w:cs="Times New Roman"/>
        </w:rPr>
        <w:t>s.</w:t>
      </w:r>
      <w:bookmarkStart w:id="4" w:name="_GoBack"/>
      <w:bookmarkEnd w:id="4"/>
    </w:p>
    <w:p w14:paraId="03E4E0A1" w14:textId="77777777" w:rsidR="00936399" w:rsidRDefault="00936399"/>
    <w:sectPr w:rsidR="009363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2CBFCE" w14:textId="77777777" w:rsidR="00E06FD9" w:rsidRDefault="00E06FD9" w:rsidP="008E4BC2">
      <w:pPr>
        <w:spacing w:after="0" w:line="240" w:lineRule="auto"/>
      </w:pPr>
      <w:r>
        <w:separator/>
      </w:r>
    </w:p>
  </w:endnote>
  <w:endnote w:type="continuationSeparator" w:id="0">
    <w:p w14:paraId="51A36E5E" w14:textId="77777777" w:rsidR="00E06FD9" w:rsidRDefault="00E06FD9" w:rsidP="008E4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E53EBA" w14:textId="77777777" w:rsidR="00E06FD9" w:rsidRDefault="00E06FD9" w:rsidP="008E4BC2">
      <w:pPr>
        <w:spacing w:after="0" w:line="240" w:lineRule="auto"/>
      </w:pPr>
      <w:r>
        <w:separator/>
      </w:r>
    </w:p>
  </w:footnote>
  <w:footnote w:type="continuationSeparator" w:id="0">
    <w:p w14:paraId="424FC5C4" w14:textId="77777777" w:rsidR="00E06FD9" w:rsidRDefault="00E06FD9" w:rsidP="008E4BC2">
      <w:pPr>
        <w:spacing w:after="0" w:line="240" w:lineRule="auto"/>
      </w:pPr>
      <w:r>
        <w:continuationSeparator/>
      </w:r>
    </w:p>
  </w:footnote>
  <w:footnote w:id="1">
    <w:p w14:paraId="3BD25AAA" w14:textId="77777777" w:rsidR="008E4BC2" w:rsidRDefault="008E4BC2" w:rsidP="008E4BC2">
      <w:pPr>
        <w:pStyle w:val="FootnoteText"/>
      </w:pPr>
      <w:r>
        <w:rPr>
          <w:rStyle w:val="FootnoteReference"/>
        </w:rPr>
        <w:footnoteRef/>
      </w:r>
      <w:r>
        <w:t xml:space="preserve"> </w:t>
      </w:r>
      <w:proofErr w:type="spellStart"/>
      <w:r>
        <w:t>Zanker</w:t>
      </w:r>
      <w:proofErr w:type="spellEnd"/>
      <w:r>
        <w:t>, 1991, p.324.</w:t>
      </w:r>
    </w:p>
  </w:footnote>
  <w:footnote w:id="2">
    <w:p w14:paraId="0FECF8DD" w14:textId="77777777" w:rsidR="008E4BC2" w:rsidRDefault="008E4BC2" w:rsidP="008E4BC2">
      <w:pPr>
        <w:pStyle w:val="FootnoteText"/>
      </w:pPr>
      <w:r>
        <w:rPr>
          <w:rStyle w:val="FootnoteReference"/>
        </w:rPr>
        <w:footnoteRef/>
      </w:r>
      <w:r>
        <w:t xml:space="preserve"> Wilson, 1991, p. 418-419.</w:t>
      </w:r>
    </w:p>
  </w:footnote>
  <w:footnote w:id="3">
    <w:p w14:paraId="1113E63E" w14:textId="77777777" w:rsidR="008E4BC2" w:rsidRDefault="008E4BC2" w:rsidP="008E4BC2">
      <w:pPr>
        <w:pStyle w:val="FootnoteText"/>
      </w:pPr>
      <w:r>
        <w:rPr>
          <w:rStyle w:val="FootnoteReference"/>
        </w:rPr>
        <w:footnoteRef/>
      </w:r>
      <w:r>
        <w:t xml:space="preserve"> </w:t>
      </w:r>
      <w:proofErr w:type="spellStart"/>
      <w:r>
        <w:t>Zanker</w:t>
      </w:r>
      <w:proofErr w:type="spellEnd"/>
      <w:r>
        <w:t>, 1990,p. 105.</w:t>
      </w:r>
    </w:p>
  </w:footnote>
  <w:footnote w:id="4">
    <w:p w14:paraId="43749597" w14:textId="77777777" w:rsidR="008E4BC2" w:rsidRDefault="008E4BC2" w:rsidP="008E4BC2">
      <w:pPr>
        <w:pStyle w:val="FootnoteText"/>
      </w:pPr>
      <w:r>
        <w:rPr>
          <w:rStyle w:val="FootnoteReference"/>
        </w:rPr>
        <w:footnoteRef/>
      </w:r>
      <w:r>
        <w:t xml:space="preserve"> Suetonius, Aug.28.</w:t>
      </w:r>
    </w:p>
  </w:footnote>
  <w:footnote w:id="5">
    <w:p w14:paraId="6A9B9D1E" w14:textId="77777777" w:rsidR="008E4BC2" w:rsidRDefault="008E4BC2" w:rsidP="008E4BC2">
      <w:pPr>
        <w:pStyle w:val="FootnoteText"/>
      </w:pPr>
      <w:r>
        <w:rPr>
          <w:rStyle w:val="FootnoteReference"/>
        </w:rPr>
        <w:footnoteRef/>
      </w:r>
      <w:r>
        <w:t xml:space="preserve"> </w:t>
      </w:r>
      <w:proofErr w:type="spellStart"/>
      <w:r>
        <w:t>Dio</w:t>
      </w:r>
      <w:proofErr w:type="spellEnd"/>
      <w:r>
        <w:t>, 51.1.3.</w:t>
      </w:r>
    </w:p>
  </w:footnote>
  <w:footnote w:id="6">
    <w:p w14:paraId="6EE76AE0" w14:textId="77777777" w:rsidR="008E4BC2" w:rsidRDefault="008E4BC2" w:rsidP="008E4BC2">
      <w:pPr>
        <w:pStyle w:val="FootnoteText"/>
      </w:pPr>
      <w:r>
        <w:rPr>
          <w:rStyle w:val="FootnoteReference"/>
        </w:rPr>
        <w:footnoteRef/>
      </w:r>
      <w:r>
        <w:t xml:space="preserve"> Potter, 2014,  p.183</w:t>
      </w:r>
    </w:p>
  </w:footnote>
  <w:footnote w:id="7">
    <w:p w14:paraId="3EFC118E" w14:textId="77777777" w:rsidR="008E4BC2" w:rsidRDefault="008E4BC2" w:rsidP="008E4BC2">
      <w:pPr>
        <w:pStyle w:val="FootnoteText"/>
        <w:rPr>
          <w:rFonts w:cstheme="minorHAnsi"/>
        </w:rPr>
      </w:pPr>
      <w:r>
        <w:rPr>
          <w:rStyle w:val="FootnoteReference"/>
          <w:rFonts w:cstheme="minorHAnsi"/>
        </w:rPr>
        <w:footnoteRef/>
      </w:r>
      <w:proofErr w:type="spellStart"/>
      <w:r>
        <w:rPr>
          <w:rFonts w:cstheme="minorHAnsi"/>
        </w:rPr>
        <w:t>Zanker</w:t>
      </w:r>
      <w:proofErr w:type="spellEnd"/>
      <w:r>
        <w:rPr>
          <w:rFonts w:cstheme="minorHAnsi"/>
        </w:rPr>
        <w:t>, pp.98-99.</w:t>
      </w:r>
      <w:r>
        <w:rPr>
          <w:rFonts w:ascii="Times New Roman" w:hAnsi="Times New Roman" w:cs="Times New Roman"/>
          <w:noProof/>
          <w:sz w:val="24"/>
          <w:szCs w:val="24"/>
        </w:rPr>
        <w:t xml:space="preserve"> </w:t>
      </w:r>
    </w:p>
  </w:footnote>
  <w:footnote w:id="8">
    <w:p w14:paraId="673A49ED" w14:textId="77777777" w:rsidR="008E4BC2" w:rsidRDefault="008E4BC2" w:rsidP="008E4BC2">
      <w:pPr>
        <w:pStyle w:val="FootnoteText"/>
      </w:pPr>
      <w:r>
        <w:rPr>
          <w:rStyle w:val="FootnoteReference"/>
        </w:rPr>
        <w:footnoteRef/>
      </w:r>
      <w:r>
        <w:t xml:space="preserve"> </w:t>
      </w:r>
      <w:proofErr w:type="spellStart"/>
      <w:r>
        <w:t>Zanker</w:t>
      </w:r>
      <w:proofErr w:type="spellEnd"/>
      <w:r>
        <w:t>, p.190.</w:t>
      </w:r>
    </w:p>
  </w:footnote>
  <w:footnote w:id="9">
    <w:p w14:paraId="42330507" w14:textId="77777777" w:rsidR="008E4BC2" w:rsidRDefault="008E4BC2" w:rsidP="008E4BC2">
      <w:pPr>
        <w:pStyle w:val="FootnoteText"/>
      </w:pPr>
      <w:r>
        <w:rPr>
          <w:rStyle w:val="FootnoteReference"/>
        </w:rPr>
        <w:footnoteRef/>
      </w:r>
      <w:r>
        <w:t xml:space="preserve"> This I learnt through seminar discussion.</w:t>
      </w:r>
    </w:p>
  </w:footnote>
  <w:footnote w:id="10">
    <w:p w14:paraId="3A54C804" w14:textId="77777777" w:rsidR="008E4BC2" w:rsidRDefault="008E4BC2" w:rsidP="008E4BC2">
      <w:pPr>
        <w:pStyle w:val="FootnoteText"/>
      </w:pPr>
      <w:r>
        <w:rPr>
          <w:rStyle w:val="FootnoteReference"/>
        </w:rPr>
        <w:footnoteRef/>
      </w:r>
      <w:r>
        <w:t xml:space="preserve"> </w:t>
      </w:r>
      <w:proofErr w:type="spellStart"/>
      <w:r>
        <w:t>Zanker</w:t>
      </w:r>
      <w:proofErr w:type="spellEnd"/>
      <w:r>
        <w:t>, p.159.</w:t>
      </w:r>
    </w:p>
  </w:footnote>
  <w:footnote w:id="11">
    <w:p w14:paraId="618A1F90" w14:textId="77777777" w:rsidR="008E4BC2" w:rsidRDefault="008E4BC2" w:rsidP="008E4BC2">
      <w:pPr>
        <w:pStyle w:val="FootnoteText"/>
      </w:pPr>
      <w:r>
        <w:rPr>
          <w:rStyle w:val="FootnoteReference"/>
        </w:rPr>
        <w:footnoteRef/>
      </w:r>
      <w:r>
        <w:t xml:space="preserve"> For Ara </w:t>
      </w:r>
      <w:proofErr w:type="spellStart"/>
      <w:r>
        <w:t>Pacis</w:t>
      </w:r>
      <w:proofErr w:type="spellEnd"/>
      <w:r>
        <w:t xml:space="preserve">, see Aug. RG 19-21; </w:t>
      </w:r>
      <w:proofErr w:type="spellStart"/>
      <w:r>
        <w:t>Zanker</w:t>
      </w:r>
      <w:proofErr w:type="spellEnd"/>
      <w:r>
        <w:t xml:space="preserve"> 1991.</w:t>
      </w:r>
    </w:p>
  </w:footnote>
  <w:footnote w:id="12">
    <w:p w14:paraId="0AE9B68D" w14:textId="77777777" w:rsidR="008E4BC2" w:rsidRDefault="008E4BC2" w:rsidP="008E4BC2">
      <w:pPr>
        <w:pStyle w:val="FootnoteText"/>
      </w:pPr>
      <w:r>
        <w:rPr>
          <w:rStyle w:val="FootnoteReference"/>
        </w:rPr>
        <w:footnoteRef/>
      </w:r>
      <w:r>
        <w:t xml:space="preserve"> Galinsky, pp.216-217.</w:t>
      </w:r>
    </w:p>
  </w:footnote>
  <w:footnote w:id="13">
    <w:p w14:paraId="430CED87" w14:textId="77777777" w:rsidR="008E4BC2" w:rsidRDefault="008E4BC2" w:rsidP="008E4BC2">
      <w:pPr>
        <w:pStyle w:val="FootnoteText"/>
      </w:pPr>
      <w:r>
        <w:rPr>
          <w:rStyle w:val="FootnoteReference"/>
        </w:rPr>
        <w:footnoteRef/>
      </w:r>
      <w:r>
        <w:t xml:space="preserve"> Wells, p.41.</w:t>
      </w:r>
    </w:p>
  </w:footnote>
  <w:footnote w:id="14">
    <w:p w14:paraId="6201379F" w14:textId="77777777" w:rsidR="008E4BC2" w:rsidRDefault="008E4BC2" w:rsidP="008E4BC2">
      <w:pPr>
        <w:pStyle w:val="FootnoteText"/>
      </w:pPr>
      <w:r>
        <w:rPr>
          <w:rStyle w:val="FootnoteReference"/>
        </w:rPr>
        <w:footnoteRef/>
      </w:r>
      <w:r>
        <w:t xml:space="preserve"> </w:t>
      </w:r>
      <w:r>
        <w:rPr>
          <w:rFonts w:cstheme="minorHAnsi"/>
        </w:rPr>
        <w:t xml:space="preserve">Silver denarius, AD 68, showing the deified Augustus on the obverse and clasped hands holding a winged caduceus flanked by two </w:t>
      </w:r>
      <w:proofErr w:type="spellStart"/>
      <w:r>
        <w:rPr>
          <w:rFonts w:cstheme="minorHAnsi"/>
        </w:rPr>
        <w:t>cornucopiae</w:t>
      </w:r>
      <w:proofErr w:type="spellEnd"/>
      <w:r>
        <w:rPr>
          <w:rFonts w:cstheme="minorHAnsi"/>
        </w:rPr>
        <w:t xml:space="preserve"> and the legend “PAX” on the reverse (BMCRE 304; RIC 113).</w:t>
      </w:r>
      <w:r>
        <w:t xml:space="preserve"> </w:t>
      </w:r>
    </w:p>
  </w:footnote>
  <w:footnote w:id="15">
    <w:p w14:paraId="63BFB7F6" w14:textId="77777777" w:rsidR="008E4BC2" w:rsidRDefault="008E4BC2" w:rsidP="008E4BC2">
      <w:pPr>
        <w:pStyle w:val="FootnoteText"/>
      </w:pPr>
      <w:r>
        <w:rPr>
          <w:rStyle w:val="FootnoteReference"/>
        </w:rPr>
        <w:footnoteRef/>
      </w:r>
      <w:r>
        <w:t xml:space="preserve"> Wells, p.152.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BC2"/>
    <w:rsid w:val="008E4BC2"/>
    <w:rsid w:val="00936399"/>
    <w:rsid w:val="00E06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41505"/>
  <w15:chartTrackingRefBased/>
  <w15:docId w15:val="{5CFABE81-5F64-4E0D-8A32-A14B96B8F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4BC2"/>
    <w:pPr>
      <w:spacing w:after="160" w:line="256" w:lineRule="auto"/>
      <w:ind w:left="0" w:right="0"/>
    </w:pPr>
    <w:rPr>
      <w:rFonts w:asciiTheme="minorHAnsi" w:eastAsiaTheme="minorEastAsia" w:hAnsiTheme="minorHAnsi" w:cstheme="minorBidi"/>
      <w:color w:val="auto"/>
      <w:sz w:val="22"/>
      <w:szCs w:val="2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E4BC2"/>
    <w:rPr>
      <w:color w:val="0000FF"/>
      <w:u w:val="single"/>
    </w:rPr>
  </w:style>
  <w:style w:type="paragraph" w:styleId="FootnoteText">
    <w:name w:val="footnote text"/>
    <w:basedOn w:val="Normal"/>
    <w:link w:val="FootnoteTextChar"/>
    <w:uiPriority w:val="99"/>
    <w:semiHidden/>
    <w:unhideWhenUsed/>
    <w:rsid w:val="008E4BC2"/>
    <w:pPr>
      <w:spacing w:after="0" w:line="240" w:lineRule="auto"/>
    </w:pPr>
    <w:rPr>
      <w:rFonts w:eastAsiaTheme="minorHAnsi"/>
      <w:sz w:val="20"/>
      <w:szCs w:val="20"/>
      <w:lang w:eastAsia="en-US"/>
    </w:rPr>
  </w:style>
  <w:style w:type="character" w:customStyle="1" w:styleId="FootnoteTextChar">
    <w:name w:val="Footnote Text Char"/>
    <w:basedOn w:val="DefaultParagraphFont"/>
    <w:link w:val="FootnoteText"/>
    <w:uiPriority w:val="99"/>
    <w:semiHidden/>
    <w:rsid w:val="008E4BC2"/>
    <w:rPr>
      <w:rFonts w:asciiTheme="minorHAnsi" w:hAnsiTheme="minorHAnsi" w:cstheme="minorBidi"/>
      <w:color w:val="auto"/>
      <w:sz w:val="20"/>
      <w:szCs w:val="20"/>
    </w:rPr>
  </w:style>
  <w:style w:type="paragraph" w:styleId="Caption">
    <w:name w:val="caption"/>
    <w:basedOn w:val="Normal"/>
    <w:next w:val="Normal"/>
    <w:uiPriority w:val="35"/>
    <w:semiHidden/>
    <w:unhideWhenUsed/>
    <w:qFormat/>
    <w:rsid w:val="008E4BC2"/>
    <w:pPr>
      <w:spacing w:after="200" w:line="240" w:lineRule="auto"/>
    </w:pPr>
    <w:rPr>
      <w:rFonts w:eastAsiaTheme="minorHAnsi"/>
      <w:i/>
      <w:iCs/>
      <w:color w:val="44546A" w:themeColor="text2"/>
      <w:sz w:val="18"/>
      <w:szCs w:val="18"/>
      <w:lang w:eastAsia="en-US"/>
    </w:rPr>
  </w:style>
  <w:style w:type="character" w:styleId="FootnoteReference">
    <w:name w:val="footnote reference"/>
    <w:basedOn w:val="DefaultParagraphFont"/>
    <w:uiPriority w:val="99"/>
    <w:semiHidden/>
    <w:unhideWhenUsed/>
    <w:rsid w:val="008E4BC2"/>
    <w:rPr>
      <w:vertAlign w:val="superscript"/>
    </w:rPr>
  </w:style>
  <w:style w:type="character" w:styleId="CommentReference">
    <w:name w:val="annotation reference"/>
    <w:basedOn w:val="DefaultParagraphFont"/>
    <w:uiPriority w:val="99"/>
    <w:semiHidden/>
    <w:unhideWhenUsed/>
    <w:rsid w:val="008E4BC2"/>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1459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1462</Words>
  <Characters>8337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1</cp:revision>
  <dcterms:created xsi:type="dcterms:W3CDTF">2018-12-10T17:59:00Z</dcterms:created>
  <dcterms:modified xsi:type="dcterms:W3CDTF">2018-12-10T18:00:00Z</dcterms:modified>
</cp:coreProperties>
</file>