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FF2286" w14:textId="448DECC0" w:rsidR="00A11C2E" w:rsidRPr="00226A59" w:rsidRDefault="00D66D6B" w:rsidP="00215C7B">
      <w:pPr>
        <w:spacing w:line="360" w:lineRule="auto"/>
        <w:jc w:val="center"/>
        <w:rPr>
          <w:rFonts w:asciiTheme="majorHAnsi" w:hAnsiTheme="majorHAnsi"/>
          <w:sz w:val="24"/>
          <w:szCs w:val="24"/>
          <w:lang w:val="en-GB"/>
        </w:rPr>
      </w:pPr>
      <w:r w:rsidRPr="00226A59">
        <w:rPr>
          <w:rFonts w:asciiTheme="majorHAnsi" w:hAnsiTheme="majorHAnsi"/>
          <w:sz w:val="24"/>
          <w:szCs w:val="24"/>
          <w:lang w:val="en-GB"/>
        </w:rPr>
        <w:t>Interfaith Dialogue and Sacred Spaces</w:t>
      </w:r>
    </w:p>
    <w:p w14:paraId="2F50A21C" w14:textId="4367DE71" w:rsidR="009713C5" w:rsidRPr="00226A59" w:rsidRDefault="009713C5" w:rsidP="00215C7B">
      <w:pPr>
        <w:spacing w:line="360" w:lineRule="auto"/>
        <w:jc w:val="center"/>
        <w:rPr>
          <w:rFonts w:asciiTheme="majorHAnsi" w:hAnsiTheme="majorHAnsi"/>
          <w:sz w:val="24"/>
          <w:szCs w:val="24"/>
          <w:lang w:val="en-GB"/>
        </w:rPr>
      </w:pPr>
    </w:p>
    <w:p w14:paraId="02CD7FD4" w14:textId="62815AB6"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Globalization, socioreligious changes, and the increasing religious pluralism in most parts of the world created the conditions for the expanding interest in interreligious spaces as places of shared spirituality, encounter, and dialogue across different r</w:t>
      </w:r>
      <w:r w:rsidRPr="00226A59">
        <w:rPr>
          <w:rFonts w:asciiTheme="majorHAnsi" w:hAnsiTheme="majorHAnsi"/>
          <w:sz w:val="24"/>
          <w:szCs w:val="24"/>
          <w:lang w:val="en-GB"/>
        </w:rPr>
        <w:t xml:space="preserve">eligions and as a place of mediation in religious conflicts. </w:t>
      </w:r>
    </w:p>
    <w:p w14:paraId="64342219" w14:textId="27787A09" w:rsidR="00215C7B"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To </w:t>
      </w:r>
      <w:r w:rsidR="00571A16" w:rsidRPr="00226A59">
        <w:rPr>
          <w:rFonts w:asciiTheme="majorHAnsi" w:hAnsiTheme="majorHAnsi"/>
          <w:sz w:val="24"/>
          <w:szCs w:val="24"/>
          <w:lang w:val="en-GB"/>
        </w:rPr>
        <w:t>better understand interfaith</w:t>
      </w:r>
      <w:r w:rsidR="001E6CD4">
        <w:rPr>
          <w:rFonts w:asciiTheme="majorHAnsi" w:hAnsiTheme="majorHAnsi"/>
          <w:sz w:val="24"/>
          <w:szCs w:val="24"/>
          <w:lang w:val="en-GB"/>
        </w:rPr>
        <w:t xml:space="preserve"> or interreligious</w:t>
      </w:r>
      <w:r w:rsidR="00571A16" w:rsidRPr="00226A59">
        <w:rPr>
          <w:rFonts w:asciiTheme="majorHAnsi" w:hAnsiTheme="majorHAnsi"/>
          <w:sz w:val="24"/>
          <w:szCs w:val="24"/>
          <w:lang w:val="en-GB"/>
        </w:rPr>
        <w:t xml:space="preserve"> spaces</w:t>
      </w:r>
      <w:r w:rsidR="009C10DD" w:rsidRPr="00226A59">
        <w:rPr>
          <w:rFonts w:asciiTheme="majorHAnsi" w:hAnsiTheme="majorHAnsi"/>
          <w:sz w:val="24"/>
          <w:szCs w:val="24"/>
          <w:lang w:val="en-GB"/>
        </w:rPr>
        <w:t xml:space="preserve"> and their implications,</w:t>
      </w:r>
      <w:r w:rsidR="00571A16" w:rsidRPr="00226A59">
        <w:rPr>
          <w:rFonts w:asciiTheme="majorHAnsi" w:hAnsiTheme="majorHAnsi"/>
          <w:sz w:val="24"/>
          <w:szCs w:val="24"/>
          <w:lang w:val="en-GB"/>
        </w:rPr>
        <w:t xml:space="preserve"> it is worth </w:t>
      </w:r>
      <w:r w:rsidR="009C10DD" w:rsidRPr="00226A59">
        <w:rPr>
          <w:rFonts w:asciiTheme="majorHAnsi" w:hAnsiTheme="majorHAnsi"/>
          <w:sz w:val="24"/>
          <w:szCs w:val="24"/>
          <w:lang w:val="en-GB"/>
        </w:rPr>
        <w:t xml:space="preserve">first </w:t>
      </w:r>
      <w:r w:rsidR="00571A16" w:rsidRPr="00226A59">
        <w:rPr>
          <w:rFonts w:asciiTheme="majorHAnsi" w:hAnsiTheme="majorHAnsi"/>
          <w:sz w:val="24"/>
          <w:szCs w:val="24"/>
          <w:lang w:val="en-GB"/>
        </w:rPr>
        <w:t xml:space="preserve">looking at </w:t>
      </w:r>
      <w:r w:rsidR="00BA0D92">
        <w:rPr>
          <w:rFonts w:asciiTheme="majorHAnsi" w:hAnsiTheme="majorHAnsi"/>
          <w:sz w:val="24"/>
          <w:szCs w:val="24"/>
          <w:lang w:val="en-GB"/>
        </w:rPr>
        <w:t>how</w:t>
      </w:r>
      <w:r w:rsidR="009C10DD" w:rsidRPr="00226A59">
        <w:rPr>
          <w:rFonts w:asciiTheme="majorHAnsi" w:hAnsiTheme="majorHAnsi"/>
          <w:sz w:val="24"/>
          <w:szCs w:val="24"/>
          <w:lang w:val="en-GB"/>
        </w:rPr>
        <w:t xml:space="preserve"> “sacred space” </w:t>
      </w:r>
      <w:r w:rsidR="00BA0D92">
        <w:rPr>
          <w:rFonts w:asciiTheme="majorHAnsi" w:hAnsiTheme="majorHAnsi"/>
          <w:sz w:val="24"/>
          <w:szCs w:val="24"/>
          <w:lang w:val="en-GB"/>
        </w:rPr>
        <w:t>is defined</w:t>
      </w:r>
      <w:r w:rsidR="009C10DD" w:rsidRPr="00226A59">
        <w:rPr>
          <w:rFonts w:asciiTheme="majorHAnsi" w:hAnsiTheme="majorHAnsi"/>
          <w:sz w:val="24"/>
          <w:szCs w:val="24"/>
          <w:lang w:val="en-GB"/>
        </w:rPr>
        <w:t>.</w:t>
      </w:r>
    </w:p>
    <w:p w14:paraId="16FFDEF2" w14:textId="59D6C148"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 </w:t>
      </w:r>
      <w:r w:rsidR="00215C7B">
        <w:rPr>
          <w:rFonts w:asciiTheme="majorHAnsi" w:hAnsiTheme="majorHAnsi"/>
          <w:sz w:val="24"/>
          <w:szCs w:val="24"/>
          <w:lang w:val="en-GB"/>
        </w:rPr>
        <w:t>Generally speaking, s</w:t>
      </w:r>
      <w:r w:rsidRPr="00226A59">
        <w:rPr>
          <w:rFonts w:asciiTheme="majorHAnsi" w:hAnsiTheme="majorHAnsi"/>
          <w:sz w:val="24"/>
          <w:szCs w:val="24"/>
          <w:lang w:val="en-GB"/>
        </w:rPr>
        <w:t>acred space can be defined as a place in the landscape, which is especially revered by people, culture, or cultural group as a focus of spiritual belief and practice or religious observance. There are different typologies of sacred spaces</w:t>
      </w:r>
      <w:r w:rsidR="001E6CD4">
        <w:rPr>
          <w:rFonts w:asciiTheme="majorHAnsi" w:hAnsiTheme="majorHAnsi"/>
          <w:sz w:val="24"/>
          <w:szCs w:val="24"/>
          <w:lang w:val="en-GB"/>
        </w:rPr>
        <w:t xml:space="preserve"> according to different religions and different traditions.</w:t>
      </w:r>
      <w:r w:rsidRPr="00226A59">
        <w:rPr>
          <w:rFonts w:asciiTheme="majorHAnsi" w:hAnsiTheme="majorHAnsi"/>
          <w:sz w:val="24"/>
          <w:szCs w:val="24"/>
          <w:lang w:val="en-GB"/>
        </w:rPr>
        <w:t xml:space="preserve">  The discussion on what can be defined as a sacred place is still a current issue amongst researchers.  </w:t>
      </w:r>
    </w:p>
    <w:p w14:paraId="2DCD2E5D" w14:textId="6A7149D9" w:rsidR="009713C5"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The concept of "sacredness" is often paired with the term "profane", implying that both are in </w:t>
      </w:r>
      <w:r w:rsidRPr="00226A59">
        <w:rPr>
          <w:rFonts w:asciiTheme="majorHAnsi" w:hAnsiTheme="majorHAnsi"/>
          <w:sz w:val="24"/>
          <w:szCs w:val="24"/>
          <w:lang w:val="en-GB"/>
        </w:rPr>
        <w:t xml:space="preserve">opposition to each other. </w:t>
      </w:r>
      <w:r w:rsidR="000F7325" w:rsidRPr="00226A59">
        <w:rPr>
          <w:rFonts w:asciiTheme="majorHAnsi" w:hAnsiTheme="majorHAnsi"/>
          <w:sz w:val="24"/>
          <w:szCs w:val="24"/>
          <w:lang w:val="en-GB"/>
        </w:rPr>
        <w:t>T</w:t>
      </w:r>
      <w:r w:rsidRPr="00226A59">
        <w:rPr>
          <w:rFonts w:asciiTheme="majorHAnsi" w:hAnsiTheme="majorHAnsi"/>
          <w:sz w:val="24"/>
          <w:szCs w:val="24"/>
          <w:lang w:val="en-GB"/>
        </w:rPr>
        <w:t xml:space="preserve">he way we use the terms sacred/profane will reflect how religion is seen to extend into the field of everyday reality, how both religion and everyday </w:t>
      </w:r>
      <w:r>
        <w:rPr>
          <w:rFonts w:asciiTheme="majorHAnsi" w:hAnsiTheme="majorHAnsi"/>
          <w:sz w:val="24"/>
          <w:szCs w:val="24"/>
          <w:lang w:val="en-GB"/>
        </w:rPr>
        <w:t>life</w:t>
      </w:r>
      <w:r w:rsidRPr="00226A59">
        <w:rPr>
          <w:rFonts w:asciiTheme="majorHAnsi" w:hAnsiTheme="majorHAnsi"/>
          <w:sz w:val="24"/>
          <w:szCs w:val="24"/>
          <w:lang w:val="en-GB"/>
        </w:rPr>
        <w:t xml:space="preserve"> relate to each other. </w:t>
      </w:r>
    </w:p>
    <w:p w14:paraId="6F9A5B05" w14:textId="77777777" w:rsidR="00215C7B" w:rsidRPr="00226A59" w:rsidRDefault="00215C7B" w:rsidP="00215C7B">
      <w:pPr>
        <w:spacing w:line="360" w:lineRule="auto"/>
        <w:rPr>
          <w:rFonts w:asciiTheme="majorHAnsi" w:hAnsiTheme="majorHAnsi"/>
          <w:sz w:val="24"/>
          <w:szCs w:val="24"/>
          <w:lang w:val="en-GB"/>
        </w:rPr>
      </w:pPr>
    </w:p>
    <w:p w14:paraId="221C25DE" w14:textId="2F258CD8" w:rsidR="00AF1011" w:rsidRPr="00226A59" w:rsidRDefault="00D66D6B" w:rsidP="00215C7B">
      <w:pPr>
        <w:spacing w:line="360" w:lineRule="auto"/>
        <w:rPr>
          <w:rFonts w:asciiTheme="majorHAnsi" w:hAnsiTheme="majorHAnsi"/>
          <w:sz w:val="24"/>
          <w:szCs w:val="24"/>
          <w:lang w:val="en-GB"/>
        </w:rPr>
      </w:pPr>
      <w:r w:rsidRPr="00215C7B">
        <w:rPr>
          <w:rFonts w:asciiTheme="majorHAnsi" w:hAnsiTheme="majorHAnsi"/>
          <w:b/>
          <w:bCs/>
          <w:sz w:val="24"/>
          <w:szCs w:val="24"/>
          <w:lang w:val="en-GB"/>
        </w:rPr>
        <w:t>Suggested readings</w:t>
      </w:r>
      <w:r w:rsidRPr="00226A59">
        <w:rPr>
          <w:rFonts w:asciiTheme="majorHAnsi" w:hAnsiTheme="majorHAnsi"/>
          <w:sz w:val="24"/>
          <w:szCs w:val="24"/>
          <w:lang w:val="en-GB"/>
        </w:rPr>
        <w:t>:</w:t>
      </w:r>
    </w:p>
    <w:p w14:paraId="16B2C2A7" w14:textId="1EDA5D04" w:rsidR="00AF1011" w:rsidRDefault="00D66D6B" w:rsidP="00215C7B">
      <w:pPr>
        <w:pStyle w:val="Testonotaapidipagina"/>
        <w:spacing w:line="360" w:lineRule="auto"/>
        <w:rPr>
          <w:rFonts w:asciiTheme="majorHAnsi" w:hAnsiTheme="majorHAnsi"/>
          <w:sz w:val="24"/>
          <w:szCs w:val="24"/>
        </w:rPr>
      </w:pPr>
      <w:r w:rsidRPr="00226A59">
        <w:rPr>
          <w:rFonts w:asciiTheme="majorHAnsi" w:hAnsiTheme="majorHAnsi"/>
          <w:sz w:val="24"/>
          <w:szCs w:val="24"/>
        </w:rPr>
        <w:t xml:space="preserve">Durkheim, Émile (1915): </w:t>
      </w:r>
      <w:r w:rsidRPr="00226A59">
        <w:rPr>
          <w:rFonts w:asciiTheme="majorHAnsi" w:hAnsiTheme="majorHAnsi"/>
          <w:i/>
          <w:iCs/>
          <w:sz w:val="24"/>
          <w:szCs w:val="24"/>
        </w:rPr>
        <w:t xml:space="preserve">The Elementary Forms of Religious Life. </w:t>
      </w:r>
      <w:r w:rsidRPr="00226A59">
        <w:rPr>
          <w:rFonts w:asciiTheme="majorHAnsi" w:hAnsiTheme="majorHAnsi"/>
          <w:sz w:val="24"/>
          <w:szCs w:val="24"/>
        </w:rPr>
        <w:t>New York: The Free Press</w:t>
      </w:r>
    </w:p>
    <w:p w14:paraId="4E98F9A2" w14:textId="1EC1C3D8" w:rsidR="00AF1011"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Eliade, Mircea (1957): </w:t>
      </w:r>
      <w:r w:rsidRPr="00226A59">
        <w:rPr>
          <w:rFonts w:asciiTheme="majorHAnsi" w:hAnsiTheme="majorHAnsi"/>
          <w:i/>
          <w:iCs/>
          <w:sz w:val="24"/>
          <w:szCs w:val="24"/>
          <w:lang w:val="en-GB"/>
        </w:rPr>
        <w:t xml:space="preserve">The Sacred and the Profane. The Nature of Religion. </w:t>
      </w:r>
      <w:r w:rsidRPr="00226A59">
        <w:rPr>
          <w:rFonts w:asciiTheme="majorHAnsi" w:hAnsiTheme="majorHAnsi"/>
          <w:sz w:val="24"/>
          <w:szCs w:val="24"/>
          <w:lang w:val="en-GB"/>
        </w:rPr>
        <w:t>Florida: Harcourt Books</w:t>
      </w:r>
    </w:p>
    <w:p w14:paraId="0A830366" w14:textId="2B35A87F" w:rsidR="001E6CD4" w:rsidRPr="001E6CD4" w:rsidRDefault="00D66D6B" w:rsidP="00215C7B">
      <w:pPr>
        <w:spacing w:line="360" w:lineRule="auto"/>
        <w:rPr>
          <w:rFonts w:asciiTheme="majorHAnsi" w:hAnsiTheme="majorHAnsi"/>
          <w:sz w:val="24"/>
          <w:szCs w:val="24"/>
          <w:lang w:val="en-GB"/>
        </w:rPr>
      </w:pPr>
      <w:r w:rsidRPr="001E6CD4">
        <w:rPr>
          <w:sz w:val="24"/>
          <w:szCs w:val="24"/>
          <w:lang w:val="en-GB"/>
        </w:rPr>
        <w:t>Two clas</w:t>
      </w:r>
      <w:r w:rsidRPr="001E6CD4">
        <w:rPr>
          <w:sz w:val="24"/>
          <w:szCs w:val="24"/>
          <w:lang w:val="en-GB"/>
        </w:rPr>
        <w:t>sical scholars reflecting on the concepts of sacred and profane spaces were Emile Durkheim and Mircea Eliade</w:t>
      </w:r>
      <w:r>
        <w:rPr>
          <w:sz w:val="24"/>
          <w:szCs w:val="24"/>
          <w:lang w:val="en-GB"/>
        </w:rPr>
        <w:t xml:space="preserve">. Their conclusions are quite opposite and still a topic for debate. </w:t>
      </w:r>
    </w:p>
    <w:p w14:paraId="366AF6A0" w14:textId="09BC48AF" w:rsidR="00AF1011"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w:t>
      </w:r>
      <w:r w:rsidRPr="00215C7B">
        <w:rPr>
          <w:rFonts w:asciiTheme="majorHAnsi" w:hAnsiTheme="majorHAnsi"/>
          <w:i/>
          <w:iCs/>
          <w:sz w:val="24"/>
          <w:szCs w:val="24"/>
          <w:lang w:val="en-GB"/>
        </w:rPr>
        <w:t>How do the concepts of profane and sacred differ between Durkheim and Eliade?</w:t>
      </w:r>
      <w:r w:rsidRPr="00215C7B">
        <w:rPr>
          <w:rFonts w:asciiTheme="majorHAnsi" w:hAnsiTheme="majorHAnsi"/>
          <w:i/>
          <w:iCs/>
          <w:sz w:val="24"/>
          <w:szCs w:val="24"/>
          <w:lang w:val="en-GB"/>
        </w:rPr>
        <w:t xml:space="preserve"> </w:t>
      </w:r>
      <w:r w:rsidR="00215C7B">
        <w:rPr>
          <w:rFonts w:asciiTheme="majorHAnsi" w:hAnsiTheme="majorHAnsi"/>
          <w:i/>
          <w:iCs/>
          <w:sz w:val="24"/>
          <w:szCs w:val="24"/>
          <w:lang w:val="en-GB"/>
        </w:rPr>
        <w:t>What are the potential implications of the two approaches regard</w:t>
      </w:r>
      <w:r w:rsidRPr="00215C7B">
        <w:rPr>
          <w:rFonts w:asciiTheme="majorHAnsi" w:hAnsiTheme="majorHAnsi"/>
          <w:i/>
          <w:iCs/>
          <w:sz w:val="24"/>
          <w:szCs w:val="24"/>
          <w:lang w:val="en-GB"/>
        </w:rPr>
        <w:t>ing interfaith dialogue?</w:t>
      </w:r>
      <w:r w:rsidRPr="00226A59">
        <w:rPr>
          <w:rFonts w:asciiTheme="majorHAnsi" w:hAnsiTheme="majorHAnsi"/>
          <w:sz w:val="24"/>
          <w:szCs w:val="24"/>
          <w:lang w:val="en-GB"/>
        </w:rPr>
        <w:t xml:space="preserve"> </w:t>
      </w:r>
    </w:p>
    <w:p w14:paraId="582220BA" w14:textId="77777777" w:rsidR="00AF1011" w:rsidRPr="00226A59" w:rsidRDefault="00AF1011" w:rsidP="00215C7B">
      <w:pPr>
        <w:spacing w:line="360" w:lineRule="auto"/>
        <w:rPr>
          <w:rFonts w:asciiTheme="majorHAnsi" w:hAnsiTheme="majorHAnsi"/>
          <w:sz w:val="24"/>
          <w:szCs w:val="24"/>
          <w:lang w:val="en-GB"/>
        </w:rPr>
      </w:pPr>
    </w:p>
    <w:p w14:paraId="101BCE71" w14:textId="7452239E"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Despite disagreements about the nature of sacred spaces, t</w:t>
      </w:r>
      <w:r w:rsidRPr="00226A59">
        <w:rPr>
          <w:rFonts w:asciiTheme="majorHAnsi" w:hAnsiTheme="majorHAnsi"/>
          <w:sz w:val="24"/>
          <w:szCs w:val="24"/>
          <w:lang w:val="en-GB"/>
        </w:rPr>
        <w:t>he need to ground religious and spiritual experiences in a sacred space seems to be an anthropological constant. All major religious traditions stress the need to create and indwell sacred spaces, where they are unconditionally welcomed. This commonality a</w:t>
      </w:r>
      <w:r w:rsidRPr="00226A59">
        <w:rPr>
          <w:rFonts w:asciiTheme="majorHAnsi" w:hAnsiTheme="majorHAnsi"/>
          <w:sz w:val="24"/>
          <w:szCs w:val="24"/>
          <w:lang w:val="en-GB"/>
        </w:rPr>
        <w:t xml:space="preserve">rises from the important role sacred spaces play in </w:t>
      </w:r>
      <w:r w:rsidRPr="00226A59">
        <w:rPr>
          <w:rFonts w:asciiTheme="majorHAnsi" w:hAnsiTheme="majorHAnsi"/>
          <w:sz w:val="24"/>
          <w:szCs w:val="24"/>
          <w:lang w:val="en-GB"/>
        </w:rPr>
        <w:lastRenderedPageBreak/>
        <w:t>human attempts to structure and understand religious (spiritual) experiences. Across different religions, there are different categories of sacred spaces:</w:t>
      </w:r>
    </w:p>
    <w:p w14:paraId="15CB86D7"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cosmos</w:t>
      </w:r>
    </w:p>
    <w:p w14:paraId="3C00AC04"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the human body</w:t>
      </w:r>
    </w:p>
    <w:p w14:paraId="00D3DAFE"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states of consciousne</w:t>
      </w:r>
      <w:r w:rsidRPr="00226A59">
        <w:rPr>
          <w:rFonts w:asciiTheme="majorHAnsi" w:hAnsiTheme="majorHAnsi"/>
          <w:sz w:val="24"/>
          <w:szCs w:val="24"/>
          <w:lang w:val="en-GB"/>
        </w:rPr>
        <w:t>ss</w:t>
      </w:r>
    </w:p>
    <w:p w14:paraId="5A84E4F7"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local ritual sites</w:t>
      </w:r>
    </w:p>
    <w:p w14:paraId="3750B565" w14:textId="0E2D5ACA"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houses of worship, i.e. churches, mosques, synagogues, temples</w:t>
      </w:r>
    </w:p>
    <w:p w14:paraId="539BFF15" w14:textId="77777777" w:rsidR="000F7325" w:rsidRPr="00226A59" w:rsidRDefault="000F7325" w:rsidP="00215C7B">
      <w:pPr>
        <w:spacing w:line="360" w:lineRule="auto"/>
        <w:rPr>
          <w:rFonts w:asciiTheme="majorHAnsi" w:hAnsiTheme="majorHAnsi"/>
          <w:sz w:val="24"/>
          <w:szCs w:val="24"/>
          <w:lang w:val="en-GB"/>
        </w:rPr>
      </w:pPr>
    </w:p>
    <w:p w14:paraId="194350CE" w14:textId="51E4CCB1"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A practical and pertinent aspect of sacred space is "multifaith spaces" and their role in interfaith dialogue. In a globalized world, multifaith spaces (MFS) are beco</w:t>
      </w:r>
      <w:r w:rsidRPr="00226A59">
        <w:rPr>
          <w:rFonts w:asciiTheme="majorHAnsi" w:hAnsiTheme="majorHAnsi"/>
          <w:sz w:val="24"/>
          <w:szCs w:val="24"/>
          <w:lang w:val="en-GB"/>
        </w:rPr>
        <w:t>ming almost ubiquitous</w:t>
      </w:r>
      <w:r w:rsidR="009C10DD" w:rsidRPr="00226A59">
        <w:rPr>
          <w:rFonts w:asciiTheme="majorHAnsi" w:hAnsiTheme="majorHAnsi"/>
          <w:sz w:val="24"/>
          <w:szCs w:val="24"/>
          <w:lang w:val="en-GB"/>
        </w:rPr>
        <w:t xml:space="preserve"> and can be found in many public </w:t>
      </w:r>
      <w:r>
        <w:rPr>
          <w:rFonts w:asciiTheme="majorHAnsi" w:hAnsiTheme="majorHAnsi"/>
          <w:sz w:val="24"/>
          <w:szCs w:val="24"/>
          <w:lang w:val="en-GB"/>
        </w:rPr>
        <w:t>areas</w:t>
      </w:r>
      <w:r w:rsidR="009C10DD" w:rsidRPr="00226A59">
        <w:rPr>
          <w:rFonts w:asciiTheme="majorHAnsi" w:hAnsiTheme="majorHAnsi"/>
          <w:sz w:val="24"/>
          <w:szCs w:val="24"/>
          <w:lang w:val="en-GB"/>
        </w:rPr>
        <w:t xml:space="preserve"> such as airports, hospitals, and universities</w:t>
      </w:r>
      <w:r w:rsidRPr="00226A59">
        <w:rPr>
          <w:rFonts w:asciiTheme="majorHAnsi" w:hAnsiTheme="majorHAnsi"/>
          <w:sz w:val="24"/>
          <w:szCs w:val="24"/>
          <w:lang w:val="en-GB"/>
        </w:rPr>
        <w:t>. However, their design raises several challenges and questions that need to be addressed. MFS must be acceptable as a place of worship for many diff</w:t>
      </w:r>
      <w:r w:rsidRPr="00226A59">
        <w:rPr>
          <w:rFonts w:asciiTheme="majorHAnsi" w:hAnsiTheme="majorHAnsi"/>
          <w:sz w:val="24"/>
          <w:szCs w:val="24"/>
          <w:lang w:val="en-GB"/>
        </w:rPr>
        <w:t>erent religious groups without at the same time fevering</w:t>
      </w:r>
      <w:r w:rsidRPr="00226A59">
        <w:rPr>
          <w:rFonts w:asciiTheme="majorHAnsi" w:hAnsiTheme="majorHAnsi"/>
          <w:sz w:val="24"/>
          <w:szCs w:val="24"/>
          <w:lang w:val="en-GB"/>
        </w:rPr>
        <w:t xml:space="preserve"> or discriminating against other faiths. An example of such a challenge is the geographical orientation, a relevant issue for Islam, Judaism, and Orthodox Christianity.</w:t>
      </w:r>
    </w:p>
    <w:p w14:paraId="467FC06F"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According to Diez de Velasco, M</w:t>
      </w:r>
      <w:r w:rsidRPr="00226A59">
        <w:rPr>
          <w:rFonts w:asciiTheme="majorHAnsi" w:hAnsiTheme="majorHAnsi"/>
          <w:sz w:val="24"/>
          <w:szCs w:val="24"/>
          <w:lang w:val="en-GB"/>
        </w:rPr>
        <w:t>ultifaith spaces face the following challenges:</w:t>
      </w:r>
    </w:p>
    <w:p w14:paraId="2E0634BF"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shared space for a diversity of users (including non-believers)</w:t>
      </w:r>
    </w:p>
    <w:p w14:paraId="3F2255BC"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gender separation</w:t>
      </w:r>
    </w:p>
    <w:p w14:paraId="233FD8AD"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issue of orientation</w:t>
      </w:r>
    </w:p>
    <w:p w14:paraId="63683458"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conflicting times</w:t>
      </w:r>
    </w:p>
    <w:p w14:paraId="2FAD0975"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positioning during worship</w:t>
      </w:r>
    </w:p>
    <w:p w14:paraId="1C50A027" w14:textId="77777777" w:rsidR="009713C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-neutral design</w:t>
      </w:r>
    </w:p>
    <w:p w14:paraId="391A0711" w14:textId="518D710D" w:rsidR="009713C5" w:rsidRDefault="009713C5" w:rsidP="00215C7B">
      <w:pPr>
        <w:spacing w:line="360" w:lineRule="auto"/>
        <w:rPr>
          <w:rFonts w:asciiTheme="majorHAnsi" w:hAnsiTheme="majorHAnsi"/>
          <w:sz w:val="24"/>
          <w:szCs w:val="24"/>
          <w:lang w:val="en-GB"/>
        </w:rPr>
      </w:pPr>
    </w:p>
    <w:p w14:paraId="3A36D5E4" w14:textId="77777777" w:rsidR="00D66D6B" w:rsidRPr="00226A59" w:rsidRDefault="00D66D6B" w:rsidP="00215C7B">
      <w:pPr>
        <w:spacing w:line="360" w:lineRule="auto"/>
        <w:rPr>
          <w:rFonts w:asciiTheme="majorHAnsi" w:hAnsiTheme="majorHAnsi"/>
          <w:sz w:val="24"/>
          <w:szCs w:val="24"/>
          <w:lang w:val="en-GB"/>
        </w:rPr>
      </w:pPr>
    </w:p>
    <w:p w14:paraId="48D7422B" w14:textId="1BF34051" w:rsidR="00AF1011" w:rsidRPr="00226A59" w:rsidRDefault="00D66D6B" w:rsidP="00215C7B">
      <w:pPr>
        <w:spacing w:line="360" w:lineRule="auto"/>
        <w:rPr>
          <w:rFonts w:asciiTheme="majorHAnsi" w:hAnsiTheme="majorHAnsi"/>
          <w:sz w:val="24"/>
          <w:szCs w:val="24"/>
          <w:lang w:val="en-GB"/>
        </w:rPr>
      </w:pPr>
      <w:r w:rsidRPr="00215C7B">
        <w:rPr>
          <w:rFonts w:asciiTheme="majorHAnsi" w:hAnsiTheme="majorHAnsi"/>
          <w:b/>
          <w:bCs/>
          <w:sz w:val="24"/>
          <w:szCs w:val="24"/>
          <w:lang w:val="en-GB"/>
        </w:rPr>
        <w:t>Suggested reading</w:t>
      </w:r>
      <w:r w:rsidRPr="00226A59">
        <w:rPr>
          <w:rFonts w:asciiTheme="majorHAnsi" w:hAnsiTheme="majorHAnsi"/>
          <w:sz w:val="24"/>
          <w:szCs w:val="24"/>
          <w:lang w:val="en-GB"/>
        </w:rPr>
        <w:t>:</w:t>
      </w:r>
    </w:p>
    <w:p w14:paraId="26492FD8" w14:textId="5519743F" w:rsidR="00AF1011"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 </w:t>
      </w:r>
      <w:r w:rsidRPr="00226A59">
        <w:rPr>
          <w:rFonts w:asciiTheme="majorHAnsi" w:hAnsiTheme="majorHAnsi"/>
          <w:sz w:val="24"/>
          <w:szCs w:val="24"/>
          <w:lang w:val="en-GB"/>
        </w:rPr>
        <w:t xml:space="preserve">Diez de Velasco, Francisco (2014): </w:t>
      </w:r>
      <w:r w:rsidRPr="00226A59">
        <w:rPr>
          <w:rFonts w:asciiTheme="majorHAnsi" w:hAnsiTheme="majorHAnsi"/>
          <w:i/>
          <w:iCs/>
          <w:sz w:val="24"/>
          <w:szCs w:val="24"/>
          <w:lang w:val="en-GB"/>
        </w:rPr>
        <w:t xml:space="preserve">Multi- belief/Multi-faith Spaces: Theoretical Proposals for a Neutral and Operational Design. </w:t>
      </w:r>
      <w:r w:rsidRPr="00226A59">
        <w:rPr>
          <w:rFonts w:asciiTheme="majorHAnsi" w:hAnsiTheme="majorHAnsi"/>
          <w:sz w:val="24"/>
          <w:szCs w:val="24"/>
          <w:lang w:val="en-GB"/>
        </w:rPr>
        <w:t>In: Recode Working Papers Series</w:t>
      </w:r>
    </w:p>
    <w:p w14:paraId="77E4DE86" w14:textId="655B453D" w:rsidR="00AF1011"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lastRenderedPageBreak/>
        <w:t xml:space="preserve">In his article, Diez de Velasco analyses the different challenges </w:t>
      </w:r>
      <w:r w:rsidR="00215C7B">
        <w:rPr>
          <w:rFonts w:asciiTheme="majorHAnsi" w:hAnsiTheme="majorHAnsi"/>
          <w:sz w:val="24"/>
          <w:szCs w:val="24"/>
          <w:lang w:val="en-GB"/>
        </w:rPr>
        <w:t>of the</w:t>
      </w:r>
      <w:r w:rsidRPr="00226A59">
        <w:rPr>
          <w:rFonts w:asciiTheme="majorHAnsi" w:hAnsiTheme="majorHAnsi"/>
          <w:sz w:val="24"/>
          <w:szCs w:val="24"/>
          <w:lang w:val="en-GB"/>
        </w:rPr>
        <w:t xml:space="preserve"> design of public interfaith spaces. </w:t>
      </w:r>
    </w:p>
    <w:p w14:paraId="0EA68197" w14:textId="48E02B29" w:rsidR="00AF1011"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 </w:t>
      </w:r>
      <w:r w:rsidRPr="00215C7B">
        <w:rPr>
          <w:rFonts w:asciiTheme="majorHAnsi" w:hAnsiTheme="majorHAnsi"/>
          <w:i/>
          <w:iCs/>
          <w:sz w:val="24"/>
          <w:szCs w:val="24"/>
          <w:lang w:val="en-GB"/>
        </w:rPr>
        <w:t>How would you design an interfaith space and what would be the most important feature of such a space?</w:t>
      </w:r>
    </w:p>
    <w:p w14:paraId="5AE4A9DF" w14:textId="1155B205" w:rsidR="00AF1011" w:rsidRPr="00226A59" w:rsidRDefault="00AF1011" w:rsidP="00215C7B">
      <w:pPr>
        <w:spacing w:line="360" w:lineRule="auto"/>
        <w:rPr>
          <w:rFonts w:asciiTheme="majorHAnsi" w:hAnsiTheme="majorHAnsi"/>
          <w:sz w:val="24"/>
          <w:szCs w:val="24"/>
          <w:lang w:val="en-GB"/>
        </w:rPr>
      </w:pPr>
    </w:p>
    <w:p w14:paraId="680D7103" w14:textId="77777777" w:rsidR="009C10DD"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Sacred spaces can turn into places of co</w:t>
      </w:r>
      <w:r w:rsidRPr="00226A59">
        <w:rPr>
          <w:rFonts w:asciiTheme="majorHAnsi" w:hAnsiTheme="majorHAnsi"/>
          <w:sz w:val="24"/>
          <w:szCs w:val="24"/>
          <w:lang w:val="en-GB"/>
        </w:rPr>
        <w:t>nflict and territorial tensions especially when they possess a shared sacrality for different groups, claiming their authority and control over it. Such conflicts usually extend beyond the religious question to entail political and cultural strife. Like an</w:t>
      </w:r>
      <w:r w:rsidRPr="00226A59">
        <w:rPr>
          <w:rFonts w:asciiTheme="majorHAnsi" w:hAnsiTheme="majorHAnsi"/>
          <w:sz w:val="24"/>
          <w:szCs w:val="24"/>
          <w:lang w:val="en-GB"/>
        </w:rPr>
        <w:t>y other place, sacred sites also have a memory on their own which has the potential to evocate past traumas and to fuel further conflicts. To eradicate or heal such wounds, it is important to include unpleasant topics and their corresponding scenes into th</w:t>
      </w:r>
      <w:r w:rsidRPr="00226A59">
        <w:rPr>
          <w:rFonts w:asciiTheme="majorHAnsi" w:hAnsiTheme="majorHAnsi"/>
          <w:sz w:val="24"/>
          <w:szCs w:val="24"/>
          <w:lang w:val="en-GB"/>
        </w:rPr>
        <w:t>e interfaith dialogue.</w:t>
      </w:r>
    </w:p>
    <w:p w14:paraId="1F9B33C6" w14:textId="5ADE1563" w:rsidR="00AF1011" w:rsidRPr="00226A59" w:rsidRDefault="00AF1011" w:rsidP="00215C7B">
      <w:pPr>
        <w:spacing w:line="360" w:lineRule="auto"/>
        <w:rPr>
          <w:rFonts w:asciiTheme="majorHAnsi" w:hAnsiTheme="majorHAnsi"/>
          <w:sz w:val="24"/>
          <w:szCs w:val="24"/>
          <w:lang w:val="en-GB"/>
        </w:rPr>
      </w:pPr>
    </w:p>
    <w:p w14:paraId="14E76124" w14:textId="797D4282" w:rsidR="009C10DD" w:rsidRPr="00226A59" w:rsidRDefault="00D66D6B" w:rsidP="00215C7B">
      <w:pPr>
        <w:spacing w:line="360" w:lineRule="auto"/>
        <w:rPr>
          <w:rFonts w:asciiTheme="majorHAnsi" w:hAnsiTheme="majorHAnsi"/>
          <w:sz w:val="24"/>
          <w:szCs w:val="24"/>
          <w:lang w:val="en-GB"/>
        </w:rPr>
      </w:pPr>
      <w:r w:rsidRPr="00215C7B">
        <w:rPr>
          <w:rFonts w:asciiTheme="majorHAnsi" w:hAnsiTheme="majorHAnsi"/>
          <w:b/>
          <w:bCs/>
          <w:sz w:val="24"/>
          <w:szCs w:val="24"/>
          <w:lang w:val="en-GB"/>
        </w:rPr>
        <w:t>Suggested reading</w:t>
      </w:r>
      <w:r w:rsidRPr="00226A59">
        <w:rPr>
          <w:rFonts w:asciiTheme="majorHAnsi" w:hAnsiTheme="majorHAnsi"/>
          <w:sz w:val="24"/>
          <w:szCs w:val="24"/>
          <w:lang w:val="en-GB"/>
        </w:rPr>
        <w:t>:</w:t>
      </w:r>
    </w:p>
    <w:p w14:paraId="5D614214" w14:textId="64B86152" w:rsid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Abu </w:t>
      </w:r>
      <w:proofErr w:type="spellStart"/>
      <w:r w:rsidRPr="00226A59">
        <w:rPr>
          <w:rFonts w:asciiTheme="majorHAnsi" w:hAnsiTheme="majorHAnsi"/>
          <w:sz w:val="24"/>
          <w:szCs w:val="24"/>
          <w:lang w:val="en-GB"/>
        </w:rPr>
        <w:t>Nimer</w:t>
      </w:r>
      <w:proofErr w:type="spellEnd"/>
      <w:r w:rsidRPr="00226A59">
        <w:rPr>
          <w:rFonts w:asciiTheme="majorHAnsi" w:hAnsiTheme="majorHAnsi"/>
          <w:sz w:val="24"/>
          <w:szCs w:val="24"/>
          <w:lang w:val="en-GB"/>
        </w:rPr>
        <w:t xml:space="preserve">, Mohammed (2004): </w:t>
      </w:r>
      <w:r w:rsidRPr="00226A59">
        <w:rPr>
          <w:rFonts w:asciiTheme="majorHAnsi" w:hAnsiTheme="majorHAnsi"/>
          <w:i/>
          <w:iCs/>
          <w:sz w:val="24"/>
          <w:szCs w:val="24"/>
          <w:lang w:val="en-GB"/>
        </w:rPr>
        <w:t xml:space="preserve">Religion, Dialogue, and Non-Violent Actions in Palestinian- Israeli conflicts. </w:t>
      </w:r>
      <w:r w:rsidRPr="00226A59">
        <w:rPr>
          <w:rFonts w:asciiTheme="majorHAnsi" w:hAnsiTheme="majorHAnsi"/>
          <w:sz w:val="24"/>
          <w:szCs w:val="24"/>
          <w:lang w:val="en-GB"/>
        </w:rPr>
        <w:t>In: International Journal of Politics, Culture, and Society, 17:491-511</w:t>
      </w:r>
    </w:p>
    <w:p w14:paraId="107A6A4C" w14:textId="77777777" w:rsidR="00D66D6B" w:rsidRPr="00226A59" w:rsidRDefault="00D66D6B" w:rsidP="00215C7B">
      <w:pPr>
        <w:spacing w:line="360" w:lineRule="auto"/>
        <w:rPr>
          <w:rFonts w:asciiTheme="majorHAnsi" w:hAnsiTheme="majorHAnsi"/>
          <w:sz w:val="24"/>
          <w:szCs w:val="24"/>
          <w:lang w:val="en-GB"/>
        </w:rPr>
      </w:pPr>
    </w:p>
    <w:p w14:paraId="32C93C31" w14:textId="06B8AF7A" w:rsidR="008903B9" w:rsidRPr="00226A59" w:rsidRDefault="00D66D6B" w:rsidP="00215C7B">
      <w:pPr>
        <w:spacing w:line="360" w:lineRule="auto"/>
        <w:rPr>
          <w:rFonts w:asciiTheme="majorHAnsi" w:hAnsiTheme="majorHAnsi"/>
          <w:color w:val="333333"/>
          <w:sz w:val="24"/>
          <w:szCs w:val="24"/>
          <w:shd w:val="clear" w:color="auto" w:fill="FCFCFC"/>
          <w:lang w:val="en-GB"/>
        </w:rPr>
      </w:pPr>
      <w:r w:rsidRPr="00226A59">
        <w:rPr>
          <w:rFonts w:asciiTheme="majorHAnsi" w:hAnsiTheme="majorHAnsi"/>
          <w:sz w:val="24"/>
          <w:szCs w:val="24"/>
          <w:lang w:val="en-GB"/>
        </w:rPr>
        <w:t>Mohammed Abu</w:t>
      </w:r>
      <w:r w:rsidRPr="00226A59">
        <w:rPr>
          <w:rFonts w:asciiTheme="majorHAnsi" w:hAnsiTheme="majorHAnsi"/>
          <w:sz w:val="24"/>
          <w:szCs w:val="24"/>
          <w:lang w:val="en-GB"/>
        </w:rPr>
        <w:t xml:space="preserve"> </w:t>
      </w:r>
      <w:proofErr w:type="spellStart"/>
      <w:r w:rsidRPr="00226A59">
        <w:rPr>
          <w:rFonts w:asciiTheme="majorHAnsi" w:hAnsiTheme="majorHAnsi"/>
          <w:sz w:val="24"/>
          <w:szCs w:val="24"/>
          <w:lang w:val="en-GB"/>
        </w:rPr>
        <w:t>Nimer</w:t>
      </w:r>
      <w:proofErr w:type="spellEnd"/>
      <w:r w:rsidRPr="00226A59">
        <w:rPr>
          <w:rFonts w:asciiTheme="majorHAnsi" w:hAnsiTheme="majorHAnsi"/>
          <w:sz w:val="24"/>
          <w:szCs w:val="24"/>
          <w:lang w:val="en-GB"/>
        </w:rPr>
        <w:t xml:space="preserve"> </w:t>
      </w:r>
      <w:r w:rsidR="00215C7B">
        <w:rPr>
          <w:rFonts w:asciiTheme="majorHAnsi" w:hAnsiTheme="majorHAnsi"/>
          <w:sz w:val="24"/>
          <w:szCs w:val="24"/>
          <w:lang w:val="en-GB"/>
        </w:rPr>
        <w:t>examines</w:t>
      </w:r>
      <w:r w:rsidRPr="00226A59">
        <w:rPr>
          <w:rFonts w:asciiTheme="majorHAnsi" w:hAnsiTheme="majorHAnsi"/>
          <w:sz w:val="24"/>
          <w:szCs w:val="24"/>
          <w:lang w:val="en-GB"/>
        </w:rPr>
        <w:t xml:space="preserve"> </w:t>
      </w:r>
      <w:r w:rsidRPr="00226A59">
        <w:rPr>
          <w:rFonts w:asciiTheme="majorHAnsi" w:hAnsiTheme="majorHAnsi"/>
          <w:color w:val="333333"/>
          <w:sz w:val="24"/>
          <w:szCs w:val="24"/>
          <w:shd w:val="clear" w:color="auto" w:fill="FCFCFC"/>
          <w:lang w:val="en-GB"/>
        </w:rPr>
        <w:t>the potentially constructive role that religious peacebuilders can play in contributing to Palestinian-Israeli reconciliation and peace</w:t>
      </w:r>
      <w:r>
        <w:rPr>
          <w:rFonts w:asciiTheme="majorHAnsi" w:hAnsiTheme="majorHAnsi"/>
          <w:color w:val="333333"/>
          <w:sz w:val="24"/>
          <w:szCs w:val="24"/>
          <w:shd w:val="clear" w:color="auto" w:fill="FCFCFC"/>
          <w:lang w:val="en-GB"/>
        </w:rPr>
        <w:t xml:space="preserve"> using the tools of interfaith dialogue.</w:t>
      </w:r>
    </w:p>
    <w:p w14:paraId="3D1D553A" w14:textId="7759A94F" w:rsidR="00226A59" w:rsidRDefault="00D66D6B" w:rsidP="00215C7B">
      <w:pPr>
        <w:spacing w:line="360" w:lineRule="auto"/>
        <w:rPr>
          <w:rFonts w:asciiTheme="majorHAnsi" w:hAnsiTheme="majorHAnsi"/>
          <w:i/>
          <w:iCs/>
          <w:color w:val="333333"/>
          <w:sz w:val="24"/>
          <w:szCs w:val="24"/>
          <w:shd w:val="clear" w:color="auto" w:fill="FCFCFC"/>
          <w:lang w:val="en-GB"/>
        </w:rPr>
      </w:pPr>
      <w:r w:rsidRPr="00226A59">
        <w:rPr>
          <w:rFonts w:asciiTheme="majorHAnsi" w:hAnsiTheme="majorHAnsi"/>
          <w:color w:val="333333"/>
          <w:sz w:val="24"/>
          <w:szCs w:val="24"/>
          <w:shd w:val="clear" w:color="auto" w:fill="FCFCFC"/>
          <w:lang w:val="en-GB"/>
        </w:rPr>
        <w:t>-</w:t>
      </w:r>
      <w:r w:rsidRPr="00215C7B">
        <w:rPr>
          <w:rFonts w:asciiTheme="majorHAnsi" w:hAnsiTheme="majorHAnsi"/>
          <w:i/>
          <w:iCs/>
          <w:color w:val="333333"/>
          <w:sz w:val="24"/>
          <w:szCs w:val="24"/>
          <w:shd w:val="clear" w:color="auto" w:fill="FCFCFC"/>
          <w:lang w:val="en-GB"/>
        </w:rPr>
        <w:t xml:space="preserve">What are the possible interfaith dialogue activities and possibilities that can be deployed to </w:t>
      </w:r>
      <w:r w:rsidRPr="00215C7B">
        <w:rPr>
          <w:rFonts w:asciiTheme="majorHAnsi" w:hAnsiTheme="majorHAnsi"/>
          <w:i/>
          <w:iCs/>
          <w:color w:val="333333"/>
          <w:sz w:val="24"/>
          <w:szCs w:val="24"/>
          <w:shd w:val="clear" w:color="auto" w:fill="FCFCFC"/>
          <w:lang w:val="en-GB"/>
        </w:rPr>
        <w:t>foster peace between religious groups in places of conflict?</w:t>
      </w:r>
    </w:p>
    <w:p w14:paraId="45C12A71" w14:textId="1E861CE0" w:rsidR="00D66D6B" w:rsidRDefault="00D66D6B" w:rsidP="00215C7B">
      <w:pPr>
        <w:spacing w:line="360" w:lineRule="auto"/>
        <w:rPr>
          <w:rFonts w:asciiTheme="majorHAnsi" w:hAnsiTheme="majorHAnsi"/>
          <w:i/>
          <w:iCs/>
          <w:color w:val="333333"/>
          <w:sz w:val="24"/>
          <w:szCs w:val="24"/>
          <w:shd w:val="clear" w:color="auto" w:fill="FCFCFC"/>
          <w:lang w:val="en-GB"/>
        </w:rPr>
      </w:pPr>
    </w:p>
    <w:p w14:paraId="1A0E7F77" w14:textId="77777777" w:rsidR="00D66D6B" w:rsidRDefault="00D66D6B" w:rsidP="00215C7B">
      <w:pPr>
        <w:spacing w:line="360" w:lineRule="auto"/>
        <w:rPr>
          <w:rFonts w:asciiTheme="majorHAnsi" w:hAnsiTheme="majorHAnsi"/>
          <w:i/>
          <w:iCs/>
          <w:color w:val="333333"/>
          <w:sz w:val="24"/>
          <w:szCs w:val="24"/>
          <w:shd w:val="clear" w:color="auto" w:fill="FCFCFC"/>
          <w:lang w:val="en-GB"/>
        </w:rPr>
      </w:pPr>
    </w:p>
    <w:p w14:paraId="41306AC8" w14:textId="30A6500C" w:rsidR="00D66D6B" w:rsidRPr="00D66D6B" w:rsidRDefault="00D66D6B" w:rsidP="00215C7B">
      <w:pPr>
        <w:spacing w:line="360" w:lineRule="auto"/>
        <w:rPr>
          <w:rFonts w:asciiTheme="majorHAnsi" w:hAnsiTheme="majorHAnsi"/>
          <w:b/>
          <w:bCs/>
          <w:color w:val="333333"/>
          <w:sz w:val="24"/>
          <w:szCs w:val="24"/>
          <w:shd w:val="clear" w:color="auto" w:fill="FCFCFC"/>
          <w:lang w:val="en-GB"/>
        </w:rPr>
      </w:pPr>
      <w:r>
        <w:rPr>
          <w:rFonts w:asciiTheme="majorHAnsi" w:hAnsiTheme="majorHAnsi"/>
          <w:b/>
          <w:bCs/>
          <w:color w:val="333333"/>
          <w:sz w:val="24"/>
          <w:szCs w:val="24"/>
          <w:shd w:val="clear" w:color="auto" w:fill="FCFCFC"/>
          <w:lang w:val="en-GB"/>
        </w:rPr>
        <w:t xml:space="preserve">Further questions: </w:t>
      </w:r>
    </w:p>
    <w:p w14:paraId="2668D11B" w14:textId="7B0387DC" w:rsidR="001E6CD4" w:rsidRDefault="00D66D6B" w:rsidP="00215C7B">
      <w:pPr>
        <w:spacing w:line="360" w:lineRule="auto"/>
        <w:rPr>
          <w:rFonts w:asciiTheme="majorHAnsi" w:hAnsiTheme="majorHAnsi"/>
          <w:i/>
          <w:iCs/>
          <w:color w:val="333333"/>
          <w:sz w:val="24"/>
          <w:szCs w:val="24"/>
          <w:shd w:val="clear" w:color="auto" w:fill="FCFCFC"/>
          <w:lang w:val="en-GB"/>
        </w:rPr>
      </w:pPr>
      <w:r>
        <w:rPr>
          <w:rFonts w:asciiTheme="majorHAnsi" w:hAnsiTheme="majorHAnsi"/>
          <w:i/>
          <w:iCs/>
          <w:color w:val="333333"/>
          <w:sz w:val="24"/>
          <w:szCs w:val="24"/>
          <w:shd w:val="clear" w:color="auto" w:fill="FCFCFC"/>
          <w:lang w:val="en-GB"/>
        </w:rPr>
        <w:t>- What are the differences between created spaces and natural spaces?</w:t>
      </w:r>
    </w:p>
    <w:p w14:paraId="517FFFD4" w14:textId="1C205AEA" w:rsidR="001E6CD4" w:rsidRDefault="00D66D6B" w:rsidP="00215C7B">
      <w:pPr>
        <w:spacing w:line="360" w:lineRule="auto"/>
        <w:rPr>
          <w:rFonts w:asciiTheme="majorHAnsi" w:hAnsiTheme="majorHAnsi"/>
          <w:i/>
          <w:iCs/>
          <w:color w:val="333333"/>
          <w:sz w:val="24"/>
          <w:szCs w:val="24"/>
          <w:shd w:val="clear" w:color="auto" w:fill="FCFCFC"/>
          <w:lang w:val="en-GB"/>
        </w:rPr>
      </w:pPr>
      <w:r>
        <w:rPr>
          <w:rFonts w:asciiTheme="majorHAnsi" w:hAnsiTheme="majorHAnsi"/>
          <w:i/>
          <w:iCs/>
          <w:color w:val="333333"/>
          <w:sz w:val="24"/>
          <w:szCs w:val="24"/>
          <w:shd w:val="clear" w:color="auto" w:fill="FCFCFC"/>
          <w:lang w:val="en-GB"/>
        </w:rPr>
        <w:t>- What are non-physical shared spaces and how can they be approached?</w:t>
      </w:r>
    </w:p>
    <w:p w14:paraId="37061FF2" w14:textId="3C6D68D2" w:rsidR="001E6CD4" w:rsidRPr="00226A59" w:rsidRDefault="00D66D6B" w:rsidP="00215C7B">
      <w:pPr>
        <w:spacing w:line="360" w:lineRule="auto"/>
        <w:rPr>
          <w:rFonts w:asciiTheme="majorHAnsi" w:hAnsiTheme="majorHAnsi"/>
          <w:color w:val="333333"/>
          <w:sz w:val="24"/>
          <w:szCs w:val="24"/>
          <w:shd w:val="clear" w:color="auto" w:fill="FCFCFC"/>
          <w:lang w:val="en-GB"/>
        </w:rPr>
      </w:pPr>
      <w:r>
        <w:rPr>
          <w:rFonts w:asciiTheme="majorHAnsi" w:hAnsiTheme="majorHAnsi"/>
          <w:i/>
          <w:iCs/>
          <w:color w:val="333333"/>
          <w:sz w:val="24"/>
          <w:szCs w:val="24"/>
          <w:shd w:val="clear" w:color="auto" w:fill="FCFCFC"/>
          <w:lang w:val="en-GB"/>
        </w:rPr>
        <w:t>- What are good examples of shared sacred spaces? And h</w:t>
      </w:r>
      <w:r>
        <w:rPr>
          <w:rFonts w:asciiTheme="majorHAnsi" w:hAnsiTheme="majorHAnsi"/>
          <w:i/>
          <w:iCs/>
          <w:color w:val="333333"/>
          <w:sz w:val="24"/>
          <w:szCs w:val="24"/>
          <w:shd w:val="clear" w:color="auto" w:fill="FCFCFC"/>
          <w:lang w:val="en-GB"/>
        </w:rPr>
        <w:t>ow are they relevant for interfaith dialogue?</w:t>
      </w:r>
    </w:p>
    <w:p w14:paraId="2F9D1F96" w14:textId="393CB3A6" w:rsidR="008903B9" w:rsidRDefault="008903B9" w:rsidP="00215C7B">
      <w:pPr>
        <w:spacing w:line="360" w:lineRule="auto"/>
        <w:rPr>
          <w:rFonts w:asciiTheme="majorHAnsi" w:hAnsiTheme="majorHAnsi"/>
          <w:sz w:val="24"/>
          <w:szCs w:val="24"/>
          <w:lang w:val="en-GB"/>
        </w:rPr>
      </w:pPr>
    </w:p>
    <w:p w14:paraId="68C4C2B7" w14:textId="77777777" w:rsidR="00D66D6B" w:rsidRPr="00226A59" w:rsidRDefault="00D66D6B" w:rsidP="00215C7B">
      <w:pPr>
        <w:spacing w:line="360" w:lineRule="auto"/>
        <w:rPr>
          <w:rFonts w:asciiTheme="majorHAnsi" w:hAnsiTheme="majorHAnsi"/>
          <w:sz w:val="24"/>
          <w:szCs w:val="24"/>
          <w:lang w:val="en-GB"/>
        </w:rPr>
      </w:pPr>
    </w:p>
    <w:p w14:paraId="4373783E" w14:textId="77777777" w:rsidR="000F732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lastRenderedPageBreak/>
        <w:t>Literature</w:t>
      </w:r>
    </w:p>
    <w:p w14:paraId="7C24EBA9" w14:textId="77777777" w:rsidR="000F7325" w:rsidRPr="00226A59" w:rsidRDefault="000F7325" w:rsidP="00215C7B">
      <w:pPr>
        <w:pStyle w:val="Testonotaapidipagina"/>
        <w:spacing w:line="360" w:lineRule="auto"/>
        <w:rPr>
          <w:rFonts w:asciiTheme="majorHAnsi" w:hAnsiTheme="majorHAnsi"/>
          <w:sz w:val="24"/>
          <w:szCs w:val="24"/>
        </w:rPr>
      </w:pPr>
    </w:p>
    <w:p w14:paraId="2F71BE5D" w14:textId="77777777" w:rsidR="000F732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Brand Ralf (2012): </w:t>
      </w:r>
      <w:r w:rsidRPr="00226A59">
        <w:rPr>
          <w:rFonts w:asciiTheme="majorHAnsi" w:hAnsiTheme="majorHAnsi"/>
          <w:i/>
          <w:iCs/>
          <w:sz w:val="24"/>
          <w:szCs w:val="24"/>
          <w:lang w:val="en-GB"/>
        </w:rPr>
        <w:t xml:space="preserve">case Study 4: Multi-faith Spaces as Symptoms and Agents of Change. </w:t>
      </w:r>
      <w:r w:rsidRPr="00226A59">
        <w:rPr>
          <w:rFonts w:asciiTheme="majorHAnsi" w:hAnsiTheme="majorHAnsi"/>
          <w:sz w:val="24"/>
          <w:szCs w:val="24"/>
          <w:lang w:val="en-GB"/>
        </w:rPr>
        <w:t>In: Woodhead L., Catto R. (eds.): Religion and Change in modern Britain. Oxford: Routledge</w:t>
      </w:r>
    </w:p>
    <w:p w14:paraId="39A0B4F3" w14:textId="77777777" w:rsidR="000F732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Crompton, Andrew (2013): </w:t>
      </w:r>
      <w:r w:rsidRPr="00226A59">
        <w:rPr>
          <w:rFonts w:asciiTheme="majorHAnsi" w:hAnsiTheme="majorHAnsi"/>
          <w:i/>
          <w:iCs/>
          <w:sz w:val="24"/>
          <w:szCs w:val="24"/>
          <w:lang w:val="en-GB"/>
        </w:rPr>
        <w:t xml:space="preserve"> The architecture of multifaith spaces: God leaves the building. </w:t>
      </w:r>
      <w:r w:rsidRPr="00226A59">
        <w:rPr>
          <w:rFonts w:asciiTheme="majorHAnsi" w:hAnsiTheme="majorHAnsi"/>
          <w:sz w:val="24"/>
          <w:szCs w:val="24"/>
          <w:lang w:val="en-GB"/>
        </w:rPr>
        <w:t>In: The Journal of Architecture 18(4): 474-496</w:t>
      </w:r>
    </w:p>
    <w:p w14:paraId="654AACD6" w14:textId="77777777" w:rsidR="000F732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Crosbie Michael J. (2014): </w:t>
      </w:r>
      <w:r w:rsidRPr="00226A59">
        <w:rPr>
          <w:rFonts w:asciiTheme="majorHAnsi" w:hAnsiTheme="majorHAnsi"/>
          <w:i/>
          <w:iCs/>
          <w:sz w:val="24"/>
          <w:szCs w:val="24"/>
          <w:lang w:val="en-GB"/>
        </w:rPr>
        <w:t xml:space="preserve">Campus Multifaith </w:t>
      </w:r>
      <w:proofErr w:type="spellStart"/>
      <w:r w:rsidRPr="00226A59">
        <w:rPr>
          <w:rFonts w:asciiTheme="majorHAnsi" w:hAnsiTheme="majorHAnsi"/>
          <w:i/>
          <w:iCs/>
          <w:sz w:val="24"/>
          <w:szCs w:val="24"/>
          <w:lang w:val="en-GB"/>
        </w:rPr>
        <w:t>Centers</w:t>
      </w:r>
      <w:proofErr w:type="spellEnd"/>
      <w:r w:rsidRPr="00226A59">
        <w:rPr>
          <w:rFonts w:asciiTheme="majorHAnsi" w:hAnsiTheme="majorHAnsi"/>
          <w:i/>
          <w:iCs/>
          <w:sz w:val="24"/>
          <w:szCs w:val="24"/>
          <w:lang w:val="en-GB"/>
        </w:rPr>
        <w:t xml:space="preserve"> as Setting for Multicultural Dialogue. </w:t>
      </w:r>
      <w:r w:rsidRPr="00226A59">
        <w:rPr>
          <w:rFonts w:asciiTheme="majorHAnsi" w:hAnsiTheme="majorHAnsi"/>
          <w:sz w:val="24"/>
          <w:szCs w:val="24"/>
          <w:lang w:val="en-GB"/>
        </w:rPr>
        <w:t>In: Faith &amp; Forum: The Inte</w:t>
      </w:r>
      <w:r w:rsidRPr="00226A59">
        <w:rPr>
          <w:rFonts w:asciiTheme="majorHAnsi" w:hAnsiTheme="majorHAnsi"/>
          <w:sz w:val="24"/>
          <w:szCs w:val="24"/>
          <w:lang w:val="en-GB"/>
        </w:rPr>
        <w:t>rnational Journal of Religion, Art, and Architecture</w:t>
      </w:r>
    </w:p>
    <w:p w14:paraId="7CD5706B" w14:textId="77777777" w:rsidR="000F732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Decimo </w:t>
      </w:r>
      <w:proofErr w:type="spellStart"/>
      <w:r w:rsidRPr="00226A59">
        <w:rPr>
          <w:rFonts w:asciiTheme="majorHAnsi" w:hAnsiTheme="majorHAnsi"/>
          <w:sz w:val="24"/>
          <w:szCs w:val="24"/>
          <w:lang w:val="en-GB"/>
        </w:rPr>
        <w:t>Ludovica</w:t>
      </w:r>
      <w:proofErr w:type="spellEnd"/>
      <w:r w:rsidRPr="00226A59">
        <w:rPr>
          <w:rFonts w:asciiTheme="majorHAnsi" w:hAnsiTheme="majorHAnsi"/>
          <w:sz w:val="24"/>
          <w:szCs w:val="24"/>
          <w:lang w:val="en-GB"/>
        </w:rPr>
        <w:t xml:space="preserve"> (2020): </w:t>
      </w:r>
      <w:r w:rsidRPr="00226A59">
        <w:rPr>
          <w:rFonts w:asciiTheme="majorHAnsi" w:hAnsiTheme="majorHAnsi"/>
          <w:i/>
          <w:iCs/>
          <w:sz w:val="24"/>
          <w:szCs w:val="24"/>
          <w:lang w:val="en-GB"/>
        </w:rPr>
        <w:t xml:space="preserve">Sacred Places: The Heritage of Religious Groups. </w:t>
      </w:r>
      <w:r w:rsidRPr="00226A59">
        <w:rPr>
          <w:rFonts w:asciiTheme="majorHAnsi" w:hAnsiTheme="majorHAnsi"/>
          <w:sz w:val="24"/>
          <w:szCs w:val="24"/>
          <w:lang w:val="en-GB"/>
        </w:rPr>
        <w:t xml:space="preserve">In: </w:t>
      </w:r>
      <w:proofErr w:type="spellStart"/>
      <w:r w:rsidRPr="00226A59">
        <w:rPr>
          <w:rFonts w:asciiTheme="majorHAnsi" w:hAnsiTheme="majorHAnsi"/>
          <w:sz w:val="24"/>
          <w:szCs w:val="24"/>
          <w:lang w:val="en-GB"/>
        </w:rPr>
        <w:t>Fuccillo</w:t>
      </w:r>
      <w:proofErr w:type="spellEnd"/>
      <w:r w:rsidRPr="00226A59">
        <w:rPr>
          <w:rFonts w:asciiTheme="majorHAnsi" w:hAnsiTheme="majorHAnsi"/>
          <w:sz w:val="24"/>
          <w:szCs w:val="24"/>
          <w:lang w:val="en-GB"/>
        </w:rPr>
        <w:t xml:space="preserve"> Antonio (ed.): Through the barricades. The Charter of New Alliance of Virtue. Napoli: </w:t>
      </w:r>
      <w:proofErr w:type="spellStart"/>
      <w:r w:rsidRPr="00226A59">
        <w:rPr>
          <w:rFonts w:asciiTheme="majorHAnsi" w:hAnsiTheme="majorHAnsi"/>
          <w:sz w:val="24"/>
          <w:szCs w:val="24"/>
          <w:lang w:val="en-GB"/>
        </w:rPr>
        <w:t>Editoriale</w:t>
      </w:r>
      <w:proofErr w:type="spellEnd"/>
      <w:r w:rsidRPr="00226A59">
        <w:rPr>
          <w:rFonts w:asciiTheme="majorHAnsi" w:hAnsiTheme="majorHAnsi"/>
          <w:sz w:val="24"/>
          <w:szCs w:val="24"/>
          <w:lang w:val="en-GB"/>
        </w:rPr>
        <w:t xml:space="preserve"> </w:t>
      </w:r>
      <w:proofErr w:type="spellStart"/>
      <w:r w:rsidRPr="00226A59">
        <w:rPr>
          <w:rFonts w:asciiTheme="majorHAnsi" w:hAnsiTheme="majorHAnsi"/>
          <w:sz w:val="24"/>
          <w:szCs w:val="24"/>
          <w:lang w:val="en-GB"/>
        </w:rPr>
        <w:t>Scientifica</w:t>
      </w:r>
      <w:proofErr w:type="spellEnd"/>
    </w:p>
    <w:p w14:paraId="5C9BBC8B" w14:textId="77777777" w:rsidR="000F7325" w:rsidRPr="00226A59" w:rsidRDefault="00D66D6B" w:rsidP="00215C7B">
      <w:pPr>
        <w:pStyle w:val="Testonotaapidipagina"/>
        <w:spacing w:line="360" w:lineRule="auto"/>
        <w:rPr>
          <w:rFonts w:asciiTheme="majorHAnsi" w:hAnsiTheme="majorHAnsi" w:cs="Helvetica"/>
          <w:color w:val="333333"/>
          <w:sz w:val="24"/>
          <w:szCs w:val="24"/>
          <w:shd w:val="clear" w:color="auto" w:fill="FFFFFF"/>
        </w:rPr>
      </w:pPr>
      <w:proofErr w:type="spellStart"/>
      <w:r w:rsidRPr="00226A59">
        <w:rPr>
          <w:rFonts w:asciiTheme="majorHAnsi" w:hAnsiTheme="majorHAnsi"/>
          <w:sz w:val="24"/>
          <w:szCs w:val="24"/>
        </w:rPr>
        <w:t>Kujawa</w:t>
      </w:r>
      <w:proofErr w:type="spellEnd"/>
      <w:r w:rsidRPr="00226A59">
        <w:rPr>
          <w:rFonts w:asciiTheme="majorHAnsi" w:hAnsiTheme="majorHAnsi"/>
          <w:sz w:val="24"/>
          <w:szCs w:val="24"/>
        </w:rPr>
        <w:t>-H</w:t>
      </w:r>
      <w:r w:rsidRPr="00226A59">
        <w:rPr>
          <w:rFonts w:asciiTheme="majorHAnsi" w:hAnsiTheme="majorHAnsi"/>
          <w:sz w:val="24"/>
          <w:szCs w:val="24"/>
        </w:rPr>
        <w:t xml:space="preserve">olbrook, Sheryl A. (2015): </w:t>
      </w:r>
      <w:r w:rsidRPr="00226A59">
        <w:rPr>
          <w:rFonts w:asciiTheme="majorHAnsi" w:hAnsiTheme="majorHAnsi"/>
          <w:i/>
          <w:iCs/>
          <w:sz w:val="24"/>
          <w:szCs w:val="24"/>
        </w:rPr>
        <w:t xml:space="preserve">Sacred Spaces as Tools for Interreligious Dialogue. </w:t>
      </w:r>
      <w:r w:rsidRPr="00226A59">
        <w:rPr>
          <w:rFonts w:asciiTheme="majorHAnsi" w:hAnsiTheme="majorHAnsi"/>
          <w:sz w:val="24"/>
          <w:szCs w:val="24"/>
        </w:rPr>
        <w:t xml:space="preserve">In: </w:t>
      </w:r>
      <w:proofErr w:type="spellStart"/>
      <w:r w:rsidRPr="00226A59">
        <w:rPr>
          <w:rFonts w:asciiTheme="majorHAnsi" w:hAnsiTheme="majorHAnsi"/>
          <w:sz w:val="24"/>
          <w:szCs w:val="24"/>
        </w:rPr>
        <w:t>Berlis</w:t>
      </w:r>
      <w:proofErr w:type="spellEnd"/>
      <w:r w:rsidRPr="00226A59">
        <w:rPr>
          <w:rFonts w:asciiTheme="majorHAnsi" w:hAnsiTheme="majorHAnsi"/>
          <w:sz w:val="24"/>
          <w:szCs w:val="24"/>
        </w:rPr>
        <w:t xml:space="preserve"> Angela, Pratt Douglas (Eds.): </w:t>
      </w:r>
      <w:r w:rsidRPr="00226A59">
        <w:rPr>
          <w:rFonts w:asciiTheme="majorHAnsi" w:hAnsiTheme="majorHAnsi" w:cs="Helvetica"/>
          <w:color w:val="333333"/>
          <w:sz w:val="24"/>
          <w:szCs w:val="24"/>
          <w:shd w:val="clear" w:color="auto" w:fill="FFFFFF"/>
        </w:rPr>
        <w:t xml:space="preserve"> From Encounter to Commitment: Interreligious Experience and Theological Reflection. Bern: University of Bern Press, 115 </w:t>
      </w:r>
    </w:p>
    <w:p w14:paraId="5D9D020D" w14:textId="77777777" w:rsidR="000F7325" w:rsidRPr="00226A59" w:rsidRDefault="000F7325" w:rsidP="00215C7B">
      <w:pPr>
        <w:pStyle w:val="Testonotaapidipagina"/>
        <w:spacing w:line="360" w:lineRule="auto"/>
        <w:rPr>
          <w:rFonts w:asciiTheme="majorHAnsi" w:hAnsiTheme="majorHAnsi" w:cs="Helvetica"/>
          <w:color w:val="333333"/>
          <w:sz w:val="24"/>
          <w:szCs w:val="24"/>
          <w:shd w:val="clear" w:color="auto" w:fill="FFFFFF"/>
        </w:rPr>
      </w:pPr>
    </w:p>
    <w:p w14:paraId="7E679429" w14:textId="1667BE3F" w:rsidR="000F7325" w:rsidRPr="00226A59" w:rsidRDefault="00D66D6B" w:rsidP="00215C7B">
      <w:pPr>
        <w:spacing w:line="360" w:lineRule="auto"/>
        <w:rPr>
          <w:rFonts w:asciiTheme="majorHAnsi" w:hAnsiTheme="majorHAnsi"/>
          <w:sz w:val="24"/>
          <w:szCs w:val="24"/>
          <w:lang w:val="en-GB"/>
        </w:rPr>
      </w:pPr>
      <w:proofErr w:type="spellStart"/>
      <w:r w:rsidRPr="00226A59">
        <w:rPr>
          <w:rFonts w:asciiTheme="majorHAnsi" w:hAnsiTheme="majorHAnsi"/>
          <w:sz w:val="24"/>
          <w:szCs w:val="24"/>
          <w:lang w:val="en-GB"/>
        </w:rPr>
        <w:t>Petrof</w:t>
      </w:r>
      <w:proofErr w:type="spellEnd"/>
      <w:r w:rsidRPr="00226A59">
        <w:rPr>
          <w:rFonts w:asciiTheme="majorHAnsi" w:hAnsiTheme="majorHAnsi"/>
          <w:sz w:val="24"/>
          <w:szCs w:val="24"/>
          <w:lang w:val="en-GB"/>
        </w:rPr>
        <w:t xml:space="preserve"> Sorin </w:t>
      </w:r>
      <w:r w:rsidRPr="00226A59">
        <w:rPr>
          <w:rFonts w:asciiTheme="majorHAnsi" w:hAnsiTheme="majorHAnsi"/>
          <w:sz w:val="24"/>
          <w:szCs w:val="24"/>
          <w:lang w:val="en-GB"/>
        </w:rPr>
        <w:t xml:space="preserve">(2015): </w:t>
      </w:r>
      <w:r w:rsidRPr="00226A59">
        <w:rPr>
          <w:rFonts w:asciiTheme="majorHAnsi" w:hAnsiTheme="majorHAnsi"/>
          <w:i/>
          <w:iCs/>
          <w:sz w:val="24"/>
          <w:szCs w:val="24"/>
          <w:lang w:val="en-GB"/>
        </w:rPr>
        <w:t xml:space="preserve">Religious Broadcasting. Between Sacred and profane. Toward a Ritualized Mystification. </w:t>
      </w:r>
      <w:r w:rsidRPr="00226A59">
        <w:rPr>
          <w:rFonts w:asciiTheme="majorHAnsi" w:hAnsiTheme="majorHAnsi"/>
          <w:sz w:val="24"/>
          <w:szCs w:val="24"/>
          <w:lang w:val="en-GB"/>
        </w:rPr>
        <w:t>In: Journal for the Study of Religions and Ideologies 14(40): 92-111</w:t>
      </w:r>
    </w:p>
    <w:p w14:paraId="66ABEFEA" w14:textId="2D0CB9E3" w:rsidR="000F732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Sheik Aziz et al. (2004): </w:t>
      </w:r>
      <w:r w:rsidRPr="00226A59">
        <w:rPr>
          <w:rFonts w:asciiTheme="majorHAnsi" w:hAnsiTheme="majorHAnsi"/>
          <w:i/>
          <w:iCs/>
          <w:sz w:val="24"/>
          <w:szCs w:val="24"/>
          <w:lang w:val="en-GB"/>
        </w:rPr>
        <w:t xml:space="preserve">The Myth of Multifaith chaplaincy: a national survey of hospital chaplaincy departments in England and Wales. </w:t>
      </w:r>
      <w:r w:rsidRPr="00226A59">
        <w:rPr>
          <w:rFonts w:asciiTheme="majorHAnsi" w:hAnsiTheme="majorHAnsi"/>
          <w:sz w:val="24"/>
          <w:szCs w:val="24"/>
          <w:lang w:val="en-GB"/>
        </w:rPr>
        <w:t>In: Diversity in Health and Social Care 1: 93-98</w:t>
      </w:r>
    </w:p>
    <w:p w14:paraId="6D1FCA22" w14:textId="77777777" w:rsidR="000F7325" w:rsidRPr="00226A59" w:rsidRDefault="00D66D6B" w:rsidP="00215C7B">
      <w:pPr>
        <w:spacing w:line="360" w:lineRule="auto"/>
        <w:rPr>
          <w:rFonts w:asciiTheme="majorHAnsi" w:hAnsiTheme="majorHAnsi"/>
          <w:sz w:val="24"/>
          <w:szCs w:val="24"/>
          <w:lang w:val="en-GB"/>
        </w:rPr>
      </w:pPr>
      <w:r w:rsidRPr="00226A59">
        <w:rPr>
          <w:rFonts w:asciiTheme="majorHAnsi" w:hAnsiTheme="majorHAnsi"/>
          <w:sz w:val="24"/>
          <w:szCs w:val="24"/>
          <w:lang w:val="en-GB"/>
        </w:rPr>
        <w:t xml:space="preserve">Smith D. Jonathan (2015): </w:t>
      </w:r>
      <w:r w:rsidRPr="00226A59">
        <w:rPr>
          <w:rFonts w:asciiTheme="majorHAnsi" w:hAnsiTheme="majorHAnsi"/>
          <w:i/>
          <w:iCs/>
          <w:sz w:val="24"/>
          <w:szCs w:val="24"/>
          <w:lang w:val="en-GB"/>
        </w:rPr>
        <w:t>Multi-faith</w:t>
      </w:r>
      <w:r w:rsidRPr="00226A59">
        <w:rPr>
          <w:rFonts w:asciiTheme="majorHAnsi" w:hAnsiTheme="majorHAnsi"/>
          <w:sz w:val="24"/>
          <w:szCs w:val="24"/>
          <w:lang w:val="en-GB"/>
        </w:rPr>
        <w:t xml:space="preserve"> </w:t>
      </w:r>
      <w:r w:rsidRPr="00226A59">
        <w:rPr>
          <w:rFonts w:asciiTheme="majorHAnsi" w:hAnsiTheme="majorHAnsi"/>
          <w:i/>
          <w:iCs/>
          <w:sz w:val="24"/>
          <w:szCs w:val="24"/>
          <w:lang w:val="en-GB"/>
        </w:rPr>
        <w:t>muddle: trends in managing prayer spaces at UK universities</w:t>
      </w:r>
      <w:r w:rsidRPr="00226A59">
        <w:rPr>
          <w:rFonts w:asciiTheme="majorHAnsi" w:hAnsiTheme="majorHAnsi"/>
          <w:i/>
          <w:iCs/>
          <w:sz w:val="24"/>
          <w:szCs w:val="24"/>
          <w:lang w:val="en-GB"/>
        </w:rPr>
        <w:t xml:space="preserve">. </w:t>
      </w:r>
      <w:r w:rsidRPr="00226A59">
        <w:rPr>
          <w:rFonts w:asciiTheme="majorHAnsi" w:hAnsiTheme="majorHAnsi"/>
          <w:sz w:val="24"/>
          <w:szCs w:val="24"/>
          <w:lang w:val="en-GB"/>
        </w:rPr>
        <w:t>Paper presented at the 33</w:t>
      </w:r>
      <w:r w:rsidRPr="00226A59">
        <w:rPr>
          <w:rFonts w:asciiTheme="majorHAnsi" w:hAnsiTheme="majorHAnsi"/>
          <w:sz w:val="24"/>
          <w:szCs w:val="24"/>
          <w:vertAlign w:val="superscript"/>
          <w:lang w:val="en-GB"/>
        </w:rPr>
        <w:t>rd</w:t>
      </w:r>
      <w:r w:rsidRPr="00226A59">
        <w:rPr>
          <w:rFonts w:asciiTheme="majorHAnsi" w:hAnsiTheme="majorHAnsi"/>
          <w:sz w:val="24"/>
          <w:szCs w:val="24"/>
          <w:lang w:val="en-GB"/>
        </w:rPr>
        <w:t xml:space="preserve"> International Society for the Sociology of Religion Conference on 2 June 2015 </w:t>
      </w:r>
    </w:p>
    <w:p w14:paraId="0F3B34F5" w14:textId="7118A302" w:rsidR="009713C5" w:rsidRPr="00226A59" w:rsidRDefault="009713C5" w:rsidP="00215C7B">
      <w:pPr>
        <w:spacing w:line="360" w:lineRule="auto"/>
        <w:rPr>
          <w:rFonts w:asciiTheme="majorHAnsi" w:hAnsiTheme="majorHAnsi"/>
          <w:sz w:val="24"/>
          <w:szCs w:val="24"/>
          <w:lang w:val="en-GB"/>
        </w:rPr>
      </w:pPr>
    </w:p>
    <w:sectPr w:rsidR="009713C5" w:rsidRPr="00226A5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3C5"/>
    <w:rsid w:val="00082D70"/>
    <w:rsid w:val="000F7325"/>
    <w:rsid w:val="001E6CD4"/>
    <w:rsid w:val="00215C7B"/>
    <w:rsid w:val="00226A59"/>
    <w:rsid w:val="005468CA"/>
    <w:rsid w:val="00571A16"/>
    <w:rsid w:val="00765DCE"/>
    <w:rsid w:val="007A3255"/>
    <w:rsid w:val="008903B9"/>
    <w:rsid w:val="009713C5"/>
    <w:rsid w:val="009C10DD"/>
    <w:rsid w:val="00A11C2E"/>
    <w:rsid w:val="00AF1011"/>
    <w:rsid w:val="00BA0D92"/>
    <w:rsid w:val="00D46B2D"/>
    <w:rsid w:val="00D66D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F227D"/>
  <w15:chartTrackingRefBased/>
  <w15:docId w15:val="{BB2B6376-30A8-4A33-A48B-F23F35475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468CA"/>
    <w:rPr>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9713C5"/>
    <w:pPr>
      <w:spacing w:after="0" w:line="240" w:lineRule="auto"/>
    </w:pPr>
    <w:rPr>
      <w:sz w:val="20"/>
      <w:szCs w:val="20"/>
      <w:lang w:val="en-GB"/>
    </w:rPr>
  </w:style>
  <w:style w:type="character" w:customStyle="1" w:styleId="TestonotaapidipaginaCarattere">
    <w:name w:val="Testo nota a piè di pagina Carattere"/>
    <w:basedOn w:val="Carpredefinitoparagrafo"/>
    <w:link w:val="Testonotaapidipagina"/>
    <w:uiPriority w:val="99"/>
    <w:semiHidden/>
    <w:rsid w:val="009713C5"/>
    <w:rPr>
      <w:sz w:val="20"/>
      <w:szCs w:val="20"/>
      <w:lang w:val="en-GB"/>
    </w:rPr>
  </w:style>
  <w:style w:type="character" w:styleId="Rimandonotaapidipagina">
    <w:name w:val="footnote reference"/>
    <w:basedOn w:val="Carpredefinitoparagrafo"/>
    <w:uiPriority w:val="99"/>
    <w:semiHidden/>
    <w:unhideWhenUsed/>
    <w:rsid w:val="009713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aramond">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912</Words>
  <Characters>5750</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Tanja Mancinelli</dc:creator>
  <cp:lastModifiedBy>Tanja Mancinelli</cp:lastModifiedBy>
  <cp:revision>5</cp:revision>
  <dcterms:created xsi:type="dcterms:W3CDTF">2020-11-12T15:16:00Z</dcterms:created>
  <dcterms:modified xsi:type="dcterms:W3CDTF">2020-11-12T17:31:00Z</dcterms:modified>
</cp:coreProperties>
</file>