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042A3" w14:textId="37A688F6" w:rsidR="004B45CE" w:rsidRPr="000C45E7" w:rsidRDefault="00F31A33">
      <w:pPr>
        <w:rPr>
          <w:b/>
          <w:bCs/>
          <w:sz w:val="28"/>
          <w:szCs w:val="28"/>
        </w:rPr>
      </w:pPr>
      <w:r w:rsidRPr="000C45E7">
        <w:rPr>
          <w:b/>
          <w:bCs/>
          <w:sz w:val="28"/>
          <w:szCs w:val="28"/>
        </w:rPr>
        <w:t xml:space="preserve">Reform of Non-Fatal Offences Against the Person </w:t>
      </w:r>
    </w:p>
    <w:p w14:paraId="611E7A51" w14:textId="0FDC9C61" w:rsidR="00DC074E" w:rsidRDefault="00F31A33">
      <w:r>
        <w:t xml:space="preserve">The Offences Against the Person Act was enacted in 1861 </w:t>
      </w:r>
      <w:r w:rsidR="004837A0">
        <w:t>(</w:t>
      </w:r>
      <w:r>
        <w:t xml:space="preserve">OAPA 1861) to </w:t>
      </w:r>
      <w:r w:rsidR="00F57B9D">
        <w:t xml:space="preserve">consolidate provisions for </w:t>
      </w:r>
      <w:r w:rsidR="002673F4">
        <w:t xml:space="preserve">all </w:t>
      </w:r>
      <w:r>
        <w:t>violent offences</w:t>
      </w:r>
      <w:r w:rsidR="002673F4">
        <w:t xml:space="preserve"> from earlier statutes over the preceding centuries into one single Act</w:t>
      </w:r>
      <w:r w:rsidR="00C243B4">
        <w:t>,</w:t>
      </w:r>
      <w:r w:rsidR="002673F4">
        <w:t xml:space="preserve"> with the aim to simplify the law</w:t>
      </w:r>
      <w:r>
        <w:t>. It has been in operation for over 150 years and is the current statute dealing with violent offences</w:t>
      </w:r>
      <w:r w:rsidR="00B273D1">
        <w:t xml:space="preserve"> in today’s modern society</w:t>
      </w:r>
      <w:r>
        <w:t>.</w:t>
      </w:r>
      <w:r w:rsidR="00A372CE">
        <w:t xml:space="preserve"> According to the Law Commissions report</w:t>
      </w:r>
      <w:r w:rsidR="005051A0">
        <w:t xml:space="preserve"> (2015)</w:t>
      </w:r>
      <w:r>
        <w:t xml:space="preserve"> It generates </w:t>
      </w:r>
      <w:r w:rsidR="00B273D1">
        <w:t>over 26,000 prosecutions every year, additionally over 100,000 prosecutions are generated every year on Assault and Battery offences (least serious) which exist outside this Act</w:t>
      </w:r>
      <w:r w:rsidR="00B316E6">
        <w:t xml:space="preserve"> known as Common Law offences</w:t>
      </w:r>
      <w:r w:rsidR="00F57B9D">
        <w:t>,</w:t>
      </w:r>
      <w:r w:rsidR="00B273D1">
        <w:t xml:space="preserve"> found in s39 under the Criminal Justice </w:t>
      </w:r>
      <w:r w:rsidR="00A372CE">
        <w:t>A</w:t>
      </w:r>
      <w:r w:rsidR="00B273D1">
        <w:t>ct 1988</w:t>
      </w:r>
      <w:r w:rsidR="00A372CE">
        <w:t>. Since its inception the OAPA 1861 has been frequently amended by draftsman</w:t>
      </w:r>
      <w:r w:rsidR="007A707E">
        <w:t xml:space="preserve"> in</w:t>
      </w:r>
      <w:r w:rsidR="00A372CE">
        <w:t xml:space="preserve"> different eras</w:t>
      </w:r>
      <w:r w:rsidR="007A707E">
        <w:t xml:space="preserve"> with more provisions repealed than enacted</w:t>
      </w:r>
      <w:r w:rsidR="00A372CE">
        <w:t xml:space="preserve">. It has been widely criticised by many legal professionals and experts </w:t>
      </w:r>
      <w:r w:rsidR="00827D90">
        <w:t xml:space="preserve">around criminal law </w:t>
      </w:r>
      <w:r w:rsidR="00A372CE">
        <w:t xml:space="preserve">for a variety of reasons due </w:t>
      </w:r>
      <w:r w:rsidR="005051A0">
        <w:t xml:space="preserve">to </w:t>
      </w:r>
      <w:r w:rsidR="00827D90">
        <w:t xml:space="preserve">its lack of clarity in many aspects of the legislation. For example, the language and style it was codified in is </w:t>
      </w:r>
      <w:r w:rsidR="000866D2">
        <w:t xml:space="preserve">now considered to be </w:t>
      </w:r>
      <w:r w:rsidR="00827D90">
        <w:t>outdated and archaic. There are offences within the Act that serve no purpose within a modern society. There are also references to obsolete legal concepts</w:t>
      </w:r>
      <w:r w:rsidR="005051A0">
        <w:t xml:space="preserve"> and procedures</w:t>
      </w:r>
      <w:r w:rsidR="00827D90">
        <w:t xml:space="preserve">. The hierarchy of some of the offences are </w:t>
      </w:r>
      <w:r w:rsidR="007A707E">
        <w:t>poorly</w:t>
      </w:r>
      <w:r w:rsidR="00827D90">
        <w:t xml:space="preserve"> structured </w:t>
      </w:r>
      <w:r w:rsidR="007A707E">
        <w:t>and not</w:t>
      </w:r>
      <w:r w:rsidR="00827D90">
        <w:t xml:space="preserve"> </w:t>
      </w:r>
      <w:r w:rsidR="007F5948">
        <w:t>graded</w:t>
      </w:r>
      <w:r w:rsidR="00827D90">
        <w:t xml:space="preserve"> in a clear and constructive manner which leaves it in an obscure and confusing state</w:t>
      </w:r>
      <w:r w:rsidR="007F5948">
        <w:t xml:space="preserve"> </w:t>
      </w:r>
      <w:r w:rsidR="007A707E">
        <w:t>and has</w:t>
      </w:r>
      <w:r w:rsidR="007F5948">
        <w:t xml:space="preserve"> frequently</w:t>
      </w:r>
      <w:r w:rsidR="007A707E">
        <w:t xml:space="preserve"> directed</w:t>
      </w:r>
      <w:r w:rsidR="007F5948">
        <w:t xml:space="preserve"> </w:t>
      </w:r>
      <w:r w:rsidR="00E64F69">
        <w:t xml:space="preserve">judges and juries </w:t>
      </w:r>
      <w:r w:rsidR="007A707E">
        <w:t>to</w:t>
      </w:r>
      <w:r w:rsidR="00E64F69">
        <w:t xml:space="preserve"> interpret provisions from other statutes to resolve cases</w:t>
      </w:r>
      <w:r w:rsidR="003B21AB">
        <w:t>.</w:t>
      </w:r>
      <w:r w:rsidR="00AC5A1A">
        <w:t xml:space="preserve"> Various attempts have been made to reform this area of the law and it is believed over the last forty years there have been six attempts to reform the OAPA 1861</w:t>
      </w:r>
      <w:r w:rsidR="00E64F69">
        <w:t xml:space="preserve"> starting</w:t>
      </w:r>
      <w:r w:rsidR="00830C15">
        <w:t xml:space="preserve"> from the</w:t>
      </w:r>
      <w:r w:rsidR="008E7112">
        <w:t xml:space="preserve"> Criminal</w:t>
      </w:r>
      <w:r w:rsidR="00830C15">
        <w:t xml:space="preserve"> Law</w:t>
      </w:r>
      <w:r w:rsidR="008E7112">
        <w:t xml:space="preserve"> Revision</w:t>
      </w:r>
      <w:r w:rsidR="00830C15">
        <w:t xml:space="preserve"> Committee</w:t>
      </w:r>
      <w:r w:rsidR="008E7112">
        <w:t>’s 14</w:t>
      </w:r>
      <w:r w:rsidR="008E7112" w:rsidRPr="008E7112">
        <w:rPr>
          <w:vertAlign w:val="superscript"/>
        </w:rPr>
        <w:t>th</w:t>
      </w:r>
      <w:r w:rsidR="008E7112">
        <w:t xml:space="preserve"> report “Offences Against the Person” in</w:t>
      </w:r>
      <w:r w:rsidR="00830C15">
        <w:t xml:space="preserve"> 1980 to the Home Offices 1998</w:t>
      </w:r>
      <w:r w:rsidR="008E7112">
        <w:t xml:space="preserve"> Consultation Paper and</w:t>
      </w:r>
      <w:r w:rsidR="00830C15">
        <w:t xml:space="preserve"> draft bill</w:t>
      </w:r>
      <w:r w:rsidR="005D0441">
        <w:t xml:space="preserve"> “Violence: Reforming the Offences Against the Person Act 1861”</w:t>
      </w:r>
      <w:r w:rsidR="00830C15">
        <w:t>,</w:t>
      </w:r>
      <w:r w:rsidR="00AC5A1A">
        <w:t xml:space="preserve"> all </w:t>
      </w:r>
      <w:r w:rsidR="00E64F69">
        <w:t xml:space="preserve">provisions </w:t>
      </w:r>
      <w:r w:rsidR="00AC5A1A">
        <w:t>have</w:t>
      </w:r>
      <w:r w:rsidR="00E64F69">
        <w:t xml:space="preserve"> so far</w:t>
      </w:r>
      <w:r w:rsidR="00AC5A1A">
        <w:t xml:space="preserve"> been repealed. This essay will mainly focus on the Law Commissions report which was released in 2015</w:t>
      </w:r>
      <w:r w:rsidR="00E2441A">
        <w:t xml:space="preserve"> part of their 11</w:t>
      </w:r>
      <w:r w:rsidR="00E2441A" w:rsidRPr="00E2441A">
        <w:rPr>
          <w:vertAlign w:val="superscript"/>
        </w:rPr>
        <w:t>th</w:t>
      </w:r>
      <w:r w:rsidR="00E2441A">
        <w:t xml:space="preserve"> Law Reform Programme</w:t>
      </w:r>
      <w:r w:rsidR="00F57C4A">
        <w:t xml:space="preserve"> and</w:t>
      </w:r>
      <w:r w:rsidR="00B316E6">
        <w:t xml:space="preserve"> will</w:t>
      </w:r>
      <w:r w:rsidR="00F57C4A">
        <w:t xml:space="preserve"> discuss arguments for and against their recommendations</w:t>
      </w:r>
      <w:r w:rsidR="00AC5A1A">
        <w:t xml:space="preserve">. </w:t>
      </w:r>
    </w:p>
    <w:p w14:paraId="2E4178EB" w14:textId="18F730A5" w:rsidR="00D645FA" w:rsidRDefault="00AC5A1A">
      <w:r>
        <w:t>Initially the Law Commission released a Scoping Consultation Paper (SCP) in 2014 asking invitees</w:t>
      </w:r>
      <w:r w:rsidR="00CC7CEF">
        <w:t xml:space="preserve"> and consultees</w:t>
      </w:r>
      <w:r>
        <w:t xml:space="preserve"> for their feedback on whether the OAPA 1861 should be fully reformed </w:t>
      </w:r>
      <w:r w:rsidR="00B316E6">
        <w:t xml:space="preserve">or </w:t>
      </w:r>
      <w:r>
        <w:t>a</w:t>
      </w:r>
      <w:r w:rsidR="00B316E6">
        <w:t xml:space="preserve"> completely</w:t>
      </w:r>
      <w:r>
        <w:t xml:space="preserve"> new statute to be devised.</w:t>
      </w:r>
      <w:r w:rsidR="00CC7CEF">
        <w:t xml:space="preserve"> </w:t>
      </w:r>
      <w:r w:rsidR="008B1BEB">
        <w:t>Based on the results it was evident t</w:t>
      </w:r>
      <w:r w:rsidR="00CC7CEF">
        <w:t xml:space="preserve">here was broad agreement that the Act should be </w:t>
      </w:r>
      <w:r w:rsidR="00E64F69">
        <w:t xml:space="preserve">totally abolished or fully </w:t>
      </w:r>
      <w:r w:rsidR="00CC7CEF">
        <w:t>reformed</w:t>
      </w:r>
      <w:r w:rsidR="00E64F69">
        <w:t xml:space="preserve"> as it serves no purpose to modern concepts</w:t>
      </w:r>
      <w:r w:rsidR="00CC7CEF">
        <w:t xml:space="preserve"> and </w:t>
      </w:r>
      <w:r w:rsidR="00E64F69">
        <w:t xml:space="preserve">the majority were in favour of a creation of a completely </w:t>
      </w:r>
      <w:r w:rsidR="00CC7CEF">
        <w:t>new statute.</w:t>
      </w:r>
      <w:r w:rsidR="00F57A91">
        <w:t xml:space="preserve"> Some disagreed on</w:t>
      </w:r>
      <w:r w:rsidR="004905F1">
        <w:t xml:space="preserve"> total</w:t>
      </w:r>
      <w:r w:rsidR="00F57A91">
        <w:t xml:space="preserve"> reformation </w:t>
      </w:r>
      <w:r w:rsidR="004905F1">
        <w:t>but partially agreed that amendments could be made in some areas and very few disagreed on total or partial reformation.</w:t>
      </w:r>
      <w:r w:rsidR="008B1BEB">
        <w:t xml:space="preserve"> </w:t>
      </w:r>
      <w:r w:rsidR="005D0441">
        <w:t>This will be discussed in further detail in the main body of this essay</w:t>
      </w:r>
      <w:r w:rsidR="00931156">
        <w:t>.</w:t>
      </w:r>
    </w:p>
    <w:p w14:paraId="146A7238" w14:textId="0CD62251" w:rsidR="00E91FF1" w:rsidRDefault="00D645FA" w:rsidP="008B0C90">
      <w:r>
        <w:t>The Ministry of Justice advised the Law Commission to undertake a project to investigate possible reforms of the OAPA 1861. The Law Commission released a Scoping Consultation Paper</w:t>
      </w:r>
      <w:r w:rsidR="007A707E">
        <w:t xml:space="preserve"> (SCP)</w:t>
      </w:r>
      <w:r>
        <w:t xml:space="preserve"> in 2014 based on the model of the Home Offices 1998 Scoping Consultation Paper “Violence: Reforming the Offences Against the Person Act 1861” and Draft Bill with some amendments</w:t>
      </w:r>
      <w:r w:rsidR="006D29FF">
        <w:t xml:space="preserve"> and recommendations</w:t>
      </w:r>
      <w:r w:rsidR="00FE6531">
        <w:t xml:space="preserve">. Upon consultation with various practitioners and academics they then released their full report in </w:t>
      </w:r>
      <w:r w:rsidR="00734D3F">
        <w:t xml:space="preserve">November </w:t>
      </w:r>
      <w:r w:rsidR="00FE6531">
        <w:t>2015</w:t>
      </w:r>
      <w:r>
        <w:t>.</w:t>
      </w:r>
      <w:r w:rsidR="006D2972">
        <w:t xml:space="preserve"> Some of the proposals they included in their SCP are as follows: Classifying offences in</w:t>
      </w:r>
      <w:r w:rsidR="006D29FF">
        <w:t xml:space="preserve"> </w:t>
      </w:r>
      <w:r w:rsidR="006D2972">
        <w:t>logical order of seriousness</w:t>
      </w:r>
      <w:r w:rsidR="006D29FF">
        <w:t xml:space="preserve">, Abolishing offences that have no relevance to crimes of a modern nature or scenario, </w:t>
      </w:r>
      <w:r w:rsidR="00CD469F">
        <w:t>U</w:t>
      </w:r>
      <w:r w:rsidR="006D29FF">
        <w:t>pdating the language</w:t>
      </w:r>
      <w:r w:rsidR="000D7CA7">
        <w:t xml:space="preserve"> and terminologies</w:t>
      </w:r>
      <w:r w:rsidR="006D29FF">
        <w:t xml:space="preserve"> used within the texts to a more clear, simple and easy to read format in line with modern English</w:t>
      </w:r>
      <w:r w:rsidR="00CD469F">
        <w:t>, Consolidating offences that have been repeatedly mentioned or point to the same principle into single categor</w:t>
      </w:r>
      <w:r w:rsidR="007A707E">
        <w:t>ies</w:t>
      </w:r>
      <w:r w:rsidR="00CD469F">
        <w:t xml:space="preserve"> of offence</w:t>
      </w:r>
      <w:r w:rsidR="007A707E">
        <w:t>s</w:t>
      </w:r>
      <w:r w:rsidR="00034FF1">
        <w:t xml:space="preserve"> with clear definitions</w:t>
      </w:r>
      <w:r w:rsidR="00734D3F">
        <w:t xml:space="preserve">, Modifying the sentencing of some offences such as “Assault on a constable in the execution of his duty” s89(1) Police Act 1996 to be extended to twelve months rather than the current length of six months, </w:t>
      </w:r>
      <w:r w:rsidR="00C851D0">
        <w:t>They also recommend</w:t>
      </w:r>
      <w:r w:rsidR="000D7CA7">
        <w:t>ed</w:t>
      </w:r>
      <w:r w:rsidR="00C851D0">
        <w:t xml:space="preserve"> adding a new summary only offence “Aggravated Assault”</w:t>
      </w:r>
      <w:r w:rsidR="00734D3F">
        <w:t xml:space="preserve"> </w:t>
      </w:r>
      <w:r w:rsidR="00C851D0">
        <w:t>Which falls in between Assault and Battery (s39 C</w:t>
      </w:r>
      <w:r w:rsidR="00E63CE7">
        <w:t xml:space="preserve">JA </w:t>
      </w:r>
      <w:r w:rsidR="00C851D0">
        <w:t>1988) and ABH (OAPA 1861) with a maximum sentence of 12 months</w:t>
      </w:r>
      <w:r w:rsidR="00E63CE7">
        <w:t xml:space="preserve"> imprisonment</w:t>
      </w:r>
      <w:r w:rsidR="00C851D0">
        <w:t xml:space="preserve"> and triable only in the Magistrates </w:t>
      </w:r>
      <w:r w:rsidR="00C851D0">
        <w:lastRenderedPageBreak/>
        <w:t>Court</w:t>
      </w:r>
      <w:r w:rsidR="00200C07">
        <w:t>,</w:t>
      </w:r>
      <w:r w:rsidR="00C851D0">
        <w:t xml:space="preserve"> in order to save money and free up time for the Crown Courts so that they may be able to focus on more important cases. They remained ambiguous on Disease Transmission and made no further recommendations on this</w:t>
      </w:r>
      <w:r w:rsidR="000D7CA7">
        <w:t xml:space="preserve"> matter</w:t>
      </w:r>
      <w:r w:rsidR="00C851D0">
        <w:t xml:space="preserve"> although </w:t>
      </w:r>
      <w:r w:rsidR="000D7CA7">
        <w:t xml:space="preserve">it was </w:t>
      </w:r>
      <w:r w:rsidR="00C851D0">
        <w:t>heavily discussed in their report</w:t>
      </w:r>
      <w:r w:rsidR="000D7CA7">
        <w:t>,</w:t>
      </w:r>
      <w:r w:rsidR="00C851D0">
        <w:t xml:space="preserve"> pending further medical research </w:t>
      </w:r>
      <w:r w:rsidR="000D7CA7">
        <w:t>and studies.</w:t>
      </w:r>
      <w:r w:rsidR="00200C07">
        <w:t xml:space="preserve"> </w:t>
      </w:r>
    </w:p>
    <w:p w14:paraId="0CECE5DC" w14:textId="70401AC7" w:rsidR="008D18DB" w:rsidRDefault="00200C07" w:rsidP="00105F3D">
      <w:r>
        <w:t xml:space="preserve">The feedback received from participating respondents were mainly in </w:t>
      </w:r>
      <w:r w:rsidR="00782580">
        <w:t>favour of</w:t>
      </w:r>
      <w:r>
        <w:t xml:space="preserve"> the Law Commissions SCP. For example, Lord Chief Justice of England and Wales, the Rt Hon the Lord Thomas of </w:t>
      </w:r>
      <w:proofErr w:type="spellStart"/>
      <w:r>
        <w:t>Cwmgiedd</w:t>
      </w:r>
      <w:proofErr w:type="spellEnd"/>
      <w:r>
        <w:t>, said “I recognise the problems identified in the paper in relation to the 1861 Offences Against the Person Act. The legislation is out of date and in some areas obsolete; new ways of offending are not adequately captured.”</w:t>
      </w:r>
      <w:r w:rsidR="008B0C90" w:rsidRPr="008B0C90">
        <w:t xml:space="preserve"> </w:t>
      </w:r>
      <w:r w:rsidR="008B0C90">
        <w:t xml:space="preserve">John Atherton, of the National Bench Chairmen’s Forum, said “Having started by trying to read and understand the 1861 Act, I was struck by the outdated use of words and phrases. Reading it was akin to plaiting fog.” Based on the comments made by the Lord Chief Justice and John Atherton it appears the SCP had a compelling effect </w:t>
      </w:r>
      <w:r w:rsidR="00E91FF1">
        <w:t xml:space="preserve">on </w:t>
      </w:r>
      <w:r w:rsidR="008B0C90">
        <w:t>their view</w:t>
      </w:r>
      <w:r w:rsidR="00E91FF1">
        <w:t>s towards</w:t>
      </w:r>
      <w:r w:rsidR="008B0C90">
        <w:t xml:space="preserve"> the proposals made by</w:t>
      </w:r>
      <w:r w:rsidR="00105F3D">
        <w:t xml:space="preserve"> the</w:t>
      </w:r>
      <w:r w:rsidR="008B0C90">
        <w:t xml:space="preserve"> Law Commission.</w:t>
      </w:r>
      <w:r w:rsidR="008D18DB">
        <w:t xml:space="preserve"> </w:t>
      </w:r>
      <w:r w:rsidR="00A856C4">
        <w:t>According to the Law Commissions report they received 53 responses to their</w:t>
      </w:r>
      <w:r w:rsidR="002C6215">
        <w:t xml:space="preserve"> SCP in which </w:t>
      </w:r>
      <w:r w:rsidR="00A856C4">
        <w:t>32 respondents expressed a view on the case for reform</w:t>
      </w:r>
      <w:r w:rsidR="00105F3D">
        <w:t xml:space="preserve">; </w:t>
      </w:r>
      <w:r w:rsidR="00A856C4">
        <w:t>of those 28 agreed with the criticisms mentioned in questions 7-9</w:t>
      </w:r>
      <w:r w:rsidR="002C6215">
        <w:t xml:space="preserve"> in the SCP</w:t>
      </w:r>
      <w:r w:rsidR="00A856C4">
        <w:t xml:space="preserve"> and supported the principle of replacing the 1861 Act with a modern statute.</w:t>
      </w:r>
      <w:r w:rsidR="00105F3D">
        <w:t xml:space="preserve"> </w:t>
      </w:r>
      <w:proofErr w:type="spellStart"/>
      <w:r w:rsidR="00741B66">
        <w:t>Eugenicos</w:t>
      </w:r>
      <w:proofErr w:type="spellEnd"/>
      <w:r w:rsidR="00741B66">
        <w:t>, A (2017) said “</w:t>
      </w:r>
      <w:r w:rsidR="00741B66" w:rsidRPr="00741B66">
        <w:t>Many offences have been time restricted, with only judicial interpretation available to tackle this outdated legislation. Another issue is the flawed hierarchy of offences, with an increasing number of litigants-in-person compounded with economic inefficiencies within the system, urgent reform is necessary</w:t>
      </w:r>
      <w:r w:rsidR="00741B66">
        <w:t>”.</w:t>
      </w:r>
    </w:p>
    <w:p w14:paraId="64117DF7" w14:textId="0A6089C9" w:rsidR="006D2972" w:rsidRDefault="00105F3D" w:rsidP="002A19CE">
      <w:r>
        <w:t>Of those who disagreed with the criticisms</w:t>
      </w:r>
      <w:r w:rsidR="002C6215">
        <w:t xml:space="preserve">, </w:t>
      </w:r>
      <w:r>
        <w:t xml:space="preserve">The Bar </w:t>
      </w:r>
      <w:r w:rsidR="00413E7D">
        <w:t>Council</w:t>
      </w:r>
      <w:r w:rsidR="00A90D82">
        <w:t xml:space="preserve"> </w:t>
      </w:r>
      <w:r>
        <w:t xml:space="preserve">and the Criminal Bar Association argued that </w:t>
      </w:r>
      <w:r w:rsidR="008D18DB">
        <w:t>“T</w:t>
      </w:r>
      <w:r>
        <w:t>he defects in the Act were largely theoretical, and that its legal meaning had largely been settled by judicial decision and worked well in practice. A few redundant offences could be removed, and some piecemeal changes could be made to the hierarchy of offences, without the need for comprehensive replacement</w:t>
      </w:r>
      <w:r w:rsidR="008D18DB">
        <w:t>”.</w:t>
      </w:r>
      <w:r w:rsidR="002A19CE">
        <w:t xml:space="preserve"> </w:t>
      </w:r>
      <w:r w:rsidR="00034FF1">
        <w:t>Based on their comments it appears they agreed with some of the proposals made by the Law Commis</w:t>
      </w:r>
      <w:r w:rsidR="00782580">
        <w:t xml:space="preserve">sion, </w:t>
      </w:r>
      <w:r w:rsidR="00034FF1">
        <w:t xml:space="preserve">although they disagreed with </w:t>
      </w:r>
      <w:r w:rsidR="00684C31">
        <w:t>the formation of</w:t>
      </w:r>
      <w:r w:rsidR="00034FF1">
        <w:t xml:space="preserve"> a new statute. They believed </w:t>
      </w:r>
      <w:r w:rsidR="00B72E48">
        <w:t xml:space="preserve">the Act worked well in practice and it was </w:t>
      </w:r>
      <w:r w:rsidR="00684C31">
        <w:t>up</w:t>
      </w:r>
      <w:r w:rsidR="00B72E48">
        <w:t xml:space="preserve"> to the judges and juries to make the decisions</w:t>
      </w:r>
      <w:r w:rsidR="00684C31">
        <w:t>,</w:t>
      </w:r>
      <w:r w:rsidR="00B72E48">
        <w:t xml:space="preserve"> albeit theoretical defects.</w:t>
      </w:r>
      <w:r w:rsidR="008A115F">
        <w:t xml:space="preserve"> </w:t>
      </w:r>
      <w:r w:rsidR="002A19CE">
        <w:t>Demetriou, S (2016) argues “</w:t>
      </w:r>
      <w:r w:rsidR="002A19CE">
        <w:t>Although the Commission has thoroughly engaged with</w:t>
      </w:r>
      <w:r w:rsidR="002A19CE">
        <w:t xml:space="preserve"> </w:t>
      </w:r>
      <w:r w:rsidR="002A19CE">
        <w:t>the core offences, it is rather disappointing that its analysis for some other offences has not been</w:t>
      </w:r>
      <w:r w:rsidR="002A19CE">
        <w:t xml:space="preserve"> </w:t>
      </w:r>
      <w:r w:rsidR="002A19CE">
        <w:t xml:space="preserve">examined to its full </w:t>
      </w:r>
      <w:r w:rsidR="002A19CE">
        <w:t>potential”</w:t>
      </w:r>
      <w:r w:rsidR="002A19CE">
        <w:t>.</w:t>
      </w:r>
      <w:r w:rsidR="001B5C53">
        <w:t xml:space="preserve"> Although he also agreed the 1861 Act needed to be reformed, he felt there were still many grey areas in the legislation that should have been analysed further.</w:t>
      </w:r>
    </w:p>
    <w:p w14:paraId="62E82FC4" w14:textId="1DD803E4" w:rsidR="00F31A33" w:rsidRDefault="00CD690D">
      <w:r>
        <w:t>Now</w:t>
      </w:r>
      <w:r w:rsidR="00D645FA">
        <w:t xml:space="preserve"> </w:t>
      </w:r>
      <w:r>
        <w:t>the</w:t>
      </w:r>
      <w:r w:rsidR="00931156">
        <w:t xml:space="preserve"> </w:t>
      </w:r>
      <w:r w:rsidR="00D645FA">
        <w:t>focus</w:t>
      </w:r>
      <w:r>
        <w:t xml:space="preserve"> will be</w:t>
      </w:r>
      <w:r w:rsidR="00D645FA">
        <w:t xml:space="preserve"> on some of the</w:t>
      </w:r>
      <w:r w:rsidR="00C13923">
        <w:t xml:space="preserve"> core</w:t>
      </w:r>
      <w:r w:rsidR="00D645FA">
        <w:t xml:space="preserve"> Non-Fatal Offences covered in the Law Commission’s report</w:t>
      </w:r>
      <w:r w:rsidR="00FE6531">
        <w:t xml:space="preserve">. </w:t>
      </w:r>
      <w:r>
        <w:t xml:space="preserve">Starting with the least serious to </w:t>
      </w:r>
      <w:r w:rsidR="006F1B58">
        <w:t xml:space="preserve">the </w:t>
      </w:r>
      <w:r>
        <w:t>most serious: Assault and Battery s39 CJA 1988,</w:t>
      </w:r>
      <w:r w:rsidR="006F1B58">
        <w:t xml:space="preserve"> Assault Occasioning Actual Bodily Harm</w:t>
      </w:r>
      <w:r>
        <w:t xml:space="preserve"> </w:t>
      </w:r>
      <w:r w:rsidR="006F1B58">
        <w:t>(</w:t>
      </w:r>
      <w:r>
        <w:t>ABH</w:t>
      </w:r>
      <w:r w:rsidR="006F1B58">
        <w:t>)</w:t>
      </w:r>
      <w:r>
        <w:t xml:space="preserve"> s47 OAPA 1861, </w:t>
      </w:r>
      <w:r w:rsidR="006F1B58">
        <w:t xml:space="preserve">Malicious Wounding or Infliction of Grievous Bodily Harm (GBH) s20 OAPA 1861, Wounding or Causing GBH with Intent s18 OAPA 1861. </w:t>
      </w:r>
    </w:p>
    <w:p w14:paraId="0BC765AC" w14:textId="5B1D4ABD" w:rsidR="00A425F9" w:rsidRDefault="006F1B58">
      <w:r>
        <w:t xml:space="preserve">Firstly, </w:t>
      </w:r>
      <w:r w:rsidR="00A425F9">
        <w:t xml:space="preserve">Assault and Battery </w:t>
      </w:r>
      <w:r w:rsidR="00712A5E">
        <w:t xml:space="preserve">under </w:t>
      </w:r>
      <w:r w:rsidR="00A425F9">
        <w:t>s39 C</w:t>
      </w:r>
      <w:r w:rsidR="006C3E3A">
        <w:t xml:space="preserve">JA </w:t>
      </w:r>
      <w:r w:rsidR="00A425F9">
        <w:t>1988</w:t>
      </w:r>
      <w:r w:rsidR="001960E0">
        <w:t xml:space="preserve"> also known as ‘Common Law’ offences</w:t>
      </w:r>
      <w:r w:rsidR="007A78F0">
        <w:t>. Th</w:t>
      </w:r>
      <w:r w:rsidR="003B5FFD">
        <w:t>e</w:t>
      </w:r>
      <w:r w:rsidR="007A78F0">
        <w:t>s</w:t>
      </w:r>
      <w:r w:rsidR="003B5FFD">
        <w:t>e</w:t>
      </w:r>
      <w:r w:rsidR="007A78F0">
        <w:t xml:space="preserve"> </w:t>
      </w:r>
      <w:r w:rsidR="003B5FFD">
        <w:t xml:space="preserve">are </w:t>
      </w:r>
      <w:r w:rsidR="001960E0">
        <w:t>summary only offence</w:t>
      </w:r>
      <w:r w:rsidR="003B5FFD">
        <w:t>s</w:t>
      </w:r>
      <w:r w:rsidR="001960E0">
        <w:t xml:space="preserve"> triable in a Magistrates Court with a maximum sentence of six months imprisonment</w:t>
      </w:r>
      <w:r w:rsidR="004B6376">
        <w:t>.</w:t>
      </w:r>
      <w:r w:rsidR="003B5FFD">
        <w:t xml:space="preserve"> </w:t>
      </w:r>
      <w:r w:rsidR="006B6057">
        <w:t>A</w:t>
      </w:r>
      <w:r w:rsidR="003B5FFD" w:rsidRPr="003B5FFD">
        <w:t>ssau</w:t>
      </w:r>
      <w:r w:rsidR="003B5FFD">
        <w:t>lt is</w:t>
      </w:r>
      <w:r w:rsidR="003B5FFD" w:rsidRPr="003B5FFD">
        <w:t xml:space="preserve"> committed if one performs an</w:t>
      </w:r>
      <w:r w:rsidR="00741B66">
        <w:t>y</w:t>
      </w:r>
      <w:r w:rsidR="003B5FFD" w:rsidRPr="003B5FFD">
        <w:t xml:space="preserve"> act by which they intentionally or recklessly cause another</w:t>
      </w:r>
      <w:r w:rsidR="006B6057">
        <w:t xml:space="preserve"> person</w:t>
      </w:r>
      <w:r w:rsidR="003B5FFD" w:rsidRPr="003B5FFD">
        <w:t xml:space="preserve"> to apprehend immediate unlawful violence. This is the least serious non-fatal offence as no physical contact </w:t>
      </w:r>
      <w:r w:rsidR="003B5FFD">
        <w:t>is required</w:t>
      </w:r>
      <w:r w:rsidR="003B5FFD" w:rsidRPr="003B5FFD">
        <w:t xml:space="preserve"> between the defendant and victim.</w:t>
      </w:r>
      <w:r w:rsidR="008B720A">
        <w:t xml:space="preserve"> An example of Assault can be found</w:t>
      </w:r>
      <w:r w:rsidR="008F206D">
        <w:t xml:space="preserve"> in</w:t>
      </w:r>
      <w:r w:rsidR="000A0495">
        <w:t xml:space="preserve"> </w:t>
      </w:r>
      <w:proofErr w:type="spellStart"/>
      <w:r w:rsidR="000A0495">
        <w:t>Logdon</w:t>
      </w:r>
      <w:proofErr w:type="spellEnd"/>
      <w:r w:rsidR="000A0495">
        <w:t xml:space="preserve"> v DPP</w:t>
      </w:r>
      <w:r w:rsidR="00506804">
        <w:t xml:space="preserve"> 1976</w:t>
      </w:r>
      <w:r w:rsidR="000A0495">
        <w:t>, t</w:t>
      </w:r>
      <w:r w:rsidR="000A0495" w:rsidRPr="000A0495">
        <w:t xml:space="preserve">he defendant pointed a </w:t>
      </w:r>
      <w:r w:rsidR="000A0495">
        <w:t>fake gun</w:t>
      </w:r>
      <w:r w:rsidR="000A0495" w:rsidRPr="000A0495">
        <w:t xml:space="preserve"> at the victim</w:t>
      </w:r>
      <w:r w:rsidR="000A0495">
        <w:t xml:space="preserve"> who was badly frightened</w:t>
      </w:r>
      <w:r w:rsidR="000A0495" w:rsidRPr="000A0495">
        <w:t>.</w:t>
      </w:r>
      <w:r w:rsidR="000A0495">
        <w:t xml:space="preserve"> Assault was committed as victim apprehended unlawful immediate violence. </w:t>
      </w:r>
      <w:r w:rsidR="002C0DFA">
        <w:t xml:space="preserve">Battery on the other </w:t>
      </w:r>
      <w:r w:rsidR="008A5470">
        <w:t xml:space="preserve">hand </w:t>
      </w:r>
      <w:r w:rsidR="002C0DFA">
        <w:t xml:space="preserve">requires actual contact between </w:t>
      </w:r>
      <w:r w:rsidR="00741B66">
        <w:t xml:space="preserve">the </w:t>
      </w:r>
      <w:r w:rsidR="002C0DFA">
        <w:t>defendant and victim</w:t>
      </w:r>
      <w:r w:rsidR="00A90D82">
        <w:t>,</w:t>
      </w:r>
      <w:r w:rsidR="002C0DFA">
        <w:t xml:space="preserve"> although no injury is caused</w:t>
      </w:r>
      <w:r w:rsidR="009B08E0">
        <w:t>. The Law commission suggested changing Assault to ‘Threatened Assault’ and Battery to ‘Physical Assault’ to avoid confusion as both terms mean the same thing and could be misinterpreted and applied incorrectly.</w:t>
      </w:r>
    </w:p>
    <w:p w14:paraId="4284FE63" w14:textId="7525EA94" w:rsidR="00A425F9" w:rsidRDefault="001960E0">
      <w:r>
        <w:lastRenderedPageBreak/>
        <w:t xml:space="preserve">Next is </w:t>
      </w:r>
      <w:r w:rsidR="00A425F9">
        <w:t>ABH</w:t>
      </w:r>
      <w:r>
        <w:t xml:space="preserve"> under</w:t>
      </w:r>
      <w:r w:rsidR="00A425F9">
        <w:t xml:space="preserve"> s47 OAPA 1861</w:t>
      </w:r>
      <w:r>
        <w:t>. This is an either way offence and triable in a Magistrates or Crown Court with a maxim</w:t>
      </w:r>
      <w:r w:rsidR="004D25F9">
        <w:t>um sentence of five years imprisonment.</w:t>
      </w:r>
      <w:r w:rsidR="00506804">
        <w:t xml:space="preserve"> </w:t>
      </w:r>
      <w:r w:rsidR="00506804" w:rsidRPr="00506804">
        <w:t>This offence occurs when the defendant commits an assault or a battery which causes the victim to suffer from actual bodily harm</w:t>
      </w:r>
      <w:r w:rsidR="00506804">
        <w:t>.</w:t>
      </w:r>
      <w:r w:rsidR="00DF7DD0">
        <w:t xml:space="preserve"> An example of ABH can be found in R v Ireland 1996, the defendant made a series of silent telephone calls to the victim who suffered depression.</w:t>
      </w:r>
      <w:r w:rsidR="00AA66A1">
        <w:t xml:space="preserve"> Although it was an indirect offence,</w:t>
      </w:r>
      <w:r w:rsidR="00DF7DD0">
        <w:t xml:space="preserve"> ABH was committed as victim </w:t>
      </w:r>
      <w:r w:rsidR="006E06C6">
        <w:t>apprehended immediate</w:t>
      </w:r>
      <w:r w:rsidR="00DF7DD0">
        <w:t xml:space="preserve"> unlawful violence through psychiatric harm. </w:t>
      </w:r>
      <w:r w:rsidR="006E06C6">
        <w:t xml:space="preserve">The judges concurred the silent telephone calls were enough to cause psychological damage and the </w:t>
      </w:r>
      <w:r w:rsidR="008A5470">
        <w:t>defendant</w:t>
      </w:r>
      <w:r w:rsidR="006E06C6">
        <w:t xml:space="preserve"> </w:t>
      </w:r>
      <w:r w:rsidR="00E63CE7">
        <w:t>was</w:t>
      </w:r>
      <w:r w:rsidR="006E06C6">
        <w:t xml:space="preserve"> indict</w:t>
      </w:r>
      <w:r w:rsidR="00E63CE7">
        <w:t>ed</w:t>
      </w:r>
      <w:r w:rsidR="006E06C6">
        <w:t xml:space="preserve"> under s47. </w:t>
      </w:r>
      <w:r w:rsidR="00506804">
        <w:t xml:space="preserve"> </w:t>
      </w:r>
    </w:p>
    <w:p w14:paraId="7CE40924" w14:textId="4AA52627" w:rsidR="00A425F9" w:rsidRDefault="006B6057">
      <w:r>
        <w:t xml:space="preserve">Now, onto the more serious offences, </w:t>
      </w:r>
      <w:r w:rsidR="00A425F9">
        <w:t xml:space="preserve">Malicious </w:t>
      </w:r>
      <w:r w:rsidR="006E06C6">
        <w:t>Wounding,</w:t>
      </w:r>
      <w:r w:rsidR="007F5948">
        <w:t xml:space="preserve"> or </w:t>
      </w:r>
      <w:r w:rsidR="006F1B58">
        <w:t>I</w:t>
      </w:r>
      <w:r w:rsidR="007F5948">
        <w:t>nfliction of GBH</w:t>
      </w:r>
      <w:r w:rsidR="004D25F9">
        <w:t xml:space="preserve"> under</w:t>
      </w:r>
      <w:r w:rsidR="006F1B58">
        <w:t xml:space="preserve"> </w:t>
      </w:r>
      <w:r w:rsidR="007F5948">
        <w:t>s20 OAPA 1861</w:t>
      </w:r>
      <w:r w:rsidR="004D25F9">
        <w:t>. This is an indic</w:t>
      </w:r>
      <w:r w:rsidR="003E23C4">
        <w:t>table</w:t>
      </w:r>
      <w:r w:rsidR="004D25F9">
        <w:t xml:space="preserve"> only offence triable in a Crown Court with a maximum sentence of five years imprisonment.</w:t>
      </w:r>
      <w:r w:rsidR="00AA66A1">
        <w:t xml:space="preserve"> For this offence to occur defendant </w:t>
      </w:r>
      <w:r w:rsidR="009830AD">
        <w:t>does not have to foresee the probable risks</w:t>
      </w:r>
      <w:r w:rsidR="00210297">
        <w:t xml:space="preserve"> of</w:t>
      </w:r>
      <w:r w:rsidR="009830AD">
        <w:t xml:space="preserve"> his </w:t>
      </w:r>
      <w:r w:rsidR="00210297">
        <w:t>actions,</w:t>
      </w:r>
      <w:r w:rsidR="009830AD">
        <w:t xml:space="preserve"> but some harm must be </w:t>
      </w:r>
      <w:r w:rsidR="008F206D">
        <w:t>intended,</w:t>
      </w:r>
      <w:r w:rsidR="009830AD">
        <w:t xml:space="preserve"> and</w:t>
      </w:r>
      <w:r w:rsidR="008F206D">
        <w:t xml:space="preserve"> the</w:t>
      </w:r>
      <w:r w:rsidR="009830AD">
        <w:t xml:space="preserve"> defendants conduct must be reckless</w:t>
      </w:r>
      <w:r w:rsidR="00AA66A1">
        <w:t xml:space="preserve">. It is argued the term ‘Malicious’ is </w:t>
      </w:r>
      <w:r w:rsidR="006E1705">
        <w:t>incorrect,</w:t>
      </w:r>
      <w:r w:rsidR="00AA66A1">
        <w:t xml:space="preserve"> and the correct term associated with this offence is ‘Reckless’ as they both have the same meaning. </w:t>
      </w:r>
      <w:r w:rsidR="006E1705">
        <w:t>Although offences committed under s20 are more serious</w:t>
      </w:r>
      <w:r w:rsidR="00E63CE7">
        <w:t>,</w:t>
      </w:r>
      <w:r w:rsidR="006E1705">
        <w:t xml:space="preserve"> the maximum penalty is the same as s</w:t>
      </w:r>
      <w:r w:rsidR="00210297">
        <w:t>47</w:t>
      </w:r>
      <w:r w:rsidR="006E1705">
        <w:t xml:space="preserve"> which has drawn significant criticism from various parties.</w:t>
      </w:r>
      <w:r w:rsidR="003E23C4">
        <w:t xml:space="preserve"> The law commission recommended in their SCP</w:t>
      </w:r>
      <w:r w:rsidR="008A5470">
        <w:t>,</w:t>
      </w:r>
      <w:r w:rsidR="003E23C4">
        <w:t xml:space="preserve"> this section should be</w:t>
      </w:r>
      <w:r w:rsidR="009830AD">
        <w:t xml:space="preserve"> simply</w:t>
      </w:r>
      <w:r w:rsidR="003E23C4">
        <w:t xml:space="preserve"> changed to ‘Recklessly Causing Serious Injury’ and wounding to </w:t>
      </w:r>
      <w:r w:rsidR="008F206D">
        <w:t xml:space="preserve">be removed but only indictable under this offence if the </w:t>
      </w:r>
      <w:r w:rsidR="003E23C4">
        <w:t xml:space="preserve">wound </w:t>
      </w:r>
      <w:r w:rsidR="004837A0">
        <w:t xml:space="preserve">is </w:t>
      </w:r>
      <w:r w:rsidR="003E23C4">
        <w:t>serious. Also, the maximum penalty to be increased to seven years imprisonment. An example</w:t>
      </w:r>
      <w:r w:rsidR="00210297">
        <w:t xml:space="preserve"> of recklessly causing GBH</w:t>
      </w:r>
      <w:r w:rsidR="003E23C4">
        <w:t xml:space="preserve"> can be found in</w:t>
      </w:r>
      <w:r w:rsidR="009830AD">
        <w:t xml:space="preserve"> R v Sa</w:t>
      </w:r>
      <w:r w:rsidR="00CA2A96">
        <w:t>vage</w:t>
      </w:r>
      <w:r w:rsidR="009830AD">
        <w:t xml:space="preserve"> 1991, the defendant thr</w:t>
      </w:r>
      <w:r w:rsidR="004609C0">
        <w:t>ew</w:t>
      </w:r>
      <w:r w:rsidR="009830AD">
        <w:t xml:space="preserve"> a glass of beer at her husband’s ex-girlfriend, the glass </w:t>
      </w:r>
      <w:r w:rsidR="00210297">
        <w:t xml:space="preserve">broke </w:t>
      </w:r>
      <w:r w:rsidR="009830AD">
        <w:t xml:space="preserve">and </w:t>
      </w:r>
      <w:r w:rsidR="00210297">
        <w:t>hurt the victim</w:t>
      </w:r>
      <w:r w:rsidR="009830AD">
        <w:t xml:space="preserve">. She argued her </w:t>
      </w:r>
      <w:r w:rsidR="00210297">
        <w:t>intention was to throw the beer</w:t>
      </w:r>
      <w:r w:rsidR="009830AD">
        <w:t xml:space="preserve"> </w:t>
      </w:r>
      <w:r w:rsidR="00210297">
        <w:t xml:space="preserve">and not to hit </w:t>
      </w:r>
      <w:r w:rsidR="004837A0">
        <w:t xml:space="preserve">the </w:t>
      </w:r>
      <w:r w:rsidR="004609C0">
        <w:t>victim</w:t>
      </w:r>
      <w:r w:rsidR="00210297">
        <w:t xml:space="preserve"> with the glass. It was held under s20 as the defendant intended or foresaw some harm.</w:t>
      </w:r>
      <w:r w:rsidR="003E23C4">
        <w:t xml:space="preserve">  </w:t>
      </w:r>
      <w:r w:rsidR="006E1705">
        <w:t xml:space="preserve"> </w:t>
      </w:r>
      <w:r w:rsidR="006E06C6">
        <w:t xml:space="preserve"> </w:t>
      </w:r>
    </w:p>
    <w:p w14:paraId="017BDC6C" w14:textId="216B35ED" w:rsidR="00D213A8" w:rsidRDefault="00AD0F79">
      <w:r>
        <w:t>Lastly</w:t>
      </w:r>
      <w:r w:rsidR="00DF7DD0">
        <w:t>,</w:t>
      </w:r>
      <w:r>
        <w:t xml:space="preserve"> the most serious </w:t>
      </w:r>
      <w:r w:rsidR="00DF7DD0">
        <w:t>offence;</w:t>
      </w:r>
      <w:r>
        <w:t xml:space="preserve"> </w:t>
      </w:r>
      <w:r w:rsidR="007F5948">
        <w:t xml:space="preserve">Wounding or </w:t>
      </w:r>
      <w:r w:rsidR="006F1B58">
        <w:t>C</w:t>
      </w:r>
      <w:r w:rsidR="007F5948">
        <w:t>ausing GBH</w:t>
      </w:r>
      <w:r w:rsidR="006F1B58">
        <w:t xml:space="preserve"> with Intent</w:t>
      </w:r>
      <w:r>
        <w:t xml:space="preserve"> under</w:t>
      </w:r>
      <w:r w:rsidR="006F1B58">
        <w:t xml:space="preserve"> </w:t>
      </w:r>
      <w:r w:rsidR="007F5948">
        <w:t>s18 OAPA 1861</w:t>
      </w:r>
      <w:r>
        <w:t xml:space="preserve">. This is also an indictable only offence and tried </w:t>
      </w:r>
      <w:r w:rsidR="00712A5E">
        <w:t>in the</w:t>
      </w:r>
      <w:r>
        <w:t xml:space="preserve"> Crown Court with the maximum sentence of life imprisonment.</w:t>
      </w:r>
      <w:r w:rsidR="00CA2A96">
        <w:t xml:space="preserve"> For this offence to occur the defendant must intend serious harm, physically or psychologically.</w:t>
      </w:r>
      <w:r w:rsidR="008F206D">
        <w:t xml:space="preserve"> The Law commission recommended in their SCP this section should be changed to ‘Seriously Causing Injury’ and wounding to be removed but only indictable under this offence if the wound is serious.</w:t>
      </w:r>
    </w:p>
    <w:p w14:paraId="0DB00C13" w14:textId="5039B4ED" w:rsidR="00024B5F" w:rsidRDefault="008A5470" w:rsidP="000A5F5C">
      <w:r>
        <w:t>The Law commission also made proposals</w:t>
      </w:r>
      <w:r w:rsidR="00024B5F">
        <w:t xml:space="preserve"> to abolish offences within the OAPA 1861 that are considered outdated</w:t>
      </w:r>
      <w:r w:rsidR="000A5F5C">
        <w:t xml:space="preserve"> and</w:t>
      </w:r>
      <w:r w:rsidR="00024B5F">
        <w:t xml:space="preserve"> obsolete </w:t>
      </w:r>
      <w:r>
        <w:t>of which that</w:t>
      </w:r>
      <w:r w:rsidR="00024B5F">
        <w:t xml:space="preserve"> serve no purpose to crimes of a modern nature</w:t>
      </w:r>
      <w:r>
        <w:t>, these</w:t>
      </w:r>
      <w:r w:rsidR="00024B5F">
        <w:t xml:space="preserve"> are as follows:</w:t>
      </w:r>
      <w:r w:rsidR="000A5F5C">
        <w:t xml:space="preserve"> </w:t>
      </w:r>
      <w:r w:rsidR="00024B5F">
        <w:t>s37</w:t>
      </w:r>
      <w:r w:rsidR="000A5F5C">
        <w:t xml:space="preserve"> </w:t>
      </w:r>
      <w:r w:rsidR="000A5F5C">
        <w:t>Assault resulting in striking or</w:t>
      </w:r>
      <w:r w:rsidR="000A5F5C">
        <w:t xml:space="preserve"> </w:t>
      </w:r>
      <w:r w:rsidR="000A5F5C">
        <w:t>wounding a magistrate or other person</w:t>
      </w:r>
      <w:r w:rsidR="000A5F5C">
        <w:t xml:space="preserve"> </w:t>
      </w:r>
      <w:r w:rsidR="000A5F5C">
        <w:t>in the exercise of his duty preserving</w:t>
      </w:r>
      <w:r w:rsidR="000A5F5C">
        <w:t xml:space="preserve"> </w:t>
      </w:r>
      <w:r w:rsidR="000A5F5C">
        <w:t>a wreck or any ship in distress</w:t>
      </w:r>
      <w:r w:rsidR="000A5F5C">
        <w:t xml:space="preserve">, </w:t>
      </w:r>
      <w:r w:rsidR="00024B5F">
        <w:t>s36</w:t>
      </w:r>
      <w:r w:rsidR="000A5F5C">
        <w:t xml:space="preserve"> </w:t>
      </w:r>
      <w:r w:rsidR="000A5F5C">
        <w:t>Obstructing or assaulting a clergyman</w:t>
      </w:r>
      <w:r w:rsidR="000A5F5C">
        <w:t xml:space="preserve"> </w:t>
      </w:r>
      <w:r w:rsidR="000A5F5C">
        <w:t>in the discharge of his duties</w:t>
      </w:r>
      <w:r w:rsidR="000A5F5C">
        <w:t xml:space="preserve">, </w:t>
      </w:r>
      <w:r w:rsidR="00024B5F">
        <w:t>s17</w:t>
      </w:r>
      <w:r w:rsidR="000A5F5C">
        <w:t xml:space="preserve"> </w:t>
      </w:r>
      <w:r w:rsidR="000A5F5C" w:rsidRPr="000A5F5C">
        <w:t>Impeding</w:t>
      </w:r>
      <w:r w:rsidR="00AC3DB2">
        <w:t xml:space="preserve"> a</w:t>
      </w:r>
      <w:r w:rsidR="000A5F5C" w:rsidRPr="000A5F5C">
        <w:t xml:space="preserve"> person escaping from wreck</w:t>
      </w:r>
      <w:r w:rsidR="000A5F5C">
        <w:t xml:space="preserve">, </w:t>
      </w:r>
      <w:r w:rsidR="00024B5F">
        <w:t>s21</w:t>
      </w:r>
      <w:r w:rsidR="000A5F5C">
        <w:t xml:space="preserve"> </w:t>
      </w:r>
      <w:r w:rsidR="000A5F5C">
        <w:t>Attempting to choke in order to</w:t>
      </w:r>
      <w:r w:rsidR="000A5F5C">
        <w:t xml:space="preserve"> </w:t>
      </w:r>
      <w:r w:rsidR="000A5F5C">
        <w:t>commit offence</w:t>
      </w:r>
      <w:r w:rsidR="000A5F5C">
        <w:t xml:space="preserve"> and </w:t>
      </w:r>
      <w:r w:rsidR="00024B5F">
        <w:t>s26</w:t>
      </w:r>
      <w:r w:rsidR="000A5F5C">
        <w:t xml:space="preserve"> </w:t>
      </w:r>
      <w:r w:rsidR="000A5F5C">
        <w:t>Not providing servants or apprentices</w:t>
      </w:r>
      <w:r w:rsidR="000A5F5C">
        <w:t xml:space="preserve"> </w:t>
      </w:r>
      <w:r w:rsidR="000A5F5C">
        <w:t>with food</w:t>
      </w:r>
      <w:r w:rsidR="00AC3DB2">
        <w:t>. It is clearly evident their suggestion makes sense as these offences are mainly a reflection</w:t>
      </w:r>
      <w:r w:rsidR="00F02ABE">
        <w:t xml:space="preserve"> </w:t>
      </w:r>
      <w:r w:rsidR="00AC3DB2">
        <w:t xml:space="preserve">of the Victorian era and no offences of the above nature have been recorded in recent times. </w:t>
      </w:r>
      <w:r w:rsidR="00F02ABE">
        <w:t>It is extremely unlikely they would occur at present times or in the future which effectively indicates they are no longer necessary.</w:t>
      </w:r>
      <w:r w:rsidR="00AC3DB2">
        <w:t xml:space="preserve"> </w:t>
      </w:r>
    </w:p>
    <w:p w14:paraId="547EF9AD" w14:textId="77777777" w:rsidR="000018D4" w:rsidRDefault="00B81ADB">
      <w:r>
        <w:t>Finally,</w:t>
      </w:r>
      <w:r w:rsidR="00B72E48">
        <w:t xml:space="preserve"> to conclude this essay, based on what has been discussed throughout this topic it appears there is clear evidence that the OAPA 1861 needs to be reformed.</w:t>
      </w:r>
      <w:r w:rsidR="00AB5D28">
        <w:t xml:space="preserve"> As far as the Law Commissions report is concerned it has been widely accepted the majority are strongly in favour of a creation of a new statute</w:t>
      </w:r>
      <w:r w:rsidR="005C1210">
        <w:t xml:space="preserve">, </w:t>
      </w:r>
      <w:r>
        <w:t>although</w:t>
      </w:r>
      <w:r w:rsidR="005C1210">
        <w:t xml:space="preserve"> a small minority disagree and suggest it should remain as it is insisting changes to the legislation could have more implications than </w:t>
      </w:r>
      <w:r w:rsidR="00A90D82">
        <w:t>make it better</w:t>
      </w:r>
      <w:r w:rsidR="00AB5D28">
        <w:t>.</w:t>
      </w:r>
      <w:r w:rsidR="00A90D82">
        <w:t xml:space="preserve"> It is yet to </w:t>
      </w:r>
      <w:r w:rsidR="002F6556">
        <w:t>be seen</w:t>
      </w:r>
      <w:r w:rsidR="00AB5D28">
        <w:t xml:space="preserve"> </w:t>
      </w:r>
      <w:r w:rsidR="002F6556">
        <w:t>w</w:t>
      </w:r>
      <w:r w:rsidR="00AB5D28">
        <w:t xml:space="preserve">hether a new statute </w:t>
      </w:r>
      <w:r w:rsidR="002F6556">
        <w:t>will be</w:t>
      </w:r>
      <w:r w:rsidR="00AB5D28">
        <w:t xml:space="preserve"> </w:t>
      </w:r>
      <w:r w:rsidR="005C1210">
        <w:t>enacted</w:t>
      </w:r>
      <w:r w:rsidR="00AB5D28">
        <w:t xml:space="preserve"> or not</w:t>
      </w:r>
      <w:r w:rsidR="002F6556">
        <w:t>.</w:t>
      </w:r>
      <w:r w:rsidR="00AB5D28">
        <w:t xml:space="preserve"> </w:t>
      </w:r>
      <w:r w:rsidR="002F6556">
        <w:t>T</w:t>
      </w:r>
      <w:r w:rsidR="00AB5D28">
        <w:t xml:space="preserve">here is enough evidence to suggest major amendments </w:t>
      </w:r>
      <w:r w:rsidR="005C1210">
        <w:t>must</w:t>
      </w:r>
      <w:r w:rsidR="00AB5D28">
        <w:t xml:space="preserve"> be made to bring this legislation up to date with the modern era.</w:t>
      </w:r>
      <w:r w:rsidR="008A250E">
        <w:t xml:space="preserve"> Improving the language, structure and classification of offences would certainly be a good starting point as well as </w:t>
      </w:r>
      <w:r w:rsidR="008A250E">
        <w:lastRenderedPageBreak/>
        <w:t xml:space="preserve">abolishing unnecessary </w:t>
      </w:r>
      <w:r w:rsidR="005C1210">
        <w:t xml:space="preserve">offences which have no significance or relevance to crimes of </w:t>
      </w:r>
      <w:r>
        <w:t>today’s</w:t>
      </w:r>
      <w:r w:rsidR="005C1210">
        <w:t xml:space="preserve"> nature.</w:t>
      </w:r>
      <w:r>
        <w:t xml:space="preserve"> Therefore, a more sensible and measured approach must be taken to produce a legislation that works efficiently for all. </w:t>
      </w:r>
      <w:r w:rsidR="008A250E">
        <w:t xml:space="preserve"> </w:t>
      </w:r>
    </w:p>
    <w:p w14:paraId="174713AE" w14:textId="77777777" w:rsidR="000018D4" w:rsidRDefault="000018D4"/>
    <w:p w14:paraId="5F7C375F" w14:textId="1CCAB721" w:rsidR="00D213A8" w:rsidRDefault="008A250E">
      <w:r>
        <w:t xml:space="preserve"> </w:t>
      </w:r>
      <w:r w:rsidR="00AB5D28">
        <w:t xml:space="preserve"> </w:t>
      </w:r>
    </w:p>
    <w:p w14:paraId="27E03A51" w14:textId="6029FA49" w:rsidR="000018D4" w:rsidRDefault="000018D4"/>
    <w:p w14:paraId="45739996" w14:textId="7ED7EBE0" w:rsidR="000018D4" w:rsidRDefault="000018D4"/>
    <w:p w14:paraId="3C80EF27" w14:textId="396391E5" w:rsidR="000018D4" w:rsidRDefault="000018D4"/>
    <w:p w14:paraId="3BE0D928" w14:textId="3BF79AA4" w:rsidR="000018D4" w:rsidRDefault="000018D4"/>
    <w:p w14:paraId="24F44784" w14:textId="4A6866CC" w:rsidR="000018D4" w:rsidRDefault="000018D4"/>
    <w:p w14:paraId="223C83C4" w14:textId="0697C003" w:rsidR="000018D4" w:rsidRDefault="000018D4"/>
    <w:p w14:paraId="06ADE359" w14:textId="57F77FE8" w:rsidR="000018D4" w:rsidRDefault="000018D4"/>
    <w:p w14:paraId="4CF2D86C" w14:textId="1B658BB7" w:rsidR="000018D4" w:rsidRDefault="000018D4"/>
    <w:p w14:paraId="21ADB536" w14:textId="200DA845" w:rsidR="000018D4" w:rsidRDefault="000018D4"/>
    <w:p w14:paraId="46FD15C4" w14:textId="7638CA9B" w:rsidR="000018D4" w:rsidRDefault="000018D4"/>
    <w:p w14:paraId="7BC1844E" w14:textId="49FDA909" w:rsidR="000018D4" w:rsidRDefault="000018D4"/>
    <w:p w14:paraId="234A8C1F" w14:textId="7DEE5088" w:rsidR="000018D4" w:rsidRDefault="000018D4"/>
    <w:p w14:paraId="3A94785A" w14:textId="6CD9F3C7" w:rsidR="000018D4" w:rsidRDefault="000018D4"/>
    <w:p w14:paraId="006A0665" w14:textId="7E83EFC8" w:rsidR="000018D4" w:rsidRDefault="000018D4"/>
    <w:p w14:paraId="2692DA79" w14:textId="6AD41DC2" w:rsidR="000018D4" w:rsidRDefault="000018D4"/>
    <w:p w14:paraId="66869874" w14:textId="54939971" w:rsidR="000018D4" w:rsidRDefault="000018D4"/>
    <w:p w14:paraId="3D727531" w14:textId="6B06BD47" w:rsidR="000018D4" w:rsidRDefault="000018D4"/>
    <w:p w14:paraId="7C983CE2" w14:textId="7764A01C" w:rsidR="000018D4" w:rsidRDefault="000018D4"/>
    <w:p w14:paraId="6A5F55AB" w14:textId="666678EE" w:rsidR="000018D4" w:rsidRDefault="000018D4"/>
    <w:p w14:paraId="043A2D50" w14:textId="46E90A4A" w:rsidR="000018D4" w:rsidRDefault="000018D4"/>
    <w:p w14:paraId="753C8382" w14:textId="2D8E0F22" w:rsidR="000018D4" w:rsidRDefault="000018D4"/>
    <w:p w14:paraId="3DE75D66" w14:textId="6FF6E7EB" w:rsidR="000018D4" w:rsidRDefault="000018D4"/>
    <w:p w14:paraId="6E2C28B7" w14:textId="2F22E88C" w:rsidR="000018D4" w:rsidRDefault="000018D4"/>
    <w:p w14:paraId="69400445" w14:textId="57F0BADC" w:rsidR="000018D4" w:rsidRDefault="000018D4"/>
    <w:p w14:paraId="5AF9935F" w14:textId="33979029" w:rsidR="000018D4" w:rsidRDefault="000018D4"/>
    <w:p w14:paraId="2A8938C6" w14:textId="77777777" w:rsidR="000018D4" w:rsidRPr="000018D4" w:rsidRDefault="000018D4" w:rsidP="000018D4">
      <w:pPr>
        <w:rPr>
          <w:b/>
          <w:bCs/>
          <w:sz w:val="28"/>
          <w:szCs w:val="28"/>
        </w:rPr>
      </w:pPr>
      <w:r w:rsidRPr="000018D4">
        <w:rPr>
          <w:b/>
          <w:bCs/>
          <w:sz w:val="28"/>
          <w:szCs w:val="28"/>
        </w:rPr>
        <w:t>Bibliography</w:t>
      </w:r>
    </w:p>
    <w:p w14:paraId="6D53C364" w14:textId="77777777" w:rsidR="000018D4" w:rsidRPr="000018D4" w:rsidRDefault="000018D4" w:rsidP="000018D4">
      <w:pPr>
        <w:rPr>
          <w:b/>
          <w:bCs/>
          <w:sz w:val="28"/>
          <w:szCs w:val="28"/>
        </w:rPr>
      </w:pPr>
    </w:p>
    <w:p w14:paraId="417BCDC3" w14:textId="77777777" w:rsidR="000018D4" w:rsidRPr="000018D4" w:rsidRDefault="000018D4" w:rsidP="000018D4">
      <w:pPr>
        <w:rPr>
          <w:b/>
          <w:bCs/>
          <w:sz w:val="28"/>
          <w:szCs w:val="28"/>
        </w:rPr>
      </w:pPr>
      <w:r w:rsidRPr="000018D4">
        <w:rPr>
          <w:b/>
          <w:bCs/>
          <w:sz w:val="28"/>
          <w:szCs w:val="28"/>
        </w:rPr>
        <w:t xml:space="preserve">Criminal Justice Act 1988 </w:t>
      </w:r>
    </w:p>
    <w:p w14:paraId="45918430" w14:textId="77777777" w:rsidR="000018D4" w:rsidRPr="000018D4" w:rsidRDefault="000018D4" w:rsidP="000018D4">
      <w:pPr>
        <w:rPr>
          <w:b/>
          <w:bCs/>
          <w:sz w:val="28"/>
          <w:szCs w:val="28"/>
        </w:rPr>
      </w:pPr>
      <w:r w:rsidRPr="000018D4">
        <w:rPr>
          <w:b/>
          <w:bCs/>
          <w:sz w:val="28"/>
          <w:szCs w:val="28"/>
        </w:rPr>
        <w:t>Demetriou, S (2016) Journal of Criminal Law, Volume 80(3), pp 188-200, School of Law, Politics and Sociology, University of Sussex, Falmer, UK</w:t>
      </w:r>
    </w:p>
    <w:p w14:paraId="7A88F0D0" w14:textId="77777777" w:rsidR="000018D4" w:rsidRPr="000018D4" w:rsidRDefault="000018D4" w:rsidP="000018D4">
      <w:pPr>
        <w:rPr>
          <w:b/>
          <w:bCs/>
          <w:sz w:val="28"/>
          <w:szCs w:val="28"/>
        </w:rPr>
      </w:pPr>
      <w:proofErr w:type="spellStart"/>
      <w:r w:rsidRPr="000018D4">
        <w:rPr>
          <w:b/>
          <w:bCs/>
          <w:sz w:val="28"/>
          <w:szCs w:val="28"/>
        </w:rPr>
        <w:t>Eugenicos</w:t>
      </w:r>
      <w:proofErr w:type="spellEnd"/>
      <w:r w:rsidRPr="000018D4">
        <w:rPr>
          <w:b/>
          <w:bCs/>
          <w:sz w:val="28"/>
          <w:szCs w:val="28"/>
        </w:rPr>
        <w:t>, A (2017) ‘Should we Reform the Offences Against the Person Act 1861?’ Journal of Criminal Law, Volume 81, Issue 1, Feb 2017</w:t>
      </w:r>
    </w:p>
    <w:p w14:paraId="728B516C" w14:textId="77777777" w:rsidR="000018D4" w:rsidRPr="000018D4" w:rsidRDefault="000018D4" w:rsidP="000018D4">
      <w:pPr>
        <w:rPr>
          <w:b/>
          <w:bCs/>
          <w:sz w:val="28"/>
          <w:szCs w:val="28"/>
        </w:rPr>
      </w:pPr>
      <w:r w:rsidRPr="000018D4">
        <w:rPr>
          <w:b/>
          <w:bCs/>
          <w:sz w:val="28"/>
          <w:szCs w:val="28"/>
        </w:rPr>
        <w:t>Home Office, Violence: Reforming the Offences Against the Person Act 1861 (Home Office, Great Britain)</w:t>
      </w:r>
    </w:p>
    <w:p w14:paraId="65BF91CB" w14:textId="77777777" w:rsidR="000018D4" w:rsidRPr="000018D4" w:rsidRDefault="000018D4" w:rsidP="000018D4">
      <w:pPr>
        <w:rPr>
          <w:b/>
          <w:bCs/>
          <w:sz w:val="28"/>
          <w:szCs w:val="28"/>
        </w:rPr>
      </w:pPr>
      <w:r w:rsidRPr="000018D4">
        <w:rPr>
          <w:b/>
          <w:bCs/>
          <w:sz w:val="28"/>
          <w:szCs w:val="28"/>
        </w:rPr>
        <w:t xml:space="preserve">Law Commission Report (2015), Printed in the UK by the Williams Lea Group on behalf of the Controller of Her Majesty’s Stationery Office </w:t>
      </w:r>
    </w:p>
    <w:p w14:paraId="014918CD" w14:textId="77777777" w:rsidR="000018D4" w:rsidRPr="000018D4" w:rsidRDefault="000018D4" w:rsidP="000018D4">
      <w:pPr>
        <w:rPr>
          <w:b/>
          <w:bCs/>
          <w:sz w:val="28"/>
          <w:szCs w:val="28"/>
        </w:rPr>
      </w:pPr>
      <w:r w:rsidRPr="000018D4">
        <w:rPr>
          <w:b/>
          <w:bCs/>
          <w:sz w:val="28"/>
          <w:szCs w:val="28"/>
        </w:rPr>
        <w:t>Law Commission, Reform of Offences Against the Person: A Scoping Consultation Paper (Law Com Consultation Paper No 217, 2014) Printed in the UK for The Stationery Office Limited on behalf of the Controller of Her Majesty’s Stationery Office</w:t>
      </w:r>
    </w:p>
    <w:p w14:paraId="6C493435" w14:textId="77777777" w:rsidR="000018D4" w:rsidRPr="000018D4" w:rsidRDefault="000018D4" w:rsidP="000018D4">
      <w:pPr>
        <w:rPr>
          <w:b/>
          <w:bCs/>
          <w:sz w:val="28"/>
          <w:szCs w:val="28"/>
        </w:rPr>
      </w:pPr>
      <w:r w:rsidRPr="000018D4">
        <w:rPr>
          <w:b/>
          <w:bCs/>
          <w:sz w:val="28"/>
          <w:szCs w:val="28"/>
        </w:rPr>
        <w:t>Law Commission, ‘Reform of Offences against the Person Summary’ Report (November 2015) Last accessed 4th March 2021</w:t>
      </w:r>
    </w:p>
    <w:p w14:paraId="4F64B6E3" w14:textId="77777777" w:rsidR="000018D4" w:rsidRPr="000018D4" w:rsidRDefault="000018D4" w:rsidP="000018D4">
      <w:pPr>
        <w:rPr>
          <w:b/>
          <w:bCs/>
          <w:sz w:val="28"/>
          <w:szCs w:val="28"/>
        </w:rPr>
      </w:pPr>
      <w:proofErr w:type="spellStart"/>
      <w:r w:rsidRPr="000018D4">
        <w:rPr>
          <w:b/>
          <w:bCs/>
          <w:sz w:val="28"/>
          <w:szCs w:val="28"/>
        </w:rPr>
        <w:t>Logdon</w:t>
      </w:r>
      <w:proofErr w:type="spellEnd"/>
      <w:r w:rsidRPr="000018D4">
        <w:rPr>
          <w:b/>
          <w:bCs/>
          <w:sz w:val="28"/>
          <w:szCs w:val="28"/>
        </w:rPr>
        <w:t xml:space="preserve"> v DPP 1976</w:t>
      </w:r>
    </w:p>
    <w:p w14:paraId="65C8FB8D" w14:textId="77777777" w:rsidR="000018D4" w:rsidRPr="000018D4" w:rsidRDefault="000018D4" w:rsidP="000018D4">
      <w:pPr>
        <w:rPr>
          <w:b/>
          <w:bCs/>
          <w:sz w:val="28"/>
          <w:szCs w:val="28"/>
        </w:rPr>
      </w:pPr>
      <w:r w:rsidRPr="000018D4">
        <w:rPr>
          <w:b/>
          <w:bCs/>
          <w:sz w:val="28"/>
          <w:szCs w:val="28"/>
        </w:rPr>
        <w:t>Offences Against the Person act 1861</w:t>
      </w:r>
    </w:p>
    <w:p w14:paraId="6A674F4C" w14:textId="77777777" w:rsidR="000018D4" w:rsidRPr="000018D4" w:rsidRDefault="000018D4" w:rsidP="000018D4">
      <w:pPr>
        <w:rPr>
          <w:b/>
          <w:bCs/>
          <w:sz w:val="28"/>
          <w:szCs w:val="28"/>
        </w:rPr>
      </w:pPr>
      <w:r w:rsidRPr="000018D4">
        <w:rPr>
          <w:b/>
          <w:bCs/>
          <w:sz w:val="28"/>
          <w:szCs w:val="28"/>
        </w:rPr>
        <w:t>Police Act 1996</w:t>
      </w:r>
    </w:p>
    <w:p w14:paraId="185A1936" w14:textId="77777777" w:rsidR="000018D4" w:rsidRPr="000018D4" w:rsidRDefault="000018D4" w:rsidP="000018D4">
      <w:pPr>
        <w:rPr>
          <w:b/>
          <w:bCs/>
          <w:sz w:val="28"/>
          <w:szCs w:val="28"/>
        </w:rPr>
      </w:pPr>
      <w:r w:rsidRPr="000018D4">
        <w:rPr>
          <w:b/>
          <w:bCs/>
          <w:sz w:val="28"/>
          <w:szCs w:val="28"/>
        </w:rPr>
        <w:t>R v Savage 1991</w:t>
      </w:r>
    </w:p>
    <w:p w14:paraId="5385F718" w14:textId="77777777" w:rsidR="000018D4" w:rsidRPr="000018D4" w:rsidRDefault="000018D4" w:rsidP="000018D4">
      <w:pPr>
        <w:rPr>
          <w:b/>
          <w:bCs/>
          <w:sz w:val="28"/>
          <w:szCs w:val="28"/>
        </w:rPr>
      </w:pPr>
      <w:r w:rsidRPr="000018D4">
        <w:rPr>
          <w:b/>
          <w:bCs/>
          <w:sz w:val="28"/>
          <w:szCs w:val="28"/>
        </w:rPr>
        <w:t>R v Ireland 1996</w:t>
      </w:r>
    </w:p>
    <w:p w14:paraId="588236E8" w14:textId="556542B0" w:rsidR="000018D4" w:rsidRPr="000018D4" w:rsidRDefault="000018D4" w:rsidP="000018D4">
      <w:pPr>
        <w:rPr>
          <w:b/>
          <w:bCs/>
          <w:sz w:val="28"/>
          <w:szCs w:val="28"/>
        </w:rPr>
      </w:pPr>
      <w:r w:rsidRPr="000018D4">
        <w:rPr>
          <w:b/>
          <w:bCs/>
          <w:sz w:val="28"/>
          <w:szCs w:val="28"/>
        </w:rPr>
        <w:t>The Ministry of Justice (United Kingdom)</w:t>
      </w:r>
    </w:p>
    <w:sectPr w:rsidR="000018D4" w:rsidRPr="000018D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E47C8" w14:textId="77777777" w:rsidR="000445B8" w:rsidRDefault="000445B8" w:rsidP="00206486">
      <w:pPr>
        <w:spacing w:after="0" w:line="240" w:lineRule="auto"/>
      </w:pPr>
      <w:r>
        <w:separator/>
      </w:r>
    </w:p>
  </w:endnote>
  <w:endnote w:type="continuationSeparator" w:id="0">
    <w:p w14:paraId="78498460" w14:textId="77777777" w:rsidR="000445B8" w:rsidRDefault="000445B8" w:rsidP="00206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43BF4" w14:textId="77777777" w:rsidR="000445B8" w:rsidRDefault="000445B8" w:rsidP="00206486">
      <w:pPr>
        <w:spacing w:after="0" w:line="240" w:lineRule="auto"/>
      </w:pPr>
      <w:r>
        <w:separator/>
      </w:r>
    </w:p>
  </w:footnote>
  <w:footnote w:type="continuationSeparator" w:id="0">
    <w:p w14:paraId="0AC4B516" w14:textId="77777777" w:rsidR="000445B8" w:rsidRDefault="000445B8" w:rsidP="00206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B5EA6" w14:textId="57065B44" w:rsidR="00206486" w:rsidRDefault="00206486" w:rsidP="00206486">
    <w:pPr>
      <w:spacing w:line="264" w:lineRule="auto"/>
    </w:pPr>
    <w:r>
      <w:rPr>
        <w:noProof/>
        <w:color w:val="000000"/>
      </w:rPr>
      <mc:AlternateContent>
        <mc:Choice Requires="wps">
          <w:drawing>
            <wp:anchor distT="0" distB="0" distL="114300" distR="114300" simplePos="0" relativeHeight="251659264" behindDoc="0" locked="0" layoutInCell="1" allowOverlap="1" wp14:anchorId="59C6E043" wp14:editId="33AD066F">
              <wp:simplePos x="0" y="0"/>
              <wp:positionH relativeFrom="margin">
                <wp:align>center</wp:align>
              </wp:positionH>
              <wp:positionV relativeFrom="page">
                <wp:posOffset>130175</wp:posOffset>
              </wp:positionV>
              <wp:extent cx="7376160" cy="9555480"/>
              <wp:effectExtent l="0" t="0" r="18415" b="1524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DEF99D6" id="Rectangle 222" o:spid="_x0000_s1026" style="position:absolute;margin-left:0;margin-top:10.25pt;width:580.8pt;height:752.4pt;z-index:251659264;visibility:visible;mso-wrap-style:square;mso-width-percent:950;mso-height-percent:950;mso-wrap-distance-left:9pt;mso-wrap-distance-top:0;mso-wrap-distance-right:9pt;mso-wrap-distance-bottom:0;mso-position-horizontal:center;mso-position-horizontal-relative:margin;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" filled="f" strokecolor="#747070 [1614]" strokeweight="1.25pt">
              <w10:wrap anchorx="margin" anchory="page"/>
            </v:rect>
          </w:pict>
        </mc:Fallback>
      </mc:AlternateContent>
    </w:r>
    <w:sdt>
      <w:sdtPr>
        <w:rPr>
          <w:color w:val="4472C4" w:themeColor="accent1"/>
          <w:sz w:val="20"/>
          <w:szCs w:val="20"/>
        </w:rPr>
        <w:alias w:val="Title"/>
        <w:id w:val="15524250"/>
        <w:placeholder>
          <w:docPart w:val="E352C0E76BFA473CB11B568F3337FA94"/>
        </w:placeholder>
        <w:dataBinding w:prefixMappings="xmlns:ns0='http://schemas.openxmlformats.org/package/2006/metadata/core-properties' xmlns:ns1='http://purl.org/dc/elements/1.1/'" w:xpath="/ns0:coreProperties[1]/ns1:title[1]" w:storeItemID="{6C3C8BC8-F283-45AE-878A-BAB7291924A1}"/>
        <w:text/>
      </w:sdtPr>
      <w:sdtEndPr>
        <w:rPr>
          <w:color w:val="000000" w:themeColor="text1"/>
        </w:rPr>
      </w:sdtEndPr>
      <w:sdtContent>
        <w:r>
          <w:rPr>
            <w:color w:val="000000" w:themeColor="text1"/>
          </w:rPr>
          <w:t xml:space="preserve">Fokrul Miah </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33"/>
    <w:rsid w:val="000018D4"/>
    <w:rsid w:val="00024B5F"/>
    <w:rsid w:val="00034FF1"/>
    <w:rsid w:val="000445B8"/>
    <w:rsid w:val="00083A9E"/>
    <w:rsid w:val="000866D2"/>
    <w:rsid w:val="000A0495"/>
    <w:rsid w:val="000A5F5C"/>
    <w:rsid w:val="000C45E7"/>
    <w:rsid w:val="000D7CA7"/>
    <w:rsid w:val="00105F3D"/>
    <w:rsid w:val="001960E0"/>
    <w:rsid w:val="001B5C53"/>
    <w:rsid w:val="00200C07"/>
    <w:rsid w:val="00206486"/>
    <w:rsid w:val="00210297"/>
    <w:rsid w:val="0023559C"/>
    <w:rsid w:val="002673F4"/>
    <w:rsid w:val="002A19CE"/>
    <w:rsid w:val="002C0DFA"/>
    <w:rsid w:val="002C2C35"/>
    <w:rsid w:val="002C4366"/>
    <w:rsid w:val="002C6215"/>
    <w:rsid w:val="002F6556"/>
    <w:rsid w:val="003B21AB"/>
    <w:rsid w:val="003B5FFD"/>
    <w:rsid w:val="003E23C4"/>
    <w:rsid w:val="00413E7D"/>
    <w:rsid w:val="004609C0"/>
    <w:rsid w:val="004837A0"/>
    <w:rsid w:val="004905F1"/>
    <w:rsid w:val="004A4D72"/>
    <w:rsid w:val="004B45CE"/>
    <w:rsid w:val="004B6376"/>
    <w:rsid w:val="004D25F9"/>
    <w:rsid w:val="005051A0"/>
    <w:rsid w:val="00506804"/>
    <w:rsid w:val="005C1210"/>
    <w:rsid w:val="005D0441"/>
    <w:rsid w:val="0064288F"/>
    <w:rsid w:val="00684C31"/>
    <w:rsid w:val="006B6057"/>
    <w:rsid w:val="006C3E3A"/>
    <w:rsid w:val="006D2972"/>
    <w:rsid w:val="006D29FF"/>
    <w:rsid w:val="006E06C6"/>
    <w:rsid w:val="006E1705"/>
    <w:rsid w:val="006F1B58"/>
    <w:rsid w:val="00712A5E"/>
    <w:rsid w:val="00734D3F"/>
    <w:rsid w:val="00741B66"/>
    <w:rsid w:val="00782580"/>
    <w:rsid w:val="007A1833"/>
    <w:rsid w:val="007A707E"/>
    <w:rsid w:val="007A78F0"/>
    <w:rsid w:val="007F5948"/>
    <w:rsid w:val="00827D90"/>
    <w:rsid w:val="00830C15"/>
    <w:rsid w:val="008A115F"/>
    <w:rsid w:val="008A250E"/>
    <w:rsid w:val="008A5470"/>
    <w:rsid w:val="008B0C90"/>
    <w:rsid w:val="008B1BEB"/>
    <w:rsid w:val="008B720A"/>
    <w:rsid w:val="008D18DB"/>
    <w:rsid w:val="008E7112"/>
    <w:rsid w:val="008F206D"/>
    <w:rsid w:val="00931156"/>
    <w:rsid w:val="00934E99"/>
    <w:rsid w:val="009830AD"/>
    <w:rsid w:val="009B08E0"/>
    <w:rsid w:val="00A372CE"/>
    <w:rsid w:val="00A425F9"/>
    <w:rsid w:val="00A856C4"/>
    <w:rsid w:val="00A90D82"/>
    <w:rsid w:val="00AA66A1"/>
    <w:rsid w:val="00AB5D28"/>
    <w:rsid w:val="00AC3DB2"/>
    <w:rsid w:val="00AC5A1A"/>
    <w:rsid w:val="00AD0F79"/>
    <w:rsid w:val="00B273D1"/>
    <w:rsid w:val="00B316E6"/>
    <w:rsid w:val="00B72E48"/>
    <w:rsid w:val="00B7486B"/>
    <w:rsid w:val="00B81ADB"/>
    <w:rsid w:val="00C13923"/>
    <w:rsid w:val="00C243B4"/>
    <w:rsid w:val="00C851D0"/>
    <w:rsid w:val="00CA2A96"/>
    <w:rsid w:val="00CC71A4"/>
    <w:rsid w:val="00CC7CEF"/>
    <w:rsid w:val="00CD469F"/>
    <w:rsid w:val="00CD690D"/>
    <w:rsid w:val="00D213A8"/>
    <w:rsid w:val="00D645FA"/>
    <w:rsid w:val="00DC074E"/>
    <w:rsid w:val="00DF7DD0"/>
    <w:rsid w:val="00E2441A"/>
    <w:rsid w:val="00E63CE7"/>
    <w:rsid w:val="00E64F69"/>
    <w:rsid w:val="00E91FF1"/>
    <w:rsid w:val="00F02ABE"/>
    <w:rsid w:val="00F31A33"/>
    <w:rsid w:val="00F57A91"/>
    <w:rsid w:val="00F57B9D"/>
    <w:rsid w:val="00F57C4A"/>
    <w:rsid w:val="00F74B81"/>
    <w:rsid w:val="00FA26A0"/>
    <w:rsid w:val="00FE6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E402"/>
  <w15:chartTrackingRefBased/>
  <w15:docId w15:val="{58D956D1-E37B-4898-A25C-5DAD735E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486"/>
  </w:style>
  <w:style w:type="paragraph" w:styleId="Footer">
    <w:name w:val="footer"/>
    <w:basedOn w:val="Normal"/>
    <w:link w:val="FooterChar"/>
    <w:uiPriority w:val="99"/>
    <w:unhideWhenUsed/>
    <w:rsid w:val="00206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352C0E76BFA473CB11B568F3337FA94"/>
        <w:category>
          <w:name w:val="General"/>
          <w:gallery w:val="placeholder"/>
        </w:category>
        <w:types>
          <w:type w:val="bbPlcHdr"/>
        </w:types>
        <w:behaviors>
          <w:behavior w:val="content"/>
        </w:behaviors>
        <w:guid w:val="{9060CFAF-5F09-4916-B370-EBFC9A3C76C5}"/>
      </w:docPartPr>
      <w:docPartBody>
        <w:p w:rsidR="00000000" w:rsidRDefault="00225111" w:rsidP="00225111">
          <w:pPr>
            <w:pStyle w:val="E352C0E76BFA473CB11B568F3337FA94"/>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11"/>
    <w:rsid w:val="00225111"/>
    <w:rsid w:val="00673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98B82E4D694FBCAAE9C9F72EAB68F4">
    <w:name w:val="0F98B82E4D694FBCAAE9C9F72EAB68F4"/>
    <w:rsid w:val="00225111"/>
  </w:style>
  <w:style w:type="paragraph" w:customStyle="1" w:styleId="E352C0E76BFA473CB11B568F3337FA94">
    <w:name w:val="E352C0E76BFA473CB11B568F3337FA94"/>
    <w:rsid w:val="002251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Fokrul Miah</dc:title>
  <dc:subject/>
  <dc:creator>Fokrul Miah (2021594)</dc:creator>
  <cp:keywords/>
  <dc:description/>
  <cp:lastModifiedBy>Fokrul Miah (2021594)</cp:lastModifiedBy>
  <cp:revision>2</cp:revision>
  <dcterms:created xsi:type="dcterms:W3CDTF">2021-03-06T05:14:00Z</dcterms:created>
  <dcterms:modified xsi:type="dcterms:W3CDTF">2021-03-06T05:14:00Z</dcterms:modified>
</cp:coreProperties>
</file>