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062365"/>
        <w:docPartObj>
          <w:docPartGallery w:val="Cover Pages"/>
          <w:docPartUnique/>
        </w:docPartObj>
      </w:sdtPr>
      <w:sdtEndPr>
        <w:rPr>
          <w:sz w:val="26"/>
          <w:szCs w:val="26"/>
        </w:rPr>
      </w:sdtEndPr>
      <w:sdtContent>
        <w:p w:rsidR="008334E3" w:rsidRDefault="008334E3"/>
        <w:p w:rsidR="008334E3" w:rsidRDefault="002A54EA">
          <w:pPr>
            <w:rPr>
              <w:sz w:val="26"/>
              <w:szCs w:val="26"/>
            </w:rPr>
          </w:pPr>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528185" cy="3371850"/>
                    <wp:effectExtent l="0" t="0" r="5715" b="12700"/>
                    <wp:wrapSquare wrapText="bothSides"/>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8185" cy="3371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334E3" w:rsidRDefault="008D0C40">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9656F">
                                      <w:rPr>
                                        <w:color w:val="4F81BD" w:themeColor="accent1"/>
                                        <w:sz w:val="72"/>
                                        <w:szCs w:val="72"/>
                                      </w:rPr>
                                      <w:t>Assessing the Cultural, Societal, Economic and Environmental Impacts of the Brechfa West Wind Farm.</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8334E3" w:rsidRDefault="008334E3">
                                    <w:pPr>
                                      <w:pStyle w:val="NoSpacing"/>
                                      <w:spacing w:before="40" w:after="40"/>
                                      <w:rPr>
                                        <w:caps/>
                                        <w:color w:val="215868" w:themeColor="accent5" w:themeShade="80"/>
                                        <w:sz w:val="28"/>
                                        <w:szCs w:val="28"/>
                                      </w:rPr>
                                    </w:pPr>
                                    <w:r>
                                      <w:rPr>
                                        <w:caps/>
                                        <w:color w:val="215868" w:themeColor="accent5" w:themeShade="80"/>
                                        <w:sz w:val="28"/>
                                        <w:szCs w:val="28"/>
                                      </w:rPr>
                                      <w:t>Sustainable devleopment assignment</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8334E3" w:rsidRDefault="00036C5E">
                                    <w:pPr>
                                      <w:pStyle w:val="NoSpacing"/>
                                      <w:spacing w:before="80" w:after="40"/>
                                      <w:rPr>
                                        <w:caps/>
                                        <w:color w:val="4BACC6" w:themeColor="accent5"/>
                                        <w:sz w:val="24"/>
                                        <w:szCs w:val="24"/>
                                      </w:rPr>
                                    </w:pPr>
                                    <w:r>
                                      <w:rPr>
                                        <w:caps/>
                                        <w:color w:val="4BACC6" w:themeColor="accent5"/>
                                        <w:sz w:val="24"/>
                                        <w:szCs w:val="24"/>
                                      </w:rPr>
                                      <w:t>Rebecca Blackman (1709562)</w:t>
                                    </w:r>
                                  </w:p>
                                </w:sdtContent>
                              </w:sdt>
                              <w:p w:rsidR="008D0C40" w:rsidRDefault="008D0C40">
                                <w:pPr>
                                  <w:pStyle w:val="NoSpacing"/>
                                  <w:spacing w:before="80" w:after="40"/>
                                  <w:rPr>
                                    <w:caps/>
                                    <w:color w:val="4BACC6" w:themeColor="accent5"/>
                                    <w:sz w:val="24"/>
                                    <w:szCs w:val="24"/>
                                  </w:rPr>
                                </w:pPr>
                                <w:r>
                                  <w:rPr>
                                    <w:caps/>
                                    <w:color w:val="4BACC6" w:themeColor="accent5"/>
                                    <w:sz w:val="24"/>
                                    <w:szCs w:val="24"/>
                                  </w:rPr>
                                  <w:t>22 March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56.55pt;height:265.5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AvFgQIAAHAFAAAOAAAAZHJzL2Uyb0RvYy54bWysVE1PGzEQvVfqf7B8L5uQQtGKDUpBVJUi&#10;QIWKs+O1yQp/1Xaym/76Pnt3E0p7oerFO+t5M56PN3N+0WlFtsKHxpqKTo8mlAjDbd2Yp4p+f7j+&#10;cEZJiMzUTFkjKroTgV7M3787b10pju3aqlp4AicmlK2r6DpGVxZF4GuhWTiyThgopfWaRfz6p6L2&#10;rIV3rYrjyeS0aK2vnbdchIDbq15J59m/lILHWymDiERVFLHFfPp8rtJZzM9Z+eSZWzd8CIP9QxSa&#10;NQaP7l1dscjIxjd/uNIN9zZYGY+41YWVsuEi54BsppNX2dyvmRM5FxQnuH2Zwv9zy2+2d540NXo3&#10;m1JimEaTHkQXyWfbkXSHCrUulADeO0BjBwXQOdvglpY/B0CKF5jeIACdKtJJr9MXuRIYogm7feHT&#10;OxyXH0+Oz6ZnJ5Rw6GazT5Bza4qDufMhfhFWkyRU1KOzOQS2XYaYAmDlCEmvGXvdKJW7qwxpK3o6&#10;g8vfNLBQJt2IzJPBTcqjDz1LcadEwijzTUjUKWeQLjJDxaXyZMvALca5MDFXK/sFOqEkgniL4YA/&#10;RPUW4z6P8WVr4t5YN8b6vmNpsA5h189jyLLHD50Mfd6pBLFbdQMHVrbegQLe9mMUHL9u0I0lC/GO&#10;ecwNmotdEG9xSGVRdTtIlKyt//m3+4QHnaGlpMUcVjT82DAvKFFfDYiehnYU/CisRsFs9KVF+UFd&#10;RJNFGPioRlF6qx+xIhbpFaiY4XironEUL2O/DbBiuFgsMgij6VhcmnvHR6Ynbj10j8y7gYAR3L2x&#10;44Sy8hUPe2wmiltsItiYSZoK2ldxKDTGOnN3WEFpb7z8z6jDopz/AgAA//8DAFBLAwQUAAYACAAA&#10;ACEASrw5adwAAAAFAQAADwAAAGRycy9kb3ducmV2LnhtbEyPwU7DMBBE70j9B2srcaNOKE2qNE6F&#10;ijiCSoFDb268xBHxOsRum/49Cxe4rDSa0czbcj26TpxwCK0nBeksAYFUe9NSo+Dt9fFmCSJETUZ3&#10;nlDBBQOsq8lVqQvjz/SCp11sBJdQKLQCG2NfSBlqi06Hme+R2Pvwg9OR5dBIM+gzl7tO3iZJJp1u&#10;iRes7nFjsf7cHZ2CsW+2F3ynZYZ3+cPe5l/PT5tMqevpeL8CEXGMf2H4wWd0qJjp4I9kgugU8CPx&#10;97KXp/MUxEHBYp4mIKtS/qevvgEAAP//AwBQSwECLQAUAAYACAAAACEAtoM4kv4AAADhAQAAEwAA&#10;AAAAAAAAAAAAAAAAAAAAW0NvbnRlbnRfVHlwZXNdLnhtbFBLAQItABQABgAIAAAAIQA4/SH/1gAA&#10;AJQBAAALAAAAAAAAAAAAAAAAAC8BAABfcmVscy8ucmVsc1BLAQItABQABgAIAAAAIQATzAvFgQIA&#10;AHAFAAAOAAAAAAAAAAAAAAAAAC4CAABkcnMvZTJvRG9jLnhtbFBLAQItABQABgAIAAAAIQBKvDlp&#10;3AAAAAUBAAAPAAAAAAAAAAAAAAAAANsEAABkcnMvZG93bnJldi54bWxQSwUGAAAAAAQABADzAAAA&#10;5AUAAAAA&#10;" filled="f" stroked="f" strokeweight=".5pt">
                    <v:path arrowok="t"/>
                    <v:textbox style="mso-fit-shape-to-text:t" inset="0,0,0,0">
                      <w:txbxContent>
                        <w:p w:rsidR="008334E3" w:rsidRDefault="008D0C40">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9656F">
                                <w:rPr>
                                  <w:color w:val="4F81BD" w:themeColor="accent1"/>
                                  <w:sz w:val="72"/>
                                  <w:szCs w:val="72"/>
                                </w:rPr>
                                <w:t>Assessing the Cultural, Societal, Economic and Environmental Impacts of the Brechfa West Wind Farm.</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8334E3" w:rsidRDefault="008334E3">
                              <w:pPr>
                                <w:pStyle w:val="NoSpacing"/>
                                <w:spacing w:before="40" w:after="40"/>
                                <w:rPr>
                                  <w:caps/>
                                  <w:color w:val="215868" w:themeColor="accent5" w:themeShade="80"/>
                                  <w:sz w:val="28"/>
                                  <w:szCs w:val="28"/>
                                </w:rPr>
                              </w:pPr>
                              <w:r>
                                <w:rPr>
                                  <w:caps/>
                                  <w:color w:val="215868" w:themeColor="accent5" w:themeShade="80"/>
                                  <w:sz w:val="28"/>
                                  <w:szCs w:val="28"/>
                                </w:rPr>
                                <w:t>Sustainable devleopment assignment</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8334E3" w:rsidRDefault="00036C5E">
                              <w:pPr>
                                <w:pStyle w:val="NoSpacing"/>
                                <w:spacing w:before="80" w:after="40"/>
                                <w:rPr>
                                  <w:caps/>
                                  <w:color w:val="4BACC6" w:themeColor="accent5"/>
                                  <w:sz w:val="24"/>
                                  <w:szCs w:val="24"/>
                                </w:rPr>
                              </w:pPr>
                              <w:r>
                                <w:rPr>
                                  <w:caps/>
                                  <w:color w:val="4BACC6" w:themeColor="accent5"/>
                                  <w:sz w:val="24"/>
                                  <w:szCs w:val="24"/>
                                </w:rPr>
                                <w:t>Rebecca Blackman (1709562)</w:t>
                              </w:r>
                            </w:p>
                          </w:sdtContent>
                        </w:sdt>
                        <w:p w:rsidR="008D0C40" w:rsidRDefault="008D0C40">
                          <w:pPr>
                            <w:pStyle w:val="NoSpacing"/>
                            <w:spacing w:before="80" w:after="40"/>
                            <w:rPr>
                              <w:caps/>
                              <w:color w:val="4BACC6" w:themeColor="accent5"/>
                              <w:sz w:val="24"/>
                              <w:szCs w:val="24"/>
                            </w:rPr>
                          </w:pPr>
                          <w:r>
                            <w:rPr>
                              <w:caps/>
                              <w:color w:val="4BACC6" w:themeColor="accent5"/>
                              <w:sz w:val="24"/>
                              <w:szCs w:val="24"/>
                            </w:rPr>
                            <w:t>22 March 2018</w:t>
                          </w:r>
                        </w:p>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68960" cy="104457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8960" cy="104457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8334E3" w:rsidRDefault="008334E3">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6.4pt;margin-top:0;width:44.8pt;height:82.2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tmgIAAJEFAAAOAAAAZHJzL2Uyb0RvYy54bWysVN9P2zAQfp+0/8Hy+0jaUQYRKaqKmCZV&#10;gICJZ9exm2iOz7PdJt1fv7Odhg7QHqblwYrPd9/9+u4ur/pWkZ2wrgFd0slJTonQHKpGb0r6/enm&#10;0zklzjNdMQValHQvHL2af/xw2ZlCTKEGVQlLEES7ojMlrb03RZY5XouWuRMwQuOjBNsyj1e7ySrL&#10;OkRvVTbN87OsA1sZC1w4h9Lr9EjnEV9Kwf2dlE54okqKsfl42niuw5nNL1mxsczUDR/CYP8QRcsa&#10;jU5HqGvmGdna5g1U23ALDqQ/4dBmIGXDRcwBs5nkr7J5rJkRMRcsjjNjmdz/g+W3u3tLmgp793lK&#10;iWYtNukBy8b0RgkShFiizrgCNR/NvQ1JOrMC/sMRDcsa9cTCGbRAiKCb/aEcLm4w66VtgzlmTfrY&#10;gv3YAtF7wlE4Ozu/OMNGcXya5Kensy+zCMqKg7Wxzn8V0JLwU1KLnmPl2W7lfPDPioNKcKZ0ODXc&#10;NEql1yCJQaa4YoR+r0TSfhASy4GRTCNqJKJYKkt2DCnEOBfaT9JTzSqRxLMcvyHO0SKGojQCBmSJ&#10;/kfsASCQ/C12inLQD6Yi8ng0zv8WWDIeLaJn0H40bhsN9j0AhVkNnpP+oUipNKFKvl/3iSpBM0jW&#10;UO2RPhbSXDnDbxrsyoo5f88sDhJ2EpeDv8NDKuhKCsMfJTXYX+/Jgz7yG18p6XAwS+p+bpkVlKhv&#10;GpmPlJiGST6+2OPL+viit+0SsHETXEOGx180tl4dfqWF9hl3yCJ4xSemOfou6frwu/RpXeAO4mKx&#10;iEo4u4b5lX40PECHKgfOPfXPzJqBmB4pfQuHEWbFK34m3WCpYbH1IJtI3peqDvXHuY9EGnZUWCzH&#10;96j1sknnvwEAAP//AwBQSwMEFAAGAAgAAAAhANRtjcjbAAAABAEAAA8AAABkcnMvZG93bnJldi54&#10;bWxMj0FLw0AQhe9C/8MyQi9iNxENbcymFKGH3moqeN1kt0lIdjZkp2nqr3f0opcHw3u89022nV0v&#10;JjuG1qOCeBWBsFh502Kt4OO0f1yDCKTR6N6jVXCzAbb54i7TqfFXfLdTQbXgEgypVtAQDamUoWqs&#10;02HlB4vsnf3oNPE51tKM+srlrpdPUZRIp1vkhUYP9q2xVVdcnILSdPE+Pp5p+jzpw+ahu9HXsVBq&#10;eT/vXkGQnekvDD/4jA45M5X+giaIXgE/Qr/K3nqTgCg5kzy/gMwz+R8+/wYAAP//AwBQSwECLQAU&#10;AAYACAAAACEAtoM4kv4AAADhAQAAEwAAAAAAAAAAAAAAAAAAAAAAW0NvbnRlbnRfVHlwZXNdLnht&#10;bFBLAQItABQABgAIAAAAIQA4/SH/1gAAAJQBAAALAAAAAAAAAAAAAAAAAC8BAABfcmVscy8ucmVs&#10;c1BLAQItABQABgAIAAAAIQDNFf/tmgIAAJEFAAAOAAAAAAAAAAAAAAAAAC4CAABkcnMvZTJvRG9j&#10;LnhtbFBLAQItABQABgAIAAAAIQDUbY3I2wAAAAQBAAAPAAAAAAAAAAAAAAAAAPQEAABkcnMvZG93&#10;bnJldi54bWxQSwUGAAAAAAQABADzAAAA/AUAAAAA&#10;" fillcolor="#4f81bd [3204]" stroked="f" strokeweight="2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8334E3" w:rsidRDefault="008334E3">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sidR="008334E3">
            <w:rPr>
              <w:sz w:val="26"/>
              <w:szCs w:val="26"/>
            </w:rPr>
            <w:br w:type="page"/>
          </w:r>
        </w:p>
        <w:bookmarkStart w:id="0" w:name="_GoBack" w:displacedByCustomXml="next"/>
        <w:bookmarkEnd w:id="0" w:displacedByCustomXml="next"/>
      </w:sdtContent>
    </w:sdt>
    <w:p w:rsidR="009B1D22" w:rsidRDefault="00941367">
      <w:r w:rsidRPr="008334E3">
        <w:rPr>
          <w:sz w:val="26"/>
          <w:szCs w:val="26"/>
        </w:rPr>
        <w:lastRenderedPageBreak/>
        <w:t>Introduction</w:t>
      </w:r>
      <w:r w:rsidR="002A54EA">
        <w:t xml:space="preserve"> </w:t>
      </w:r>
    </w:p>
    <w:p w:rsidR="000D44E5" w:rsidRDefault="00470D89">
      <w:r>
        <w:t xml:space="preserve">In 1973 the price of oil increased dramatically, this along with the realisation that fossil fuels are a finite resource led to the research and development of wind turbines. From the 1990’s this continued to be a topic of research due to the low C02 emissions of the overall lifecycle of a turbine (Burton, </w:t>
      </w:r>
      <w:r w:rsidRPr="00470D89">
        <w:rPr>
          <w:i/>
        </w:rPr>
        <w:t>et al</w:t>
      </w:r>
      <w:r>
        <w:t xml:space="preserve">, 2011). </w:t>
      </w:r>
      <w:r w:rsidR="00C95374">
        <w:t xml:space="preserve"> </w:t>
      </w:r>
      <w:r w:rsidR="001C31BD">
        <w:t>Global initiatives for environmental sustainable energy sources have shaped the UK renewable energy strategy, which has focused mostly on wind power</w:t>
      </w:r>
      <w:r w:rsidR="000D44E5">
        <w:t xml:space="preserve">, </w:t>
      </w:r>
      <w:r>
        <w:t>particularly those</w:t>
      </w:r>
      <w:r w:rsidR="000D44E5">
        <w:t xml:space="preserve"> developments which are onshore (Strachan, Lal and von </w:t>
      </w:r>
      <w:proofErr w:type="spellStart"/>
      <w:r w:rsidR="000D44E5">
        <w:t>Malmborg</w:t>
      </w:r>
      <w:proofErr w:type="spellEnd"/>
      <w:r w:rsidR="000D44E5">
        <w:t>,</w:t>
      </w:r>
      <w:r w:rsidR="001C31BD">
        <w:t xml:space="preserve"> 2006</w:t>
      </w:r>
      <w:r w:rsidR="000D44E5">
        <w:t xml:space="preserve"> and </w:t>
      </w:r>
      <w:proofErr w:type="spellStart"/>
      <w:r w:rsidR="000D44E5">
        <w:t>Farfan</w:t>
      </w:r>
      <w:proofErr w:type="spellEnd"/>
      <w:r w:rsidR="000D44E5">
        <w:t xml:space="preserve">, </w:t>
      </w:r>
      <w:r w:rsidR="000D44E5" w:rsidRPr="000D44E5">
        <w:rPr>
          <w:i/>
        </w:rPr>
        <w:t>et al</w:t>
      </w:r>
      <w:r w:rsidR="000D44E5">
        <w:t>, 2017</w:t>
      </w:r>
      <w:r w:rsidR="001C31BD">
        <w:t xml:space="preserve">). </w:t>
      </w:r>
    </w:p>
    <w:p w:rsidR="00941367" w:rsidRDefault="000D44E5">
      <w:r>
        <w:t xml:space="preserve">A 2006 study by Strachan, </w:t>
      </w:r>
      <w:r w:rsidR="001C31BD">
        <w:t>Lal</w:t>
      </w:r>
      <w:r>
        <w:t xml:space="preserve"> and von </w:t>
      </w:r>
      <w:proofErr w:type="spellStart"/>
      <w:r w:rsidRPr="002A54EA">
        <w:t>Malmborg</w:t>
      </w:r>
      <w:proofErr w:type="spellEnd"/>
      <w:r w:rsidR="001C31BD" w:rsidRPr="002A54EA">
        <w:t xml:space="preserve"> </w:t>
      </w:r>
      <w:r w:rsidR="002A54EA" w:rsidRPr="002A54EA">
        <w:t xml:space="preserve">(Strachan, Lal and von </w:t>
      </w:r>
      <w:proofErr w:type="spellStart"/>
      <w:r w:rsidR="002A54EA" w:rsidRPr="002A54EA">
        <w:t>Malmbord</w:t>
      </w:r>
      <w:proofErr w:type="spellEnd"/>
      <w:r w:rsidR="002A54EA" w:rsidRPr="002A54EA">
        <w:t>, 2006)</w:t>
      </w:r>
      <w:r w:rsidR="008E015C" w:rsidRPr="002A54EA">
        <w:t xml:space="preserve"> </w:t>
      </w:r>
      <w:r w:rsidR="001C31BD" w:rsidRPr="002A54EA">
        <w:t>identified</w:t>
      </w:r>
      <w:r w:rsidR="001C31BD">
        <w:t xml:space="preserve"> </w:t>
      </w:r>
      <w:r>
        <w:t xml:space="preserve">difficulties in wind farm developments arising from the planning system and </w:t>
      </w:r>
      <w:r w:rsidR="00C95374">
        <w:t>they often face</w:t>
      </w:r>
      <w:r>
        <w:t xml:space="preserve"> opposition from local communities, resulting in wind energy now being perceived as a controversial technology. </w:t>
      </w:r>
    </w:p>
    <w:p w:rsidR="00497B0E" w:rsidRDefault="00AF7F6B">
      <w:r>
        <w:t xml:space="preserve">The Oxford Dictionary of Ecology (2015) defines anthropogenic as process or substances deriving from human origin or activity. This report will look at how anthropogenic forces (in this case the development of the wind farm) has impacts on not only the environment but also society, culture and the economy of the area. </w:t>
      </w:r>
    </w:p>
    <w:p w:rsidR="000D44E5" w:rsidRDefault="000D44E5">
      <w:r>
        <w:t>As</w:t>
      </w:r>
      <w:r w:rsidR="00AC40D1">
        <w:t xml:space="preserve"> </w:t>
      </w:r>
      <w:r>
        <w:t>well as the location where the wind turbines are built</w:t>
      </w:r>
      <w:r w:rsidR="00AC40D1">
        <w:t>,</w:t>
      </w:r>
      <w:r>
        <w:t xml:space="preserve"> planning applications must also be submitted for the grid connection of wind farm</w:t>
      </w:r>
      <w:r w:rsidR="00AC40D1">
        <w:t>s</w:t>
      </w:r>
      <w:r w:rsidR="00AF7F6B">
        <w:t xml:space="preserve"> (in this case the grid line runs from Brechfa forest to 10km south of Carmarthen)</w:t>
      </w:r>
      <w:r>
        <w:t xml:space="preserve">. </w:t>
      </w:r>
      <w:r w:rsidR="00AC40D1">
        <w:t>For the purpose of this report only the anthropogenic forces and their impacts associated with the Brechfa Forest wind farm site will be discussed.</w:t>
      </w:r>
    </w:p>
    <w:p w:rsidR="001D2F1B" w:rsidRDefault="00941367">
      <w:r w:rsidRPr="008334E3">
        <w:rPr>
          <w:sz w:val="26"/>
          <w:szCs w:val="26"/>
        </w:rPr>
        <w:t>Brechfa west wind farm</w:t>
      </w:r>
      <w:r w:rsidR="002A54EA">
        <w:t xml:space="preserve"> </w:t>
      </w:r>
    </w:p>
    <w:p w:rsidR="001D2F1B" w:rsidRDefault="001D2F1B">
      <w:r>
        <w:t xml:space="preserve">The history of Brechfa forest goes back centuries with a long history of the area being managed by local people for grazing and building material. More recently (1900’s) Brechfa was re planted with conifers by the forestry commission to provide timber after the First World War. The forest now covers 6500 hectares and is managed by Natural Resources Wales (NRW) primarily for wildlife, people and timber (NRW, 2018). </w:t>
      </w:r>
    </w:p>
    <w:p w:rsidR="00941367" w:rsidRDefault="00C73849">
      <w:r>
        <w:t xml:space="preserve">Permission was granted for the development by the Secretary of </w:t>
      </w:r>
      <w:r w:rsidR="00475B63">
        <w:t>State in March 2013 to Innogy Renewables UK.</w:t>
      </w:r>
      <w:r>
        <w:t xml:space="preserve"> </w:t>
      </w:r>
      <w:r w:rsidR="00E45ADD">
        <w:t>The scheme will eventually provide 28 win</w:t>
      </w:r>
      <w:r w:rsidR="00475B63">
        <w:t>d</w:t>
      </w:r>
      <w:r w:rsidR="00E45ADD">
        <w:t xml:space="preserve"> turbines with the ability to supply the electricity needs of around 38,000 average ho</w:t>
      </w:r>
      <w:r w:rsidR="00475B63">
        <w:t>useholds per year</w:t>
      </w:r>
      <w:r w:rsidR="00E45ADD">
        <w:t xml:space="preserve">. </w:t>
      </w:r>
      <w:r>
        <w:t xml:space="preserve">140 hectares of site managed by NRW will be built on once all 28 turbines are constructed after an estimated 20 months (NRW, 2016). </w:t>
      </w:r>
    </w:p>
    <w:p w:rsidR="00941367" w:rsidRDefault="00941367">
      <w:pPr>
        <w:rPr>
          <w:rFonts w:ascii="Calibri" w:hAnsi="Calibri" w:cs="Calibri"/>
          <w:color w:val="1F497D"/>
        </w:rPr>
      </w:pPr>
      <w:r w:rsidRPr="008334E3">
        <w:rPr>
          <w:sz w:val="26"/>
          <w:szCs w:val="26"/>
        </w:rPr>
        <w:t>Cultural Impacts</w:t>
      </w:r>
      <w:r w:rsidR="002A54EA">
        <w:t xml:space="preserve"> </w:t>
      </w:r>
    </w:p>
    <w:p w:rsidR="00941367" w:rsidRDefault="003341B8">
      <w:r>
        <w:t xml:space="preserve">The Environmental Impact Assessment (EIA) for Brechfa Forest West Wind Farm included several sections that could deemed as cultural, such as visual landscape impacts and the historical environment. The cumulative effects of the Brechfa development in combination with other wind farms in the area concluded that there would be a significant visual impact for much of the surrounding area (LUC, 2010). This is however difficult to identify if the impacts are positive or negative, as it can be a persons personal view as to whether or not win turbines are an eye sore.  </w:t>
      </w:r>
      <w:r w:rsidR="00A82025">
        <w:t xml:space="preserve">Impacts on the historical environment (including archaeology and historic buildings) </w:t>
      </w:r>
      <w:r>
        <w:t>concluded</w:t>
      </w:r>
      <w:r w:rsidR="00A82025">
        <w:t xml:space="preserve"> that </w:t>
      </w:r>
      <w:r w:rsidR="00A82025">
        <w:lastRenderedPageBreak/>
        <w:t xml:space="preserve">there would be no direct adverse impacts upon the historical and archaeological areas (with one exception) (LUC, 2010). </w:t>
      </w:r>
    </w:p>
    <w:p w:rsidR="00941367" w:rsidRDefault="00941367">
      <w:r w:rsidRPr="008334E3">
        <w:rPr>
          <w:sz w:val="26"/>
          <w:szCs w:val="26"/>
        </w:rPr>
        <w:t>Societal Impacts</w:t>
      </w:r>
    </w:p>
    <w:p w:rsidR="00A02E8D" w:rsidRDefault="00A02E8D">
      <w:r>
        <w:t xml:space="preserve">The Welsh Government has renewable energy targets to meet, and at the moment the most cost effective form of wind energy is onshore developments (Welsh Government, 2017). Once in full operational it is estimated that the Brechfa wind farm will generate enough electricity to run 38,800 average households </w:t>
      </w:r>
      <w:r w:rsidRPr="004739D6">
        <w:t>(</w:t>
      </w:r>
      <w:proofErr w:type="spellStart"/>
      <w:r w:rsidR="004739D6" w:rsidRPr="004739D6">
        <w:t>innorgy</w:t>
      </w:r>
      <w:proofErr w:type="spellEnd"/>
      <w:r w:rsidR="004739D6" w:rsidRPr="004739D6">
        <w:t xml:space="preserve"> 2018</w:t>
      </w:r>
      <w:r w:rsidRPr="004739D6">
        <w:t xml:space="preserve">). </w:t>
      </w:r>
    </w:p>
    <w:p w:rsidR="007E1FCE" w:rsidRDefault="007E1FCE">
      <w:r>
        <w:t xml:space="preserve">During the planning process local Brechfa residents formed a local NGO called Grow </w:t>
      </w:r>
      <w:proofErr w:type="spellStart"/>
      <w:r>
        <w:t>Blaengwen</w:t>
      </w:r>
      <w:proofErr w:type="spellEnd"/>
      <w:r>
        <w:t xml:space="preserve">, which particularly focused on noise disturbance form the proposed wind farm (Rydin, Lee and Lock, 2015). Local newspaper articles quoted residents complaining of sleep deprivation from </w:t>
      </w:r>
      <w:r w:rsidR="00A02E8D">
        <w:t>existing</w:t>
      </w:r>
      <w:r>
        <w:t xml:space="preserve"> wind turbines in the area</w:t>
      </w:r>
      <w:r w:rsidR="00A02E8D">
        <w:t xml:space="preserve"> (Williamson, 2013)</w:t>
      </w:r>
      <w:r>
        <w:t xml:space="preserve">. </w:t>
      </w:r>
    </w:p>
    <w:p w:rsidR="00DE23EE" w:rsidRDefault="00DE23EE">
      <w:r>
        <w:t>Despite much progress into the reduction of wind turbine induced noise this still appears to be one of the main concerns for those living within local communities and developers are still facing strong opposition to wind farms due to the noise impacts on residents (</w:t>
      </w:r>
      <w:proofErr w:type="spellStart"/>
      <w:r>
        <w:t>Kaldellis</w:t>
      </w:r>
      <w:proofErr w:type="spellEnd"/>
      <w:r>
        <w:t>, et al, 2016).  Having said this a study b</w:t>
      </w:r>
      <w:r w:rsidR="00B576A0">
        <w:t>y</w:t>
      </w:r>
      <w:r>
        <w:t xml:space="preserve"> </w:t>
      </w:r>
      <w:proofErr w:type="spellStart"/>
      <w:r>
        <w:t>Phol</w:t>
      </w:r>
      <w:proofErr w:type="spellEnd"/>
      <w:r>
        <w:t xml:space="preserve">, Gabriel and </w:t>
      </w:r>
      <w:proofErr w:type="spellStart"/>
      <w:r>
        <w:t>Hubner</w:t>
      </w:r>
      <w:proofErr w:type="spellEnd"/>
      <w:r>
        <w:t xml:space="preserve"> (2018), found that the residents which appeared to have been most strongly negatively </w:t>
      </w:r>
      <w:r w:rsidR="00B576A0">
        <w:t>affected</w:t>
      </w:r>
      <w:r>
        <w:t xml:space="preserve"> by the noise if wind turbines were those which had already developed negative emotions towards the development in the planning stage, Suggesting that </w:t>
      </w:r>
      <w:r w:rsidR="00B576A0">
        <w:t>community</w:t>
      </w:r>
      <w:r>
        <w:t xml:space="preserve"> </w:t>
      </w:r>
      <w:r w:rsidR="00B576A0">
        <w:t>engagement</w:t>
      </w:r>
      <w:r>
        <w:t xml:space="preserve"> and positive communication during the planning process may in fact </w:t>
      </w:r>
      <w:r w:rsidR="00B576A0">
        <w:t>reduce</w:t>
      </w:r>
      <w:r>
        <w:t xml:space="preserve"> stress for local residents. </w:t>
      </w:r>
    </w:p>
    <w:p w:rsidR="00941367" w:rsidRDefault="005A5FAC">
      <w:r>
        <w:t>The main priorities for the local community identified by a Brechfa Community Profile document is encouraging a local economy which is sustainable whilst supporting and marinating community life. This would be delivered through the expansion of the tourisms industry allowing residents to be in long term stable jobs, developing community facilities and providing support for business through grants (consultancy.coop, 2013). T</w:t>
      </w:r>
      <w:r w:rsidR="00DB7F52">
        <w:t>he operational lifetime of the development</w:t>
      </w:r>
      <w:r>
        <w:t xml:space="preserve"> is expected to be 25 years, and </w:t>
      </w:r>
      <w:proofErr w:type="spellStart"/>
      <w:r>
        <w:t>innogy</w:t>
      </w:r>
      <w:proofErr w:type="spellEnd"/>
      <w:r>
        <w:t xml:space="preserve"> have committed to providing £459,200 of community funding for each year of the projects lifetime</w:t>
      </w:r>
      <w:r w:rsidR="00416482">
        <w:t xml:space="preserve"> (Innogy, </w:t>
      </w:r>
      <w:r w:rsidR="00DB7F52">
        <w:t>date unknown)</w:t>
      </w:r>
      <w:r>
        <w:t xml:space="preserve">. </w:t>
      </w:r>
    </w:p>
    <w:p w:rsidR="002A54EA" w:rsidRDefault="002A54EA">
      <w:r>
        <w:t>Although a lot of thought appears to have been put into community funding and development, there is no obvious information which indicates where the energy generated by the wind farm will be used, and whether or not it will be of direct benefit to the community. It could therefore be assumed that the energy generated is intended to go straight into the national grid</w:t>
      </w:r>
      <w:r w:rsidR="00416482">
        <w:t xml:space="preserve"> rather than directly into the local area</w:t>
      </w:r>
      <w:r>
        <w:t xml:space="preserve">. </w:t>
      </w:r>
    </w:p>
    <w:p w:rsidR="00CA4F12" w:rsidRDefault="003C0AA4" w:rsidP="00D052C3">
      <w:r>
        <w:t>Guidance under the 2010-2015 coalition government stated that a mix of renewable energy sources will pay an important role in securing low-carbon electricity</w:t>
      </w:r>
      <w:r w:rsidR="00416482">
        <w:t xml:space="preserve"> for the future</w:t>
      </w:r>
      <w:r>
        <w:t xml:space="preserve"> (Crown copyright. 2010).  T</w:t>
      </w:r>
      <w:r w:rsidR="00CA4F12">
        <w:t>he Assembly Government identified seven Strategic Search Areas (SSA) for large on-shore wind developments which are thought to have the biggest potential as a source of renewable energy</w:t>
      </w:r>
      <w:r w:rsidR="00D052C3">
        <w:t xml:space="preserve">. </w:t>
      </w:r>
      <w:r w:rsidR="00E938C8">
        <w:t xml:space="preserve">The characteristics which SSA’s must display </w:t>
      </w:r>
      <w:r w:rsidR="00D052C3">
        <w:t>include (but are not limited to</w:t>
      </w:r>
      <w:r w:rsidR="00E938C8">
        <w:t xml:space="preserve">); Upland areas with a good wind resource, lightly populated, </w:t>
      </w:r>
      <w:r w:rsidR="00D052C3">
        <w:t xml:space="preserve">a general lack of environmental and historic designations and largely dominated by plantation (conifer) and or/ improved land (Welsh Government, 2005). </w:t>
      </w:r>
      <w:proofErr w:type="spellStart"/>
      <w:r w:rsidR="00D052C3">
        <w:t>Brechfa</w:t>
      </w:r>
      <w:proofErr w:type="spellEnd"/>
      <w:r w:rsidR="00D052C3">
        <w:t xml:space="preserve"> Forest does display all of these characteristics as well as others which are used to identify SSA’s. </w:t>
      </w:r>
    </w:p>
    <w:p w:rsidR="00941367" w:rsidRDefault="00941367">
      <w:pPr>
        <w:rPr>
          <w:rFonts w:ascii="Calibri" w:hAnsi="Calibri" w:cs="Calibri"/>
          <w:color w:val="1F497D"/>
        </w:rPr>
      </w:pPr>
      <w:r w:rsidRPr="008334E3">
        <w:rPr>
          <w:sz w:val="26"/>
          <w:szCs w:val="26"/>
        </w:rPr>
        <w:lastRenderedPageBreak/>
        <w:t>Economic Impacts</w:t>
      </w:r>
    </w:p>
    <w:p w:rsidR="004739D6" w:rsidRDefault="004739D6">
      <w:pPr>
        <w:rPr>
          <w:rFonts w:ascii="Calibri" w:hAnsi="Calibri" w:cs="Calibri"/>
        </w:rPr>
      </w:pPr>
      <w:r>
        <w:rPr>
          <w:rFonts w:ascii="Calibri" w:hAnsi="Calibri" w:cs="Calibri"/>
        </w:rPr>
        <w:t xml:space="preserve">The large community fund commitment was mentioned in the previous societal section, due to the strong linkage of this investment with the local community. It should however be mentioned that it is a large economic contribution to the area and would therefore be a positive economic impact. </w:t>
      </w:r>
    </w:p>
    <w:p w:rsidR="00397A91" w:rsidRDefault="00397A91">
      <w:pPr>
        <w:rPr>
          <w:rFonts w:ascii="Calibri" w:hAnsi="Calibri" w:cs="Calibri"/>
        </w:rPr>
      </w:pPr>
      <w:r>
        <w:rPr>
          <w:rFonts w:ascii="Calibri" w:hAnsi="Calibri" w:cs="Calibri"/>
        </w:rPr>
        <w:t xml:space="preserve">The UK government estimated in 2008 that by 2020 160,000 new jobs could be created as a result of renewable energy expansion, however that does not necessarily mean these jobs will be available in the UK (BERR, 2008). </w:t>
      </w:r>
    </w:p>
    <w:p w:rsidR="00DB7F52" w:rsidRDefault="00DB7F52">
      <w:pPr>
        <w:rPr>
          <w:rFonts w:ascii="Calibri" w:hAnsi="Calibri" w:cs="Calibri"/>
        </w:rPr>
      </w:pPr>
      <w:r w:rsidRPr="00617E04">
        <w:rPr>
          <w:rFonts w:ascii="Calibri" w:hAnsi="Calibri" w:cs="Calibri"/>
        </w:rPr>
        <w:t xml:space="preserve">Due to the large scale of wind farm developments and the variety of supplies required for such a project there is </w:t>
      </w:r>
      <w:r w:rsidR="00617E04" w:rsidRPr="00617E04">
        <w:rPr>
          <w:rFonts w:ascii="Calibri" w:hAnsi="Calibri" w:cs="Calibri"/>
        </w:rPr>
        <w:t>an abundance of opportunities for local contractors to gain work during construction, maintained and decommissioning</w:t>
      </w:r>
      <w:r w:rsidR="00617E04">
        <w:rPr>
          <w:rFonts w:ascii="Calibri" w:hAnsi="Calibri" w:cs="Calibri"/>
        </w:rPr>
        <w:t xml:space="preserve"> (</w:t>
      </w:r>
      <w:proofErr w:type="spellStart"/>
      <w:r w:rsidR="00617E04">
        <w:rPr>
          <w:rFonts w:ascii="Calibri" w:hAnsi="Calibri" w:cs="Calibri"/>
        </w:rPr>
        <w:t>BiGGAR</w:t>
      </w:r>
      <w:proofErr w:type="spellEnd"/>
      <w:r w:rsidR="00617E04">
        <w:rPr>
          <w:rFonts w:ascii="Calibri" w:hAnsi="Calibri" w:cs="Calibri"/>
        </w:rPr>
        <w:t xml:space="preserve"> Economics, 2012)</w:t>
      </w:r>
      <w:r w:rsidR="00617E04" w:rsidRPr="00617E04">
        <w:rPr>
          <w:rFonts w:ascii="Calibri" w:hAnsi="Calibri" w:cs="Calibri"/>
        </w:rPr>
        <w:t xml:space="preserve">. </w:t>
      </w:r>
      <w:r w:rsidR="004739D6">
        <w:rPr>
          <w:rFonts w:ascii="Calibri" w:hAnsi="Calibri" w:cs="Calibri"/>
        </w:rPr>
        <w:t xml:space="preserve">In the case of Brechfa wind farm there appears to have been a strong influence to commission work with local companies, there is currently a list of 12 companies based within Carmarthenshire, Ceredigion, Bridgend and Swansea which have been contracted. As well as an estimate of 33-35% of physical construction workers being locally based (Innogy, 2018). </w:t>
      </w:r>
      <w:r w:rsidR="00BD143D">
        <w:rPr>
          <w:rFonts w:ascii="Calibri" w:hAnsi="Calibri" w:cs="Calibri"/>
        </w:rPr>
        <w:t xml:space="preserve">The Environmental Impact Assessment (EIA) for Brechfa Forest West estimated that 150 people, including the need to employ additional staff post-construction for turbine maintenance (LUC, 2010). </w:t>
      </w:r>
    </w:p>
    <w:p w:rsidR="00391EDC" w:rsidRDefault="004075D5">
      <w:pPr>
        <w:rPr>
          <w:rFonts w:ascii="Calibri" w:hAnsi="Calibri" w:cs="Calibri"/>
        </w:rPr>
      </w:pPr>
      <w:r>
        <w:rPr>
          <w:rFonts w:ascii="Calibri" w:hAnsi="Calibri" w:cs="Calibri"/>
        </w:rPr>
        <w:t>Despite an overall lack in studies looking into the effects of tourism as a result of wind farms those which have been conducted suggest there is a very limited local negative effect on tourism when wind farms are developed in the area. Thought must however be given to things such as footpath closures and route diversions impacting on visitor experience (</w:t>
      </w:r>
      <w:proofErr w:type="spellStart"/>
      <w:r>
        <w:rPr>
          <w:rFonts w:ascii="Calibri" w:hAnsi="Calibri" w:cs="Calibri"/>
        </w:rPr>
        <w:t>regeneris</w:t>
      </w:r>
      <w:proofErr w:type="spellEnd"/>
      <w:r>
        <w:rPr>
          <w:rFonts w:ascii="Calibri" w:hAnsi="Calibri" w:cs="Calibri"/>
        </w:rPr>
        <w:t xml:space="preserve">, 2014). </w:t>
      </w:r>
    </w:p>
    <w:p w:rsidR="005E5FAB" w:rsidRPr="00617E04" w:rsidRDefault="005E5FAB">
      <w:r>
        <w:rPr>
          <w:rFonts w:ascii="Calibri" w:hAnsi="Calibri" w:cs="Calibri"/>
        </w:rPr>
        <w:t>There seems to be limited data on the on the benefits of cheaper electricity supplies as a direct impact of wind energy to the local community with a similarly less evidence of an increase in energy bills. It could therefore be assumed that as a result of the development there wou</w:t>
      </w:r>
      <w:r w:rsidR="004E4E7E">
        <w:rPr>
          <w:rFonts w:ascii="Calibri" w:hAnsi="Calibri" w:cs="Calibri"/>
        </w:rPr>
        <w:t xml:space="preserve">ld be very little change in energy bills for local residents. </w:t>
      </w:r>
    </w:p>
    <w:p w:rsidR="00941367" w:rsidRDefault="00941367"/>
    <w:p w:rsidR="00DE23EE" w:rsidRDefault="00941367">
      <w:r w:rsidRPr="008334E3">
        <w:rPr>
          <w:sz w:val="26"/>
          <w:szCs w:val="26"/>
        </w:rPr>
        <w:t>Environmental Impacts</w:t>
      </w:r>
    </w:p>
    <w:p w:rsidR="00DE23EE" w:rsidRDefault="00DE23EE">
      <w:proofErr w:type="spellStart"/>
      <w:r>
        <w:t>Arvesen</w:t>
      </w:r>
      <w:proofErr w:type="spellEnd"/>
      <w:r>
        <w:t xml:space="preserve"> and </w:t>
      </w:r>
      <w:proofErr w:type="spellStart"/>
      <w:r>
        <w:t>Hertwich</w:t>
      </w:r>
      <w:proofErr w:type="spellEnd"/>
      <w:r>
        <w:t xml:space="preserve"> (2012) looked at the environmental impacts of the life cycle of a wind turbine including manufacturing, transportation, construction and end of life, an extensive literature review showed that despite a clear production of C02 and greenhouse gas emissions (particularly during the construction phase) wind farms are still provide better environmental performance than fossil fuel based supplies of electricity. </w:t>
      </w:r>
    </w:p>
    <w:p w:rsidR="00DE23EE" w:rsidRDefault="00DE23EE">
      <w:r>
        <w:t>There appears to be a lack of long-term studies on the effects of onshore windfarms on bird communities (</w:t>
      </w:r>
      <w:proofErr w:type="spellStart"/>
      <w:r>
        <w:t>Farfan</w:t>
      </w:r>
      <w:proofErr w:type="spellEnd"/>
      <w:r>
        <w:t xml:space="preserve">, </w:t>
      </w:r>
      <w:r w:rsidRPr="00DE23EE">
        <w:rPr>
          <w:i/>
        </w:rPr>
        <w:t>et al</w:t>
      </w:r>
      <w:r>
        <w:t xml:space="preserve">, 2017). This is also supported by </w:t>
      </w:r>
      <w:proofErr w:type="spellStart"/>
      <w:r>
        <w:t>Pearch</w:t>
      </w:r>
      <w:proofErr w:type="spellEnd"/>
      <w:r>
        <w:t xml:space="preserve">-Higgins </w:t>
      </w:r>
      <w:r w:rsidRPr="00534BF2">
        <w:rPr>
          <w:i/>
        </w:rPr>
        <w:t>et al</w:t>
      </w:r>
      <w:r>
        <w:t xml:space="preserve"> (2012) who despite limited date used their relatively small evidence to suggest that wind farms do have a negative impact on bird communities; significantly this adverse impact appears to be as a result of di</w:t>
      </w:r>
      <w:r w:rsidR="00391EDC">
        <w:t>sturbance during construction rather than operation.</w:t>
      </w:r>
    </w:p>
    <w:p w:rsidR="0037325A" w:rsidRDefault="0037325A">
      <w:r>
        <w:t xml:space="preserve">The EIA- non technical summary gives an over view of the predicted impacts on both non-avian and ornithological species. Although nine bat species were identified in the area, the results of surveying </w:t>
      </w:r>
      <w:r>
        <w:lastRenderedPageBreak/>
        <w:t>showed that activity levels were relatively low and unlikely to be an area</w:t>
      </w:r>
      <w:r w:rsidR="00197E9A">
        <w:t xml:space="preserve"> with significant roosting or foraging potential. There is potential for bat mortality as a result of the turbines, however there is limited research into this and the risk of collision was deemed as low. Although areas of woodland will be cleared, as a result of this there will be an increase in woodland edge habitat, which is preferable for bats. There were no potential shelter or halts within close proximity to the footprint of the scheme, reducing any potential for negative impact on otters. Many of the birds recorded when surveying for the EIA are classed as important as they are nationally rare, it is stated that there may be an impact on foraging and breeding for many of these birds during construction and decommission as well as a chance of wind turbine collision. It is not clear in the non-technical summary how these impacts on several bird species will be mitigated for (LUC, 2010). </w:t>
      </w:r>
    </w:p>
    <w:p w:rsidR="00941367" w:rsidRPr="00BD142E" w:rsidRDefault="00F26141">
      <w:pPr>
        <w:rPr>
          <w:b/>
          <w:bCs/>
        </w:rPr>
      </w:pPr>
      <w:r>
        <w:t>The Habitat Management Plan (HMP) for the development includes a summary of the findings from the Environmental Impact Assessment (EIA), this states that there will be a total habitat loss of 49.03ha and a temporary loss of 91.49ha. The plan also included mitigation and enhancement measures for biodiversity which should benefit Brechfa forest as a whole. The protection of European protected species (EPS) including otter</w:t>
      </w:r>
      <w:r w:rsidR="00BD142E">
        <w:t xml:space="preserve"> (</w:t>
      </w:r>
      <w:proofErr w:type="spellStart"/>
      <w:r w:rsidR="00BD142E" w:rsidRPr="00BD142E">
        <w:rPr>
          <w:i/>
        </w:rPr>
        <w:t>Lutra</w:t>
      </w:r>
      <w:proofErr w:type="spellEnd"/>
      <w:r w:rsidR="00BD142E" w:rsidRPr="00BD142E">
        <w:rPr>
          <w:i/>
        </w:rPr>
        <w:t xml:space="preserve"> </w:t>
      </w:r>
      <w:proofErr w:type="spellStart"/>
      <w:r w:rsidR="00BD142E" w:rsidRPr="00BD142E">
        <w:rPr>
          <w:i/>
        </w:rPr>
        <w:t>lutra</w:t>
      </w:r>
      <w:proofErr w:type="spellEnd"/>
      <w:r w:rsidR="00BD142E">
        <w:t>)</w:t>
      </w:r>
      <w:r>
        <w:t>, dormouse</w:t>
      </w:r>
      <w:r w:rsidR="00BD142E">
        <w:t xml:space="preserve"> (</w:t>
      </w:r>
      <w:proofErr w:type="spellStart"/>
      <w:r w:rsidR="00BD142E" w:rsidRPr="00BD142E">
        <w:rPr>
          <w:bCs/>
          <w:i/>
        </w:rPr>
        <w:t>Muscardinus</w:t>
      </w:r>
      <w:proofErr w:type="spellEnd"/>
      <w:r w:rsidR="00BD142E" w:rsidRPr="00BD142E">
        <w:rPr>
          <w:bCs/>
          <w:i/>
        </w:rPr>
        <w:t xml:space="preserve"> </w:t>
      </w:r>
      <w:proofErr w:type="spellStart"/>
      <w:r w:rsidR="00BD142E" w:rsidRPr="00BD142E">
        <w:rPr>
          <w:bCs/>
          <w:i/>
        </w:rPr>
        <w:t>avellanarius</w:t>
      </w:r>
      <w:proofErr w:type="spellEnd"/>
      <w:r w:rsidR="00BD142E">
        <w:rPr>
          <w:b/>
          <w:bCs/>
        </w:rPr>
        <w:t>)</w:t>
      </w:r>
      <w:r>
        <w:t xml:space="preserve"> and bats is covered in a separate EPS scheme. Within the HMP there is also a section dedicated to Nightjar</w:t>
      </w:r>
      <w:r w:rsidR="00BD142E">
        <w:t xml:space="preserve"> (</w:t>
      </w:r>
      <w:proofErr w:type="spellStart"/>
      <w:r w:rsidR="00BD142E" w:rsidRPr="00BD142E">
        <w:rPr>
          <w:bCs/>
          <w:i/>
        </w:rPr>
        <w:t>Caprimulgus</w:t>
      </w:r>
      <w:proofErr w:type="spellEnd"/>
      <w:r w:rsidR="00BD142E" w:rsidRPr="00BD142E">
        <w:rPr>
          <w:bCs/>
          <w:i/>
        </w:rPr>
        <w:t xml:space="preserve"> </w:t>
      </w:r>
      <w:proofErr w:type="spellStart"/>
      <w:r w:rsidR="00BD142E" w:rsidRPr="00BD142E">
        <w:rPr>
          <w:bCs/>
          <w:i/>
        </w:rPr>
        <w:t>europaeus</w:t>
      </w:r>
      <w:proofErr w:type="spellEnd"/>
      <w:r w:rsidR="00BD142E" w:rsidRPr="00BD142E">
        <w:rPr>
          <w:bCs/>
        </w:rPr>
        <w:t>)</w:t>
      </w:r>
      <w:r w:rsidR="00BD142E">
        <w:t xml:space="preserve"> </w:t>
      </w:r>
      <w:r>
        <w:t xml:space="preserve">(an Annex 1 species) with the aim to support a stable population of breeding nightjar which are successful in the long-term (LUC, 2015). </w:t>
      </w:r>
    </w:p>
    <w:p w:rsidR="00941367" w:rsidRPr="008334E3" w:rsidRDefault="002A54EA">
      <w:pPr>
        <w:rPr>
          <w:sz w:val="26"/>
          <w:szCs w:val="26"/>
        </w:rPr>
      </w:pPr>
      <w:r>
        <w:rPr>
          <w:sz w:val="26"/>
          <w:szCs w:val="26"/>
        </w:rPr>
        <w:t>Conclusion</w:t>
      </w:r>
    </w:p>
    <w:p w:rsidR="009D4ABE" w:rsidRDefault="009D4ABE">
      <w:r>
        <w:t xml:space="preserve">Although there was sufficient information which covered the societal, cultural, economic and environmental impacts of the Brechfa Forest West Wind Farm many of these documents have been put together and funded by bodies who would benefit from the development. The planning inspectorate website which presents all the documents associated with the planning application does show that there were a large number of local community members objecting to the development however it has been difficult to find any reliable information that would support their concerns with scientific evidence. </w:t>
      </w:r>
    </w:p>
    <w:p w:rsidR="009D4ABE" w:rsidRDefault="009D4ABE">
      <w:r>
        <w:t>Environmentally the impact which does not seem to have been dealt with in any of the resources is the negat</w:t>
      </w:r>
      <w:r w:rsidR="007E13C4">
        <w:t>iv</w:t>
      </w:r>
      <w:r>
        <w:t>e overall impact on several bird species, with a potentially significant</w:t>
      </w:r>
      <w:r w:rsidR="007E13C4">
        <w:t xml:space="preserve"> adverse</w:t>
      </w:r>
      <w:r>
        <w:t xml:space="preserve"> effect on breeding and foraging, particularly during the construction period. </w:t>
      </w:r>
    </w:p>
    <w:p w:rsidR="005E5FAB" w:rsidRDefault="005E5FAB">
      <w:r>
        <w:t>As previously mentioned it is difficult to assess the landscape impacts as adverse as it can be down to personal opinion, however I did notice several objectors’ letters which stated the visual impact would negatively impact on the cultural heritage of the landscape.</w:t>
      </w:r>
    </w:p>
    <w:p w:rsidR="005E5FAB" w:rsidRDefault="005E5FAB">
      <w:r>
        <w:t xml:space="preserve">Economically it does seem the area will be better off with a significant fund invested into the community every year the farm is in operation (approximately 25 years). This in combination with the benefit of providing a sustainable energy source could be argued that the overall benefit of the development outweighs the adverse impacts. </w:t>
      </w:r>
    </w:p>
    <w:p w:rsidR="00590E0F" w:rsidRDefault="00590E0F">
      <w:pPr>
        <w:rPr>
          <w:sz w:val="26"/>
          <w:szCs w:val="26"/>
        </w:rPr>
      </w:pPr>
    </w:p>
    <w:p w:rsidR="00EA4FA1" w:rsidRDefault="00EA4FA1">
      <w:pPr>
        <w:rPr>
          <w:sz w:val="26"/>
          <w:szCs w:val="26"/>
        </w:rPr>
      </w:pPr>
    </w:p>
    <w:p w:rsidR="00E45ADD" w:rsidRPr="008334E3" w:rsidRDefault="00E45ADD">
      <w:pPr>
        <w:rPr>
          <w:sz w:val="26"/>
          <w:szCs w:val="26"/>
        </w:rPr>
      </w:pPr>
      <w:r w:rsidRPr="008334E3">
        <w:rPr>
          <w:sz w:val="26"/>
          <w:szCs w:val="26"/>
        </w:rPr>
        <w:lastRenderedPageBreak/>
        <w:t>References</w:t>
      </w:r>
    </w:p>
    <w:p w:rsidR="00DE23EE" w:rsidRDefault="00DE23EE">
      <w:proofErr w:type="spellStart"/>
      <w:r>
        <w:t>Arvensen</w:t>
      </w:r>
      <w:proofErr w:type="spellEnd"/>
      <w:r>
        <w:t xml:space="preserve">, A., </w:t>
      </w:r>
      <w:proofErr w:type="spellStart"/>
      <w:r>
        <w:t>Hertwich</w:t>
      </w:r>
      <w:proofErr w:type="spellEnd"/>
      <w:r>
        <w:t xml:space="preserve">, E, G, 2012. </w:t>
      </w:r>
      <w:r w:rsidRPr="00DE23EE">
        <w:rPr>
          <w:i/>
        </w:rPr>
        <w:t>Assessing the life cycle environmental impacts of wind power:  review of present knowledge and research needs</w:t>
      </w:r>
      <w:r>
        <w:t xml:space="preserve">. Renewable and Sustainable Energy Reviews. (16) 8, 5994-6006. </w:t>
      </w:r>
    </w:p>
    <w:p w:rsidR="00397A91" w:rsidRDefault="00397A91">
      <w:r>
        <w:t xml:space="preserve">BEER (Department for Business, Enterprise and Regularity Reform), 2008. </w:t>
      </w:r>
      <w:r w:rsidRPr="00397A91">
        <w:rPr>
          <w:i/>
        </w:rPr>
        <w:t>UK Renewable Energy Strategy. Consultation</w:t>
      </w:r>
      <w:r>
        <w:t xml:space="preserve">. </w:t>
      </w:r>
    </w:p>
    <w:p w:rsidR="00617E04" w:rsidRDefault="00617E04">
      <w:pPr>
        <w:rPr>
          <w:rStyle w:val="HTMLCite"/>
          <w:i w:val="0"/>
        </w:rPr>
      </w:pPr>
      <w:proofErr w:type="spellStart"/>
      <w:r>
        <w:t>BiGGAR</w:t>
      </w:r>
      <w:proofErr w:type="spellEnd"/>
      <w:r>
        <w:t xml:space="preserve"> economics, 2012. </w:t>
      </w:r>
      <w:r w:rsidRPr="00617E04">
        <w:rPr>
          <w:i/>
        </w:rPr>
        <w:t>Onshore Wind. Direct and wider Economic Impacts</w:t>
      </w:r>
      <w:r>
        <w:rPr>
          <w:i/>
        </w:rPr>
        <w:t xml:space="preserve"> [pdf]</w:t>
      </w:r>
      <w:r>
        <w:t xml:space="preserve">. Available at: </w:t>
      </w:r>
      <w:hyperlink r:id="rId5" w:history="1">
        <w:r w:rsidRPr="001458AF">
          <w:rPr>
            <w:rStyle w:val="Hyperlink"/>
          </w:rPr>
          <w:t>https://webcache.googleusercontent.com/search?q=cache:B3bmRz6-xo4J:https://www.gov.uk/government/uploads/system/uploads/attachment_data/file/48359/5229-onshore-wind-direct--wider-economic-impacts.pdf+&amp;cd=4&amp;hl=en&amp;ct=clnk&amp;gl=uk</w:t>
        </w:r>
      </w:hyperlink>
      <w:r>
        <w:t xml:space="preserve"> </w:t>
      </w:r>
      <w:r w:rsidRPr="00617E04">
        <w:rPr>
          <w:rStyle w:val="HTMLCite"/>
          <w:i w:val="0"/>
        </w:rPr>
        <w:t xml:space="preserve">(accessed on: 14 March 2018). </w:t>
      </w:r>
    </w:p>
    <w:p w:rsidR="00470D89" w:rsidRDefault="00470D89">
      <w:pPr>
        <w:rPr>
          <w:rStyle w:val="HTMLCite"/>
          <w:i w:val="0"/>
        </w:rPr>
      </w:pPr>
      <w:r>
        <w:rPr>
          <w:rStyle w:val="HTMLCite"/>
          <w:i w:val="0"/>
        </w:rPr>
        <w:t xml:space="preserve">Burton, T., Jenkins, N., Sharpe, D and </w:t>
      </w:r>
      <w:proofErr w:type="spellStart"/>
      <w:r>
        <w:rPr>
          <w:rStyle w:val="HTMLCite"/>
          <w:i w:val="0"/>
        </w:rPr>
        <w:t>Bossanyi</w:t>
      </w:r>
      <w:proofErr w:type="spellEnd"/>
      <w:r>
        <w:rPr>
          <w:rStyle w:val="HTMLCite"/>
          <w:i w:val="0"/>
        </w:rPr>
        <w:t xml:space="preserve">, E., 2011. </w:t>
      </w:r>
      <w:r w:rsidRPr="00470D89">
        <w:rPr>
          <w:rStyle w:val="HTMLCite"/>
        </w:rPr>
        <w:t>Wild Energy Handbook</w:t>
      </w:r>
      <w:r>
        <w:rPr>
          <w:rStyle w:val="HTMLCite"/>
          <w:i w:val="0"/>
        </w:rPr>
        <w:t>. 2</w:t>
      </w:r>
      <w:r w:rsidRPr="00470D89">
        <w:rPr>
          <w:rStyle w:val="HTMLCite"/>
          <w:i w:val="0"/>
          <w:vertAlign w:val="superscript"/>
        </w:rPr>
        <w:t>nd</w:t>
      </w:r>
      <w:r>
        <w:rPr>
          <w:rStyle w:val="HTMLCite"/>
          <w:i w:val="0"/>
        </w:rPr>
        <w:t xml:space="preserve"> edition. Wiley. Chichester. </w:t>
      </w:r>
    </w:p>
    <w:p w:rsidR="00CE4E80" w:rsidRDefault="00CE4E80">
      <w:r>
        <w:rPr>
          <w:rStyle w:val="HTMLCite"/>
          <w:i w:val="0"/>
        </w:rPr>
        <w:t xml:space="preserve">CCC (Carmarthenshire County Council), 2015. </w:t>
      </w:r>
      <w:r w:rsidRPr="00CE4E80">
        <w:rPr>
          <w:rStyle w:val="HTMLCite"/>
        </w:rPr>
        <w:t>Local Impact Report</w:t>
      </w:r>
      <w:r>
        <w:rPr>
          <w:rStyle w:val="HTMLCite"/>
          <w:i w:val="0"/>
        </w:rPr>
        <w:t xml:space="preserve">. </w:t>
      </w:r>
      <w:r w:rsidRPr="00CE4E80">
        <w:rPr>
          <w:rStyle w:val="HTMLCite"/>
        </w:rPr>
        <w:t>Brechfa Forest Connection</w:t>
      </w:r>
      <w:r>
        <w:rPr>
          <w:rStyle w:val="HTMLCite"/>
          <w:i w:val="0"/>
        </w:rPr>
        <w:t xml:space="preserve">. </w:t>
      </w:r>
    </w:p>
    <w:p w:rsidR="005A5FAC" w:rsidRDefault="005A5FAC">
      <w:r>
        <w:t xml:space="preserve">Consultancy.coop, 2013 [online]. </w:t>
      </w:r>
      <w:r w:rsidRPr="005A5FAC">
        <w:rPr>
          <w:i/>
        </w:rPr>
        <w:t>Brechfa Forest Community Profile</w:t>
      </w:r>
      <w:r>
        <w:t xml:space="preserve">. Available at: </w:t>
      </w:r>
      <w:hyperlink r:id="rId6" w:history="1">
        <w:r w:rsidRPr="001458AF">
          <w:rPr>
            <w:rStyle w:val="Hyperlink"/>
          </w:rPr>
          <w:t>https://iam.innogy.com/en/ueber-innogy/innogy-innovation-technik/erneuerbare-energien/onshore/innogy-onshore-bauprojekte/brechfa-forest-west-onshore-wind-farm</w:t>
        </w:r>
      </w:hyperlink>
      <w:r>
        <w:t xml:space="preserve"> (accessed on: 14 March 2018). </w:t>
      </w:r>
    </w:p>
    <w:p w:rsidR="003C0AA4" w:rsidRDefault="003C0AA4">
      <w:r>
        <w:t xml:space="preserve">Crown copyright. 2010 [online]. Onshore wind: part of the UK’s energy mix. Available at: </w:t>
      </w:r>
      <w:hyperlink r:id="rId7" w:history="1">
        <w:r w:rsidRPr="000D2AF1">
          <w:rPr>
            <w:rStyle w:val="Hyperlink"/>
          </w:rPr>
          <w:t>https://www.gov.uk/guidance/onshore-wind-part-of-the-uks-energy-mix</w:t>
        </w:r>
      </w:hyperlink>
      <w:r>
        <w:t xml:space="preserve"> (accessed on 22 March 2018). </w:t>
      </w:r>
    </w:p>
    <w:p w:rsidR="00DE23EE" w:rsidRDefault="00DE23EE">
      <w:r w:rsidRPr="008E015C">
        <w:rPr>
          <w:lang w:val="it-IT"/>
        </w:rPr>
        <w:t xml:space="preserve">Kaldellis, J, K., Apostolo, D., Kapsali, M., Kondili, E., 2016. </w:t>
      </w:r>
      <w:r w:rsidRPr="00DE23EE">
        <w:rPr>
          <w:i/>
        </w:rPr>
        <w:t>Environmental and social footprint of offshore wind energy. Comparison with onshore counterpart</w:t>
      </w:r>
      <w:r>
        <w:t xml:space="preserve">. Renewable Energy. (92) 543-556. </w:t>
      </w:r>
    </w:p>
    <w:p w:rsidR="008E0977" w:rsidRDefault="008E0977">
      <w:r>
        <w:t xml:space="preserve">LUC, 2015. </w:t>
      </w:r>
      <w:r w:rsidRPr="008E0977">
        <w:rPr>
          <w:i/>
        </w:rPr>
        <w:t>Brechfa Forest West Wind Farm Habitat Management Plan</w:t>
      </w:r>
      <w:r>
        <w:t xml:space="preserve">. </w:t>
      </w:r>
    </w:p>
    <w:p w:rsidR="001D2F1B" w:rsidRDefault="00475B63">
      <w:r>
        <w:t>NRW</w:t>
      </w:r>
      <w:r w:rsidRPr="00475B63">
        <w:t xml:space="preserve"> </w:t>
      </w:r>
      <w:r>
        <w:t>(Natural Resources Wales)</w:t>
      </w:r>
      <w:r w:rsidR="001D2F1B">
        <w:t xml:space="preserve">, 2018 [online]. </w:t>
      </w:r>
      <w:proofErr w:type="spellStart"/>
      <w:r w:rsidR="001D2F1B" w:rsidRPr="001D2F1B">
        <w:rPr>
          <w:i/>
        </w:rPr>
        <w:t>Brechfa</w:t>
      </w:r>
      <w:proofErr w:type="spellEnd"/>
      <w:r w:rsidR="001D2F1B" w:rsidRPr="001D2F1B">
        <w:rPr>
          <w:i/>
        </w:rPr>
        <w:t xml:space="preserve"> Forest – </w:t>
      </w:r>
      <w:proofErr w:type="spellStart"/>
      <w:r w:rsidR="001D2F1B" w:rsidRPr="001D2F1B">
        <w:rPr>
          <w:i/>
        </w:rPr>
        <w:t>Byrgwm</w:t>
      </w:r>
      <w:proofErr w:type="spellEnd"/>
      <w:r w:rsidR="001D2F1B" w:rsidRPr="001D2F1B">
        <w:rPr>
          <w:i/>
        </w:rPr>
        <w:t xml:space="preserve"> woodland, near Carmarthen</w:t>
      </w:r>
      <w:r w:rsidR="001D2F1B">
        <w:t xml:space="preserve">. Available at: </w:t>
      </w:r>
      <w:hyperlink r:id="rId8" w:history="1">
        <w:r w:rsidR="001D2F1B" w:rsidRPr="001458AF">
          <w:rPr>
            <w:rStyle w:val="Hyperlink"/>
          </w:rPr>
          <w:t>https://naturalresources.wales/days-out/places-to-visit/south-west-wales/brechfa-forest/brechfa-forest-byrgwm/?lang=en</w:t>
        </w:r>
      </w:hyperlink>
      <w:r w:rsidR="001D2F1B">
        <w:t xml:space="preserve"> (accessed on: 14 March 2018). </w:t>
      </w:r>
    </w:p>
    <w:p w:rsidR="00475B63" w:rsidRDefault="00475B63">
      <w:r>
        <w:t xml:space="preserve">NRW (Natural Resources Wales), 2016 [online]. </w:t>
      </w:r>
      <w:r w:rsidRPr="00475B63">
        <w:rPr>
          <w:i/>
        </w:rPr>
        <w:t>Brechfa wind energy scheme gets underway</w:t>
      </w:r>
      <w:r>
        <w:t xml:space="preserve">. Available at: </w:t>
      </w:r>
      <w:hyperlink r:id="rId9" w:history="1">
        <w:r w:rsidRPr="001458AF">
          <w:rPr>
            <w:rStyle w:val="Hyperlink"/>
          </w:rPr>
          <w:t>https://naturalresources.wales/about-us/news-and-events/news/brechfa-wind-energy-scheme-gets-underway/?lang=en</w:t>
        </w:r>
      </w:hyperlink>
      <w:r>
        <w:t xml:space="preserve"> (accessed on: 14 March 2018). </w:t>
      </w:r>
    </w:p>
    <w:p w:rsidR="00DE23EE" w:rsidRDefault="00DE23EE">
      <w:r>
        <w:t xml:space="preserve">Pearce-Higgins, J, W., Stephen, L., Douse, A and Langston, R, H, W, 2012. </w:t>
      </w:r>
      <w:r w:rsidRPr="00DE23EE">
        <w:rPr>
          <w:i/>
        </w:rPr>
        <w:t>Greater impacts of wind farms on bird populations during construction than subsequent operation: results of multi-site and multi species analysis</w:t>
      </w:r>
      <w:r>
        <w:t xml:space="preserve">. Journal of Applied Ecology. (49) 386-394. </w:t>
      </w:r>
    </w:p>
    <w:p w:rsidR="00DE23EE" w:rsidRDefault="00DE23EE">
      <w:r>
        <w:t xml:space="preserve">Pohl, J., Gabriel, J., </w:t>
      </w:r>
      <w:proofErr w:type="spellStart"/>
      <w:r>
        <w:t>Hubners</w:t>
      </w:r>
      <w:proofErr w:type="spellEnd"/>
      <w:r>
        <w:t xml:space="preserve">, G., 2018. </w:t>
      </w:r>
      <w:r w:rsidRPr="00DE23EE">
        <w:rPr>
          <w:i/>
        </w:rPr>
        <w:t>Understanding stress effects of wind turbine noise- The integrated approach</w:t>
      </w:r>
      <w:r>
        <w:t xml:space="preserve">. Energy Policy. (112) 119-129. </w:t>
      </w:r>
    </w:p>
    <w:p w:rsidR="006142C3" w:rsidRDefault="006142C3">
      <w:proofErr w:type="spellStart"/>
      <w:r>
        <w:lastRenderedPageBreak/>
        <w:t>Farfan</w:t>
      </w:r>
      <w:proofErr w:type="spellEnd"/>
      <w:r>
        <w:t xml:space="preserve">, M, A., Duarte, J., Real, R., Munoz, A, R., Fa, J, E and Vargas, J, M., 2017. </w:t>
      </w:r>
      <w:r w:rsidRPr="006142C3">
        <w:rPr>
          <w:i/>
        </w:rPr>
        <w:t>Differential recovery of habitat use by birds after wind farm installation: A multi-year comparison</w:t>
      </w:r>
      <w:r>
        <w:t xml:space="preserve">. Environmental Impact Assessment Review. (64) 8-15. </w:t>
      </w:r>
    </w:p>
    <w:p w:rsidR="00E45ADD" w:rsidRDefault="00DB7F52">
      <w:r>
        <w:t>Innog</w:t>
      </w:r>
      <w:r w:rsidR="00E45ADD">
        <w:t xml:space="preserve">y, 2018. </w:t>
      </w:r>
      <w:proofErr w:type="spellStart"/>
      <w:r w:rsidR="00E45ADD">
        <w:t>Berchfa</w:t>
      </w:r>
      <w:proofErr w:type="spellEnd"/>
      <w:r w:rsidR="00E45ADD">
        <w:t xml:space="preserve"> Forest West Onshore Wind Farm [online]. Available at: </w:t>
      </w:r>
      <w:hyperlink r:id="rId10" w:history="1">
        <w:r w:rsidR="00E45ADD" w:rsidRPr="00AF7D18">
          <w:rPr>
            <w:rStyle w:val="Hyperlink"/>
          </w:rPr>
          <w:t>https://iam.innogy.com/en/ueber-innogy/innogy-innovation-technik/erneuerbare-energien/onshore/innogy-onshore-bauprojekte/brechfa-forest-west-onshore-wind-farm</w:t>
        </w:r>
      </w:hyperlink>
      <w:r w:rsidR="00E45ADD">
        <w:t xml:space="preserve"> (</w:t>
      </w:r>
      <w:r w:rsidR="00DE23EE">
        <w:t>accessed</w:t>
      </w:r>
      <w:r w:rsidR="00E45ADD">
        <w:t xml:space="preserve">: 2 March 2018). </w:t>
      </w:r>
    </w:p>
    <w:p w:rsidR="00DB7F52" w:rsidRDefault="00DB7F52">
      <w:r>
        <w:t xml:space="preserve">Innogy, (date unknown) [online]. </w:t>
      </w:r>
      <w:r w:rsidRPr="00DB7F52">
        <w:rPr>
          <w:i/>
        </w:rPr>
        <w:t>Brechfa Forest West Wind Farm Investment Fund</w:t>
      </w:r>
      <w:r>
        <w:t xml:space="preserve">. Available at: </w:t>
      </w:r>
      <w:hyperlink r:id="rId11" w:history="1">
        <w:r w:rsidRPr="001458AF">
          <w:rPr>
            <w:rStyle w:val="Hyperlink"/>
          </w:rPr>
          <w:t>https://iam.innogy.com/en/ueber-innogy/innogy-innovation-technik/erneuerbare-energien/onshore/innogy-onshore-bauprojekte/brechfa-forest-west-onshore-wind-farm</w:t>
        </w:r>
      </w:hyperlink>
      <w:r>
        <w:t xml:space="preserve"> (accessed on: 14 March 2018). </w:t>
      </w:r>
    </w:p>
    <w:p w:rsidR="00A82025" w:rsidRDefault="00A82025">
      <w:r>
        <w:t xml:space="preserve">LUC (Land Use Consultants), 2010. </w:t>
      </w:r>
      <w:r w:rsidRPr="00A82025">
        <w:rPr>
          <w:i/>
        </w:rPr>
        <w:t>Brechfa Forest West Wind Farm. Non-Technical Summary</w:t>
      </w:r>
      <w:r>
        <w:t>.</w:t>
      </w:r>
    </w:p>
    <w:p w:rsidR="004075D5" w:rsidRDefault="004075D5">
      <w:proofErr w:type="spellStart"/>
      <w:r>
        <w:t>Regeneris</w:t>
      </w:r>
      <w:proofErr w:type="spellEnd"/>
      <w:r>
        <w:t xml:space="preserve"> Consulting Ltd, 2014. </w:t>
      </w:r>
      <w:r w:rsidRPr="004075D5">
        <w:rPr>
          <w:i/>
        </w:rPr>
        <w:t>Study into the Potential Economic Impact of Wind Farms and Associated Grid Infrastructure on the Welsh Tourism Sector</w:t>
      </w:r>
      <w:r>
        <w:t xml:space="preserve">. Welsh Government. </w:t>
      </w:r>
    </w:p>
    <w:p w:rsidR="007E1FCE" w:rsidRDefault="007E1FCE">
      <w:r>
        <w:t xml:space="preserve">Rydin, Y., Lee, M., Lock, S, J., 2915. </w:t>
      </w:r>
      <w:r w:rsidRPr="007E1FCE">
        <w:rPr>
          <w:i/>
        </w:rPr>
        <w:t>Public Engagement in Decision-Making on Major Wind Energy Projects</w:t>
      </w:r>
      <w:r>
        <w:t>. Journal of Environmental Law. (27)(1)139-150.</w:t>
      </w:r>
    </w:p>
    <w:p w:rsidR="000D44E5" w:rsidRDefault="000D44E5">
      <w:r>
        <w:t xml:space="preserve">Strachan, P, A., Lal, D., von </w:t>
      </w:r>
      <w:proofErr w:type="spellStart"/>
      <w:r>
        <w:t>Malmborg</w:t>
      </w:r>
      <w:proofErr w:type="spellEnd"/>
      <w:r>
        <w:t xml:space="preserve">, F., 2006. The evolving UK Wind Energy Industry: Critical Policy and Management Aspects of the Emerging Research Agenda. European Environment. (16) 1-18. </w:t>
      </w:r>
    </w:p>
    <w:p w:rsidR="00A02E8D" w:rsidRDefault="00A02E8D">
      <w:r>
        <w:t xml:space="preserve">Welsh Government, 2017 [online]. </w:t>
      </w:r>
      <w:r w:rsidRPr="00A02E8D">
        <w:rPr>
          <w:i/>
        </w:rPr>
        <w:t>Wind farms</w:t>
      </w:r>
      <w:r>
        <w:t xml:space="preserve">. Available at: </w:t>
      </w:r>
      <w:hyperlink r:id="rId12" w:history="1">
        <w:r w:rsidRPr="001458AF">
          <w:rPr>
            <w:rStyle w:val="Hyperlink"/>
          </w:rPr>
          <w:t>http://gov.wales/topics/environmentcountryside/energy/renewable/wind/?lang=en</w:t>
        </w:r>
      </w:hyperlink>
      <w:r>
        <w:t xml:space="preserve"> (accessed on: 14 March 2018). </w:t>
      </w:r>
    </w:p>
    <w:p w:rsidR="00241655" w:rsidRDefault="00241655">
      <w:r>
        <w:t xml:space="preserve">Welsh Assembly Government, 2005 [online]. Planning Policy Wales. Technical Advice Note (TAN) 8; Planning for Renewable Energy. Available at: </w:t>
      </w:r>
      <w:hyperlink r:id="rId13" w:history="1">
        <w:r w:rsidRPr="00784D5D">
          <w:rPr>
            <w:rStyle w:val="Hyperlink"/>
          </w:rPr>
          <w:t>http://gov.wales/topics/planning/policy/tans/tan8/?lang=en</w:t>
        </w:r>
      </w:hyperlink>
      <w:r>
        <w:t xml:space="preserve"> (accessed on: 21 March 2018). </w:t>
      </w:r>
    </w:p>
    <w:p w:rsidR="007E1FCE" w:rsidRDefault="007E1FCE">
      <w:r>
        <w:t xml:space="preserve">Williamson, D, 2013. Controversial wind farm given go-ahead by UK Government. </w:t>
      </w:r>
      <w:r>
        <w:rPr>
          <w:rStyle w:val="Emphasis"/>
        </w:rPr>
        <w:t>Wales Online</w:t>
      </w:r>
      <w:r>
        <w:t>, 2 April 2013</w:t>
      </w:r>
    </w:p>
    <w:p w:rsidR="00CC1DCD" w:rsidRDefault="00CC1DCD"/>
    <w:p w:rsidR="00CC1DCD" w:rsidRPr="00CC1DCD" w:rsidRDefault="00CC1DCD">
      <w:pPr>
        <w:rPr>
          <w:color w:val="FF0000"/>
        </w:rPr>
      </w:pPr>
    </w:p>
    <w:sectPr w:rsidR="00CC1DCD" w:rsidRPr="00CC1DCD" w:rsidSect="008334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367"/>
    <w:rsid w:val="00013948"/>
    <w:rsid w:val="00036C5E"/>
    <w:rsid w:val="000647E8"/>
    <w:rsid w:val="000D44E5"/>
    <w:rsid w:val="0011177E"/>
    <w:rsid w:val="00133570"/>
    <w:rsid w:val="00152E9C"/>
    <w:rsid w:val="00197E9A"/>
    <w:rsid w:val="001C31BD"/>
    <w:rsid w:val="001D2F1B"/>
    <w:rsid w:val="00241655"/>
    <w:rsid w:val="002A54EA"/>
    <w:rsid w:val="002C7F72"/>
    <w:rsid w:val="003341B8"/>
    <w:rsid w:val="00340EB8"/>
    <w:rsid w:val="0037325A"/>
    <w:rsid w:val="00391EDC"/>
    <w:rsid w:val="00397A91"/>
    <w:rsid w:val="003C0AA4"/>
    <w:rsid w:val="004075D5"/>
    <w:rsid w:val="00416482"/>
    <w:rsid w:val="00470D89"/>
    <w:rsid w:val="004739D6"/>
    <w:rsid w:val="00475B63"/>
    <w:rsid w:val="00497B0E"/>
    <w:rsid w:val="004E4E7E"/>
    <w:rsid w:val="00514BEF"/>
    <w:rsid w:val="00534BF2"/>
    <w:rsid w:val="00590E0F"/>
    <w:rsid w:val="005A5FAC"/>
    <w:rsid w:val="005E5FAB"/>
    <w:rsid w:val="006142C3"/>
    <w:rsid w:val="00617E04"/>
    <w:rsid w:val="006670B1"/>
    <w:rsid w:val="006919E6"/>
    <w:rsid w:val="006D3D49"/>
    <w:rsid w:val="006F7197"/>
    <w:rsid w:val="00784EFA"/>
    <w:rsid w:val="007E13C4"/>
    <w:rsid w:val="007E1FCE"/>
    <w:rsid w:val="008334E3"/>
    <w:rsid w:val="00886C48"/>
    <w:rsid w:val="008D0C40"/>
    <w:rsid w:val="008E015C"/>
    <w:rsid w:val="008E0977"/>
    <w:rsid w:val="00941367"/>
    <w:rsid w:val="009B1D22"/>
    <w:rsid w:val="009D4ABE"/>
    <w:rsid w:val="00A02E8D"/>
    <w:rsid w:val="00A82025"/>
    <w:rsid w:val="00AC40D1"/>
    <w:rsid w:val="00AF7F6B"/>
    <w:rsid w:val="00B576A0"/>
    <w:rsid w:val="00BD142E"/>
    <w:rsid w:val="00BD143D"/>
    <w:rsid w:val="00C232FC"/>
    <w:rsid w:val="00C27CE4"/>
    <w:rsid w:val="00C73849"/>
    <w:rsid w:val="00C95374"/>
    <w:rsid w:val="00CA4F12"/>
    <w:rsid w:val="00CC1DCD"/>
    <w:rsid w:val="00CE4E80"/>
    <w:rsid w:val="00CE4EFF"/>
    <w:rsid w:val="00CF467B"/>
    <w:rsid w:val="00D052C3"/>
    <w:rsid w:val="00D930FA"/>
    <w:rsid w:val="00D9656F"/>
    <w:rsid w:val="00DB7F52"/>
    <w:rsid w:val="00DC30FE"/>
    <w:rsid w:val="00DE23EE"/>
    <w:rsid w:val="00E45ADD"/>
    <w:rsid w:val="00E938C8"/>
    <w:rsid w:val="00EA4FA1"/>
    <w:rsid w:val="00F225C2"/>
    <w:rsid w:val="00F26141"/>
    <w:rsid w:val="00FB226A"/>
    <w:rsid w:val="00FF4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81E8D"/>
  <w15:docId w15:val="{1A300918-7987-4FC4-A06E-F211CE03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948"/>
  </w:style>
  <w:style w:type="paragraph" w:styleId="Heading2">
    <w:name w:val="heading 2"/>
    <w:basedOn w:val="Normal"/>
    <w:next w:val="Normal"/>
    <w:link w:val="Heading2Char"/>
    <w:uiPriority w:val="9"/>
    <w:semiHidden/>
    <w:unhideWhenUsed/>
    <w:qFormat/>
    <w:rsid w:val="00BD142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ADD"/>
    <w:rPr>
      <w:color w:val="0000FF" w:themeColor="hyperlink"/>
      <w:u w:val="single"/>
    </w:rPr>
  </w:style>
  <w:style w:type="character" w:styleId="Emphasis">
    <w:name w:val="Emphasis"/>
    <w:basedOn w:val="DefaultParagraphFont"/>
    <w:uiPriority w:val="20"/>
    <w:qFormat/>
    <w:rsid w:val="007E1FCE"/>
    <w:rPr>
      <w:i/>
      <w:iCs/>
    </w:rPr>
  </w:style>
  <w:style w:type="character" w:styleId="HTMLCite">
    <w:name w:val="HTML Cite"/>
    <w:basedOn w:val="DefaultParagraphFont"/>
    <w:uiPriority w:val="99"/>
    <w:semiHidden/>
    <w:unhideWhenUsed/>
    <w:rsid w:val="00617E04"/>
    <w:rPr>
      <w:i/>
      <w:iCs/>
    </w:rPr>
  </w:style>
  <w:style w:type="character" w:styleId="FollowedHyperlink">
    <w:name w:val="FollowedHyperlink"/>
    <w:basedOn w:val="DefaultParagraphFont"/>
    <w:uiPriority w:val="99"/>
    <w:semiHidden/>
    <w:unhideWhenUsed/>
    <w:rsid w:val="00617E04"/>
    <w:rPr>
      <w:color w:val="800080" w:themeColor="followedHyperlink"/>
      <w:u w:val="single"/>
    </w:rPr>
  </w:style>
  <w:style w:type="paragraph" w:styleId="NoSpacing">
    <w:name w:val="No Spacing"/>
    <w:link w:val="NoSpacingChar"/>
    <w:uiPriority w:val="1"/>
    <w:qFormat/>
    <w:rsid w:val="008334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34E3"/>
    <w:rPr>
      <w:rFonts w:eastAsiaTheme="minorEastAsia"/>
      <w:lang w:val="en-US"/>
    </w:rPr>
  </w:style>
  <w:style w:type="paragraph" w:styleId="BalloonText">
    <w:name w:val="Balloon Text"/>
    <w:basedOn w:val="Normal"/>
    <w:link w:val="BalloonTextChar"/>
    <w:uiPriority w:val="99"/>
    <w:semiHidden/>
    <w:unhideWhenUsed/>
    <w:rsid w:val="008E01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15C"/>
    <w:rPr>
      <w:rFonts w:ascii="Tahoma" w:hAnsi="Tahoma" w:cs="Tahoma"/>
      <w:sz w:val="16"/>
      <w:szCs w:val="16"/>
    </w:rPr>
  </w:style>
  <w:style w:type="character" w:customStyle="1" w:styleId="Heading2Char">
    <w:name w:val="Heading 2 Char"/>
    <w:basedOn w:val="DefaultParagraphFont"/>
    <w:link w:val="Heading2"/>
    <w:uiPriority w:val="9"/>
    <w:semiHidden/>
    <w:rsid w:val="00BD142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82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uralresources.wales/days-out/places-to-visit/south-west-wales/brechfa-forest/brechfa-forest-byrgwm/?lang=en" TargetMode="External"/><Relationship Id="rId13" Type="http://schemas.openxmlformats.org/officeDocument/2006/relationships/hyperlink" Target="http://gov.wales/topics/planning/policy/tans/tan8/?lang=en" TargetMode="External"/><Relationship Id="rId3" Type="http://schemas.openxmlformats.org/officeDocument/2006/relationships/settings" Target="settings.xml"/><Relationship Id="rId7" Type="http://schemas.openxmlformats.org/officeDocument/2006/relationships/hyperlink" Target="https://www.gov.uk/guidance/onshore-wind-part-of-the-uks-energy-mix" TargetMode="External"/><Relationship Id="rId12" Type="http://schemas.openxmlformats.org/officeDocument/2006/relationships/hyperlink" Target="http://gov.wales/topics/environmentcountryside/energy/renewable/wind/?lang=e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am.innogy.com/en/ueber-innogy/innogy-innovation-technik/erneuerbare-energien/onshore/innogy-onshore-bauprojekte/brechfa-forest-west-onshore-wind-farm" TargetMode="External"/><Relationship Id="rId11" Type="http://schemas.openxmlformats.org/officeDocument/2006/relationships/hyperlink" Target="https://iam.innogy.com/en/ueber-innogy/innogy-innovation-technik/erneuerbare-energien/onshore/innogy-onshore-bauprojekte/brechfa-forest-west-onshore-wind-farm" TargetMode="External"/><Relationship Id="rId5" Type="http://schemas.openxmlformats.org/officeDocument/2006/relationships/hyperlink" Target="https://webcache.googleusercontent.com/search?q=cache:B3bmRz6-xo4J:https://www.gov.uk/government/uploads/system/uploads/attachment_data/file/48359/5229-onshore-wind-direct--wider-economic-impacts.pdf+&amp;cd=4&amp;hl=en&amp;ct=clnk&amp;gl=uk" TargetMode="External"/><Relationship Id="rId15" Type="http://schemas.openxmlformats.org/officeDocument/2006/relationships/theme" Target="theme/theme1.xml"/><Relationship Id="rId10" Type="http://schemas.openxmlformats.org/officeDocument/2006/relationships/hyperlink" Target="https://iam.innogy.com/en/ueber-innogy/innogy-innovation-technik/erneuerbare-energien/onshore/innogy-onshore-bauprojekte/brechfa-forest-west-onshore-wind-farm" TargetMode="External"/><Relationship Id="rId4" Type="http://schemas.openxmlformats.org/officeDocument/2006/relationships/webSettings" Target="webSettings.xml"/><Relationship Id="rId9" Type="http://schemas.openxmlformats.org/officeDocument/2006/relationships/hyperlink" Target="https://naturalresources.wales/about-us/news-and-events/news/brechfa-wind-energy-scheme-gets-underway/?lang=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2763</Words>
  <Characters>15754</Characters>
  <Application>Microsoft Office Word</Application>
  <DocSecurity>0</DocSecurity>
  <Lines>131</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Assessing the Cultural, Societal, Economic and Environmental Impacts of the Brechfa West Wind Farm.</vt:lpstr>
      <vt:lpstr>Assessing the Cultural, Societal, Economic and Environmental Impacts of the Brechfa West Wind Farm.</vt:lpstr>
    </vt:vector>
  </TitlesOfParts>
  <Company>Hewlett-Packard</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Assessing the Cultural, Societal, Economic and Environmental Impacts of the Brechfa West Wind Farm.</dc:title>
  <dc:subject>Sustainable devleopment assignment</dc:subject>
  <dc:creator>Rebecca Blackman (1709562)</dc:creator>
  <cp:lastModifiedBy>Rebecca Blackman (1709562)</cp:lastModifiedBy>
  <cp:revision>8</cp:revision>
  <dcterms:created xsi:type="dcterms:W3CDTF">2018-03-22T11:13:00Z</dcterms:created>
  <dcterms:modified xsi:type="dcterms:W3CDTF">2018-03-22T11:59:00Z</dcterms:modified>
</cp:coreProperties>
</file>