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532790" w14:textId="77777777" w:rsidR="00443E81" w:rsidRPr="00A51AD1" w:rsidRDefault="00672C40" w:rsidP="004C13F6">
      <w:pPr>
        <w:spacing w:line="360" w:lineRule="auto"/>
        <w:jc w:val="both"/>
        <w:rPr>
          <w:rFonts w:ascii="Arial" w:eastAsia="Times New Roman" w:hAnsi="Arial" w:cs="Arial"/>
          <w:b/>
          <w:bCs/>
          <w:color w:val="0E101A"/>
          <w:sz w:val="24"/>
          <w:szCs w:val="24"/>
          <w:lang w:eastAsia="en-IN"/>
        </w:rPr>
      </w:pPr>
      <w:r w:rsidRPr="00A51AD1">
        <w:rPr>
          <w:rFonts w:ascii="Arial" w:eastAsia="Times New Roman" w:hAnsi="Arial" w:cs="Arial"/>
          <w:b/>
          <w:bCs/>
          <w:noProof/>
          <w:color w:val="0E101A"/>
          <w:sz w:val="24"/>
          <w:szCs w:val="24"/>
          <w:lang w:val="en-IN" w:eastAsia="en-IN" w:bidi="hi-IN"/>
        </w:rPr>
        <w:drawing>
          <wp:inline distT="0" distB="0" distL="0" distR="0" wp14:anchorId="36CAB3B5" wp14:editId="195CF282">
            <wp:extent cx="2276475" cy="857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tretch>
                      <a:fillRect/>
                    </a:stretch>
                  </pic:blipFill>
                  <pic:spPr>
                    <a:xfrm>
                      <a:off x="0" y="0"/>
                      <a:ext cx="2276793" cy="857370"/>
                    </a:xfrm>
                    <a:prstGeom prst="rect">
                      <a:avLst/>
                    </a:prstGeom>
                  </pic:spPr>
                </pic:pic>
              </a:graphicData>
            </a:graphic>
          </wp:inline>
        </w:drawing>
      </w:r>
    </w:p>
    <w:p w14:paraId="1A2191E3" w14:textId="77777777" w:rsidR="00443E81" w:rsidRPr="00A51AD1" w:rsidRDefault="00672C40" w:rsidP="00C638CF">
      <w:pPr>
        <w:spacing w:line="360" w:lineRule="auto"/>
        <w:jc w:val="center"/>
        <w:rPr>
          <w:rFonts w:ascii="Arial" w:hAnsi="Arial" w:cs="Arial"/>
          <w:b/>
          <w:i/>
          <w:color w:val="0D0D0D" w:themeColor="text1" w:themeTint="F2"/>
          <w:sz w:val="24"/>
          <w:szCs w:val="24"/>
        </w:rPr>
      </w:pPr>
      <w:r w:rsidRPr="00A51AD1">
        <w:rPr>
          <w:rFonts w:ascii="Arial" w:hAnsi="Arial" w:cs="Arial"/>
          <w:b/>
          <w:i/>
          <w:color w:val="0D0D0D" w:themeColor="text1" w:themeTint="F2"/>
          <w:sz w:val="24"/>
          <w:szCs w:val="24"/>
        </w:rPr>
        <w:t>Introduction to Public Health</w:t>
      </w:r>
    </w:p>
    <w:p w14:paraId="14E66B63" w14:textId="77777777" w:rsidR="00443E81" w:rsidRPr="00A51AD1" w:rsidRDefault="00672C40" w:rsidP="00C638CF">
      <w:pPr>
        <w:spacing w:line="360" w:lineRule="auto"/>
        <w:jc w:val="center"/>
        <w:rPr>
          <w:rFonts w:ascii="Arial" w:hAnsi="Arial" w:cs="Arial"/>
          <w:b/>
          <w:i/>
          <w:color w:val="0D0D0D" w:themeColor="text1" w:themeTint="F2"/>
          <w:sz w:val="24"/>
          <w:szCs w:val="24"/>
        </w:rPr>
      </w:pPr>
      <w:r w:rsidRPr="00A51AD1">
        <w:rPr>
          <w:rFonts w:ascii="Arial" w:hAnsi="Arial" w:cs="Arial"/>
          <w:b/>
          <w:i/>
          <w:color w:val="0D0D0D" w:themeColor="text1" w:themeTint="F2"/>
          <w:sz w:val="24"/>
          <w:szCs w:val="24"/>
        </w:rPr>
        <w:t>LCHS 4008</w:t>
      </w:r>
    </w:p>
    <w:p w14:paraId="66B27819" w14:textId="77777777" w:rsidR="00443E81" w:rsidRPr="00A51AD1" w:rsidRDefault="00672C40" w:rsidP="00C638CF">
      <w:pPr>
        <w:spacing w:line="360" w:lineRule="auto"/>
        <w:jc w:val="center"/>
        <w:rPr>
          <w:rFonts w:ascii="Arial" w:hAnsi="Arial" w:cs="Arial"/>
          <w:b/>
          <w:i/>
          <w:color w:val="0D0D0D" w:themeColor="text1" w:themeTint="F2"/>
          <w:sz w:val="24"/>
          <w:szCs w:val="24"/>
        </w:rPr>
      </w:pPr>
      <w:r w:rsidRPr="00A51AD1">
        <w:rPr>
          <w:rFonts w:ascii="Arial" w:hAnsi="Arial" w:cs="Arial"/>
          <w:b/>
          <w:i/>
          <w:color w:val="0D0D0D" w:themeColor="text1" w:themeTint="F2"/>
          <w:sz w:val="24"/>
          <w:szCs w:val="24"/>
        </w:rPr>
        <w:t>Assessment 2: Report on a Health Issue</w:t>
      </w:r>
    </w:p>
    <w:p w14:paraId="67B64DB1" w14:textId="77777777" w:rsidR="00443E81" w:rsidRPr="00A51AD1" w:rsidRDefault="00672C40" w:rsidP="00C638CF">
      <w:pPr>
        <w:spacing w:line="360" w:lineRule="auto"/>
        <w:jc w:val="center"/>
        <w:rPr>
          <w:rFonts w:ascii="Arial" w:hAnsi="Arial" w:cs="Arial"/>
          <w:b/>
          <w:i/>
          <w:color w:val="0D0D0D" w:themeColor="text1" w:themeTint="F2"/>
          <w:sz w:val="24"/>
          <w:szCs w:val="24"/>
        </w:rPr>
      </w:pPr>
      <w:r w:rsidRPr="00A51AD1">
        <w:rPr>
          <w:rFonts w:ascii="Arial" w:hAnsi="Arial" w:cs="Arial"/>
          <w:b/>
          <w:i/>
          <w:color w:val="0D0D0D" w:themeColor="text1" w:themeTint="F2"/>
          <w:sz w:val="24"/>
          <w:szCs w:val="24"/>
        </w:rPr>
        <w:t>Chosen Disease: Lung Cancer</w:t>
      </w:r>
    </w:p>
    <w:p w14:paraId="57CF6DBE" w14:textId="77777777" w:rsidR="00443E81" w:rsidRPr="00A51AD1" w:rsidRDefault="00443E81" w:rsidP="004C13F6">
      <w:pPr>
        <w:spacing w:line="360" w:lineRule="auto"/>
        <w:jc w:val="both"/>
        <w:rPr>
          <w:rFonts w:ascii="Arial" w:hAnsi="Arial" w:cs="Arial"/>
          <w:b/>
          <w:i/>
          <w:color w:val="0D0D0D" w:themeColor="text1" w:themeTint="F2"/>
          <w:sz w:val="24"/>
          <w:szCs w:val="24"/>
        </w:rPr>
      </w:pPr>
    </w:p>
    <w:p w14:paraId="4BB2082F" w14:textId="77777777" w:rsidR="00443E81" w:rsidRPr="00A51AD1" w:rsidRDefault="00443E81" w:rsidP="004C13F6">
      <w:pPr>
        <w:spacing w:line="360" w:lineRule="auto"/>
        <w:jc w:val="both"/>
        <w:rPr>
          <w:rFonts w:ascii="Arial" w:hAnsi="Arial" w:cs="Arial"/>
          <w:b/>
          <w:i/>
          <w:color w:val="0D0D0D" w:themeColor="text1" w:themeTint="F2"/>
          <w:sz w:val="24"/>
          <w:szCs w:val="24"/>
        </w:rPr>
      </w:pPr>
    </w:p>
    <w:p w14:paraId="07F0DE13" w14:textId="77777777" w:rsidR="00443E81" w:rsidRPr="00A51AD1" w:rsidRDefault="00443E81" w:rsidP="004C13F6">
      <w:pPr>
        <w:spacing w:line="360" w:lineRule="auto"/>
        <w:jc w:val="both"/>
        <w:rPr>
          <w:rFonts w:ascii="Arial" w:hAnsi="Arial" w:cs="Arial"/>
          <w:b/>
          <w:i/>
          <w:color w:val="0D0D0D" w:themeColor="text1" w:themeTint="F2"/>
          <w:sz w:val="24"/>
          <w:szCs w:val="24"/>
        </w:rPr>
      </w:pPr>
    </w:p>
    <w:p w14:paraId="3E844110" w14:textId="17942589" w:rsidR="00443E81" w:rsidRPr="00A51AD1" w:rsidRDefault="00672C40" w:rsidP="004C13F6">
      <w:pPr>
        <w:spacing w:line="360" w:lineRule="auto"/>
        <w:jc w:val="both"/>
        <w:rPr>
          <w:rFonts w:ascii="Arial" w:hAnsi="Arial" w:cs="Arial"/>
          <w:b/>
          <w:i/>
          <w:color w:val="0D0D0D" w:themeColor="text1" w:themeTint="F2"/>
          <w:sz w:val="24"/>
          <w:szCs w:val="24"/>
        </w:rPr>
      </w:pPr>
      <w:r w:rsidRPr="00A51AD1">
        <w:rPr>
          <w:rFonts w:ascii="Arial" w:hAnsi="Arial" w:cs="Arial"/>
          <w:b/>
          <w:i/>
          <w:color w:val="0D0D0D" w:themeColor="text1" w:themeTint="F2"/>
          <w:sz w:val="24"/>
          <w:szCs w:val="24"/>
        </w:rPr>
        <w:t>STUDENT NAME:</w:t>
      </w:r>
      <w:r w:rsidR="004F07AF">
        <w:rPr>
          <w:rFonts w:ascii="Arial" w:hAnsi="Arial" w:cs="Arial"/>
          <w:b/>
          <w:i/>
          <w:color w:val="0D0D0D" w:themeColor="text1" w:themeTint="F2"/>
          <w:sz w:val="24"/>
          <w:szCs w:val="24"/>
        </w:rPr>
        <w:t xml:space="preserve"> Nesrin Sami Shen</w:t>
      </w:r>
    </w:p>
    <w:p w14:paraId="72C0EB8F" w14:textId="6725FF11" w:rsidR="00443E81" w:rsidRPr="00A51AD1" w:rsidRDefault="00672C40" w:rsidP="004C13F6">
      <w:pPr>
        <w:spacing w:line="360" w:lineRule="auto"/>
        <w:jc w:val="both"/>
        <w:rPr>
          <w:rFonts w:ascii="Arial" w:hAnsi="Arial" w:cs="Arial"/>
          <w:b/>
          <w:i/>
          <w:color w:val="0D0D0D" w:themeColor="text1" w:themeTint="F2"/>
          <w:sz w:val="24"/>
          <w:szCs w:val="24"/>
        </w:rPr>
      </w:pPr>
      <w:r w:rsidRPr="00A51AD1">
        <w:rPr>
          <w:rFonts w:ascii="Arial" w:hAnsi="Arial" w:cs="Arial"/>
          <w:b/>
          <w:i/>
          <w:color w:val="0D0D0D" w:themeColor="text1" w:themeTint="F2"/>
          <w:sz w:val="24"/>
          <w:szCs w:val="24"/>
        </w:rPr>
        <w:t>STUDENT ID:</w:t>
      </w:r>
      <w:r w:rsidR="004F07AF">
        <w:rPr>
          <w:rFonts w:ascii="Arial" w:hAnsi="Arial" w:cs="Arial"/>
          <w:b/>
          <w:i/>
          <w:color w:val="0D0D0D" w:themeColor="text1" w:themeTint="F2"/>
          <w:sz w:val="24"/>
          <w:szCs w:val="24"/>
        </w:rPr>
        <w:t>2512896</w:t>
      </w:r>
    </w:p>
    <w:p w14:paraId="6E19CA9A" w14:textId="234E8A2C" w:rsidR="00443E81" w:rsidRPr="00A51AD1" w:rsidRDefault="00672C40" w:rsidP="004C13F6">
      <w:pPr>
        <w:spacing w:line="360" w:lineRule="auto"/>
        <w:jc w:val="both"/>
        <w:rPr>
          <w:rFonts w:ascii="Arial" w:hAnsi="Arial" w:cs="Arial"/>
          <w:b/>
          <w:i/>
          <w:color w:val="0D0D0D" w:themeColor="text1" w:themeTint="F2"/>
          <w:sz w:val="24"/>
          <w:szCs w:val="24"/>
        </w:rPr>
      </w:pPr>
      <w:r w:rsidRPr="00A51AD1">
        <w:rPr>
          <w:rFonts w:ascii="Arial" w:hAnsi="Arial" w:cs="Arial"/>
          <w:b/>
          <w:i/>
          <w:color w:val="0D0D0D" w:themeColor="text1" w:themeTint="F2"/>
          <w:sz w:val="24"/>
          <w:szCs w:val="24"/>
        </w:rPr>
        <w:t xml:space="preserve">LECTURER NAME: </w:t>
      </w:r>
      <w:r w:rsidR="004F07AF">
        <w:rPr>
          <w:rFonts w:ascii="Arial" w:hAnsi="Arial" w:cs="Arial"/>
          <w:b/>
          <w:i/>
          <w:color w:val="0D0D0D" w:themeColor="text1" w:themeTint="F2"/>
          <w:sz w:val="24"/>
          <w:szCs w:val="24"/>
        </w:rPr>
        <w:t>Caroline Salami</w:t>
      </w:r>
    </w:p>
    <w:p w14:paraId="6E7E674F" w14:textId="77777777" w:rsidR="00443E81" w:rsidRPr="00A51AD1" w:rsidRDefault="00672C40" w:rsidP="004C13F6">
      <w:pPr>
        <w:spacing w:line="360" w:lineRule="auto"/>
        <w:jc w:val="both"/>
        <w:rPr>
          <w:rFonts w:ascii="Arial" w:hAnsi="Arial" w:cs="Arial"/>
          <w:i/>
          <w:sz w:val="24"/>
          <w:szCs w:val="24"/>
        </w:rPr>
      </w:pPr>
      <w:r w:rsidRPr="00A51AD1">
        <w:rPr>
          <w:rFonts w:ascii="Arial" w:hAnsi="Arial" w:cs="Arial"/>
          <w:i/>
          <w:sz w:val="24"/>
          <w:szCs w:val="24"/>
        </w:rPr>
        <w:br w:type="page"/>
      </w:r>
    </w:p>
    <w:sdt>
      <w:sdtPr>
        <w:rPr>
          <w:rFonts w:ascii="Arial" w:eastAsiaTheme="minorHAnsi" w:hAnsi="Arial" w:cs="Arial"/>
          <w:b w:val="0"/>
          <w:bCs w:val="0"/>
          <w:color w:val="auto"/>
          <w:sz w:val="24"/>
          <w:szCs w:val="24"/>
          <w:lang w:val="en-GB" w:eastAsia="en-US"/>
        </w:rPr>
        <w:id w:val="-1"/>
        <w:docPartObj>
          <w:docPartGallery w:val="Table of Contents"/>
          <w:docPartUnique/>
        </w:docPartObj>
      </w:sdtPr>
      <w:sdtContent>
        <w:p w14:paraId="024E3B29" w14:textId="77777777" w:rsidR="00443E81" w:rsidRPr="00A51AD1" w:rsidRDefault="00672C40" w:rsidP="00551990">
          <w:pPr>
            <w:pStyle w:val="TOCHeading1"/>
            <w:jc w:val="both"/>
            <w:rPr>
              <w:rFonts w:ascii="Arial" w:hAnsi="Arial" w:cs="Arial"/>
              <w:color w:val="000000" w:themeColor="text1"/>
              <w:sz w:val="24"/>
              <w:szCs w:val="24"/>
              <w:lang w:val="en-GB"/>
              <w14:textFill>
                <w14:solidFill>
                  <w14:schemeClr w14:val="tx1">
                    <w14:lumMod w14:val="75000"/>
                    <w14:lumMod w14:val="95000"/>
                    <w14:lumOff w14:val="5000"/>
                  </w14:schemeClr>
                </w14:solidFill>
              </w14:textFill>
            </w:rPr>
          </w:pPr>
          <w:r w:rsidRPr="00A51AD1">
            <w:rPr>
              <w:rFonts w:ascii="Arial" w:hAnsi="Arial" w:cs="Arial"/>
              <w:color w:val="000000" w:themeColor="text1"/>
              <w:sz w:val="24"/>
              <w:szCs w:val="24"/>
              <w:lang w:val="en-GB"/>
              <w14:textFill>
                <w14:solidFill>
                  <w14:schemeClr w14:val="tx1">
                    <w14:lumMod w14:val="75000"/>
                    <w14:lumMod w14:val="95000"/>
                    <w14:lumOff w14:val="5000"/>
                  </w14:schemeClr>
                </w14:solidFill>
              </w14:textFill>
            </w:rPr>
            <w:t>Table of Contents</w:t>
          </w:r>
        </w:p>
        <w:p w14:paraId="0E40584F" w14:textId="77777777" w:rsidR="00551990" w:rsidRPr="00A51AD1" w:rsidRDefault="00672C40" w:rsidP="00551990">
          <w:pPr>
            <w:pStyle w:val="TOC1"/>
            <w:spacing w:line="360" w:lineRule="auto"/>
            <w:rPr>
              <w:rFonts w:ascii="Arial" w:eastAsiaTheme="minorEastAsia" w:hAnsi="Arial" w:cs="Arial"/>
              <w:noProof/>
              <w:color w:val="auto"/>
              <w:lang w:val="en-IN" w:eastAsia="en-IN" w:bidi="hi-IN"/>
            </w:rPr>
          </w:pPr>
          <w:r w:rsidRPr="00A51AD1">
            <w:rPr>
              <w:rFonts w:ascii="Arial" w:hAnsi="Arial" w:cs="Arial"/>
            </w:rPr>
            <w:fldChar w:fldCharType="begin"/>
          </w:r>
          <w:r w:rsidRPr="00A51AD1">
            <w:rPr>
              <w:rFonts w:ascii="Arial" w:hAnsi="Arial" w:cs="Arial"/>
            </w:rPr>
            <w:instrText xml:space="preserve"> TOC \o "1-3" \h \z \u </w:instrText>
          </w:r>
          <w:r w:rsidRPr="00A51AD1">
            <w:rPr>
              <w:rFonts w:ascii="Arial" w:hAnsi="Arial" w:cs="Arial"/>
            </w:rPr>
            <w:fldChar w:fldCharType="separate"/>
          </w:r>
          <w:hyperlink w:anchor="_Toc227668586" w:history="1">
            <w:r w:rsidR="00551990" w:rsidRPr="00A51AD1">
              <w:rPr>
                <w:rStyle w:val="Hyperlink"/>
                <w:rFonts w:ascii="Arial" w:hAnsi="Arial" w:cs="Arial"/>
                <w:noProof/>
              </w:rPr>
              <w:t>Introduction</w:t>
            </w:r>
            <w:r w:rsidR="00551990" w:rsidRPr="00A51AD1">
              <w:rPr>
                <w:rFonts w:ascii="Arial" w:hAnsi="Arial" w:cs="Arial"/>
                <w:noProof/>
                <w:webHidden/>
              </w:rPr>
              <w:tab/>
            </w:r>
            <w:r w:rsidR="00551990" w:rsidRPr="00A51AD1">
              <w:rPr>
                <w:rFonts w:ascii="Arial" w:hAnsi="Arial" w:cs="Arial"/>
                <w:noProof/>
                <w:webHidden/>
              </w:rPr>
              <w:fldChar w:fldCharType="begin"/>
            </w:r>
            <w:r w:rsidR="00551990" w:rsidRPr="00A51AD1">
              <w:rPr>
                <w:rFonts w:ascii="Arial" w:hAnsi="Arial" w:cs="Arial"/>
                <w:noProof/>
                <w:webHidden/>
              </w:rPr>
              <w:instrText xml:space="preserve"> PAGEREF _Toc227668586 \h </w:instrText>
            </w:r>
            <w:r w:rsidR="00551990" w:rsidRPr="00A51AD1">
              <w:rPr>
                <w:rFonts w:ascii="Arial" w:hAnsi="Arial" w:cs="Arial"/>
                <w:noProof/>
                <w:webHidden/>
              </w:rPr>
            </w:r>
            <w:r w:rsidR="00551990" w:rsidRPr="00A51AD1">
              <w:rPr>
                <w:rFonts w:ascii="Arial" w:hAnsi="Arial" w:cs="Arial"/>
                <w:noProof/>
                <w:webHidden/>
              </w:rPr>
              <w:fldChar w:fldCharType="separate"/>
            </w:r>
            <w:r w:rsidR="00551990" w:rsidRPr="00A51AD1">
              <w:rPr>
                <w:rFonts w:ascii="Arial" w:hAnsi="Arial" w:cs="Arial"/>
                <w:noProof/>
                <w:webHidden/>
              </w:rPr>
              <w:t>3</w:t>
            </w:r>
            <w:r w:rsidR="00551990" w:rsidRPr="00A51AD1">
              <w:rPr>
                <w:rFonts w:ascii="Arial" w:hAnsi="Arial" w:cs="Arial"/>
                <w:noProof/>
                <w:webHidden/>
              </w:rPr>
              <w:fldChar w:fldCharType="end"/>
            </w:r>
          </w:hyperlink>
        </w:p>
        <w:p w14:paraId="55887BF5" w14:textId="77777777" w:rsidR="00551990" w:rsidRPr="00A51AD1" w:rsidRDefault="00551990" w:rsidP="00551990">
          <w:pPr>
            <w:pStyle w:val="TOC2"/>
            <w:tabs>
              <w:tab w:val="right" w:leader="dot" w:pos="9016"/>
            </w:tabs>
            <w:spacing w:line="360" w:lineRule="auto"/>
            <w:jc w:val="both"/>
            <w:rPr>
              <w:rFonts w:ascii="Arial" w:eastAsiaTheme="minorEastAsia" w:hAnsi="Arial" w:cs="Arial"/>
              <w:noProof/>
              <w:sz w:val="24"/>
              <w:szCs w:val="24"/>
              <w:lang w:val="en-IN" w:eastAsia="en-IN" w:bidi="hi-IN"/>
            </w:rPr>
          </w:pPr>
          <w:hyperlink w:anchor="_Toc227668587" w:history="1">
            <w:r w:rsidRPr="00A51AD1">
              <w:rPr>
                <w:rStyle w:val="Hyperlink"/>
                <w:rFonts w:ascii="Arial" w:hAnsi="Arial" w:cs="Arial"/>
                <w:noProof/>
                <w:sz w:val="24"/>
                <w:szCs w:val="24"/>
              </w:rPr>
              <w:t>Differences between approaches used to measure and monitor disease</w:t>
            </w:r>
            <w:r w:rsidRPr="00A51AD1">
              <w:rPr>
                <w:rFonts w:ascii="Arial" w:hAnsi="Arial" w:cs="Arial"/>
                <w:noProof/>
                <w:webHidden/>
                <w:sz w:val="24"/>
                <w:szCs w:val="24"/>
              </w:rPr>
              <w:tab/>
            </w:r>
            <w:r w:rsidRPr="00A51AD1">
              <w:rPr>
                <w:rFonts w:ascii="Arial" w:hAnsi="Arial" w:cs="Arial"/>
                <w:noProof/>
                <w:webHidden/>
                <w:sz w:val="24"/>
                <w:szCs w:val="24"/>
              </w:rPr>
              <w:fldChar w:fldCharType="begin"/>
            </w:r>
            <w:r w:rsidRPr="00A51AD1">
              <w:rPr>
                <w:rFonts w:ascii="Arial" w:hAnsi="Arial" w:cs="Arial"/>
                <w:noProof/>
                <w:webHidden/>
                <w:sz w:val="24"/>
                <w:szCs w:val="24"/>
              </w:rPr>
              <w:instrText xml:space="preserve"> PAGEREF _Toc227668587 \h </w:instrText>
            </w:r>
            <w:r w:rsidRPr="00A51AD1">
              <w:rPr>
                <w:rFonts w:ascii="Arial" w:hAnsi="Arial" w:cs="Arial"/>
                <w:noProof/>
                <w:webHidden/>
                <w:sz w:val="24"/>
                <w:szCs w:val="24"/>
              </w:rPr>
            </w:r>
            <w:r w:rsidRPr="00A51AD1">
              <w:rPr>
                <w:rFonts w:ascii="Arial" w:hAnsi="Arial" w:cs="Arial"/>
                <w:noProof/>
                <w:webHidden/>
                <w:sz w:val="24"/>
                <w:szCs w:val="24"/>
              </w:rPr>
              <w:fldChar w:fldCharType="separate"/>
            </w:r>
            <w:r w:rsidRPr="00A51AD1">
              <w:rPr>
                <w:rFonts w:ascii="Arial" w:hAnsi="Arial" w:cs="Arial"/>
                <w:noProof/>
                <w:webHidden/>
                <w:sz w:val="24"/>
                <w:szCs w:val="24"/>
              </w:rPr>
              <w:t>4</w:t>
            </w:r>
            <w:r w:rsidRPr="00A51AD1">
              <w:rPr>
                <w:rFonts w:ascii="Arial" w:hAnsi="Arial" w:cs="Arial"/>
                <w:noProof/>
                <w:webHidden/>
                <w:sz w:val="24"/>
                <w:szCs w:val="24"/>
              </w:rPr>
              <w:fldChar w:fldCharType="end"/>
            </w:r>
          </w:hyperlink>
        </w:p>
        <w:p w14:paraId="70084BC1" w14:textId="77777777" w:rsidR="00551990" w:rsidRPr="00A51AD1" w:rsidRDefault="00551990" w:rsidP="00551990">
          <w:pPr>
            <w:pStyle w:val="TOC2"/>
            <w:tabs>
              <w:tab w:val="right" w:leader="dot" w:pos="9016"/>
            </w:tabs>
            <w:spacing w:line="360" w:lineRule="auto"/>
            <w:jc w:val="both"/>
            <w:rPr>
              <w:rFonts w:ascii="Arial" w:eastAsiaTheme="minorEastAsia" w:hAnsi="Arial" w:cs="Arial"/>
              <w:noProof/>
              <w:sz w:val="24"/>
              <w:szCs w:val="24"/>
              <w:lang w:val="en-IN" w:eastAsia="en-IN" w:bidi="hi-IN"/>
            </w:rPr>
          </w:pPr>
          <w:hyperlink w:anchor="_Toc227668588" w:history="1">
            <w:r w:rsidRPr="00A51AD1">
              <w:rPr>
                <w:rStyle w:val="Hyperlink"/>
                <w:rFonts w:ascii="Arial" w:hAnsi="Arial" w:cs="Arial"/>
                <w:noProof/>
                <w:sz w:val="24"/>
                <w:szCs w:val="24"/>
              </w:rPr>
              <w:t>How this Disease is Controlled</w:t>
            </w:r>
            <w:r w:rsidRPr="00A51AD1">
              <w:rPr>
                <w:rFonts w:ascii="Arial" w:hAnsi="Arial" w:cs="Arial"/>
                <w:noProof/>
                <w:webHidden/>
                <w:sz w:val="24"/>
                <w:szCs w:val="24"/>
              </w:rPr>
              <w:tab/>
            </w:r>
            <w:r w:rsidRPr="00A51AD1">
              <w:rPr>
                <w:rFonts w:ascii="Arial" w:hAnsi="Arial" w:cs="Arial"/>
                <w:noProof/>
                <w:webHidden/>
                <w:sz w:val="24"/>
                <w:szCs w:val="24"/>
              </w:rPr>
              <w:fldChar w:fldCharType="begin"/>
            </w:r>
            <w:r w:rsidRPr="00A51AD1">
              <w:rPr>
                <w:rFonts w:ascii="Arial" w:hAnsi="Arial" w:cs="Arial"/>
                <w:noProof/>
                <w:webHidden/>
                <w:sz w:val="24"/>
                <w:szCs w:val="24"/>
              </w:rPr>
              <w:instrText xml:space="preserve"> PAGEREF _Toc227668588 \h </w:instrText>
            </w:r>
            <w:r w:rsidRPr="00A51AD1">
              <w:rPr>
                <w:rFonts w:ascii="Arial" w:hAnsi="Arial" w:cs="Arial"/>
                <w:noProof/>
                <w:webHidden/>
                <w:sz w:val="24"/>
                <w:szCs w:val="24"/>
              </w:rPr>
            </w:r>
            <w:r w:rsidRPr="00A51AD1">
              <w:rPr>
                <w:rFonts w:ascii="Arial" w:hAnsi="Arial" w:cs="Arial"/>
                <w:noProof/>
                <w:webHidden/>
                <w:sz w:val="24"/>
                <w:szCs w:val="24"/>
              </w:rPr>
              <w:fldChar w:fldCharType="separate"/>
            </w:r>
            <w:r w:rsidRPr="00A51AD1">
              <w:rPr>
                <w:rFonts w:ascii="Arial" w:hAnsi="Arial" w:cs="Arial"/>
                <w:noProof/>
                <w:webHidden/>
                <w:sz w:val="24"/>
                <w:szCs w:val="24"/>
              </w:rPr>
              <w:t>6</w:t>
            </w:r>
            <w:r w:rsidRPr="00A51AD1">
              <w:rPr>
                <w:rFonts w:ascii="Arial" w:hAnsi="Arial" w:cs="Arial"/>
                <w:noProof/>
                <w:webHidden/>
                <w:sz w:val="24"/>
                <w:szCs w:val="24"/>
              </w:rPr>
              <w:fldChar w:fldCharType="end"/>
            </w:r>
          </w:hyperlink>
        </w:p>
        <w:p w14:paraId="094F1E95" w14:textId="77777777" w:rsidR="00551990" w:rsidRPr="00A51AD1" w:rsidRDefault="00551990" w:rsidP="00551990">
          <w:pPr>
            <w:pStyle w:val="TOC2"/>
            <w:tabs>
              <w:tab w:val="right" w:leader="dot" w:pos="9016"/>
            </w:tabs>
            <w:spacing w:line="360" w:lineRule="auto"/>
            <w:jc w:val="both"/>
            <w:rPr>
              <w:rFonts w:ascii="Arial" w:eastAsiaTheme="minorEastAsia" w:hAnsi="Arial" w:cs="Arial"/>
              <w:noProof/>
              <w:sz w:val="24"/>
              <w:szCs w:val="24"/>
              <w:lang w:val="en-IN" w:eastAsia="en-IN" w:bidi="hi-IN"/>
            </w:rPr>
          </w:pPr>
          <w:hyperlink w:anchor="_Toc227668589" w:history="1">
            <w:r w:rsidRPr="00A51AD1">
              <w:rPr>
                <w:rStyle w:val="Hyperlink"/>
                <w:rFonts w:ascii="Arial" w:hAnsi="Arial" w:cs="Arial"/>
                <w:noProof/>
                <w:sz w:val="24"/>
                <w:szCs w:val="24"/>
              </w:rPr>
              <w:t>Consequences of illness on people in the community</w:t>
            </w:r>
            <w:r w:rsidRPr="00A51AD1">
              <w:rPr>
                <w:rFonts w:ascii="Arial" w:hAnsi="Arial" w:cs="Arial"/>
                <w:noProof/>
                <w:webHidden/>
                <w:sz w:val="24"/>
                <w:szCs w:val="24"/>
              </w:rPr>
              <w:tab/>
            </w:r>
            <w:r w:rsidRPr="00A51AD1">
              <w:rPr>
                <w:rFonts w:ascii="Arial" w:hAnsi="Arial" w:cs="Arial"/>
                <w:noProof/>
                <w:webHidden/>
                <w:sz w:val="24"/>
                <w:szCs w:val="24"/>
              </w:rPr>
              <w:fldChar w:fldCharType="begin"/>
            </w:r>
            <w:r w:rsidRPr="00A51AD1">
              <w:rPr>
                <w:rFonts w:ascii="Arial" w:hAnsi="Arial" w:cs="Arial"/>
                <w:noProof/>
                <w:webHidden/>
                <w:sz w:val="24"/>
                <w:szCs w:val="24"/>
              </w:rPr>
              <w:instrText xml:space="preserve"> PAGEREF _Toc227668589 \h </w:instrText>
            </w:r>
            <w:r w:rsidRPr="00A51AD1">
              <w:rPr>
                <w:rFonts w:ascii="Arial" w:hAnsi="Arial" w:cs="Arial"/>
                <w:noProof/>
                <w:webHidden/>
                <w:sz w:val="24"/>
                <w:szCs w:val="24"/>
              </w:rPr>
            </w:r>
            <w:r w:rsidRPr="00A51AD1">
              <w:rPr>
                <w:rFonts w:ascii="Arial" w:hAnsi="Arial" w:cs="Arial"/>
                <w:noProof/>
                <w:webHidden/>
                <w:sz w:val="24"/>
                <w:szCs w:val="24"/>
              </w:rPr>
              <w:fldChar w:fldCharType="separate"/>
            </w:r>
            <w:r w:rsidRPr="00A51AD1">
              <w:rPr>
                <w:rFonts w:ascii="Arial" w:hAnsi="Arial" w:cs="Arial"/>
                <w:noProof/>
                <w:webHidden/>
                <w:sz w:val="24"/>
                <w:szCs w:val="24"/>
              </w:rPr>
              <w:t>7</w:t>
            </w:r>
            <w:r w:rsidRPr="00A51AD1">
              <w:rPr>
                <w:rFonts w:ascii="Arial" w:hAnsi="Arial" w:cs="Arial"/>
                <w:noProof/>
                <w:webHidden/>
                <w:sz w:val="24"/>
                <w:szCs w:val="24"/>
              </w:rPr>
              <w:fldChar w:fldCharType="end"/>
            </w:r>
          </w:hyperlink>
        </w:p>
        <w:p w14:paraId="3B54EA29" w14:textId="77777777" w:rsidR="00551990" w:rsidRPr="00A51AD1" w:rsidRDefault="00551990" w:rsidP="00551990">
          <w:pPr>
            <w:pStyle w:val="TOC2"/>
            <w:tabs>
              <w:tab w:val="right" w:leader="dot" w:pos="9016"/>
            </w:tabs>
            <w:spacing w:line="360" w:lineRule="auto"/>
            <w:jc w:val="both"/>
            <w:rPr>
              <w:rFonts w:ascii="Arial" w:eastAsiaTheme="minorEastAsia" w:hAnsi="Arial" w:cs="Arial"/>
              <w:noProof/>
              <w:sz w:val="24"/>
              <w:szCs w:val="24"/>
              <w:lang w:val="en-IN" w:eastAsia="en-IN" w:bidi="hi-IN"/>
            </w:rPr>
          </w:pPr>
          <w:hyperlink w:anchor="_Toc227668590" w:history="1">
            <w:r w:rsidRPr="00A51AD1">
              <w:rPr>
                <w:rStyle w:val="Hyperlink"/>
                <w:rFonts w:ascii="Arial" w:hAnsi="Arial" w:cs="Arial"/>
                <w:noProof/>
                <w:sz w:val="24"/>
                <w:szCs w:val="24"/>
              </w:rPr>
              <w:t>Health and social care support services</w:t>
            </w:r>
            <w:r w:rsidRPr="00A51AD1">
              <w:rPr>
                <w:rFonts w:ascii="Arial" w:hAnsi="Arial" w:cs="Arial"/>
                <w:noProof/>
                <w:webHidden/>
                <w:sz w:val="24"/>
                <w:szCs w:val="24"/>
              </w:rPr>
              <w:tab/>
            </w:r>
            <w:r w:rsidRPr="00A51AD1">
              <w:rPr>
                <w:rFonts w:ascii="Arial" w:hAnsi="Arial" w:cs="Arial"/>
                <w:noProof/>
                <w:webHidden/>
                <w:sz w:val="24"/>
                <w:szCs w:val="24"/>
              </w:rPr>
              <w:fldChar w:fldCharType="begin"/>
            </w:r>
            <w:r w:rsidRPr="00A51AD1">
              <w:rPr>
                <w:rFonts w:ascii="Arial" w:hAnsi="Arial" w:cs="Arial"/>
                <w:noProof/>
                <w:webHidden/>
                <w:sz w:val="24"/>
                <w:szCs w:val="24"/>
              </w:rPr>
              <w:instrText xml:space="preserve"> PAGEREF _Toc227668590 \h </w:instrText>
            </w:r>
            <w:r w:rsidRPr="00A51AD1">
              <w:rPr>
                <w:rFonts w:ascii="Arial" w:hAnsi="Arial" w:cs="Arial"/>
                <w:noProof/>
                <w:webHidden/>
                <w:sz w:val="24"/>
                <w:szCs w:val="24"/>
              </w:rPr>
            </w:r>
            <w:r w:rsidRPr="00A51AD1">
              <w:rPr>
                <w:rFonts w:ascii="Arial" w:hAnsi="Arial" w:cs="Arial"/>
                <w:noProof/>
                <w:webHidden/>
                <w:sz w:val="24"/>
                <w:szCs w:val="24"/>
              </w:rPr>
              <w:fldChar w:fldCharType="separate"/>
            </w:r>
            <w:r w:rsidRPr="00A51AD1">
              <w:rPr>
                <w:rFonts w:ascii="Arial" w:hAnsi="Arial" w:cs="Arial"/>
                <w:noProof/>
                <w:webHidden/>
                <w:sz w:val="24"/>
                <w:szCs w:val="24"/>
              </w:rPr>
              <w:t>8</w:t>
            </w:r>
            <w:r w:rsidRPr="00A51AD1">
              <w:rPr>
                <w:rFonts w:ascii="Arial" w:hAnsi="Arial" w:cs="Arial"/>
                <w:noProof/>
                <w:webHidden/>
                <w:sz w:val="24"/>
                <w:szCs w:val="24"/>
              </w:rPr>
              <w:fldChar w:fldCharType="end"/>
            </w:r>
          </w:hyperlink>
        </w:p>
        <w:p w14:paraId="43A7EAEE" w14:textId="77777777" w:rsidR="00551990" w:rsidRPr="00A51AD1" w:rsidRDefault="00551990" w:rsidP="00551990">
          <w:pPr>
            <w:pStyle w:val="TOC1"/>
            <w:spacing w:line="360" w:lineRule="auto"/>
            <w:rPr>
              <w:rFonts w:ascii="Arial" w:eastAsiaTheme="minorEastAsia" w:hAnsi="Arial" w:cs="Arial"/>
              <w:noProof/>
              <w:color w:val="auto"/>
              <w:lang w:val="en-IN" w:eastAsia="en-IN" w:bidi="hi-IN"/>
            </w:rPr>
          </w:pPr>
          <w:hyperlink w:anchor="_Toc227668591" w:history="1">
            <w:r w:rsidRPr="00A51AD1">
              <w:rPr>
                <w:rStyle w:val="Hyperlink"/>
                <w:rFonts w:ascii="Arial" w:hAnsi="Arial" w:cs="Arial"/>
                <w:noProof/>
              </w:rPr>
              <w:t>Conclusion</w:t>
            </w:r>
            <w:r w:rsidRPr="00A51AD1">
              <w:rPr>
                <w:rFonts w:ascii="Arial" w:hAnsi="Arial" w:cs="Arial"/>
                <w:noProof/>
                <w:webHidden/>
              </w:rPr>
              <w:tab/>
            </w:r>
            <w:r w:rsidRPr="00A51AD1">
              <w:rPr>
                <w:rFonts w:ascii="Arial" w:hAnsi="Arial" w:cs="Arial"/>
                <w:noProof/>
                <w:webHidden/>
              </w:rPr>
              <w:fldChar w:fldCharType="begin"/>
            </w:r>
            <w:r w:rsidRPr="00A51AD1">
              <w:rPr>
                <w:rFonts w:ascii="Arial" w:hAnsi="Arial" w:cs="Arial"/>
                <w:noProof/>
                <w:webHidden/>
              </w:rPr>
              <w:instrText xml:space="preserve"> PAGEREF _Toc227668591 \h </w:instrText>
            </w:r>
            <w:r w:rsidRPr="00A51AD1">
              <w:rPr>
                <w:rFonts w:ascii="Arial" w:hAnsi="Arial" w:cs="Arial"/>
                <w:noProof/>
                <w:webHidden/>
              </w:rPr>
            </w:r>
            <w:r w:rsidRPr="00A51AD1">
              <w:rPr>
                <w:rFonts w:ascii="Arial" w:hAnsi="Arial" w:cs="Arial"/>
                <w:noProof/>
                <w:webHidden/>
              </w:rPr>
              <w:fldChar w:fldCharType="separate"/>
            </w:r>
            <w:r w:rsidRPr="00A51AD1">
              <w:rPr>
                <w:rFonts w:ascii="Arial" w:hAnsi="Arial" w:cs="Arial"/>
                <w:noProof/>
                <w:webHidden/>
              </w:rPr>
              <w:t>9</w:t>
            </w:r>
            <w:r w:rsidRPr="00A51AD1">
              <w:rPr>
                <w:rFonts w:ascii="Arial" w:hAnsi="Arial" w:cs="Arial"/>
                <w:noProof/>
                <w:webHidden/>
              </w:rPr>
              <w:fldChar w:fldCharType="end"/>
            </w:r>
          </w:hyperlink>
        </w:p>
        <w:p w14:paraId="1BEC839B" w14:textId="77777777" w:rsidR="00551990" w:rsidRPr="00A51AD1" w:rsidRDefault="00551990" w:rsidP="00551990">
          <w:pPr>
            <w:pStyle w:val="TOC1"/>
            <w:spacing w:line="360" w:lineRule="auto"/>
            <w:rPr>
              <w:rFonts w:ascii="Arial" w:eastAsiaTheme="minorEastAsia" w:hAnsi="Arial" w:cs="Arial"/>
              <w:noProof/>
              <w:color w:val="auto"/>
              <w:lang w:val="en-IN" w:eastAsia="en-IN" w:bidi="hi-IN"/>
            </w:rPr>
          </w:pPr>
          <w:hyperlink w:anchor="_Toc227668592" w:history="1">
            <w:r w:rsidRPr="00A51AD1">
              <w:rPr>
                <w:rStyle w:val="Hyperlink"/>
                <w:rFonts w:ascii="Arial" w:hAnsi="Arial" w:cs="Arial"/>
                <w:noProof/>
              </w:rPr>
              <w:t>References</w:t>
            </w:r>
            <w:r w:rsidRPr="00A51AD1">
              <w:rPr>
                <w:rFonts w:ascii="Arial" w:hAnsi="Arial" w:cs="Arial"/>
                <w:noProof/>
                <w:webHidden/>
              </w:rPr>
              <w:tab/>
            </w:r>
            <w:r w:rsidRPr="00A51AD1">
              <w:rPr>
                <w:rFonts w:ascii="Arial" w:hAnsi="Arial" w:cs="Arial"/>
                <w:noProof/>
                <w:webHidden/>
              </w:rPr>
              <w:fldChar w:fldCharType="begin"/>
            </w:r>
            <w:r w:rsidRPr="00A51AD1">
              <w:rPr>
                <w:rFonts w:ascii="Arial" w:hAnsi="Arial" w:cs="Arial"/>
                <w:noProof/>
                <w:webHidden/>
              </w:rPr>
              <w:instrText xml:space="preserve"> PAGEREF _Toc227668592 \h </w:instrText>
            </w:r>
            <w:r w:rsidRPr="00A51AD1">
              <w:rPr>
                <w:rFonts w:ascii="Arial" w:hAnsi="Arial" w:cs="Arial"/>
                <w:noProof/>
                <w:webHidden/>
              </w:rPr>
            </w:r>
            <w:r w:rsidRPr="00A51AD1">
              <w:rPr>
                <w:rFonts w:ascii="Arial" w:hAnsi="Arial" w:cs="Arial"/>
                <w:noProof/>
                <w:webHidden/>
              </w:rPr>
              <w:fldChar w:fldCharType="separate"/>
            </w:r>
            <w:r w:rsidRPr="00A51AD1">
              <w:rPr>
                <w:rFonts w:ascii="Arial" w:hAnsi="Arial" w:cs="Arial"/>
                <w:noProof/>
                <w:webHidden/>
              </w:rPr>
              <w:t>10</w:t>
            </w:r>
            <w:r w:rsidRPr="00A51AD1">
              <w:rPr>
                <w:rFonts w:ascii="Arial" w:hAnsi="Arial" w:cs="Arial"/>
                <w:noProof/>
                <w:webHidden/>
              </w:rPr>
              <w:fldChar w:fldCharType="end"/>
            </w:r>
          </w:hyperlink>
        </w:p>
        <w:p w14:paraId="5B818E4D" w14:textId="77777777" w:rsidR="00443E81" w:rsidRPr="00A51AD1" w:rsidRDefault="00672C40" w:rsidP="00551990">
          <w:pPr>
            <w:spacing w:line="360" w:lineRule="auto"/>
            <w:jc w:val="both"/>
            <w:rPr>
              <w:rFonts w:ascii="Arial" w:hAnsi="Arial" w:cs="Arial"/>
              <w:sz w:val="24"/>
              <w:szCs w:val="24"/>
            </w:rPr>
          </w:pPr>
          <w:r w:rsidRPr="00A51AD1">
            <w:rPr>
              <w:rFonts w:ascii="Arial" w:hAnsi="Arial" w:cs="Arial"/>
              <w:b/>
              <w:bCs/>
              <w:sz w:val="24"/>
              <w:szCs w:val="24"/>
            </w:rPr>
            <w:fldChar w:fldCharType="end"/>
          </w:r>
        </w:p>
      </w:sdtContent>
    </w:sdt>
    <w:p w14:paraId="143CF445" w14:textId="77777777" w:rsidR="00443E81" w:rsidRPr="00A51AD1" w:rsidRDefault="00672C40" w:rsidP="004C13F6">
      <w:pPr>
        <w:spacing w:line="360" w:lineRule="auto"/>
        <w:jc w:val="both"/>
        <w:rPr>
          <w:rFonts w:ascii="Arial" w:eastAsia="Times New Roman" w:hAnsi="Arial" w:cs="Arial"/>
          <w:b/>
          <w:bCs/>
          <w:i/>
          <w:color w:val="0E101A"/>
          <w:sz w:val="24"/>
          <w:szCs w:val="24"/>
          <w:u w:val="single"/>
          <w:lang w:eastAsia="en-IN"/>
        </w:rPr>
      </w:pPr>
      <w:r w:rsidRPr="00A51AD1">
        <w:rPr>
          <w:rFonts w:ascii="Arial" w:eastAsia="Times New Roman" w:hAnsi="Arial" w:cs="Arial"/>
          <w:b/>
          <w:bCs/>
          <w:i/>
          <w:color w:val="0E101A"/>
          <w:sz w:val="24"/>
          <w:szCs w:val="24"/>
          <w:u w:val="single"/>
          <w:lang w:eastAsia="en-IN"/>
        </w:rPr>
        <w:br w:type="page"/>
      </w:r>
    </w:p>
    <w:p w14:paraId="0173BBCF" w14:textId="77777777" w:rsidR="00443E81" w:rsidRPr="00A51AD1" w:rsidRDefault="00672C40" w:rsidP="00551990">
      <w:pPr>
        <w:pStyle w:val="Heading1"/>
        <w:jc w:val="both"/>
      </w:pPr>
      <w:bookmarkStart w:id="0" w:name="_Toc227668586"/>
      <w:r w:rsidRPr="00A51AD1">
        <w:lastRenderedPageBreak/>
        <w:t>Introduction</w:t>
      </w:r>
      <w:bookmarkEnd w:id="0"/>
    </w:p>
    <w:p w14:paraId="4FF8A547"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i/>
          <w:iCs/>
          <w:color w:val="0E101A"/>
          <w:lang w:eastAsia="en-IN"/>
        </w:rPr>
        <w:t>Lung cancer</w:t>
      </w:r>
      <w:r w:rsidRPr="00A51AD1">
        <w:rPr>
          <w:rFonts w:ascii="Arial" w:eastAsia="Times New Roman" w:hAnsi="Arial" w:cs="Arial"/>
          <w:color w:val="0E101A"/>
          <w:lang w:eastAsia="en-IN"/>
        </w:rPr>
        <w:t xml:space="preserve"> is a disease characterised by the uncontrolled growth of abnormal cells in one or both lungs, usually known as uncontrolled growth of abnormal cells in one or both lungs, usually beginning in the cells that line the airways and passages</w:t>
      </w:r>
      <w:r w:rsidR="00DC212B" w:rsidRPr="00A51AD1">
        <w:rPr>
          <w:rFonts w:ascii="Arial" w:eastAsia="Times New Roman" w:hAnsi="Arial" w:cs="Arial"/>
          <w:color w:val="0E101A"/>
          <w:lang w:eastAsia="en-IN"/>
        </w:rPr>
        <w:t xml:space="preserve"> (</w:t>
      </w:r>
      <w:r w:rsidR="00DC212B" w:rsidRPr="00A51AD1">
        <w:rPr>
          <w:rFonts w:ascii="Arial" w:hAnsi="Arial" w:cs="Arial"/>
          <w:color w:val="222222"/>
          <w:shd w:val="clear" w:color="auto" w:fill="FFFFFF"/>
        </w:rPr>
        <w:t>Rudin et. al., 2021)</w:t>
      </w:r>
      <w:r w:rsidRPr="00A51AD1">
        <w:rPr>
          <w:rFonts w:ascii="Arial" w:eastAsia="Times New Roman" w:hAnsi="Arial" w:cs="Arial"/>
          <w:color w:val="0E101A"/>
          <w:lang w:eastAsia="en-IN"/>
        </w:rPr>
        <w:t>. These damaged cells multiply rapidly, resulting in tumours due to poor management or diagnosis</w:t>
      </w:r>
      <w:r w:rsidR="0086027F" w:rsidRPr="00A51AD1">
        <w:rPr>
          <w:rFonts w:ascii="Arial" w:eastAsia="Times New Roman" w:hAnsi="Arial" w:cs="Arial"/>
          <w:color w:val="0E101A"/>
          <w:lang w:eastAsia="en-IN"/>
        </w:rPr>
        <w:t xml:space="preserve"> (</w:t>
      </w:r>
      <w:r w:rsidR="0086027F" w:rsidRPr="00A51AD1">
        <w:rPr>
          <w:rFonts w:ascii="Arial" w:hAnsi="Arial" w:cs="Arial"/>
          <w:color w:val="222222"/>
          <w:shd w:val="clear" w:color="auto" w:fill="FFFFFF"/>
        </w:rPr>
        <w:t>Rudin et. al., 2021)</w:t>
      </w:r>
      <w:r w:rsidRPr="00A51AD1">
        <w:rPr>
          <w:rFonts w:ascii="Arial" w:eastAsia="Times New Roman" w:hAnsi="Arial" w:cs="Arial"/>
          <w:color w:val="0E101A"/>
          <w:lang w:eastAsia="en-IN"/>
        </w:rPr>
        <w:t xml:space="preserve">. The origin of lung cancer could be understood as the abnormal cell growth and cellular behaviour, such as healthy cells die and cancer cells continue to grow, which can invade surrounding tissues. In the stage of metastasis, the lung cancer could spread to other parts of the body or the liver. The </w:t>
      </w:r>
      <w:r w:rsidRPr="00A51AD1">
        <w:rPr>
          <w:rFonts w:ascii="Arial" w:eastAsia="Times New Roman" w:hAnsi="Arial" w:cs="Arial"/>
          <w:b/>
          <w:bCs/>
          <w:i/>
          <w:iCs/>
          <w:color w:val="0E101A"/>
          <w:lang w:eastAsia="en-IN"/>
        </w:rPr>
        <w:t>common symptoms</w:t>
      </w:r>
      <w:r w:rsidRPr="00A51AD1">
        <w:rPr>
          <w:rFonts w:ascii="Arial" w:eastAsia="Times New Roman" w:hAnsi="Arial" w:cs="Arial"/>
          <w:color w:val="0E101A"/>
          <w:lang w:eastAsia="en-IN"/>
        </w:rPr>
        <w:t xml:space="preserve"> of lung cancer are persistent cough, chest pain, which could lead to death due to damaged lungs and late diagnosis. </w:t>
      </w:r>
      <w:r w:rsidRPr="00A51AD1">
        <w:rPr>
          <w:rFonts w:ascii="Arial" w:eastAsia="Times New Roman" w:hAnsi="Arial" w:cs="Arial"/>
          <w:b/>
          <w:bCs/>
          <w:i/>
          <w:iCs/>
          <w:color w:val="0E101A"/>
          <w:lang w:eastAsia="en-IN"/>
        </w:rPr>
        <w:t>In the context of the world</w:t>
      </w:r>
      <w:r w:rsidRPr="00A51AD1">
        <w:rPr>
          <w:rFonts w:ascii="Arial" w:eastAsia="Times New Roman" w:hAnsi="Arial" w:cs="Arial"/>
          <w:color w:val="0E101A"/>
          <w:lang w:eastAsia="en-IN"/>
        </w:rPr>
        <w:t>, lung cancer remains the leading cause of cancer death, with an estimated 1.8 million deaths in 2020 and 2.48 million new cases in 2022 (</w:t>
      </w:r>
      <w:r w:rsidRPr="00A51AD1">
        <w:rPr>
          <w:rFonts w:ascii="Arial" w:hAnsi="Arial" w:cs="Arial"/>
        </w:rPr>
        <w:t>WHO, 2023)</w:t>
      </w:r>
      <w:r w:rsidRPr="00A51AD1">
        <w:rPr>
          <w:rFonts w:ascii="Arial" w:eastAsia="Times New Roman" w:hAnsi="Arial" w:cs="Arial"/>
          <w:color w:val="0E101A"/>
          <w:lang w:eastAsia="en-IN"/>
        </w:rPr>
        <w:t xml:space="preserve">. </w:t>
      </w:r>
      <w:r w:rsidRPr="00A51AD1">
        <w:rPr>
          <w:rFonts w:ascii="Arial" w:eastAsia="Times New Roman" w:hAnsi="Arial" w:cs="Arial"/>
          <w:b/>
          <w:bCs/>
          <w:i/>
          <w:iCs/>
          <w:color w:val="0E101A"/>
          <w:lang w:eastAsia="en-IN"/>
        </w:rPr>
        <w:t>In the UK</w:t>
      </w:r>
      <w:r w:rsidRPr="00A51AD1">
        <w:rPr>
          <w:rFonts w:ascii="Arial" w:eastAsia="Times New Roman" w:hAnsi="Arial" w:cs="Arial"/>
          <w:color w:val="0E101A"/>
          <w:lang w:eastAsia="en-IN"/>
        </w:rPr>
        <w:t>, it is a significant health crisis with over 43,000 people diagnosed annually, which constitutes a major portion of cancer mortality (</w:t>
      </w:r>
      <w:r w:rsidRPr="00A51AD1">
        <w:rPr>
          <w:rFonts w:ascii="Arial" w:hAnsi="Arial" w:cs="Arial"/>
        </w:rPr>
        <w:t>NHS England, 2026)</w:t>
      </w:r>
      <w:r w:rsidRPr="00A51AD1">
        <w:rPr>
          <w:rFonts w:ascii="Arial" w:eastAsia="Times New Roman" w:hAnsi="Arial" w:cs="Arial"/>
          <w:color w:val="0E101A"/>
          <w:lang w:eastAsia="en-IN"/>
        </w:rPr>
        <w:t>. This report will discuss approaches to measure and monitor, methods to control disease, the consequences of illness in people in the community and the role of health and social care services to manage disease.</w:t>
      </w:r>
    </w:p>
    <w:p w14:paraId="10E96DAA" w14:textId="77777777" w:rsidR="00443E81" w:rsidRPr="00A51AD1" w:rsidRDefault="00443E81" w:rsidP="00551990">
      <w:pPr>
        <w:spacing w:after="0" w:line="360" w:lineRule="auto"/>
        <w:jc w:val="both"/>
        <w:rPr>
          <w:rFonts w:ascii="Arial" w:eastAsia="Times New Roman" w:hAnsi="Arial" w:cs="Arial"/>
          <w:color w:val="0E101A"/>
          <w:lang w:eastAsia="en-IN"/>
        </w:rPr>
      </w:pPr>
    </w:p>
    <w:p w14:paraId="6620BBAB" w14:textId="77777777" w:rsidR="00443E81" w:rsidRPr="00A51AD1" w:rsidRDefault="00672C40" w:rsidP="00551990">
      <w:pPr>
        <w:spacing w:line="360" w:lineRule="auto"/>
        <w:jc w:val="both"/>
        <w:rPr>
          <w:rFonts w:ascii="Arial" w:eastAsia="Times New Roman" w:hAnsi="Arial" w:cs="Arial"/>
          <w:b/>
          <w:bCs/>
          <w:color w:val="0E101A"/>
          <w:u w:val="single"/>
          <w:lang w:eastAsia="en-IN"/>
        </w:rPr>
      </w:pPr>
      <w:r w:rsidRPr="00A51AD1">
        <w:rPr>
          <w:rFonts w:ascii="Arial" w:eastAsia="Times New Roman" w:hAnsi="Arial" w:cs="Arial"/>
          <w:b/>
          <w:bCs/>
          <w:color w:val="0E101A"/>
          <w:u w:val="single"/>
          <w:lang w:eastAsia="en-IN"/>
        </w:rPr>
        <w:br w:type="page"/>
      </w:r>
    </w:p>
    <w:p w14:paraId="10CC6FB5" w14:textId="77777777" w:rsidR="00443E81" w:rsidRPr="00A51AD1" w:rsidRDefault="00672C40" w:rsidP="00551990">
      <w:pPr>
        <w:pStyle w:val="Heading2"/>
        <w:spacing w:line="360" w:lineRule="auto"/>
        <w:jc w:val="both"/>
        <w:rPr>
          <w:rFonts w:ascii="Arial" w:hAnsi="Arial" w:cs="Arial"/>
          <w:sz w:val="22"/>
          <w:szCs w:val="22"/>
        </w:rPr>
      </w:pPr>
      <w:bookmarkStart w:id="1" w:name="_Toc227668587"/>
      <w:r w:rsidRPr="00A51AD1">
        <w:rPr>
          <w:rFonts w:ascii="Arial" w:hAnsi="Arial" w:cs="Arial"/>
          <w:sz w:val="22"/>
          <w:szCs w:val="22"/>
        </w:rPr>
        <w:lastRenderedPageBreak/>
        <w:t>Differences between approaches used to measure and monitor disease</w:t>
      </w:r>
      <w:bookmarkEnd w:id="1"/>
      <w:r w:rsidRPr="00A51AD1">
        <w:rPr>
          <w:rFonts w:ascii="Arial" w:hAnsi="Arial" w:cs="Arial"/>
          <w:sz w:val="22"/>
          <w:szCs w:val="22"/>
        </w:rPr>
        <w:t xml:space="preserve"> </w:t>
      </w:r>
    </w:p>
    <w:p w14:paraId="0DE62B67"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color w:val="0E101A"/>
          <w:lang w:eastAsia="en-IN"/>
        </w:rPr>
        <w:t xml:space="preserve">The management of lung cancer heavily depends on the combination of imaging, tissue sampling and molecular analysis to diagnose, stage and monitor the disease progression to treatment response. The different approaches used to monitor disease are imaging techniques for detection and monitoring, biopsy procedures for diagnosis, molecular testing and treatment monitoring and follow-up to mitigate future risks. The measurement of lung cancer and monitoring involves a multidisciplinary approach combining high-resolution imaging, invasive tissue sampling and molecular analysis to track tumour size, metabolic activity, and genetic changes. </w:t>
      </w:r>
    </w:p>
    <w:p w14:paraId="521BCE2E"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u w:val="single"/>
          <w:lang w:eastAsia="en-IN"/>
        </w:rPr>
        <w:t>Imaging techniques for detection and monitoring</w:t>
      </w:r>
    </w:p>
    <w:p w14:paraId="0FC1AAA8"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lang w:eastAsia="en-IN"/>
        </w:rPr>
        <w:t>Low-dose computed tomography</w:t>
      </w:r>
      <w:r w:rsidRPr="00A51AD1">
        <w:rPr>
          <w:rFonts w:ascii="Arial" w:eastAsia="Times New Roman" w:hAnsi="Arial" w:cs="Arial"/>
          <w:color w:val="0E101A"/>
          <w:lang w:eastAsia="en-IN"/>
        </w:rPr>
        <w:t>- This method is considered the gold standard screening, which is performed on individuals with high risk, such as heavy smokers (</w:t>
      </w:r>
      <w:r w:rsidRPr="00A51AD1">
        <w:rPr>
          <w:rFonts w:ascii="Arial" w:hAnsi="Arial" w:cs="Arial"/>
          <w:color w:val="222222"/>
          <w:shd w:val="clear" w:color="auto" w:fill="FFFFFF"/>
        </w:rPr>
        <w:t>Lancaster et al., 2022)</w:t>
      </w:r>
      <w:r w:rsidRPr="00A51AD1">
        <w:rPr>
          <w:rFonts w:ascii="Arial" w:eastAsia="Times New Roman" w:hAnsi="Arial" w:cs="Arial"/>
          <w:color w:val="0E101A"/>
          <w:lang w:eastAsia="en-IN"/>
        </w:rPr>
        <w:t>. This technique, known as low-dose computed tomography, uses up to 90% less radiation than a standard CT scan to detect small and early-stage nodules.</w:t>
      </w:r>
    </w:p>
    <w:p w14:paraId="13BCB0BF"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lang w:eastAsia="en-IN"/>
        </w:rPr>
        <w:t>MRI-</w:t>
      </w:r>
      <w:r w:rsidRPr="00A51AD1">
        <w:rPr>
          <w:rFonts w:ascii="Arial" w:eastAsia="Times New Roman" w:hAnsi="Arial" w:cs="Arial"/>
          <w:color w:val="0E101A"/>
          <w:lang w:eastAsia="en-IN"/>
        </w:rPr>
        <w:t xml:space="preserve"> The full form of this monitoring technique, magnetic resonance imaging, is primarily used to check if lung cancer has spread to soft tissues such as the brain or spinal cord. </w:t>
      </w:r>
    </w:p>
    <w:p w14:paraId="48D54E54"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u w:val="single"/>
          <w:lang w:eastAsia="en-IN"/>
        </w:rPr>
        <w:t xml:space="preserve">Biopsy procedure for diagnosis </w:t>
      </w:r>
    </w:p>
    <w:p w14:paraId="3A2AB62C"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lang w:eastAsia="en-IN"/>
        </w:rPr>
        <w:t>Bronchoscopy</w:t>
      </w:r>
      <w:r w:rsidRPr="00A51AD1">
        <w:rPr>
          <w:rFonts w:ascii="Arial" w:eastAsia="Times New Roman" w:hAnsi="Arial" w:cs="Arial"/>
          <w:color w:val="0E101A"/>
          <w:lang w:eastAsia="en-IN"/>
        </w:rPr>
        <w:t xml:space="preserve">- This is related to a lighted, flexible camera that is passed into the lungs to visualise airways and take tissue samples. </w:t>
      </w:r>
      <w:r w:rsidR="0086027F" w:rsidRPr="00A51AD1">
        <w:rPr>
          <w:rFonts w:ascii="Arial" w:eastAsia="Times New Roman" w:hAnsi="Arial" w:cs="Arial"/>
          <w:color w:val="0E101A"/>
          <w:lang w:eastAsia="en-IN"/>
        </w:rPr>
        <w:t>This could be understood through the example of 63 years old lady with mass growth in her lungs which detected through CT guided biopsy</w:t>
      </w:r>
      <w:r w:rsidR="00A26FA1" w:rsidRPr="00A51AD1">
        <w:rPr>
          <w:rFonts w:ascii="Arial" w:eastAsia="Times New Roman" w:hAnsi="Arial" w:cs="Arial"/>
          <w:color w:val="0E101A"/>
          <w:lang w:eastAsia="en-IN"/>
        </w:rPr>
        <w:t xml:space="preserve"> (</w:t>
      </w:r>
      <w:hyperlink r:id="rId8" w:history="1">
        <w:r w:rsidR="00A26FA1" w:rsidRPr="00A51AD1">
          <w:rPr>
            <w:rStyle w:val="Hyperlink"/>
            <w:rFonts w:ascii="Arial" w:hAnsi="Arial" w:cs="Arial"/>
            <w:color w:val="0D0D0D" w:themeColor="text1" w:themeTint="F2"/>
            <w:u w:val="none"/>
            <w:bdr w:val="none" w:sz="0" w:space="0" w:color="auto" w:frame="1"/>
            <w:shd w:val="clear" w:color="auto" w:fill="FFFFFF"/>
          </w:rPr>
          <w:t xml:space="preserve">Juergen </w:t>
        </w:r>
        <w:proofErr w:type="spellStart"/>
        <w:r w:rsidR="00A26FA1" w:rsidRPr="00A51AD1">
          <w:rPr>
            <w:rStyle w:val="Hyperlink"/>
            <w:rFonts w:ascii="Arial" w:hAnsi="Arial" w:cs="Arial"/>
            <w:color w:val="0D0D0D" w:themeColor="text1" w:themeTint="F2"/>
            <w:u w:val="none"/>
            <w:bdr w:val="none" w:sz="0" w:space="0" w:color="auto" w:frame="1"/>
            <w:shd w:val="clear" w:color="auto" w:fill="FFFFFF"/>
          </w:rPr>
          <w:t>Biederer</w:t>
        </w:r>
        <w:proofErr w:type="spellEnd"/>
      </w:hyperlink>
      <w:r w:rsidR="00A26FA1" w:rsidRPr="00A51AD1">
        <w:rPr>
          <w:rStyle w:val="accordion-tabbedtab-mobile"/>
          <w:rFonts w:ascii="Arial" w:hAnsi="Arial" w:cs="Arial"/>
          <w:color w:val="0D0D0D" w:themeColor="text1" w:themeTint="F2"/>
          <w:bdr w:val="none" w:sz="0" w:space="0" w:color="auto" w:frame="1"/>
          <w:shd w:val="clear" w:color="auto" w:fill="FFFFFF"/>
        </w:rPr>
        <w:t xml:space="preserve"> et al., 2026)</w:t>
      </w:r>
      <w:r w:rsidR="00A26FA1" w:rsidRPr="00A51AD1">
        <w:rPr>
          <w:rFonts w:ascii="Arial" w:eastAsia="Times New Roman" w:hAnsi="Arial" w:cs="Arial"/>
          <w:color w:val="0E101A"/>
          <w:lang w:eastAsia="en-IN"/>
        </w:rPr>
        <w:t xml:space="preserve">. </w:t>
      </w:r>
    </w:p>
    <w:p w14:paraId="139B7EAB" w14:textId="77777777" w:rsidR="00C638CF" w:rsidRPr="00A51AD1" w:rsidRDefault="0086027F" w:rsidP="00551990">
      <w:pPr>
        <w:keepNext/>
        <w:spacing w:after="0" w:line="360" w:lineRule="auto"/>
        <w:jc w:val="center"/>
        <w:rPr>
          <w:rFonts w:ascii="Arial" w:hAnsi="Arial" w:cs="Arial"/>
          <w:color w:val="000000" w:themeColor="text1"/>
        </w:rPr>
      </w:pPr>
      <w:r w:rsidRPr="00A51AD1">
        <w:rPr>
          <w:rFonts w:ascii="Arial" w:eastAsia="Times New Roman" w:hAnsi="Arial" w:cs="Arial"/>
          <w:noProof/>
          <w:color w:val="000000" w:themeColor="text1"/>
          <w:lang w:val="en-IN" w:eastAsia="en-IN" w:bidi="hi-IN"/>
        </w:rPr>
        <w:drawing>
          <wp:inline distT="0" distB="0" distL="0" distR="0" wp14:anchorId="1DD03135" wp14:editId="56FC78C6">
            <wp:extent cx="5303520" cy="194511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306657" cy="1946261"/>
                    </a:xfrm>
                    <a:prstGeom prst="rect">
                      <a:avLst/>
                    </a:prstGeom>
                  </pic:spPr>
                </pic:pic>
              </a:graphicData>
            </a:graphic>
          </wp:inline>
        </w:drawing>
      </w:r>
    </w:p>
    <w:p w14:paraId="4F5720F0" w14:textId="77777777" w:rsidR="00A26FA1" w:rsidRPr="00A51AD1" w:rsidRDefault="00C638CF" w:rsidP="00551990">
      <w:pPr>
        <w:pStyle w:val="Caption"/>
        <w:spacing w:line="360" w:lineRule="auto"/>
        <w:jc w:val="center"/>
        <w:rPr>
          <w:rFonts w:ascii="Arial" w:hAnsi="Arial" w:cs="Arial"/>
          <w:color w:val="000000" w:themeColor="text1"/>
          <w:sz w:val="22"/>
          <w:szCs w:val="22"/>
        </w:rPr>
      </w:pPr>
      <w:r w:rsidRPr="00A51AD1">
        <w:rPr>
          <w:rFonts w:ascii="Arial" w:hAnsi="Arial" w:cs="Arial"/>
          <w:color w:val="000000" w:themeColor="text1"/>
          <w:sz w:val="22"/>
          <w:szCs w:val="22"/>
        </w:rPr>
        <w:t xml:space="preserve">Figure </w:t>
      </w:r>
      <w:r w:rsidRPr="00A51AD1">
        <w:rPr>
          <w:rFonts w:ascii="Arial" w:hAnsi="Arial" w:cs="Arial"/>
          <w:color w:val="000000" w:themeColor="text1"/>
          <w:sz w:val="22"/>
          <w:szCs w:val="22"/>
        </w:rPr>
        <w:fldChar w:fldCharType="begin"/>
      </w:r>
      <w:r w:rsidRPr="00A51AD1">
        <w:rPr>
          <w:rFonts w:ascii="Arial" w:hAnsi="Arial" w:cs="Arial"/>
          <w:color w:val="000000" w:themeColor="text1"/>
          <w:sz w:val="22"/>
          <w:szCs w:val="22"/>
        </w:rPr>
        <w:instrText xml:space="preserve"> SEQ Figure \* ARABIC </w:instrText>
      </w:r>
      <w:r w:rsidRPr="00A51AD1">
        <w:rPr>
          <w:rFonts w:ascii="Arial" w:hAnsi="Arial" w:cs="Arial"/>
          <w:color w:val="000000" w:themeColor="text1"/>
          <w:sz w:val="22"/>
          <w:szCs w:val="22"/>
        </w:rPr>
        <w:fldChar w:fldCharType="separate"/>
      </w:r>
      <w:r w:rsidRPr="00A51AD1">
        <w:rPr>
          <w:rFonts w:ascii="Arial" w:hAnsi="Arial" w:cs="Arial"/>
          <w:noProof/>
          <w:color w:val="000000" w:themeColor="text1"/>
          <w:sz w:val="22"/>
          <w:szCs w:val="22"/>
        </w:rPr>
        <w:t>1</w:t>
      </w:r>
      <w:r w:rsidRPr="00A51AD1">
        <w:rPr>
          <w:rFonts w:ascii="Arial" w:hAnsi="Arial" w:cs="Arial"/>
          <w:color w:val="000000" w:themeColor="text1"/>
          <w:sz w:val="22"/>
          <w:szCs w:val="22"/>
        </w:rPr>
        <w:fldChar w:fldCharType="end"/>
      </w:r>
      <w:r w:rsidRPr="00A51AD1">
        <w:rPr>
          <w:rFonts w:ascii="Arial" w:hAnsi="Arial" w:cs="Arial"/>
          <w:color w:val="000000" w:themeColor="text1"/>
          <w:sz w:val="22"/>
          <w:szCs w:val="22"/>
        </w:rPr>
        <w:t>: Cancer cells growth detected through CT scan</w:t>
      </w:r>
    </w:p>
    <w:p w14:paraId="5C978794" w14:textId="77777777" w:rsidR="0086027F" w:rsidRPr="00A51AD1" w:rsidRDefault="00C638CF" w:rsidP="00551990">
      <w:pPr>
        <w:pStyle w:val="Caption"/>
        <w:spacing w:line="360" w:lineRule="auto"/>
        <w:jc w:val="center"/>
        <w:rPr>
          <w:rFonts w:ascii="Arial" w:eastAsia="Times New Roman" w:hAnsi="Arial" w:cs="Arial"/>
          <w:color w:val="000000" w:themeColor="text1"/>
          <w:sz w:val="22"/>
          <w:szCs w:val="22"/>
          <w:lang w:eastAsia="en-IN"/>
        </w:rPr>
      </w:pPr>
      <w:r w:rsidRPr="00A51AD1">
        <w:rPr>
          <w:rFonts w:ascii="Arial" w:hAnsi="Arial" w:cs="Arial"/>
          <w:color w:val="000000" w:themeColor="text1"/>
          <w:sz w:val="22"/>
          <w:szCs w:val="22"/>
        </w:rPr>
        <w:t>(</w:t>
      </w:r>
      <w:r w:rsidR="00A26FA1" w:rsidRPr="00A51AD1">
        <w:rPr>
          <w:rFonts w:ascii="Arial" w:hAnsi="Arial" w:cs="Arial"/>
          <w:color w:val="000000" w:themeColor="text1"/>
          <w:sz w:val="22"/>
          <w:szCs w:val="22"/>
        </w:rPr>
        <w:t>Source: Juergen et al., 2026</w:t>
      </w:r>
      <w:r w:rsidRPr="00A51AD1">
        <w:rPr>
          <w:rFonts w:ascii="Arial" w:hAnsi="Arial" w:cs="Arial"/>
          <w:color w:val="000000" w:themeColor="text1"/>
          <w:sz w:val="22"/>
          <w:szCs w:val="22"/>
        </w:rPr>
        <w:t>)</w:t>
      </w:r>
    </w:p>
    <w:p w14:paraId="3C39244A"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lang w:eastAsia="en-IN"/>
        </w:rPr>
        <w:t>Molecular testing-</w:t>
      </w:r>
      <w:r w:rsidRPr="00A51AD1">
        <w:rPr>
          <w:rFonts w:ascii="Arial" w:eastAsia="Times New Roman" w:hAnsi="Arial" w:cs="Arial"/>
          <w:color w:val="0E101A"/>
          <w:lang w:eastAsia="en-IN"/>
        </w:rPr>
        <w:t xml:space="preserve"> This is related to tissue or blood samples, which are analysed for genetic mutations and biomarkers to determine targeted therapies and immunotherapy (</w:t>
      </w:r>
      <w:r w:rsidRPr="00A51AD1">
        <w:rPr>
          <w:rFonts w:ascii="Arial" w:hAnsi="Arial" w:cs="Arial"/>
          <w:color w:val="222222"/>
          <w:shd w:val="clear" w:color="auto" w:fill="FFFFFF"/>
        </w:rPr>
        <w:t>Gregg et al., 2019)</w:t>
      </w:r>
      <w:r w:rsidRPr="00A51AD1">
        <w:rPr>
          <w:rFonts w:ascii="Arial" w:eastAsia="Times New Roman" w:hAnsi="Arial" w:cs="Arial"/>
          <w:color w:val="0E101A"/>
          <w:lang w:eastAsia="en-IN"/>
        </w:rPr>
        <w:t xml:space="preserve">. </w:t>
      </w:r>
    </w:p>
    <w:p w14:paraId="7731F775"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lang w:eastAsia="en-IN"/>
        </w:rPr>
        <w:lastRenderedPageBreak/>
        <w:t>Liquid biopsy-</w:t>
      </w:r>
      <w:r w:rsidRPr="00A51AD1">
        <w:rPr>
          <w:rFonts w:ascii="Arial" w:eastAsia="Times New Roman" w:hAnsi="Arial" w:cs="Arial"/>
          <w:color w:val="0E101A"/>
          <w:lang w:eastAsia="en-IN"/>
        </w:rPr>
        <w:t xml:space="preserve"> This is considered an innovative approach, which mainly involves a blood test to analyse circulating or spreading tumour DNA or circulating tumour cells. This is also increasingly used in monitoring treatment response, detecting molecular resistance to targeted therapies and identifying recurrence earlier than conventional imaging. </w:t>
      </w:r>
    </w:p>
    <w:p w14:paraId="52EF35C5"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u w:val="single"/>
          <w:lang w:eastAsia="en-IN"/>
        </w:rPr>
        <w:t>Treatment monitoring and follow-up</w:t>
      </w:r>
    </w:p>
    <w:p w14:paraId="3DEEA08E"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lang w:eastAsia="en-IN"/>
        </w:rPr>
        <w:t>Tumour measurement-</w:t>
      </w:r>
      <w:r w:rsidRPr="00A51AD1">
        <w:rPr>
          <w:rFonts w:ascii="Arial" w:eastAsia="Times New Roman" w:hAnsi="Arial" w:cs="Arial"/>
          <w:color w:val="0E101A"/>
          <w:lang w:eastAsia="en-IN"/>
        </w:rPr>
        <w:t xml:space="preserve"> The clinics use the RECIST (response evaluation criteria in solid tumours) criteria on CT scans to measure tumour size changes and determine if the cancer is responding to treatment or progressing (</w:t>
      </w:r>
      <w:r w:rsidRPr="00A51AD1">
        <w:rPr>
          <w:rFonts w:ascii="Arial" w:hAnsi="Arial" w:cs="Arial"/>
          <w:color w:val="222222"/>
          <w:shd w:val="clear" w:color="auto" w:fill="FFFFFF"/>
        </w:rPr>
        <w:t>Griffith et al., 2019)</w:t>
      </w:r>
      <w:r w:rsidRPr="00A51AD1">
        <w:rPr>
          <w:rFonts w:ascii="Arial" w:eastAsia="Times New Roman" w:hAnsi="Arial" w:cs="Arial"/>
          <w:color w:val="0E101A"/>
          <w:lang w:eastAsia="en-IN"/>
        </w:rPr>
        <w:t xml:space="preserve">. </w:t>
      </w:r>
    </w:p>
    <w:p w14:paraId="06924733"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lang w:eastAsia="en-IN"/>
        </w:rPr>
        <w:t>Follow-up scans-</w:t>
      </w:r>
      <w:r w:rsidRPr="00A51AD1">
        <w:rPr>
          <w:rFonts w:ascii="Arial" w:eastAsia="Times New Roman" w:hAnsi="Arial" w:cs="Arial"/>
          <w:color w:val="0E101A"/>
          <w:lang w:eastAsia="en-IN"/>
        </w:rPr>
        <w:t xml:space="preserve"> This is regular surveillance with CT scans, which are performed to detect recurrence in patients after curative-intent treatment.</w:t>
      </w:r>
    </w:p>
    <w:p w14:paraId="34C21A50"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color w:val="0E101A"/>
          <w:lang w:eastAsia="en-IN"/>
        </w:rPr>
        <w:t xml:space="preserve">These methods are considered multidisciplinary approaches, which are critical for transitioning from early detection to personalised treatment and improving individual survival rates of those diagnosed with lung cancer. These methods also allow doctors to tailor care, while imaging detects the location and size, tissue tests establish the type, and molecular profiling dictates the treatment with liquid, providing real-time tracking of the disease’s evolution. </w:t>
      </w:r>
    </w:p>
    <w:p w14:paraId="15783E0A" w14:textId="77777777" w:rsidR="00443E81" w:rsidRPr="00A51AD1" w:rsidRDefault="00672C40" w:rsidP="00551990">
      <w:pPr>
        <w:spacing w:line="360" w:lineRule="auto"/>
        <w:jc w:val="both"/>
        <w:rPr>
          <w:rFonts w:ascii="Arial" w:eastAsia="Times New Roman" w:hAnsi="Arial" w:cs="Arial"/>
          <w:b/>
          <w:bCs/>
          <w:i/>
          <w:iCs/>
          <w:color w:val="0E101A"/>
          <w:lang w:eastAsia="en-IN"/>
        </w:rPr>
      </w:pPr>
      <w:r w:rsidRPr="00A51AD1">
        <w:rPr>
          <w:rFonts w:ascii="Arial" w:eastAsia="Times New Roman" w:hAnsi="Arial" w:cs="Arial"/>
          <w:b/>
          <w:bCs/>
          <w:i/>
          <w:iCs/>
          <w:color w:val="0E101A"/>
          <w:lang w:eastAsia="en-IN"/>
        </w:rPr>
        <w:br w:type="page"/>
      </w:r>
    </w:p>
    <w:p w14:paraId="40F0CA58" w14:textId="77777777" w:rsidR="00443E81" w:rsidRPr="00A51AD1" w:rsidRDefault="00672C40" w:rsidP="00551990">
      <w:pPr>
        <w:pStyle w:val="Heading2"/>
        <w:spacing w:line="360" w:lineRule="auto"/>
        <w:jc w:val="both"/>
        <w:rPr>
          <w:rFonts w:ascii="Arial" w:hAnsi="Arial" w:cs="Arial"/>
          <w:sz w:val="22"/>
          <w:szCs w:val="22"/>
        </w:rPr>
      </w:pPr>
      <w:bookmarkStart w:id="2" w:name="_Toc227668588"/>
      <w:r w:rsidRPr="00A51AD1">
        <w:rPr>
          <w:rFonts w:ascii="Arial" w:hAnsi="Arial" w:cs="Arial"/>
          <w:sz w:val="22"/>
          <w:szCs w:val="22"/>
        </w:rPr>
        <w:lastRenderedPageBreak/>
        <w:t>How this Disease is Controlled</w:t>
      </w:r>
      <w:bookmarkEnd w:id="2"/>
    </w:p>
    <w:p w14:paraId="708F5B19"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Cs/>
          <w:color w:val="0E101A"/>
          <w:lang w:eastAsia="en-IN"/>
        </w:rPr>
        <w:t xml:space="preserve">The disease could be controlled by involving a comprehensive approach which combines primary intervention, early detection and screening through techniques. </w:t>
      </w:r>
      <w:r w:rsidRPr="00A51AD1">
        <w:rPr>
          <w:rFonts w:ascii="Arial" w:eastAsia="Times New Roman" w:hAnsi="Arial" w:cs="Arial"/>
          <w:color w:val="0E101A"/>
          <w:lang w:eastAsia="en-IN"/>
        </w:rPr>
        <w:t>These combined, iterative techniques allow for “precision medicine’ tailoring treatment based on the tumour’s evolving genetic and structural characteristics over the course of the disease and preventing long-term negative consequences to prevent death.</w:t>
      </w:r>
    </w:p>
    <w:p w14:paraId="46A6B2B6"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u w:val="single"/>
          <w:lang w:eastAsia="en-IN"/>
        </w:rPr>
        <w:t>Key strategies to prevent lung cancer include:</w:t>
      </w:r>
    </w:p>
    <w:p w14:paraId="0422C7DD"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lang w:eastAsia="en-IN"/>
        </w:rPr>
        <w:t>Primary intervention-</w:t>
      </w:r>
      <w:r w:rsidRPr="00A51AD1">
        <w:rPr>
          <w:rFonts w:ascii="Arial" w:eastAsia="Times New Roman" w:hAnsi="Arial" w:cs="Arial"/>
          <w:color w:val="0E101A"/>
          <w:lang w:eastAsia="en-IN"/>
        </w:rPr>
        <w:t xml:space="preserve"> In this, some activities are included, such as smoking cessation, avoiding passive smoking and environmental protection. The smoking cessation is very effective in preventing lung cancer because it ultimately decreases the risk of death by 30-60% after 10 years of smoking (</w:t>
      </w:r>
      <w:r w:rsidRPr="00A51AD1">
        <w:rPr>
          <w:rFonts w:ascii="Arial" w:hAnsi="Arial" w:cs="Arial"/>
          <w:color w:val="222222"/>
          <w:shd w:val="clear" w:color="auto" w:fill="FFFFFF"/>
        </w:rPr>
        <w:t>Yin et al., 2025)</w:t>
      </w:r>
      <w:r w:rsidRPr="00A51AD1">
        <w:rPr>
          <w:rFonts w:ascii="Arial" w:eastAsia="Times New Roman" w:hAnsi="Arial" w:cs="Arial"/>
          <w:color w:val="0E101A"/>
          <w:lang w:eastAsia="en-IN"/>
        </w:rPr>
        <w:t xml:space="preserve">. </w:t>
      </w:r>
    </w:p>
    <w:p w14:paraId="455A114C"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lang w:eastAsia="en-IN"/>
        </w:rPr>
        <w:t>Secondary prevention-</w:t>
      </w:r>
      <w:r w:rsidRPr="00A51AD1">
        <w:rPr>
          <w:rFonts w:ascii="Arial" w:eastAsia="Times New Roman" w:hAnsi="Arial" w:cs="Arial"/>
          <w:color w:val="0E101A"/>
          <w:lang w:eastAsia="en-IN"/>
        </w:rPr>
        <w:t xml:space="preserve"> PET/CT scan, this is related to positron emission tomography; combined with CT, it is crucial for staging and determining the metabolic activity of tumours. It helps in detecting distant metastases and distinguishing active cancer cells from necrotic tissue or inflammation, as cancer cells absorb more radioactive sugar tracer. </w:t>
      </w:r>
    </w:p>
    <w:p w14:paraId="2B566A4D"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lang w:eastAsia="en-IN"/>
        </w:rPr>
        <w:t xml:space="preserve">Treatment modalities- </w:t>
      </w:r>
      <w:r w:rsidRPr="00A51AD1">
        <w:rPr>
          <w:rFonts w:ascii="Arial" w:eastAsia="Times New Roman" w:hAnsi="Arial" w:cs="Arial"/>
          <w:color w:val="0E101A"/>
          <w:lang w:eastAsia="en-IN"/>
        </w:rPr>
        <w:t xml:space="preserve">In this category, surgeries, radiation therapies, chemotherapies and targeted interventions are included, which often work as primary treatment to manage early-stage lung cancer to remove tumours and stop uncontrolled growth. </w:t>
      </w:r>
      <w:r w:rsidR="004C13F6" w:rsidRPr="00A51AD1">
        <w:rPr>
          <w:rFonts w:ascii="Arial" w:eastAsia="Times New Roman" w:hAnsi="Arial" w:cs="Arial"/>
          <w:color w:val="0E101A"/>
          <w:lang w:eastAsia="en-IN"/>
        </w:rPr>
        <w:t>The example could be seen as that 13 year old kid diagnosed with small-lung cancer and changes in her cancer growth monitored through chemotherapy which also proven effective in improving the immune capacity of body and enhancing killing effective of immune cells (</w:t>
      </w:r>
      <w:r w:rsidR="004C13F6" w:rsidRPr="00A51AD1">
        <w:rPr>
          <w:rFonts w:ascii="Arial" w:hAnsi="Arial" w:cs="Arial"/>
          <w:color w:val="222222"/>
          <w:shd w:val="clear" w:color="auto" w:fill="FFFFFF"/>
        </w:rPr>
        <w:t>Liu et al., 2023)</w:t>
      </w:r>
    </w:p>
    <w:p w14:paraId="2D38CFB6"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lang w:eastAsia="en-IN"/>
        </w:rPr>
        <w:t xml:space="preserve">Aftercare and monitoring- </w:t>
      </w:r>
      <w:r w:rsidRPr="00A51AD1">
        <w:rPr>
          <w:rFonts w:ascii="Arial" w:eastAsia="Times New Roman" w:hAnsi="Arial" w:cs="Arial"/>
          <w:color w:val="0E101A"/>
          <w:lang w:eastAsia="en-IN"/>
        </w:rPr>
        <w:t xml:space="preserve">This is related to taking regular follow-up appointments and imaging tests to detect cancer recurrence early and manage any potential spreading condition. </w:t>
      </w:r>
    </w:p>
    <w:p w14:paraId="77853462" w14:textId="77777777" w:rsidR="00443E81" w:rsidRPr="00A51AD1" w:rsidRDefault="00443E81" w:rsidP="00551990">
      <w:pPr>
        <w:spacing w:after="0" w:line="360" w:lineRule="auto"/>
        <w:jc w:val="both"/>
        <w:rPr>
          <w:rFonts w:ascii="Arial" w:eastAsia="Times New Roman" w:hAnsi="Arial" w:cs="Arial"/>
          <w:color w:val="0E101A"/>
          <w:lang w:eastAsia="en-IN"/>
        </w:rPr>
      </w:pPr>
    </w:p>
    <w:p w14:paraId="4C378771" w14:textId="77777777" w:rsidR="00443E81" w:rsidRPr="00A51AD1" w:rsidRDefault="00672C40" w:rsidP="00551990">
      <w:pPr>
        <w:spacing w:line="360" w:lineRule="auto"/>
        <w:jc w:val="both"/>
        <w:rPr>
          <w:rFonts w:ascii="Arial" w:eastAsia="Times New Roman" w:hAnsi="Arial" w:cs="Arial"/>
          <w:b/>
          <w:bCs/>
          <w:i/>
          <w:iCs/>
          <w:color w:val="0E101A"/>
          <w:u w:val="single"/>
          <w:lang w:eastAsia="en-IN"/>
        </w:rPr>
      </w:pPr>
      <w:r w:rsidRPr="00A51AD1">
        <w:rPr>
          <w:rFonts w:ascii="Arial" w:eastAsia="Times New Roman" w:hAnsi="Arial" w:cs="Arial"/>
          <w:b/>
          <w:bCs/>
          <w:i/>
          <w:iCs/>
          <w:color w:val="0E101A"/>
          <w:u w:val="single"/>
          <w:lang w:eastAsia="en-IN"/>
        </w:rPr>
        <w:br w:type="page"/>
      </w:r>
    </w:p>
    <w:p w14:paraId="0953CD00" w14:textId="77777777" w:rsidR="00443E81" w:rsidRPr="00A51AD1" w:rsidRDefault="00672C40" w:rsidP="00551990">
      <w:pPr>
        <w:pStyle w:val="Heading2"/>
        <w:spacing w:line="360" w:lineRule="auto"/>
        <w:jc w:val="both"/>
        <w:rPr>
          <w:rFonts w:ascii="Arial" w:hAnsi="Arial" w:cs="Arial"/>
          <w:sz w:val="22"/>
          <w:szCs w:val="22"/>
        </w:rPr>
      </w:pPr>
      <w:bookmarkStart w:id="3" w:name="_Toc227668589"/>
      <w:r w:rsidRPr="00A51AD1">
        <w:rPr>
          <w:rFonts w:ascii="Arial" w:hAnsi="Arial" w:cs="Arial"/>
          <w:sz w:val="22"/>
          <w:szCs w:val="22"/>
        </w:rPr>
        <w:lastRenderedPageBreak/>
        <w:t>Consequences of illness on people in the community</w:t>
      </w:r>
      <w:bookmarkEnd w:id="3"/>
      <w:r w:rsidRPr="00A51AD1">
        <w:rPr>
          <w:rFonts w:ascii="Arial" w:hAnsi="Arial" w:cs="Arial"/>
          <w:sz w:val="22"/>
          <w:szCs w:val="22"/>
        </w:rPr>
        <w:t xml:space="preserve"> </w:t>
      </w:r>
    </w:p>
    <w:p w14:paraId="6EEC2F65"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color w:val="0E101A"/>
          <w:lang w:eastAsia="en-IN"/>
        </w:rPr>
        <w:t>In the context of the UK, lung cancer has profound negative consequences on patients and their communities, which are mainly characterised by symptoms such as burden, severe psychological distress and specific stigmas. The mortality rate of cancer in the UK is recorded as 11</w:t>
      </w:r>
      <w:proofErr w:type="gramStart"/>
      <w:r w:rsidRPr="00A51AD1">
        <w:rPr>
          <w:rFonts w:ascii="Arial" w:eastAsia="Times New Roman" w:hAnsi="Arial" w:cs="Arial"/>
          <w:color w:val="0E101A"/>
          <w:lang w:eastAsia="en-IN"/>
        </w:rPr>
        <w:t>% ,</w:t>
      </w:r>
      <w:proofErr w:type="gramEnd"/>
      <w:r w:rsidRPr="00A51AD1">
        <w:rPr>
          <w:rFonts w:ascii="Arial" w:eastAsia="Times New Roman" w:hAnsi="Arial" w:cs="Arial"/>
          <w:color w:val="0E101A"/>
          <w:lang w:eastAsia="en-IN"/>
        </w:rPr>
        <w:t xml:space="preserve"> including all cancer deaths, of which lung cancer is the most common (</w:t>
      </w:r>
      <w:r w:rsidRPr="00A51AD1">
        <w:rPr>
          <w:rFonts w:ascii="Arial" w:hAnsi="Arial" w:cs="Arial"/>
        </w:rPr>
        <w:t>Cancer Research UK, 2026)</w:t>
      </w:r>
      <w:r w:rsidRPr="00A51AD1">
        <w:rPr>
          <w:rFonts w:ascii="Arial" w:eastAsia="Times New Roman" w:hAnsi="Arial" w:cs="Arial"/>
          <w:color w:val="0E101A"/>
          <w:lang w:eastAsia="en-IN"/>
        </w:rPr>
        <w:t xml:space="preserve">. </w:t>
      </w:r>
    </w:p>
    <w:p w14:paraId="75E330F2"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u w:val="single"/>
          <w:lang w:eastAsia="en-IN"/>
        </w:rPr>
        <w:t xml:space="preserve">Physical and social impact </w:t>
      </w:r>
    </w:p>
    <w:p w14:paraId="27D9AC7A"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lang w:eastAsia="en-IN"/>
        </w:rPr>
        <w:t>Physical and daily life impacts</w:t>
      </w:r>
      <w:r w:rsidRPr="00A51AD1">
        <w:rPr>
          <w:rFonts w:ascii="Arial" w:eastAsia="Times New Roman" w:hAnsi="Arial" w:cs="Arial"/>
          <w:color w:val="0E101A"/>
          <w:lang w:eastAsia="en-IN"/>
        </w:rPr>
        <w:t>- The physical and daily life impacts could be seen as increased stress and fatigue, loss of identity and reduced physical activity due to weaknesses and damaged healthy cells (</w:t>
      </w:r>
      <w:proofErr w:type="spellStart"/>
      <w:r w:rsidRPr="00A51AD1">
        <w:rPr>
          <w:rFonts w:ascii="Arial" w:hAnsi="Arial" w:cs="Arial"/>
          <w:color w:val="222222"/>
          <w:shd w:val="clear" w:color="auto" w:fill="FFFFFF"/>
        </w:rPr>
        <w:t>Avancini</w:t>
      </w:r>
      <w:proofErr w:type="spellEnd"/>
      <w:r w:rsidRPr="00A51AD1">
        <w:rPr>
          <w:rFonts w:ascii="Arial" w:hAnsi="Arial" w:cs="Arial"/>
          <w:color w:val="222222"/>
          <w:shd w:val="clear" w:color="auto" w:fill="FFFFFF"/>
        </w:rPr>
        <w:t xml:space="preserve"> et al., 2020)</w:t>
      </w:r>
      <w:r w:rsidRPr="00A51AD1">
        <w:rPr>
          <w:rFonts w:ascii="Arial" w:eastAsia="Times New Roman" w:hAnsi="Arial" w:cs="Arial"/>
          <w:color w:val="0E101A"/>
          <w:lang w:eastAsia="en-IN"/>
        </w:rPr>
        <w:t xml:space="preserve">. </w:t>
      </w:r>
    </w:p>
    <w:p w14:paraId="64BA81D6"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lang w:eastAsia="en-IN"/>
        </w:rPr>
        <w:t>Social life</w:t>
      </w:r>
      <w:r w:rsidRPr="00A51AD1">
        <w:rPr>
          <w:rFonts w:ascii="Arial" w:eastAsia="Times New Roman" w:hAnsi="Arial" w:cs="Arial"/>
          <w:color w:val="0E101A"/>
          <w:lang w:eastAsia="en-IN"/>
        </w:rPr>
        <w:t xml:space="preserve">- In the context of social life, patients struggle to maintain normal social lives and roles due to treatment side effects, delayed appointments and sometimes poor socioeconomic issues due to expensive treatment. </w:t>
      </w:r>
    </w:p>
    <w:p w14:paraId="6213CD73"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u w:val="single"/>
          <w:lang w:eastAsia="en-IN"/>
        </w:rPr>
        <w:t xml:space="preserve">Psychological impact </w:t>
      </w:r>
    </w:p>
    <w:p w14:paraId="2CBDA565"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lang w:eastAsia="en-IN"/>
        </w:rPr>
        <w:t>Self-blame and stigmas-</w:t>
      </w:r>
      <w:r w:rsidRPr="00A51AD1">
        <w:rPr>
          <w:rFonts w:ascii="Arial" w:eastAsia="Times New Roman" w:hAnsi="Arial" w:cs="Arial"/>
          <w:color w:val="0E101A"/>
          <w:lang w:eastAsia="en-IN"/>
        </w:rPr>
        <w:t xml:space="preserve"> This could be understood as the fact that sometimes individuals blame themselves only for the disease because lung cancer is heavily stigmatised in the UK and often linked to smoking, which causes patients to feel guilty. </w:t>
      </w:r>
    </w:p>
    <w:p w14:paraId="027EEDC2"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lang w:eastAsia="en-IN"/>
        </w:rPr>
        <w:t xml:space="preserve">Increased stress and anxiety- </w:t>
      </w:r>
      <w:r w:rsidRPr="00A51AD1">
        <w:rPr>
          <w:rFonts w:ascii="Arial" w:eastAsia="Times New Roman" w:hAnsi="Arial" w:cs="Arial"/>
          <w:color w:val="0E101A"/>
          <w:lang w:eastAsia="en-IN"/>
        </w:rPr>
        <w:t xml:space="preserve">This kind of critical disease naturally increases the distress level of individuals. As per the statistical data, over 55% of patients experience clinical depression and social insults, which trigger their disease. </w:t>
      </w:r>
    </w:p>
    <w:p w14:paraId="5A73EBB0"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lang w:eastAsia="en-IN"/>
        </w:rPr>
        <w:t xml:space="preserve">Economic impact- </w:t>
      </w:r>
      <w:r w:rsidRPr="00A51AD1">
        <w:rPr>
          <w:rFonts w:ascii="Arial" w:eastAsia="Times New Roman" w:hAnsi="Arial" w:cs="Arial"/>
          <w:color w:val="0E101A"/>
          <w:lang w:eastAsia="en-IN"/>
        </w:rPr>
        <w:t>The major impact of this disease is loss of pay or income because caregivers in the UK face reduced household income, with almost 50% reporting a decrease of over 30% after diagnosis (</w:t>
      </w:r>
      <w:r w:rsidRPr="00A51AD1">
        <w:rPr>
          <w:rFonts w:ascii="Arial" w:hAnsi="Arial" w:cs="Arial"/>
        </w:rPr>
        <w:t>Lung Cancer Europe, 2024)</w:t>
      </w:r>
      <w:r w:rsidRPr="00A51AD1">
        <w:rPr>
          <w:rFonts w:ascii="Arial" w:eastAsia="Times New Roman" w:hAnsi="Arial" w:cs="Arial"/>
          <w:color w:val="0E101A"/>
          <w:lang w:eastAsia="en-IN"/>
        </w:rPr>
        <w:t>.</w:t>
      </w:r>
    </w:p>
    <w:p w14:paraId="2C25B255"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lang w:eastAsia="en-IN"/>
        </w:rPr>
        <w:t>Reduced workforce participation-</w:t>
      </w:r>
      <w:r w:rsidRPr="00A51AD1">
        <w:rPr>
          <w:rFonts w:ascii="Arial" w:eastAsia="Times New Roman" w:hAnsi="Arial" w:cs="Arial"/>
          <w:color w:val="0E101A"/>
          <w:lang w:eastAsia="en-IN"/>
        </w:rPr>
        <w:t xml:space="preserve"> The individuals who are suffering from cancer reduce their working hours, which could lead to financial distress and loss of savings. </w:t>
      </w:r>
    </w:p>
    <w:p w14:paraId="3D3726DE" w14:textId="77777777" w:rsidR="00443E81" w:rsidRPr="00A51AD1" w:rsidRDefault="00443E81" w:rsidP="00551990">
      <w:pPr>
        <w:spacing w:after="0" w:line="360" w:lineRule="auto"/>
        <w:jc w:val="both"/>
        <w:rPr>
          <w:rFonts w:ascii="Arial" w:eastAsia="Times New Roman" w:hAnsi="Arial" w:cs="Arial"/>
          <w:b/>
          <w:bCs/>
          <w:i/>
          <w:iCs/>
          <w:color w:val="0E101A"/>
          <w:u w:val="single"/>
          <w:lang w:eastAsia="en-IN"/>
        </w:rPr>
      </w:pPr>
    </w:p>
    <w:p w14:paraId="07DAF123" w14:textId="77777777" w:rsidR="00443E81" w:rsidRPr="00A51AD1" w:rsidRDefault="00443E81" w:rsidP="00551990">
      <w:pPr>
        <w:spacing w:after="0" w:line="360" w:lineRule="auto"/>
        <w:jc w:val="both"/>
        <w:rPr>
          <w:rFonts w:ascii="Arial" w:eastAsia="Times New Roman" w:hAnsi="Arial" w:cs="Arial"/>
          <w:b/>
          <w:bCs/>
          <w:i/>
          <w:iCs/>
          <w:color w:val="0E101A"/>
          <w:u w:val="single"/>
          <w:lang w:eastAsia="en-IN"/>
        </w:rPr>
      </w:pPr>
    </w:p>
    <w:p w14:paraId="75618110" w14:textId="77777777" w:rsidR="00443E81" w:rsidRPr="00A51AD1" w:rsidRDefault="00672C40" w:rsidP="00551990">
      <w:pPr>
        <w:spacing w:line="360" w:lineRule="auto"/>
        <w:jc w:val="both"/>
        <w:rPr>
          <w:rFonts w:ascii="Arial" w:eastAsia="Times New Roman" w:hAnsi="Arial" w:cs="Arial"/>
          <w:b/>
          <w:bCs/>
          <w:i/>
          <w:iCs/>
          <w:color w:val="0E101A"/>
          <w:u w:val="single"/>
          <w:lang w:eastAsia="en-IN"/>
        </w:rPr>
      </w:pPr>
      <w:r w:rsidRPr="00A51AD1">
        <w:rPr>
          <w:rFonts w:ascii="Arial" w:eastAsia="Times New Roman" w:hAnsi="Arial" w:cs="Arial"/>
          <w:b/>
          <w:bCs/>
          <w:i/>
          <w:iCs/>
          <w:color w:val="0E101A"/>
          <w:u w:val="single"/>
          <w:lang w:eastAsia="en-IN"/>
        </w:rPr>
        <w:br w:type="page"/>
      </w:r>
    </w:p>
    <w:p w14:paraId="38A1293E" w14:textId="77777777" w:rsidR="00443E81" w:rsidRPr="00A51AD1" w:rsidRDefault="00672C40" w:rsidP="00551990">
      <w:pPr>
        <w:pStyle w:val="Heading2"/>
        <w:spacing w:line="360" w:lineRule="auto"/>
        <w:jc w:val="both"/>
        <w:rPr>
          <w:rFonts w:ascii="Arial" w:hAnsi="Arial" w:cs="Arial"/>
          <w:sz w:val="22"/>
          <w:szCs w:val="22"/>
        </w:rPr>
      </w:pPr>
      <w:bookmarkStart w:id="4" w:name="_Toc227668590"/>
      <w:r w:rsidRPr="00A51AD1">
        <w:rPr>
          <w:rFonts w:ascii="Arial" w:hAnsi="Arial" w:cs="Arial"/>
          <w:sz w:val="22"/>
          <w:szCs w:val="22"/>
        </w:rPr>
        <w:lastRenderedPageBreak/>
        <w:t>Health and social care support services</w:t>
      </w:r>
      <w:bookmarkEnd w:id="4"/>
      <w:r w:rsidRPr="00A51AD1">
        <w:rPr>
          <w:rFonts w:ascii="Arial" w:hAnsi="Arial" w:cs="Arial"/>
          <w:sz w:val="22"/>
          <w:szCs w:val="22"/>
        </w:rPr>
        <w:t xml:space="preserve"> </w:t>
      </w:r>
    </w:p>
    <w:p w14:paraId="19B7EEB1"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color w:val="0E101A"/>
          <w:lang w:eastAsia="en-IN"/>
        </w:rPr>
        <w:t>In the context of the UK, many health and social care services exist which help people with lung cancer in the community. They also provide the required approach and care related to physical, psychological and social care to improve their health and overall well-being.  These services are: </w:t>
      </w:r>
      <w:r w:rsidRPr="00A51AD1">
        <w:rPr>
          <w:rFonts w:ascii="Arial" w:eastAsia="Times New Roman" w:hAnsi="Arial" w:cs="Arial"/>
          <w:b/>
          <w:bCs/>
          <w:color w:val="0E101A"/>
          <w:lang w:eastAsia="en-IN"/>
        </w:rPr>
        <w:t xml:space="preserve"> </w:t>
      </w:r>
    </w:p>
    <w:p w14:paraId="404CB47F"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lang w:eastAsia="en-IN"/>
        </w:rPr>
        <w:t>Primary care involvement- I</w:t>
      </w:r>
      <w:r w:rsidRPr="00A51AD1">
        <w:rPr>
          <w:rFonts w:ascii="Arial" w:eastAsia="Times New Roman" w:hAnsi="Arial" w:cs="Arial"/>
          <w:color w:val="0E101A"/>
          <w:lang w:eastAsia="en-IN"/>
        </w:rPr>
        <w:t>n this category, general practitioners and health professionals are involved. In this line, the general practitioners are responsible for providing primary care and overseeing care planning to mitigate long-term negative circumstances (</w:t>
      </w:r>
      <w:r w:rsidRPr="00A51AD1">
        <w:rPr>
          <w:rFonts w:ascii="Arial" w:hAnsi="Arial" w:cs="Arial"/>
          <w:color w:val="222222"/>
          <w:shd w:val="clear" w:color="auto" w:fill="FFFFFF"/>
        </w:rPr>
        <w:t>Weller, Peake, and Field, 2019)</w:t>
      </w:r>
      <w:r w:rsidRPr="00A51AD1">
        <w:rPr>
          <w:rFonts w:ascii="Arial" w:eastAsia="Times New Roman" w:hAnsi="Arial" w:cs="Arial"/>
          <w:color w:val="0E101A"/>
          <w:lang w:eastAsia="en-IN"/>
        </w:rPr>
        <w:t xml:space="preserve">. </w:t>
      </w:r>
    </w:p>
    <w:p w14:paraId="59B54ED1"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lang w:eastAsia="en-IN"/>
        </w:rPr>
        <w:t xml:space="preserve">Specialist nursing care- </w:t>
      </w:r>
      <w:r w:rsidRPr="00A51AD1">
        <w:rPr>
          <w:rFonts w:ascii="Arial" w:eastAsia="Times New Roman" w:hAnsi="Arial" w:cs="Arial"/>
          <w:color w:val="0E101A"/>
          <w:lang w:eastAsia="en-IN"/>
        </w:rPr>
        <w:t xml:space="preserve">In the UK, community nurse specialists or nurse navigators are involved, who are crucial for acting as a single point of contact for patients, facilitating care coordination and managing symptoms effectively. </w:t>
      </w:r>
    </w:p>
    <w:p w14:paraId="1B9D8A3C"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lang w:eastAsia="en-IN"/>
        </w:rPr>
        <w:t xml:space="preserve">Smoking cessation services- </w:t>
      </w:r>
      <w:r w:rsidRPr="00A51AD1">
        <w:rPr>
          <w:rFonts w:ascii="Arial" w:eastAsia="Times New Roman" w:hAnsi="Arial" w:cs="Arial"/>
          <w:color w:val="0E101A"/>
          <w:lang w:eastAsia="en-IN"/>
        </w:rPr>
        <w:t xml:space="preserve">This is related to providing integrated pathways to support patients in quitting smoking, which is necessary to quit smoking and managed in conjunction with respiratory physicians. </w:t>
      </w:r>
    </w:p>
    <w:p w14:paraId="05CCDF44"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
          <w:bCs/>
          <w:color w:val="0E101A"/>
          <w:lang w:eastAsia="en-IN"/>
        </w:rPr>
        <w:t xml:space="preserve">Information services- </w:t>
      </w:r>
      <w:r w:rsidRPr="00A51AD1">
        <w:rPr>
          <w:rFonts w:ascii="Arial" w:eastAsia="Times New Roman" w:hAnsi="Arial" w:cs="Arial"/>
          <w:color w:val="0E101A"/>
          <w:lang w:eastAsia="en-IN"/>
        </w:rPr>
        <w:t>In this line, clear communication and information regarding prognosis, treatment, side effects, and available support.</w:t>
      </w:r>
    </w:p>
    <w:p w14:paraId="1F9DE169" w14:textId="77777777" w:rsidR="00443E81" w:rsidRPr="00A51AD1" w:rsidRDefault="00443E81" w:rsidP="00551990">
      <w:pPr>
        <w:spacing w:line="360" w:lineRule="auto"/>
        <w:jc w:val="both"/>
        <w:rPr>
          <w:rFonts w:ascii="Arial" w:eastAsia="SimSun" w:hAnsi="Arial" w:cs="Arial"/>
          <w:i/>
          <w:iCs/>
          <w:color w:val="FF0000"/>
          <w:lang w:val="en-US" w:eastAsia="zh-CN"/>
        </w:rPr>
      </w:pPr>
    </w:p>
    <w:p w14:paraId="06DD4B58" w14:textId="77777777" w:rsidR="00443E81" w:rsidRPr="00A51AD1" w:rsidRDefault="004C13F6" w:rsidP="00551990">
      <w:pPr>
        <w:spacing w:after="0" w:line="360" w:lineRule="auto"/>
        <w:rPr>
          <w:rFonts w:ascii="Arial" w:eastAsia="SimSun" w:hAnsi="Arial" w:cs="Arial"/>
          <w:i/>
          <w:iCs/>
          <w:color w:val="FF0000"/>
          <w:lang w:val="en-US" w:eastAsia="en-IN"/>
        </w:rPr>
      </w:pPr>
      <w:r w:rsidRPr="00A51AD1">
        <w:rPr>
          <w:rFonts w:ascii="Arial" w:eastAsia="SimSun" w:hAnsi="Arial" w:cs="Arial"/>
          <w:i/>
          <w:iCs/>
          <w:color w:val="FF0000"/>
          <w:lang w:val="en-US" w:eastAsia="en-IN"/>
        </w:rPr>
        <w:br w:type="page"/>
      </w:r>
    </w:p>
    <w:p w14:paraId="72A02C68" w14:textId="77777777" w:rsidR="00443E81" w:rsidRPr="00A51AD1" w:rsidRDefault="00672C40" w:rsidP="00551990">
      <w:pPr>
        <w:pStyle w:val="Heading1"/>
        <w:jc w:val="both"/>
      </w:pPr>
      <w:bookmarkStart w:id="5" w:name="_Toc227668591"/>
      <w:r w:rsidRPr="00A51AD1">
        <w:lastRenderedPageBreak/>
        <w:t>Conclusion</w:t>
      </w:r>
      <w:bookmarkEnd w:id="5"/>
      <w:r w:rsidRPr="00A51AD1">
        <w:t xml:space="preserve"> </w:t>
      </w:r>
    </w:p>
    <w:p w14:paraId="05D48FE4" w14:textId="77777777" w:rsidR="00443E81" w:rsidRPr="00A51AD1" w:rsidRDefault="00672C40" w:rsidP="00551990">
      <w:pPr>
        <w:spacing w:after="0" w:line="360" w:lineRule="auto"/>
        <w:jc w:val="both"/>
        <w:rPr>
          <w:rFonts w:ascii="Arial" w:eastAsia="Times New Roman" w:hAnsi="Arial" w:cs="Arial"/>
          <w:color w:val="0E101A"/>
          <w:lang w:eastAsia="en-IN"/>
        </w:rPr>
      </w:pPr>
      <w:r w:rsidRPr="00A51AD1">
        <w:rPr>
          <w:rFonts w:ascii="Arial" w:eastAsia="Times New Roman" w:hAnsi="Arial" w:cs="Arial"/>
          <w:bCs/>
          <w:color w:val="0E101A"/>
          <w:lang w:eastAsia="en-IN"/>
        </w:rPr>
        <w:t xml:space="preserve">The report has demonstrated that lung cancer is a critical and widely spreading disease, which is responsible for deaths and increasing mortality rates in the context of lung cancer. In the UK, 43,000 people are diagnosed annually. It highlights that this shows an emergency for diagnosis, which is characterised by uncontrolled cell growth in the lungs. In this line, early diagnosis is required to stop the uncontrolled cell growth because the disease is most often present in the advanced stage through symptoms like cold, cough, chest pain and fatigue. The early diagnosis of disease could be done by screening, imaging techniques and advanced approaches such as FDG and PET, which play a vital role in surveillance and assessing treatment response. However, this disease also impacts the social, physical and psychological condition of individuals. </w:t>
      </w:r>
    </w:p>
    <w:p w14:paraId="46A0C5EA" w14:textId="77777777" w:rsidR="00443E81" w:rsidRPr="00A51AD1" w:rsidRDefault="00672C40" w:rsidP="00551990">
      <w:pPr>
        <w:spacing w:line="360" w:lineRule="auto"/>
        <w:jc w:val="both"/>
        <w:rPr>
          <w:rFonts w:ascii="Arial" w:hAnsi="Arial" w:cs="Arial"/>
          <w:b/>
        </w:rPr>
      </w:pPr>
      <w:r w:rsidRPr="00A51AD1">
        <w:rPr>
          <w:rFonts w:ascii="Arial" w:hAnsi="Arial" w:cs="Arial"/>
          <w:b/>
        </w:rPr>
        <w:br w:type="page"/>
      </w:r>
    </w:p>
    <w:p w14:paraId="20D582AB" w14:textId="77777777" w:rsidR="00443E81" w:rsidRPr="00A51AD1" w:rsidRDefault="00672C40" w:rsidP="00551990">
      <w:pPr>
        <w:pStyle w:val="Heading1"/>
        <w:jc w:val="both"/>
      </w:pPr>
      <w:bookmarkStart w:id="6" w:name="_Toc227668592"/>
      <w:r w:rsidRPr="00A51AD1">
        <w:lastRenderedPageBreak/>
        <w:t>References</w:t>
      </w:r>
      <w:bookmarkEnd w:id="6"/>
      <w:r w:rsidRPr="00A51AD1">
        <w:t xml:space="preserve"> </w:t>
      </w:r>
    </w:p>
    <w:p w14:paraId="3A0299BC" w14:textId="77777777" w:rsidR="00551990" w:rsidRPr="00A51AD1" w:rsidRDefault="00551990" w:rsidP="00551990">
      <w:pPr>
        <w:spacing w:line="360" w:lineRule="auto"/>
        <w:jc w:val="both"/>
        <w:rPr>
          <w:rFonts w:ascii="Arial" w:hAnsi="Arial" w:cs="Arial"/>
          <w:color w:val="222222"/>
          <w:shd w:val="clear" w:color="auto" w:fill="FFFFFF"/>
        </w:rPr>
      </w:pPr>
      <w:proofErr w:type="spellStart"/>
      <w:r w:rsidRPr="00A51AD1">
        <w:rPr>
          <w:rFonts w:ascii="Arial" w:hAnsi="Arial" w:cs="Arial"/>
          <w:color w:val="222222"/>
          <w:shd w:val="clear" w:color="auto" w:fill="FFFFFF"/>
        </w:rPr>
        <w:t>Avancini</w:t>
      </w:r>
      <w:proofErr w:type="spellEnd"/>
      <w:r w:rsidRPr="00A51AD1">
        <w:rPr>
          <w:rFonts w:ascii="Arial" w:hAnsi="Arial" w:cs="Arial"/>
          <w:color w:val="222222"/>
          <w:shd w:val="clear" w:color="auto" w:fill="FFFFFF"/>
        </w:rPr>
        <w:t xml:space="preserve">, A., Sartori, G., </w:t>
      </w:r>
      <w:proofErr w:type="spellStart"/>
      <w:r w:rsidRPr="00A51AD1">
        <w:rPr>
          <w:rFonts w:ascii="Arial" w:hAnsi="Arial" w:cs="Arial"/>
          <w:color w:val="222222"/>
          <w:shd w:val="clear" w:color="auto" w:fill="FFFFFF"/>
        </w:rPr>
        <w:t>Gkountakos</w:t>
      </w:r>
      <w:proofErr w:type="spellEnd"/>
      <w:r w:rsidRPr="00A51AD1">
        <w:rPr>
          <w:rFonts w:ascii="Arial" w:hAnsi="Arial" w:cs="Arial"/>
          <w:color w:val="222222"/>
          <w:shd w:val="clear" w:color="auto" w:fill="FFFFFF"/>
        </w:rPr>
        <w:t xml:space="preserve">, A., Casali, M., </w:t>
      </w:r>
      <w:proofErr w:type="spellStart"/>
      <w:r w:rsidRPr="00A51AD1">
        <w:rPr>
          <w:rFonts w:ascii="Arial" w:hAnsi="Arial" w:cs="Arial"/>
          <w:color w:val="222222"/>
          <w:shd w:val="clear" w:color="auto" w:fill="FFFFFF"/>
        </w:rPr>
        <w:t>Trestini</w:t>
      </w:r>
      <w:proofErr w:type="spellEnd"/>
      <w:r w:rsidRPr="00A51AD1">
        <w:rPr>
          <w:rFonts w:ascii="Arial" w:hAnsi="Arial" w:cs="Arial"/>
          <w:color w:val="222222"/>
          <w:shd w:val="clear" w:color="auto" w:fill="FFFFFF"/>
        </w:rPr>
        <w:t xml:space="preserve">, I., </w:t>
      </w:r>
      <w:proofErr w:type="spellStart"/>
      <w:r w:rsidRPr="00A51AD1">
        <w:rPr>
          <w:rFonts w:ascii="Arial" w:hAnsi="Arial" w:cs="Arial"/>
          <w:color w:val="222222"/>
          <w:shd w:val="clear" w:color="auto" w:fill="FFFFFF"/>
        </w:rPr>
        <w:t>Tregnago</w:t>
      </w:r>
      <w:proofErr w:type="spellEnd"/>
      <w:r w:rsidRPr="00A51AD1">
        <w:rPr>
          <w:rFonts w:ascii="Arial" w:hAnsi="Arial" w:cs="Arial"/>
          <w:color w:val="222222"/>
          <w:shd w:val="clear" w:color="auto" w:fill="FFFFFF"/>
        </w:rPr>
        <w:t xml:space="preserve">, D., Bria, E., Jones, L.W., </w:t>
      </w:r>
      <w:proofErr w:type="spellStart"/>
      <w:r w:rsidRPr="00A51AD1">
        <w:rPr>
          <w:rFonts w:ascii="Arial" w:hAnsi="Arial" w:cs="Arial"/>
          <w:color w:val="222222"/>
          <w:shd w:val="clear" w:color="auto" w:fill="FFFFFF"/>
        </w:rPr>
        <w:t>Milella</w:t>
      </w:r>
      <w:proofErr w:type="spellEnd"/>
      <w:r w:rsidRPr="00A51AD1">
        <w:rPr>
          <w:rFonts w:ascii="Arial" w:hAnsi="Arial" w:cs="Arial"/>
          <w:color w:val="222222"/>
          <w:shd w:val="clear" w:color="auto" w:fill="FFFFFF"/>
        </w:rPr>
        <w:t xml:space="preserve">, M., Lanza, M. and </w:t>
      </w:r>
      <w:proofErr w:type="spellStart"/>
      <w:r w:rsidRPr="00A51AD1">
        <w:rPr>
          <w:rFonts w:ascii="Arial" w:hAnsi="Arial" w:cs="Arial"/>
          <w:color w:val="222222"/>
          <w:shd w:val="clear" w:color="auto" w:fill="FFFFFF"/>
        </w:rPr>
        <w:t>Pilotto</w:t>
      </w:r>
      <w:proofErr w:type="spellEnd"/>
      <w:r w:rsidRPr="00A51AD1">
        <w:rPr>
          <w:rFonts w:ascii="Arial" w:hAnsi="Arial" w:cs="Arial"/>
          <w:color w:val="222222"/>
          <w:shd w:val="clear" w:color="auto" w:fill="FFFFFF"/>
        </w:rPr>
        <w:t>, S. (2020) ‘Physical activity and exercise in lung cancer care: will promises be fulfilled?’. </w:t>
      </w:r>
      <w:r w:rsidRPr="00A51AD1">
        <w:rPr>
          <w:rFonts w:ascii="Arial" w:hAnsi="Arial" w:cs="Arial"/>
          <w:i/>
          <w:iCs/>
          <w:color w:val="222222"/>
          <w:shd w:val="clear" w:color="auto" w:fill="FFFFFF"/>
        </w:rPr>
        <w:t>The oncologist</w:t>
      </w:r>
      <w:r w:rsidRPr="00A51AD1">
        <w:rPr>
          <w:rFonts w:ascii="Arial" w:hAnsi="Arial" w:cs="Arial"/>
          <w:color w:val="222222"/>
          <w:shd w:val="clear" w:color="auto" w:fill="FFFFFF"/>
        </w:rPr>
        <w:t>, </w:t>
      </w:r>
      <w:r w:rsidRPr="00A51AD1">
        <w:rPr>
          <w:rFonts w:ascii="Arial" w:hAnsi="Arial" w:cs="Arial"/>
          <w:iCs/>
          <w:color w:val="222222"/>
          <w:shd w:val="clear" w:color="auto" w:fill="FFFFFF"/>
        </w:rPr>
        <w:t>25</w:t>
      </w:r>
      <w:r w:rsidRPr="00A51AD1">
        <w:rPr>
          <w:rFonts w:ascii="Arial" w:hAnsi="Arial" w:cs="Arial"/>
          <w:color w:val="222222"/>
          <w:shd w:val="clear" w:color="auto" w:fill="FFFFFF"/>
        </w:rPr>
        <w:t xml:space="preserve">(3), </w:t>
      </w:r>
      <w:proofErr w:type="gramStart"/>
      <w:r w:rsidRPr="00A51AD1">
        <w:rPr>
          <w:rFonts w:ascii="Arial" w:hAnsi="Arial" w:cs="Arial"/>
          <w:color w:val="222222"/>
          <w:shd w:val="clear" w:color="auto" w:fill="FFFFFF"/>
        </w:rPr>
        <w:t>pp.e</w:t>
      </w:r>
      <w:proofErr w:type="gramEnd"/>
      <w:r w:rsidRPr="00A51AD1">
        <w:rPr>
          <w:rFonts w:ascii="Arial" w:hAnsi="Arial" w:cs="Arial"/>
          <w:color w:val="222222"/>
          <w:shd w:val="clear" w:color="auto" w:fill="FFFFFF"/>
        </w:rPr>
        <w:t xml:space="preserve">555-e569. </w:t>
      </w:r>
      <w:r w:rsidRPr="00A51AD1">
        <w:rPr>
          <w:rFonts w:ascii="Arial" w:hAnsi="Arial" w:cs="Arial"/>
          <w:shd w:val="clear" w:color="auto" w:fill="FFFFFF"/>
        </w:rPr>
        <w:t>https://academic.oup.com/oncolo/article-pdf/25/3/e555/41920574/oncolo_25_3_e555.pdf</w:t>
      </w:r>
    </w:p>
    <w:p w14:paraId="10D0A34E" w14:textId="77777777" w:rsidR="00551990" w:rsidRPr="00A51AD1" w:rsidRDefault="00551990" w:rsidP="00551990">
      <w:pPr>
        <w:spacing w:line="360" w:lineRule="auto"/>
        <w:jc w:val="both"/>
        <w:rPr>
          <w:rFonts w:ascii="Arial" w:hAnsi="Arial" w:cs="Arial"/>
        </w:rPr>
      </w:pPr>
      <w:r w:rsidRPr="00A51AD1">
        <w:rPr>
          <w:rFonts w:ascii="Arial" w:hAnsi="Arial" w:cs="Arial"/>
        </w:rPr>
        <w:t xml:space="preserve">Cancer Research UK (2026) </w:t>
      </w:r>
      <w:r w:rsidRPr="00A51AD1">
        <w:rPr>
          <w:rFonts w:ascii="Arial" w:hAnsi="Arial" w:cs="Arial"/>
          <w:i/>
        </w:rPr>
        <w:t>Lung cancer mortality statistics .</w:t>
      </w:r>
      <w:r w:rsidRPr="00A51AD1">
        <w:rPr>
          <w:rFonts w:ascii="Arial" w:hAnsi="Arial" w:cs="Arial"/>
        </w:rPr>
        <w:t>Available at: https://www.cancerresearchuk.org/health-professional/cancer-statistics/statistics-by-cancer-type/lung-cancer/mortality (Accessed: 31 March 2026).</w:t>
      </w:r>
    </w:p>
    <w:p w14:paraId="2F15B14B" w14:textId="77777777" w:rsidR="00551990" w:rsidRPr="00A51AD1" w:rsidRDefault="00551990" w:rsidP="00551990">
      <w:pPr>
        <w:spacing w:line="360" w:lineRule="auto"/>
        <w:jc w:val="both"/>
        <w:rPr>
          <w:rFonts w:ascii="Arial" w:hAnsi="Arial" w:cs="Arial"/>
          <w:color w:val="222222"/>
          <w:shd w:val="clear" w:color="auto" w:fill="FFFFFF"/>
        </w:rPr>
      </w:pPr>
      <w:r w:rsidRPr="00A51AD1">
        <w:rPr>
          <w:rFonts w:ascii="Arial" w:hAnsi="Arial" w:cs="Arial"/>
          <w:color w:val="222222"/>
          <w:shd w:val="clear" w:color="auto" w:fill="FFFFFF"/>
        </w:rPr>
        <w:t xml:space="preserve">Gregg, J.P., Li, T. and Yoneda, K.Y. (2019) ‘Molecular testing strategies in non-small cell lung cancer: optimizing the diagnostic journey’ </w:t>
      </w:r>
      <w:r w:rsidRPr="00A51AD1">
        <w:rPr>
          <w:rFonts w:ascii="Arial" w:hAnsi="Arial" w:cs="Arial"/>
          <w:i/>
          <w:iCs/>
          <w:color w:val="222222"/>
          <w:shd w:val="clear" w:color="auto" w:fill="FFFFFF"/>
        </w:rPr>
        <w:t>Translational lung cancer research</w:t>
      </w:r>
      <w:r w:rsidRPr="00A51AD1">
        <w:rPr>
          <w:rFonts w:ascii="Arial" w:hAnsi="Arial" w:cs="Arial"/>
          <w:color w:val="222222"/>
          <w:shd w:val="clear" w:color="auto" w:fill="FFFFFF"/>
        </w:rPr>
        <w:t>, </w:t>
      </w:r>
      <w:r w:rsidRPr="00A51AD1">
        <w:rPr>
          <w:rFonts w:ascii="Arial" w:hAnsi="Arial" w:cs="Arial"/>
          <w:iCs/>
          <w:color w:val="222222"/>
          <w:shd w:val="clear" w:color="auto" w:fill="FFFFFF"/>
        </w:rPr>
        <w:t>8</w:t>
      </w:r>
      <w:r w:rsidRPr="00A51AD1">
        <w:rPr>
          <w:rFonts w:ascii="Arial" w:hAnsi="Arial" w:cs="Arial"/>
          <w:color w:val="222222"/>
          <w:shd w:val="clear" w:color="auto" w:fill="FFFFFF"/>
        </w:rPr>
        <w:t xml:space="preserve">(3), p.286. </w:t>
      </w:r>
      <w:r w:rsidRPr="00A51AD1">
        <w:rPr>
          <w:rFonts w:ascii="Arial" w:hAnsi="Arial" w:cs="Arial"/>
          <w:shd w:val="clear" w:color="auto" w:fill="FFFFFF"/>
        </w:rPr>
        <w:t>https://pmc.ncbi.nlm.nih.gov/articles/PMC6626860/pdf/tlcr-08-03-286.pdf</w:t>
      </w:r>
    </w:p>
    <w:p w14:paraId="6E3F486F" w14:textId="77777777" w:rsidR="00551990" w:rsidRPr="00A51AD1" w:rsidRDefault="00551990" w:rsidP="00551990">
      <w:pPr>
        <w:spacing w:line="360" w:lineRule="auto"/>
        <w:jc w:val="both"/>
        <w:rPr>
          <w:rFonts w:ascii="Arial" w:hAnsi="Arial" w:cs="Arial"/>
          <w:color w:val="222222"/>
          <w:shd w:val="clear" w:color="auto" w:fill="FFFFFF"/>
        </w:rPr>
      </w:pPr>
      <w:r w:rsidRPr="00A51AD1">
        <w:rPr>
          <w:rFonts w:ascii="Arial" w:hAnsi="Arial" w:cs="Arial"/>
          <w:color w:val="222222"/>
          <w:shd w:val="clear" w:color="auto" w:fill="FFFFFF"/>
        </w:rPr>
        <w:t xml:space="preserve">Griffith, S.D., Tucker, M., Bowser, B., Calkins, G., Chang, C.H., Guardino, E., </w:t>
      </w:r>
      <w:proofErr w:type="spellStart"/>
      <w:r w:rsidRPr="00A51AD1">
        <w:rPr>
          <w:rFonts w:ascii="Arial" w:hAnsi="Arial" w:cs="Arial"/>
          <w:color w:val="222222"/>
          <w:shd w:val="clear" w:color="auto" w:fill="FFFFFF"/>
        </w:rPr>
        <w:t>Khozin</w:t>
      </w:r>
      <w:proofErr w:type="spellEnd"/>
      <w:r w:rsidRPr="00A51AD1">
        <w:rPr>
          <w:rFonts w:ascii="Arial" w:hAnsi="Arial" w:cs="Arial"/>
          <w:color w:val="222222"/>
          <w:shd w:val="clear" w:color="auto" w:fill="FFFFFF"/>
        </w:rPr>
        <w:t xml:space="preserve">, S., Kraut, J., You, P., Schrag, D. and Miksad, R.A. (2019) ‘Generating real-world </w:t>
      </w:r>
      <w:proofErr w:type="spellStart"/>
      <w:r w:rsidRPr="00A51AD1">
        <w:rPr>
          <w:rFonts w:ascii="Arial" w:hAnsi="Arial" w:cs="Arial"/>
          <w:color w:val="222222"/>
          <w:shd w:val="clear" w:color="auto" w:fill="FFFFFF"/>
        </w:rPr>
        <w:t>tumor</w:t>
      </w:r>
      <w:proofErr w:type="spellEnd"/>
      <w:r w:rsidRPr="00A51AD1">
        <w:rPr>
          <w:rFonts w:ascii="Arial" w:hAnsi="Arial" w:cs="Arial"/>
          <w:color w:val="222222"/>
          <w:shd w:val="clear" w:color="auto" w:fill="FFFFFF"/>
        </w:rPr>
        <w:t xml:space="preserve"> burden endpoints from electronic health record data: comparison of RECIST, radiology-anchored, and clinician-anchored approaches for abstracting real-world progression in non-small cell lung cancer’ </w:t>
      </w:r>
      <w:r w:rsidRPr="00A51AD1">
        <w:rPr>
          <w:rFonts w:ascii="Arial" w:hAnsi="Arial" w:cs="Arial"/>
          <w:i/>
          <w:iCs/>
          <w:color w:val="222222"/>
          <w:shd w:val="clear" w:color="auto" w:fill="FFFFFF"/>
        </w:rPr>
        <w:t>Advances in therapy</w:t>
      </w:r>
      <w:r w:rsidRPr="00A51AD1">
        <w:rPr>
          <w:rFonts w:ascii="Arial" w:hAnsi="Arial" w:cs="Arial"/>
          <w:color w:val="222222"/>
          <w:shd w:val="clear" w:color="auto" w:fill="FFFFFF"/>
        </w:rPr>
        <w:t>, </w:t>
      </w:r>
      <w:r w:rsidRPr="00A51AD1">
        <w:rPr>
          <w:rFonts w:ascii="Arial" w:hAnsi="Arial" w:cs="Arial"/>
          <w:iCs/>
          <w:color w:val="222222"/>
          <w:shd w:val="clear" w:color="auto" w:fill="FFFFFF"/>
        </w:rPr>
        <w:t>36</w:t>
      </w:r>
      <w:r w:rsidRPr="00A51AD1">
        <w:rPr>
          <w:rFonts w:ascii="Arial" w:hAnsi="Arial" w:cs="Arial"/>
          <w:color w:val="222222"/>
          <w:shd w:val="clear" w:color="auto" w:fill="FFFFFF"/>
        </w:rPr>
        <w:t xml:space="preserve">(8), pp.2122-2136. </w:t>
      </w:r>
      <w:r w:rsidRPr="00A51AD1">
        <w:rPr>
          <w:rFonts w:ascii="Arial" w:hAnsi="Arial" w:cs="Arial"/>
          <w:shd w:val="clear" w:color="auto" w:fill="FFFFFF"/>
        </w:rPr>
        <w:t>https://link.springer.com/content/pdf/10.1007/s12325-019-00970-1.pdf</w:t>
      </w:r>
    </w:p>
    <w:p w14:paraId="0CCAC164" w14:textId="77777777" w:rsidR="00551990" w:rsidRPr="00A51AD1" w:rsidRDefault="00551990" w:rsidP="00551990">
      <w:pPr>
        <w:spacing w:line="360" w:lineRule="auto"/>
        <w:jc w:val="both"/>
        <w:rPr>
          <w:rFonts w:ascii="Arial" w:hAnsi="Arial" w:cs="Arial"/>
          <w:color w:val="222222"/>
          <w:shd w:val="clear" w:color="auto" w:fill="FFFFFF"/>
        </w:rPr>
      </w:pPr>
      <w:hyperlink r:id="rId10" w:history="1">
        <w:r w:rsidRPr="00A51AD1">
          <w:rPr>
            <w:rStyle w:val="Hyperlink"/>
            <w:rFonts w:ascii="Arial" w:hAnsi="Arial" w:cs="Arial"/>
            <w:color w:val="0D0D0D" w:themeColor="text1" w:themeTint="F2"/>
            <w:u w:val="none"/>
            <w:bdr w:val="none" w:sz="0" w:space="0" w:color="auto" w:frame="1"/>
            <w:shd w:val="clear" w:color="auto" w:fill="FFFFFF"/>
          </w:rPr>
          <w:t>Juergen Biederer</w:t>
        </w:r>
      </w:hyperlink>
      <w:r w:rsidRPr="00A51AD1">
        <w:rPr>
          <w:rStyle w:val="comma-separator"/>
          <w:rFonts w:ascii="Arial" w:hAnsi="Arial" w:cs="Arial"/>
          <w:color w:val="0D0D0D" w:themeColor="text1" w:themeTint="F2"/>
          <w:bdr w:val="none" w:sz="0" w:space="0" w:color="auto" w:frame="1"/>
          <w:shd w:val="clear" w:color="auto" w:fill="FFFFFF"/>
        </w:rPr>
        <w:t>, </w:t>
      </w:r>
      <w:hyperlink r:id="rId11" w:history="1">
        <w:r w:rsidRPr="00A51AD1">
          <w:rPr>
            <w:rStyle w:val="Hyperlink"/>
            <w:rFonts w:ascii="Arial" w:hAnsi="Arial" w:cs="Arial"/>
            <w:color w:val="0D0D0D" w:themeColor="text1" w:themeTint="F2"/>
            <w:u w:val="none"/>
            <w:bdr w:val="none" w:sz="0" w:space="0" w:color="auto" w:frame="1"/>
            <w:shd w:val="clear" w:color="auto" w:fill="FFFFFF"/>
          </w:rPr>
          <w:t>Liisa L. Bergmann</w:t>
        </w:r>
      </w:hyperlink>
      <w:r w:rsidRPr="00A51AD1">
        <w:rPr>
          <w:rStyle w:val="comma-separator"/>
          <w:rFonts w:ascii="Arial" w:hAnsi="Arial" w:cs="Arial"/>
          <w:color w:val="0D0D0D" w:themeColor="text1" w:themeTint="F2"/>
          <w:bdr w:val="none" w:sz="0" w:space="0" w:color="auto" w:frame="1"/>
          <w:shd w:val="clear" w:color="auto" w:fill="FFFFFF"/>
        </w:rPr>
        <w:t>, </w:t>
      </w:r>
      <w:hyperlink r:id="rId12" w:history="1">
        <w:r w:rsidRPr="00A51AD1">
          <w:rPr>
            <w:rStyle w:val="Hyperlink"/>
            <w:rFonts w:ascii="Arial" w:hAnsi="Arial" w:cs="Arial"/>
            <w:color w:val="0D0D0D" w:themeColor="text1" w:themeTint="F2"/>
            <w:u w:val="none"/>
            <w:bdr w:val="none" w:sz="0" w:space="0" w:color="auto" w:frame="1"/>
            <w:shd w:val="clear" w:color="auto" w:fill="FFFFFF"/>
          </w:rPr>
          <w:t>Jeanne B. Ackman</w:t>
        </w:r>
      </w:hyperlink>
      <w:r w:rsidRPr="00A51AD1">
        <w:rPr>
          <w:rStyle w:val="comma-separator"/>
          <w:rFonts w:ascii="Arial" w:hAnsi="Arial" w:cs="Arial"/>
          <w:color w:val="0D0D0D" w:themeColor="text1" w:themeTint="F2"/>
          <w:bdr w:val="none" w:sz="0" w:space="0" w:color="auto" w:frame="1"/>
          <w:shd w:val="clear" w:color="auto" w:fill="FFFFFF"/>
        </w:rPr>
        <w:t>, </w:t>
      </w:r>
      <w:hyperlink r:id="rId13" w:history="1">
        <w:r w:rsidRPr="00A51AD1">
          <w:rPr>
            <w:rStyle w:val="Hyperlink"/>
            <w:rFonts w:ascii="Arial" w:hAnsi="Arial" w:cs="Arial"/>
            <w:color w:val="0D0D0D" w:themeColor="text1" w:themeTint="F2"/>
            <w:u w:val="none"/>
            <w:bdr w:val="none" w:sz="0" w:space="0" w:color="auto" w:frame="1"/>
            <w:shd w:val="clear" w:color="auto" w:fill="FFFFFF"/>
          </w:rPr>
          <w:t>Bruno Hochhegger</w:t>
        </w:r>
      </w:hyperlink>
      <w:r w:rsidRPr="00A51AD1">
        <w:rPr>
          <w:rStyle w:val="comma-separator"/>
          <w:rFonts w:ascii="Arial" w:hAnsi="Arial" w:cs="Arial"/>
          <w:color w:val="0D0D0D" w:themeColor="text1" w:themeTint="F2"/>
          <w:bdr w:val="none" w:sz="0" w:space="0" w:color="auto" w:frame="1"/>
          <w:shd w:val="clear" w:color="auto" w:fill="FFFFFF"/>
        </w:rPr>
        <w:t>, </w:t>
      </w:r>
      <w:hyperlink r:id="rId14" w:history="1">
        <w:r w:rsidRPr="00A51AD1">
          <w:rPr>
            <w:rStyle w:val="Hyperlink"/>
            <w:rFonts w:ascii="Arial" w:hAnsi="Arial" w:cs="Arial"/>
            <w:color w:val="0D0D0D" w:themeColor="text1" w:themeTint="F2"/>
            <w:u w:val="none"/>
            <w:bdr w:val="none" w:sz="0" w:space="0" w:color="auto" w:frame="1"/>
            <w:shd w:val="clear" w:color="auto" w:fill="FFFFFF"/>
          </w:rPr>
          <w:t>Lea Azour</w:t>
        </w:r>
      </w:hyperlink>
      <w:r w:rsidRPr="00A51AD1">
        <w:rPr>
          <w:rStyle w:val="comma-separator"/>
          <w:rFonts w:ascii="Arial" w:hAnsi="Arial" w:cs="Arial"/>
          <w:color w:val="0D0D0D" w:themeColor="text1" w:themeTint="F2"/>
          <w:bdr w:val="none" w:sz="0" w:space="0" w:color="auto" w:frame="1"/>
          <w:shd w:val="clear" w:color="auto" w:fill="FFFFFF"/>
        </w:rPr>
        <w:t>, </w:t>
      </w:r>
      <w:hyperlink r:id="rId15" w:history="1">
        <w:r w:rsidRPr="00A51AD1">
          <w:rPr>
            <w:rStyle w:val="Hyperlink"/>
            <w:rFonts w:ascii="Arial" w:hAnsi="Arial" w:cs="Arial"/>
            <w:color w:val="0D0D0D" w:themeColor="text1" w:themeTint="F2"/>
            <w:u w:val="none"/>
            <w:bdr w:val="none" w:sz="0" w:space="0" w:color="auto" w:frame="1"/>
            <w:shd w:val="clear" w:color="auto" w:fill="FFFFFF"/>
          </w:rPr>
          <w:t>Simon M. F. Triphan</w:t>
        </w:r>
      </w:hyperlink>
      <w:r w:rsidRPr="00A51AD1">
        <w:rPr>
          <w:rStyle w:val="comma-separator"/>
          <w:rFonts w:ascii="Arial" w:hAnsi="Arial" w:cs="Arial"/>
          <w:color w:val="0D0D0D" w:themeColor="text1" w:themeTint="F2"/>
          <w:bdr w:val="none" w:sz="0" w:space="0" w:color="auto" w:frame="1"/>
          <w:shd w:val="clear" w:color="auto" w:fill="FFFFFF"/>
        </w:rPr>
        <w:t>, </w:t>
      </w:r>
      <w:hyperlink r:id="rId16" w:history="1">
        <w:r w:rsidRPr="00A51AD1">
          <w:rPr>
            <w:rStyle w:val="Hyperlink"/>
            <w:rFonts w:ascii="Arial" w:hAnsi="Arial" w:cs="Arial"/>
            <w:color w:val="0D0D0D" w:themeColor="text1" w:themeTint="F2"/>
            <w:u w:val="none"/>
            <w:bdr w:val="none" w:sz="0" w:space="0" w:color="auto" w:frame="1"/>
            <w:shd w:val="clear" w:color="auto" w:fill="FFFFFF"/>
          </w:rPr>
          <w:t>Julien Dinkel</w:t>
        </w:r>
      </w:hyperlink>
      <w:r w:rsidRPr="00A51AD1">
        <w:rPr>
          <w:rStyle w:val="comma-separator"/>
          <w:rFonts w:ascii="Arial" w:hAnsi="Arial" w:cs="Arial"/>
          <w:color w:val="0D0D0D" w:themeColor="text1" w:themeTint="F2"/>
          <w:bdr w:val="none" w:sz="0" w:space="0" w:color="auto" w:frame="1"/>
          <w:shd w:val="clear" w:color="auto" w:fill="FFFFFF"/>
        </w:rPr>
        <w:t>, </w:t>
      </w:r>
      <w:hyperlink r:id="rId17" w:history="1">
        <w:r w:rsidRPr="00A51AD1">
          <w:rPr>
            <w:rStyle w:val="Hyperlink"/>
            <w:rFonts w:ascii="Arial" w:hAnsi="Arial" w:cs="Arial"/>
            <w:color w:val="0D0D0D" w:themeColor="text1" w:themeTint="F2"/>
            <w:u w:val="none"/>
            <w:bdr w:val="none" w:sz="0" w:space="0" w:color="auto" w:frame="1"/>
            <w:shd w:val="clear" w:color="auto" w:fill="FFFFFF"/>
          </w:rPr>
          <w:t>Yoshiharu Ohno</w:t>
        </w:r>
      </w:hyperlink>
      <w:r w:rsidRPr="00A51AD1">
        <w:rPr>
          <w:rStyle w:val="comma-separator"/>
          <w:rFonts w:ascii="Arial" w:hAnsi="Arial" w:cs="Arial"/>
          <w:color w:val="0D0D0D" w:themeColor="text1" w:themeTint="F2"/>
          <w:bdr w:val="none" w:sz="0" w:space="0" w:color="auto" w:frame="1"/>
          <w:shd w:val="clear" w:color="auto" w:fill="FFFFFF"/>
        </w:rPr>
        <w:t>, </w:t>
      </w:r>
      <w:hyperlink r:id="rId18" w:history="1">
        <w:r w:rsidRPr="00A51AD1">
          <w:rPr>
            <w:rStyle w:val="Hyperlink"/>
            <w:rFonts w:ascii="Arial" w:hAnsi="Arial" w:cs="Arial"/>
            <w:color w:val="0D0D0D" w:themeColor="text1" w:themeTint="F2"/>
            <w:u w:val="none"/>
            <w:bdr w:val="none" w:sz="0" w:space="0" w:color="auto" w:frame="1"/>
            <w:shd w:val="clear" w:color="auto" w:fill="FFFFFF"/>
          </w:rPr>
          <w:t>Yoshiyuki Ozawa</w:t>
        </w:r>
      </w:hyperlink>
      <w:r w:rsidRPr="00A51AD1">
        <w:rPr>
          <w:rStyle w:val="comma-separator"/>
          <w:rFonts w:ascii="Arial" w:hAnsi="Arial" w:cs="Arial"/>
          <w:color w:val="0D0D0D" w:themeColor="text1" w:themeTint="F2"/>
          <w:bdr w:val="none" w:sz="0" w:space="0" w:color="auto" w:frame="1"/>
          <w:shd w:val="clear" w:color="auto" w:fill="FFFFFF"/>
        </w:rPr>
        <w:t>, </w:t>
      </w:r>
      <w:hyperlink r:id="rId19" w:history="1">
        <w:r w:rsidRPr="00A51AD1">
          <w:rPr>
            <w:rStyle w:val="Hyperlink"/>
            <w:rFonts w:ascii="Arial" w:hAnsi="Arial" w:cs="Arial"/>
            <w:color w:val="0D0D0D" w:themeColor="text1" w:themeTint="F2"/>
            <w:u w:val="none"/>
            <w:bdr w:val="none" w:sz="0" w:space="0" w:color="auto" w:frame="1"/>
            <w:shd w:val="clear" w:color="auto" w:fill="FFFFFF"/>
          </w:rPr>
          <w:t>Edwin J. R. van Beek</w:t>
        </w:r>
      </w:hyperlink>
      <w:r w:rsidRPr="00A51AD1">
        <w:rPr>
          <w:rStyle w:val="comma-separator"/>
          <w:rFonts w:ascii="Arial" w:hAnsi="Arial" w:cs="Arial"/>
          <w:color w:val="0D0D0D" w:themeColor="text1" w:themeTint="F2"/>
          <w:bdr w:val="none" w:sz="0" w:space="0" w:color="auto" w:frame="1"/>
          <w:shd w:val="clear" w:color="auto" w:fill="FFFFFF"/>
        </w:rPr>
        <w:t xml:space="preserve"> and  </w:t>
      </w:r>
      <w:hyperlink r:id="rId20" w:history="1">
        <w:r w:rsidRPr="00A51AD1">
          <w:rPr>
            <w:rStyle w:val="Hyperlink"/>
            <w:rFonts w:ascii="Arial" w:hAnsi="Arial" w:cs="Arial"/>
            <w:color w:val="0D0D0D" w:themeColor="text1" w:themeTint="F2"/>
            <w:u w:val="none"/>
            <w:bdr w:val="none" w:sz="0" w:space="0" w:color="auto" w:frame="1"/>
            <w:shd w:val="clear" w:color="auto" w:fill="FFFFFF"/>
          </w:rPr>
          <w:t>Lena Wucherpfennig</w:t>
        </w:r>
      </w:hyperlink>
      <w:r w:rsidRPr="00A51AD1">
        <w:rPr>
          <w:rStyle w:val="accordion-tabbedtab-mobile"/>
          <w:rFonts w:ascii="Arial" w:hAnsi="Arial" w:cs="Arial"/>
          <w:color w:val="0D0D0D" w:themeColor="text1" w:themeTint="F2"/>
          <w:bdr w:val="none" w:sz="0" w:space="0" w:color="auto" w:frame="1"/>
          <w:shd w:val="clear" w:color="auto" w:fill="FFFFFF"/>
        </w:rPr>
        <w:t xml:space="preserve"> (2026) ‘</w:t>
      </w:r>
      <w:r w:rsidRPr="00A51AD1">
        <w:rPr>
          <w:rFonts w:ascii="Arial" w:hAnsi="Arial" w:cs="Arial"/>
          <w:bCs/>
          <w:color w:val="0D0D0D" w:themeColor="text1" w:themeTint="F2"/>
          <w:shd w:val="clear" w:color="auto" w:fill="FFFFFF"/>
        </w:rPr>
        <w:t>MRI for Lung Cancer Management: Any Closer to Clinical Application?’. Available at:</w:t>
      </w:r>
      <w:r w:rsidRPr="00A51AD1">
        <w:rPr>
          <w:rFonts w:ascii="Arial" w:hAnsi="Arial" w:cs="Arial"/>
          <w:b/>
          <w:bCs/>
          <w:color w:val="0D0D0D" w:themeColor="text1" w:themeTint="F2"/>
          <w:shd w:val="clear" w:color="auto" w:fill="FFFFFF"/>
        </w:rPr>
        <w:t xml:space="preserve">  </w:t>
      </w:r>
      <w:r w:rsidRPr="00A51AD1">
        <w:rPr>
          <w:rFonts w:ascii="Arial" w:hAnsi="Arial" w:cs="Arial"/>
          <w:b/>
          <w:bCs/>
          <w:shd w:val="clear" w:color="auto" w:fill="FFFFFF"/>
        </w:rPr>
        <w:t>https://doi.org/10.1002/jmri.70308</w:t>
      </w:r>
      <w:r w:rsidRPr="00A51AD1">
        <w:rPr>
          <w:rFonts w:ascii="Arial" w:hAnsi="Arial" w:cs="Arial"/>
          <w:b/>
          <w:bCs/>
          <w:color w:val="0D0D0D" w:themeColor="text1" w:themeTint="F2"/>
          <w:shd w:val="clear" w:color="auto" w:fill="FFFFFF"/>
        </w:rPr>
        <w:t xml:space="preserve"> </w:t>
      </w:r>
      <w:r w:rsidRPr="00A51AD1">
        <w:rPr>
          <w:rFonts w:ascii="Arial" w:hAnsi="Arial" w:cs="Arial"/>
          <w:b/>
          <w:bCs/>
          <w:color w:val="0D0D0D" w:themeColor="text1" w:themeTint="F2"/>
          <w:shd w:val="clear" w:color="auto" w:fill="FFFFFF"/>
        </w:rPr>
        <w:br/>
      </w:r>
      <w:r w:rsidRPr="00A51AD1">
        <w:rPr>
          <w:rFonts w:ascii="Arial" w:hAnsi="Arial" w:cs="Arial"/>
          <w:color w:val="222222"/>
          <w:shd w:val="clear" w:color="auto" w:fill="FFFFFF"/>
        </w:rPr>
        <w:t>Liu, T., Wang, H., Kong, Q., Wang, H., Wei, H. and Sun, P. (2024) ‘Long-term, 13-year survival after immune cell therapy combined with chemotherapy for extensive-stage small-cell lung cancer: a case report</w:t>
      </w:r>
      <w:proofErr w:type="gramStart"/>
      <w:r w:rsidRPr="00A51AD1">
        <w:rPr>
          <w:rFonts w:ascii="Arial" w:hAnsi="Arial" w:cs="Arial"/>
          <w:color w:val="222222"/>
          <w:shd w:val="clear" w:color="auto" w:fill="FFFFFF"/>
        </w:rPr>
        <w:t>’  </w:t>
      </w:r>
      <w:r w:rsidRPr="00A51AD1">
        <w:rPr>
          <w:rFonts w:ascii="Arial" w:hAnsi="Arial" w:cs="Arial"/>
          <w:i/>
          <w:iCs/>
          <w:color w:val="222222"/>
          <w:shd w:val="clear" w:color="auto" w:fill="FFFFFF"/>
        </w:rPr>
        <w:t>Frontiers</w:t>
      </w:r>
      <w:proofErr w:type="gramEnd"/>
      <w:r w:rsidRPr="00A51AD1">
        <w:rPr>
          <w:rFonts w:ascii="Arial" w:hAnsi="Arial" w:cs="Arial"/>
          <w:i/>
          <w:iCs/>
          <w:color w:val="222222"/>
          <w:shd w:val="clear" w:color="auto" w:fill="FFFFFF"/>
        </w:rPr>
        <w:t xml:space="preserve"> in Oncology</w:t>
      </w:r>
      <w:r w:rsidRPr="00A51AD1">
        <w:rPr>
          <w:rFonts w:ascii="Arial" w:hAnsi="Arial" w:cs="Arial"/>
          <w:color w:val="222222"/>
          <w:shd w:val="clear" w:color="auto" w:fill="FFFFFF"/>
        </w:rPr>
        <w:t>, </w:t>
      </w:r>
      <w:r w:rsidRPr="00A51AD1">
        <w:rPr>
          <w:rFonts w:ascii="Arial" w:hAnsi="Arial" w:cs="Arial"/>
          <w:iCs/>
          <w:color w:val="222222"/>
          <w:shd w:val="clear" w:color="auto" w:fill="FFFFFF"/>
        </w:rPr>
        <w:t>14</w:t>
      </w:r>
      <w:r w:rsidRPr="00A51AD1">
        <w:rPr>
          <w:rFonts w:ascii="Arial" w:hAnsi="Arial" w:cs="Arial"/>
          <w:color w:val="222222"/>
          <w:shd w:val="clear" w:color="auto" w:fill="FFFFFF"/>
        </w:rPr>
        <w:t xml:space="preserve">, p.1389725. </w:t>
      </w:r>
      <w:r w:rsidRPr="00A51AD1">
        <w:rPr>
          <w:rFonts w:ascii="Arial" w:hAnsi="Arial" w:cs="Arial"/>
          <w:shd w:val="clear" w:color="auto" w:fill="FFFFFF"/>
        </w:rPr>
        <w:t>https://www.frontiersin.org/journals/oncology/articles/10.3389/fonc.2024.1389725/full</w:t>
      </w:r>
    </w:p>
    <w:p w14:paraId="5969BE91" w14:textId="77777777" w:rsidR="00551990" w:rsidRPr="00A51AD1" w:rsidRDefault="00551990" w:rsidP="00551990">
      <w:pPr>
        <w:spacing w:line="360" w:lineRule="auto"/>
        <w:jc w:val="both"/>
        <w:rPr>
          <w:rFonts w:ascii="Arial" w:hAnsi="Arial" w:cs="Arial"/>
          <w:color w:val="222222"/>
          <w:shd w:val="clear" w:color="auto" w:fill="FFFFFF"/>
        </w:rPr>
      </w:pPr>
      <w:r w:rsidRPr="00A51AD1">
        <w:rPr>
          <w:rFonts w:ascii="Arial" w:hAnsi="Arial" w:cs="Arial"/>
          <w:color w:val="222222"/>
          <w:shd w:val="clear" w:color="auto" w:fill="FFFFFF"/>
        </w:rPr>
        <w:t xml:space="preserve">Lancaster, H.L., </w:t>
      </w:r>
      <w:proofErr w:type="spellStart"/>
      <w:r w:rsidRPr="00A51AD1">
        <w:rPr>
          <w:rFonts w:ascii="Arial" w:hAnsi="Arial" w:cs="Arial"/>
          <w:color w:val="222222"/>
          <w:shd w:val="clear" w:color="auto" w:fill="FFFFFF"/>
        </w:rPr>
        <w:t>Heuvelmans</w:t>
      </w:r>
      <w:proofErr w:type="spellEnd"/>
      <w:r w:rsidRPr="00A51AD1">
        <w:rPr>
          <w:rFonts w:ascii="Arial" w:hAnsi="Arial" w:cs="Arial"/>
          <w:color w:val="222222"/>
          <w:shd w:val="clear" w:color="auto" w:fill="FFFFFF"/>
        </w:rPr>
        <w:t xml:space="preserve">, M.A. and </w:t>
      </w:r>
      <w:proofErr w:type="spellStart"/>
      <w:r w:rsidRPr="00A51AD1">
        <w:rPr>
          <w:rFonts w:ascii="Arial" w:hAnsi="Arial" w:cs="Arial"/>
          <w:color w:val="222222"/>
          <w:shd w:val="clear" w:color="auto" w:fill="FFFFFF"/>
        </w:rPr>
        <w:t>Oudkerk</w:t>
      </w:r>
      <w:proofErr w:type="spellEnd"/>
      <w:r w:rsidRPr="00A51AD1">
        <w:rPr>
          <w:rFonts w:ascii="Arial" w:hAnsi="Arial" w:cs="Arial"/>
          <w:color w:val="222222"/>
          <w:shd w:val="clear" w:color="auto" w:fill="FFFFFF"/>
        </w:rPr>
        <w:t>, M. (2022) ‘Low</w:t>
      </w:r>
      <w:r w:rsidRPr="00A51AD1">
        <w:rPr>
          <w:rFonts w:ascii="Cambria Math" w:hAnsi="Cambria Math" w:cs="Cambria Math"/>
          <w:color w:val="222222"/>
          <w:shd w:val="clear" w:color="auto" w:fill="FFFFFF"/>
        </w:rPr>
        <w:t>‐</w:t>
      </w:r>
      <w:r w:rsidRPr="00A51AD1">
        <w:rPr>
          <w:rFonts w:ascii="Arial" w:hAnsi="Arial" w:cs="Arial"/>
          <w:color w:val="222222"/>
          <w:shd w:val="clear" w:color="auto" w:fill="FFFFFF"/>
        </w:rPr>
        <w:t xml:space="preserve">dose computed tomography lung cancer screening: Clinical evidence and implementation research’ </w:t>
      </w:r>
      <w:r w:rsidRPr="00A51AD1">
        <w:rPr>
          <w:rFonts w:ascii="Arial" w:hAnsi="Arial" w:cs="Arial"/>
          <w:i/>
          <w:iCs/>
          <w:color w:val="222222"/>
          <w:shd w:val="clear" w:color="auto" w:fill="FFFFFF"/>
        </w:rPr>
        <w:t>Journal of internal medicine</w:t>
      </w:r>
      <w:r w:rsidRPr="00A51AD1">
        <w:rPr>
          <w:rFonts w:ascii="Arial" w:hAnsi="Arial" w:cs="Arial"/>
          <w:color w:val="222222"/>
          <w:shd w:val="clear" w:color="auto" w:fill="FFFFFF"/>
        </w:rPr>
        <w:t>, </w:t>
      </w:r>
      <w:r w:rsidRPr="00A51AD1">
        <w:rPr>
          <w:rFonts w:ascii="Arial" w:hAnsi="Arial" w:cs="Arial"/>
          <w:iCs/>
          <w:color w:val="222222"/>
          <w:shd w:val="clear" w:color="auto" w:fill="FFFFFF"/>
        </w:rPr>
        <w:t>292</w:t>
      </w:r>
      <w:r w:rsidRPr="00A51AD1">
        <w:rPr>
          <w:rFonts w:ascii="Arial" w:hAnsi="Arial" w:cs="Arial"/>
          <w:color w:val="222222"/>
          <w:shd w:val="clear" w:color="auto" w:fill="FFFFFF"/>
        </w:rPr>
        <w:t xml:space="preserve">(1), pp.68-80. </w:t>
      </w:r>
      <w:r w:rsidRPr="00A51AD1">
        <w:rPr>
          <w:rFonts w:ascii="Arial" w:hAnsi="Arial" w:cs="Arial"/>
          <w:shd w:val="clear" w:color="auto" w:fill="FFFFFF"/>
        </w:rPr>
        <w:t>https://onlinelibrary.wiley.com/doi/pdfdirect/10.1111/joim.13480</w:t>
      </w:r>
    </w:p>
    <w:p w14:paraId="48C0A514" w14:textId="77777777" w:rsidR="00551990" w:rsidRPr="00A51AD1" w:rsidRDefault="00551990" w:rsidP="00551990">
      <w:pPr>
        <w:spacing w:line="360" w:lineRule="auto"/>
        <w:jc w:val="both"/>
        <w:rPr>
          <w:rFonts w:ascii="Arial" w:hAnsi="Arial" w:cs="Arial"/>
        </w:rPr>
      </w:pPr>
      <w:r w:rsidRPr="00A51AD1">
        <w:rPr>
          <w:rFonts w:ascii="Arial" w:hAnsi="Arial" w:cs="Arial"/>
        </w:rPr>
        <w:t>Lung Cancer Europe (2024)</w:t>
      </w:r>
      <w:r w:rsidRPr="00A51AD1">
        <w:rPr>
          <w:rFonts w:ascii="Arial" w:hAnsi="Arial" w:cs="Arial"/>
          <w:i/>
        </w:rPr>
        <w:t xml:space="preserve"> Financial impact in people impacted by ALK-positive lung cancer. </w:t>
      </w:r>
      <w:r w:rsidRPr="00A51AD1">
        <w:rPr>
          <w:rFonts w:ascii="Arial" w:hAnsi="Arial" w:cs="Arial"/>
        </w:rPr>
        <w:t>Available at: https://www.lungcancereurope.eu/wp-content/uploads/2024/06/8th-Country-Report-ALK-Positive.pdf (Accessed: 1 April 2026).</w:t>
      </w:r>
    </w:p>
    <w:p w14:paraId="2189D964" w14:textId="77777777" w:rsidR="00551990" w:rsidRPr="00A51AD1" w:rsidRDefault="00551990" w:rsidP="00551990">
      <w:pPr>
        <w:spacing w:line="360" w:lineRule="auto"/>
        <w:jc w:val="both"/>
        <w:rPr>
          <w:rFonts w:ascii="Arial" w:hAnsi="Arial" w:cs="Arial"/>
        </w:rPr>
      </w:pPr>
      <w:r w:rsidRPr="00A51AD1">
        <w:rPr>
          <w:rFonts w:ascii="Arial" w:hAnsi="Arial" w:cs="Arial"/>
        </w:rPr>
        <w:lastRenderedPageBreak/>
        <w:t xml:space="preserve">NHS England (2026) </w:t>
      </w:r>
      <w:r w:rsidRPr="00A51AD1">
        <w:rPr>
          <w:rFonts w:ascii="Arial" w:hAnsi="Arial" w:cs="Arial"/>
          <w:i/>
        </w:rPr>
        <w:t xml:space="preserve">Overview of Lung cancer. </w:t>
      </w:r>
      <w:r w:rsidRPr="00A51AD1">
        <w:rPr>
          <w:rFonts w:ascii="Arial" w:hAnsi="Arial" w:cs="Arial"/>
        </w:rPr>
        <w:t xml:space="preserve">Available at: </w:t>
      </w:r>
      <w:r w:rsidRPr="00A51AD1">
        <w:rPr>
          <w:rFonts w:ascii="Arial" w:hAnsi="Arial" w:cs="Arial"/>
          <w:i/>
        </w:rPr>
        <w:t>https</w:t>
      </w:r>
      <w:r w:rsidRPr="00A51AD1">
        <w:rPr>
          <w:rFonts w:ascii="Arial" w:hAnsi="Arial" w:cs="Arial"/>
        </w:rPr>
        <w:t>://www.nhs.uk/conditions/lung-cancer/ (Accessed: 1 April 2026).</w:t>
      </w:r>
    </w:p>
    <w:p w14:paraId="4065A519" w14:textId="77777777" w:rsidR="00551990" w:rsidRPr="00A51AD1" w:rsidRDefault="00551990" w:rsidP="00551990">
      <w:pPr>
        <w:spacing w:line="360" w:lineRule="auto"/>
        <w:jc w:val="both"/>
        <w:rPr>
          <w:rFonts w:ascii="Arial" w:hAnsi="Arial" w:cs="Arial"/>
          <w:color w:val="222222"/>
          <w:shd w:val="clear" w:color="auto" w:fill="FFFFFF"/>
        </w:rPr>
      </w:pPr>
      <w:r w:rsidRPr="00A51AD1">
        <w:rPr>
          <w:rFonts w:ascii="Arial" w:hAnsi="Arial" w:cs="Arial"/>
          <w:color w:val="222222"/>
          <w:shd w:val="clear" w:color="auto" w:fill="FFFFFF"/>
        </w:rPr>
        <w:t>Rudin, C.M., Brambilla, E., Faivre-Finn, C. and Sage, J., 2021. Small-cell lung cancer. </w:t>
      </w:r>
      <w:r w:rsidRPr="00A51AD1">
        <w:rPr>
          <w:rFonts w:ascii="Arial" w:hAnsi="Arial" w:cs="Arial"/>
          <w:i/>
          <w:iCs/>
          <w:color w:val="222222"/>
          <w:shd w:val="clear" w:color="auto" w:fill="FFFFFF"/>
        </w:rPr>
        <w:t>Nature Reviews Disease Primers</w:t>
      </w:r>
      <w:r w:rsidRPr="00A51AD1">
        <w:rPr>
          <w:rFonts w:ascii="Arial" w:hAnsi="Arial" w:cs="Arial"/>
          <w:color w:val="222222"/>
          <w:shd w:val="clear" w:color="auto" w:fill="FFFFFF"/>
        </w:rPr>
        <w:t>, </w:t>
      </w:r>
      <w:r w:rsidRPr="00A51AD1">
        <w:rPr>
          <w:rFonts w:ascii="Arial" w:hAnsi="Arial" w:cs="Arial"/>
          <w:i/>
          <w:iCs/>
          <w:color w:val="222222"/>
          <w:shd w:val="clear" w:color="auto" w:fill="FFFFFF"/>
        </w:rPr>
        <w:t>7</w:t>
      </w:r>
      <w:r w:rsidRPr="00A51AD1">
        <w:rPr>
          <w:rFonts w:ascii="Arial" w:hAnsi="Arial" w:cs="Arial"/>
          <w:color w:val="222222"/>
          <w:shd w:val="clear" w:color="auto" w:fill="FFFFFF"/>
        </w:rPr>
        <w:t xml:space="preserve">(1), p.3. </w:t>
      </w:r>
      <w:r w:rsidRPr="00A51AD1">
        <w:rPr>
          <w:rFonts w:ascii="Arial" w:hAnsi="Arial" w:cs="Arial"/>
          <w:shd w:val="clear" w:color="auto" w:fill="FFFFFF"/>
        </w:rPr>
        <w:t>https://pmc.ncbi.nlm.nih.gov/articles/PMC8177722/pdf/nihms-1707500.pdf</w:t>
      </w:r>
    </w:p>
    <w:p w14:paraId="167B8CC5" w14:textId="77777777" w:rsidR="00551990" w:rsidRPr="00A51AD1" w:rsidRDefault="00551990" w:rsidP="00551990">
      <w:pPr>
        <w:spacing w:line="360" w:lineRule="auto"/>
        <w:jc w:val="both"/>
        <w:rPr>
          <w:rFonts w:ascii="Arial" w:hAnsi="Arial" w:cs="Arial"/>
          <w:color w:val="222222"/>
          <w:shd w:val="clear" w:color="auto" w:fill="FFFFFF"/>
        </w:rPr>
      </w:pPr>
      <w:r w:rsidRPr="00A51AD1">
        <w:rPr>
          <w:rFonts w:ascii="Arial" w:hAnsi="Arial" w:cs="Arial"/>
          <w:color w:val="222222"/>
          <w:shd w:val="clear" w:color="auto" w:fill="FFFFFF"/>
        </w:rPr>
        <w:t>Weller, D.P., Peake, M.D. and Field, J.K. (2019) Presentation of lung cancer in primary care. </w:t>
      </w:r>
      <w:r w:rsidRPr="00A51AD1">
        <w:rPr>
          <w:rFonts w:ascii="Arial" w:hAnsi="Arial" w:cs="Arial"/>
          <w:i/>
          <w:iCs/>
          <w:color w:val="222222"/>
          <w:shd w:val="clear" w:color="auto" w:fill="FFFFFF"/>
        </w:rPr>
        <w:t>NPJ primary care respiratory medicine</w:t>
      </w:r>
      <w:r w:rsidRPr="00A51AD1">
        <w:rPr>
          <w:rFonts w:ascii="Arial" w:hAnsi="Arial" w:cs="Arial"/>
          <w:color w:val="222222"/>
          <w:shd w:val="clear" w:color="auto" w:fill="FFFFFF"/>
        </w:rPr>
        <w:t>, </w:t>
      </w:r>
      <w:r w:rsidRPr="00A51AD1">
        <w:rPr>
          <w:rFonts w:ascii="Arial" w:hAnsi="Arial" w:cs="Arial"/>
          <w:iCs/>
          <w:color w:val="222222"/>
          <w:shd w:val="clear" w:color="auto" w:fill="FFFFFF"/>
        </w:rPr>
        <w:t>29</w:t>
      </w:r>
      <w:r w:rsidRPr="00A51AD1">
        <w:rPr>
          <w:rFonts w:ascii="Arial" w:hAnsi="Arial" w:cs="Arial"/>
          <w:color w:val="222222"/>
          <w:shd w:val="clear" w:color="auto" w:fill="FFFFFF"/>
        </w:rPr>
        <w:t xml:space="preserve">(1), p.21. </w:t>
      </w:r>
      <w:r w:rsidRPr="00A51AD1">
        <w:rPr>
          <w:rFonts w:ascii="Arial" w:hAnsi="Arial" w:cs="Arial"/>
          <w:shd w:val="clear" w:color="auto" w:fill="FFFFFF"/>
        </w:rPr>
        <w:t>https://www.nature.com/articles/s41533-019-0133-y.pdf</w:t>
      </w:r>
    </w:p>
    <w:p w14:paraId="1CD42F7F" w14:textId="77777777" w:rsidR="00551990" w:rsidRPr="00A51AD1" w:rsidRDefault="00551990" w:rsidP="00551990">
      <w:pPr>
        <w:spacing w:line="360" w:lineRule="auto"/>
        <w:jc w:val="both"/>
        <w:rPr>
          <w:rFonts w:ascii="Arial" w:hAnsi="Arial" w:cs="Arial"/>
        </w:rPr>
      </w:pPr>
      <w:r w:rsidRPr="00A51AD1">
        <w:rPr>
          <w:rFonts w:ascii="Arial" w:hAnsi="Arial" w:cs="Arial"/>
        </w:rPr>
        <w:t xml:space="preserve">WHO (2023) </w:t>
      </w:r>
      <w:r w:rsidRPr="00A51AD1">
        <w:rPr>
          <w:rFonts w:ascii="Arial" w:hAnsi="Arial" w:cs="Arial"/>
          <w:i/>
        </w:rPr>
        <w:t>Lung Cancer</w:t>
      </w:r>
      <w:r w:rsidRPr="00A51AD1">
        <w:rPr>
          <w:rFonts w:ascii="Arial" w:hAnsi="Arial" w:cs="Arial"/>
        </w:rPr>
        <w:t>. Available at: https://www.who.int/news-room/fact-sheets/detail/lung-cancer (Accessed: 30 March 2026).</w:t>
      </w:r>
    </w:p>
    <w:p w14:paraId="132ECB05" w14:textId="77777777" w:rsidR="00551990" w:rsidRPr="00551990" w:rsidRDefault="00551990" w:rsidP="00551990">
      <w:pPr>
        <w:spacing w:line="360" w:lineRule="auto"/>
        <w:jc w:val="both"/>
        <w:rPr>
          <w:rStyle w:val="Hyperlink"/>
          <w:rFonts w:ascii="Arial" w:hAnsi="Arial" w:cs="Arial"/>
        </w:rPr>
      </w:pPr>
      <w:r w:rsidRPr="00A51AD1">
        <w:rPr>
          <w:rFonts w:ascii="Arial" w:hAnsi="Arial" w:cs="Arial"/>
          <w:color w:val="222222"/>
          <w:shd w:val="clear" w:color="auto" w:fill="FFFFFF"/>
        </w:rPr>
        <w:t>Yin, W., Lin, Z., Gong, W.J., Wang, W.X., Zhu, Y.Y., Fu, Y.L., Yang, H., Zhang, J.X., Lin, P. and Li, J.B. (2025) ‘Smoking cessation is a protective factor for lung cancer onset and mortality: a population-based prospective cohort study’ </w:t>
      </w:r>
      <w:r w:rsidRPr="00A51AD1">
        <w:rPr>
          <w:rFonts w:ascii="Arial" w:hAnsi="Arial" w:cs="Arial"/>
          <w:i/>
          <w:iCs/>
          <w:color w:val="222222"/>
          <w:shd w:val="clear" w:color="auto" w:fill="FFFFFF"/>
        </w:rPr>
        <w:t>BMC cancer</w:t>
      </w:r>
      <w:r w:rsidRPr="00A51AD1">
        <w:rPr>
          <w:rFonts w:ascii="Arial" w:hAnsi="Arial" w:cs="Arial"/>
          <w:color w:val="222222"/>
          <w:shd w:val="clear" w:color="auto" w:fill="FFFFFF"/>
        </w:rPr>
        <w:t>, </w:t>
      </w:r>
      <w:r w:rsidRPr="00A51AD1">
        <w:rPr>
          <w:rFonts w:ascii="Arial" w:hAnsi="Arial" w:cs="Arial"/>
          <w:iCs/>
          <w:color w:val="222222"/>
          <w:shd w:val="clear" w:color="auto" w:fill="FFFFFF"/>
        </w:rPr>
        <w:t>25</w:t>
      </w:r>
      <w:r w:rsidRPr="00A51AD1">
        <w:rPr>
          <w:rFonts w:ascii="Arial" w:hAnsi="Arial" w:cs="Arial"/>
          <w:color w:val="222222"/>
          <w:shd w:val="clear" w:color="auto" w:fill="FFFFFF"/>
        </w:rPr>
        <w:t xml:space="preserve">(1), p.86. </w:t>
      </w:r>
      <w:r w:rsidRPr="00A51AD1">
        <w:rPr>
          <w:rFonts w:ascii="Arial" w:hAnsi="Arial" w:cs="Arial"/>
        </w:rPr>
        <w:t xml:space="preserve"> https://link.springer.com/content/pdf/10.1186/s12885-025-13475-8.pdf</w:t>
      </w:r>
    </w:p>
    <w:sectPr w:rsidR="00551990" w:rsidRPr="0055199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9B341E" w14:textId="77777777" w:rsidR="006E183B" w:rsidRDefault="006E183B">
      <w:pPr>
        <w:spacing w:line="240" w:lineRule="auto"/>
      </w:pPr>
      <w:r>
        <w:separator/>
      </w:r>
    </w:p>
  </w:endnote>
  <w:endnote w:type="continuationSeparator" w:id="0">
    <w:p w14:paraId="7A8350C6" w14:textId="77777777" w:rsidR="006E183B" w:rsidRDefault="006E18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422051"/>
      <w:docPartObj>
        <w:docPartGallery w:val="AutoText"/>
      </w:docPartObj>
    </w:sdtPr>
    <w:sdtContent>
      <w:p w14:paraId="378C5FF0" w14:textId="77777777" w:rsidR="00443E81" w:rsidRDefault="00672C40">
        <w:pPr>
          <w:pStyle w:val="Footer"/>
          <w:jc w:val="center"/>
        </w:pPr>
        <w:r>
          <w:fldChar w:fldCharType="begin"/>
        </w:r>
        <w:r>
          <w:instrText xml:space="preserve"> PAGE   \* MERGEFORMAT </w:instrText>
        </w:r>
        <w:r>
          <w:fldChar w:fldCharType="separate"/>
        </w:r>
        <w:r w:rsidR="00A51AD1">
          <w:rPr>
            <w:noProof/>
          </w:rPr>
          <w:t>9</w:t>
        </w:r>
        <w:r>
          <w:fldChar w:fldCharType="end"/>
        </w:r>
      </w:p>
    </w:sdtContent>
  </w:sdt>
  <w:p w14:paraId="1F4947D1" w14:textId="77777777" w:rsidR="00443E81" w:rsidRDefault="00443E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5F7E8C" w14:textId="77777777" w:rsidR="006E183B" w:rsidRDefault="006E183B">
      <w:pPr>
        <w:spacing w:after="0"/>
      </w:pPr>
      <w:r>
        <w:separator/>
      </w:r>
    </w:p>
  </w:footnote>
  <w:footnote w:type="continuationSeparator" w:id="0">
    <w:p w14:paraId="5487AF96" w14:textId="77777777" w:rsidR="006E183B" w:rsidRDefault="006E183B">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noPunctuationKerning/>
  <w:characterSpacingControl w:val="doNotCompress"/>
  <w:footnotePr>
    <w:footnote w:id="-1"/>
    <w:footnote w:id="0"/>
  </w:footnotePr>
  <w:endnotePr>
    <w:endnote w:id="-1"/>
    <w:endnote w:id="0"/>
  </w:endnotePr>
  <w:compat>
    <w:doNotExpandShiftReturn/>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tDQ1NDYyMDc0szCxsDBV0lEKTi0uzszPAykwrAUA1CEkQiwAAAA="/>
  </w:docVars>
  <w:rsids>
    <w:rsidRoot w:val="009A45A3"/>
    <w:rsid w:val="000B2C6A"/>
    <w:rsid w:val="001B3D75"/>
    <w:rsid w:val="002129C1"/>
    <w:rsid w:val="00304C24"/>
    <w:rsid w:val="003C6B9E"/>
    <w:rsid w:val="00443E81"/>
    <w:rsid w:val="004C13F6"/>
    <w:rsid w:val="004D059D"/>
    <w:rsid w:val="004F07AF"/>
    <w:rsid w:val="00551990"/>
    <w:rsid w:val="00586580"/>
    <w:rsid w:val="00672C40"/>
    <w:rsid w:val="006A3181"/>
    <w:rsid w:val="006E183B"/>
    <w:rsid w:val="00747D2D"/>
    <w:rsid w:val="007772D7"/>
    <w:rsid w:val="0086027F"/>
    <w:rsid w:val="008849FE"/>
    <w:rsid w:val="008850F9"/>
    <w:rsid w:val="008C30AC"/>
    <w:rsid w:val="00976249"/>
    <w:rsid w:val="009A45A3"/>
    <w:rsid w:val="00A14317"/>
    <w:rsid w:val="00A26FA1"/>
    <w:rsid w:val="00A51AD1"/>
    <w:rsid w:val="00AA7A9C"/>
    <w:rsid w:val="00AC4ED2"/>
    <w:rsid w:val="00B24495"/>
    <w:rsid w:val="00C638CF"/>
    <w:rsid w:val="00D4394F"/>
    <w:rsid w:val="00D85608"/>
    <w:rsid w:val="00DC212B"/>
    <w:rsid w:val="00E55F1F"/>
    <w:rsid w:val="00E57530"/>
    <w:rsid w:val="00E869A8"/>
    <w:rsid w:val="00EF62E9"/>
    <w:rsid w:val="00F13DA2"/>
    <w:rsid w:val="00F64385"/>
    <w:rsid w:val="00F814A2"/>
    <w:rsid w:val="00FB5BB6"/>
    <w:rsid w:val="7FE71B62"/>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79845"/>
  <w15:docId w15:val="{2855544A-CB84-4969-AAF6-4D86D249B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rFonts w:asciiTheme="minorHAnsi" w:eastAsiaTheme="minorHAnsi" w:hAnsiTheme="minorHAnsi" w:cstheme="minorBidi"/>
      <w:sz w:val="22"/>
      <w:szCs w:val="22"/>
      <w:lang w:val="en-GB" w:eastAsia="en-US"/>
    </w:rPr>
  </w:style>
  <w:style w:type="paragraph" w:styleId="Heading1">
    <w:name w:val="heading 1"/>
    <w:basedOn w:val="Normal"/>
    <w:next w:val="Normal"/>
    <w:link w:val="Heading1Char"/>
    <w:autoRedefine/>
    <w:uiPriority w:val="9"/>
    <w:qFormat/>
    <w:pPr>
      <w:keepNext/>
      <w:keepLines/>
      <w:spacing w:before="480" w:after="0" w:line="360" w:lineRule="auto"/>
      <w:outlineLvl w:val="0"/>
    </w:pPr>
    <w:rPr>
      <w:rFonts w:ascii="Arial" w:eastAsia="Times New Roman" w:hAnsi="Arial" w:cs="Arial"/>
      <w:b/>
      <w:bCs/>
      <w:i/>
      <w:color w:val="0D0D0D" w:themeColor="text1" w:themeTint="F2"/>
      <w:u w:val="single"/>
      <w:lang w:eastAsia="en-IN"/>
    </w:rPr>
  </w:style>
  <w:style w:type="paragraph" w:styleId="Heading2">
    <w:name w:val="heading 2"/>
    <w:basedOn w:val="Normal"/>
    <w:next w:val="Normal"/>
    <w:link w:val="Heading2Char"/>
    <w:autoRedefine/>
    <w:uiPriority w:val="9"/>
    <w:unhideWhenUsed/>
    <w:qFormat/>
    <w:pPr>
      <w:keepNext/>
      <w:keepLines/>
      <w:spacing w:before="200" w:after="0"/>
      <w:outlineLvl w:val="1"/>
    </w:pPr>
    <w:rPr>
      <w:rFonts w:ascii="Times New Roman" w:eastAsia="Times New Roman" w:hAnsi="Times New Roman" w:cs="Times New Roman"/>
      <w:b/>
      <w:bCs/>
      <w:i/>
      <w:color w:val="0D0D0D" w:themeColor="text1" w:themeTint="F2"/>
      <w:sz w:val="26"/>
      <w:szCs w:val="26"/>
      <w:u w:val="single"/>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semiHidden/>
    <w:unhideWhenUsed/>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Pr>
      <w:b/>
      <w:bCs/>
    </w:rPr>
  </w:style>
  <w:style w:type="paragraph" w:styleId="TOC1">
    <w:name w:val="toc 1"/>
    <w:basedOn w:val="Normal"/>
    <w:next w:val="Normal"/>
    <w:autoRedefine/>
    <w:uiPriority w:val="39"/>
    <w:unhideWhenUsed/>
    <w:pPr>
      <w:tabs>
        <w:tab w:val="right" w:leader="dot" w:pos="9016"/>
      </w:tabs>
      <w:spacing w:after="100"/>
      <w:jc w:val="both"/>
    </w:pPr>
    <w:rPr>
      <w:rFonts w:ascii="Times New Roman" w:hAnsi="Times New Roman" w:cs="Times New Roman"/>
      <w:color w:val="0D0D0D" w:themeColor="text1" w:themeTint="F2"/>
      <w:sz w:val="24"/>
      <w:szCs w:val="24"/>
    </w:rPr>
  </w:style>
  <w:style w:type="paragraph" w:styleId="TOC2">
    <w:name w:val="toc 2"/>
    <w:basedOn w:val="Normal"/>
    <w:next w:val="Normal"/>
    <w:autoRedefine/>
    <w:uiPriority w:val="39"/>
    <w:unhideWhenUsed/>
    <w:pPr>
      <w:spacing w:after="100"/>
      <w:ind w:left="220"/>
    </w:p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character" w:customStyle="1" w:styleId="Heading1Char">
    <w:name w:val="Heading 1 Char"/>
    <w:basedOn w:val="DefaultParagraphFont"/>
    <w:link w:val="Heading1"/>
    <w:uiPriority w:val="9"/>
    <w:rPr>
      <w:rFonts w:ascii="Arial" w:eastAsia="Times New Roman" w:hAnsi="Arial" w:cs="Arial"/>
      <w:b/>
      <w:bCs/>
      <w:i/>
      <w:color w:val="0D0D0D" w:themeColor="text1" w:themeTint="F2"/>
      <w:u w:val="single"/>
      <w:lang w:eastAsia="en-IN"/>
    </w:rPr>
  </w:style>
  <w:style w:type="paragraph" w:customStyle="1" w:styleId="TOCHeading1">
    <w:name w:val="TOC Heading1"/>
    <w:basedOn w:val="Heading1"/>
    <w:next w:val="Normal"/>
    <w:uiPriority w:val="39"/>
    <w:unhideWhenUsed/>
    <w:qFormat/>
    <w:pPr>
      <w:outlineLvl w:val="9"/>
    </w:pPr>
    <w:rPr>
      <w:rFonts w:asciiTheme="majorHAnsi" w:eastAsiaTheme="majorEastAsia" w:hAnsiTheme="majorHAnsi" w:cstheme="majorBidi"/>
      <w:i w:val="0"/>
      <w:color w:val="4F81BD" w:themeColor="accent1"/>
      <w:u w:val="none"/>
      <w:lang w:val="en-US" w:eastAsia="ja-JP"/>
      <w14:textFill>
        <w14:solidFill>
          <w14:schemeClr w14:val="accent1">
            <w14:lumMod w14:val="75000"/>
            <w14:lumMod w14:val="95000"/>
            <w14:lumOff w14:val="5000"/>
          </w14:schemeClr>
        </w14:solidFill>
      </w14:textFill>
    </w:rPr>
  </w:style>
  <w:style w:type="character" w:customStyle="1" w:styleId="Heading2Char">
    <w:name w:val="Heading 2 Char"/>
    <w:basedOn w:val="DefaultParagraphFont"/>
    <w:link w:val="Heading2"/>
    <w:uiPriority w:val="9"/>
    <w:rPr>
      <w:rFonts w:ascii="Times New Roman" w:eastAsia="Times New Roman" w:hAnsi="Times New Roman" w:cs="Times New Roman"/>
      <w:b/>
      <w:bCs/>
      <w:i/>
      <w:color w:val="0D0D0D" w:themeColor="text1" w:themeTint="F2"/>
      <w:sz w:val="26"/>
      <w:szCs w:val="26"/>
      <w:u w:val="single"/>
      <w:lang w:eastAsia="en-IN"/>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character" w:customStyle="1" w:styleId="accordion-tabbedtab-mobile">
    <w:name w:val="accordion-tabbed__tab-mobile"/>
    <w:basedOn w:val="DefaultParagraphFont"/>
    <w:rsid w:val="00A26FA1"/>
  </w:style>
  <w:style w:type="character" w:customStyle="1" w:styleId="comma-separator">
    <w:name w:val="comma-separator"/>
    <w:basedOn w:val="DefaultParagraphFont"/>
    <w:rsid w:val="00A26FA1"/>
  </w:style>
  <w:style w:type="paragraph" w:styleId="Caption">
    <w:name w:val="caption"/>
    <w:basedOn w:val="Normal"/>
    <w:next w:val="Normal"/>
    <w:uiPriority w:val="35"/>
    <w:unhideWhenUsed/>
    <w:qFormat/>
    <w:rsid w:val="00A26FA1"/>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onlinelibrary.wiley.com/authored-by/Biederer/Juergen" TargetMode="External"/><Relationship Id="rId13" Type="http://schemas.openxmlformats.org/officeDocument/2006/relationships/hyperlink" Target="https://onlinelibrary.wiley.com/authored-by/Hochhegger/Bruno" TargetMode="External"/><Relationship Id="rId18" Type="http://schemas.openxmlformats.org/officeDocument/2006/relationships/hyperlink" Target="https://onlinelibrary.wiley.com/authored-by/Ozawa/Yoshiyuki"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onlinelibrary.wiley.com/authored-by/Ackman/Jeanne+B." TargetMode="External"/><Relationship Id="rId17" Type="http://schemas.openxmlformats.org/officeDocument/2006/relationships/hyperlink" Target="https://onlinelibrary.wiley.com/authored-by/Ohno/Yoshiharu" TargetMode="External"/><Relationship Id="rId2" Type="http://schemas.openxmlformats.org/officeDocument/2006/relationships/styles" Target="styles.xml"/><Relationship Id="rId16" Type="http://schemas.openxmlformats.org/officeDocument/2006/relationships/hyperlink" Target="https://onlinelibrary.wiley.com/authored-by/Dinkel/Julien" TargetMode="External"/><Relationship Id="rId20" Type="http://schemas.openxmlformats.org/officeDocument/2006/relationships/hyperlink" Target="https://onlinelibrary.wiley.com/authored-by/Wucherpfennig/Lena"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nlinelibrary.wiley.com/authored-by/Bergmann/Liisa+L." TargetMode="External"/><Relationship Id="rId5" Type="http://schemas.openxmlformats.org/officeDocument/2006/relationships/footnotes" Target="footnotes.xml"/><Relationship Id="rId15" Type="http://schemas.openxmlformats.org/officeDocument/2006/relationships/hyperlink" Target="https://onlinelibrary.wiley.com/authored-by/Triphan/Simon+M.+F." TargetMode="External"/><Relationship Id="rId23" Type="http://schemas.openxmlformats.org/officeDocument/2006/relationships/theme" Target="theme/theme1.xml"/><Relationship Id="rId10" Type="http://schemas.openxmlformats.org/officeDocument/2006/relationships/hyperlink" Target="https://onlinelibrary.wiley.com/authored-by/Biederer/Juergen" TargetMode="External"/><Relationship Id="rId19" Type="http://schemas.openxmlformats.org/officeDocument/2006/relationships/hyperlink" Target="https://onlinelibrary.wiley.com/authored-by/Beek/Edwin+J.+R."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onlinelibrary.wiley.com/authored-by/Azour/Lea"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E00088-AEAF-4D1D-ACAD-6F3716B04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11</Pages>
  <Words>2334</Words>
  <Characters>13306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Riza Guzel</cp:lastModifiedBy>
  <cp:revision>17</cp:revision>
  <dcterms:created xsi:type="dcterms:W3CDTF">2026-03-31T17:13:00Z</dcterms:created>
  <dcterms:modified xsi:type="dcterms:W3CDTF">2026-04-21T07:58:00Z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1033-12.1.23155.23155</vt:lpwstr>
  </property>
  <property fmtid="{D5CDD505-2E9C-101B-9397-08002B2CF9AE}" pid="3" name="ICV">
    <vt:lpwstr>136ED9EAD214FE72FEFFE669AE73498A_42</vt:lpwstr>
  </property>
  <property fmtid="{D5CDD505-2E9C-101B-9397-08002B2CF9AE}" pid="4" name="GrammarlyDocumentId">
    <vt:lpwstr>60db7838-49ce-49e4-a6fd-d1a455964e0c</vt:lpwstr>
  </property>
</Properties>
</file>