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1BE94DC" w14:textId="7BD11E5C" w:rsidR="00130484" w:rsidRDefault="00ED2623" w:rsidP="00ED2623">
      <w:pPr>
        <w:jc w:val="center"/>
      </w:pPr>
      <w:r w:rsidRPr="00ED2623">
        <w:rPr>
          <w:noProof/>
          <w:lang w:val="en-IN"/>
        </w:rPr>
        <w:drawing>
          <wp:inline distT="0" distB="0" distL="0" distR="0" wp14:anchorId="2086AC2E" wp14:editId="698824D2">
            <wp:extent cx="2305050" cy="1025525"/>
            <wp:effectExtent l="0" t="0" r="0" b="3175"/>
            <wp:docPr id="4" name="Picture 3">
              <a:extLst xmlns:a="http://schemas.openxmlformats.org/drawingml/2006/main">
                <a:ext uri="{FF2B5EF4-FFF2-40B4-BE49-F238E27FC236}">
                  <a16:creationId xmlns:a16="http://schemas.microsoft.com/office/drawing/2014/main" id="{C6BB6897-A373-F2CA-506D-E1CE17F3795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C6BB6897-A373-F2CA-506D-E1CE17F37953}"/>
                        </a:ext>
                      </a:extLst>
                    </pic:cNvPr>
                    <pic:cNvPicPr>
                      <a:picLocks noChangeAspect="1"/>
                    </pic:cNvPicPr>
                  </pic:nvPicPr>
                  <pic:blipFill>
                    <a:blip r:embed="rId6">
                      <a:extLst>
                        <a:ext uri="{28A0092B-C50C-407E-A947-70E740481C1C}">
                          <a14:useLocalDpi xmlns:a14="http://schemas.microsoft.com/office/drawing/2010/main" val="0"/>
                        </a:ext>
                      </a:extLst>
                    </a:blip>
                    <a:stretch>
                      <a:fillRect/>
                    </a:stretch>
                  </pic:blipFill>
                  <pic:spPr>
                    <a:xfrm>
                      <a:off x="0" y="0"/>
                      <a:ext cx="2305050" cy="1025525"/>
                    </a:xfrm>
                    <a:prstGeom prst="rect">
                      <a:avLst/>
                    </a:prstGeom>
                  </pic:spPr>
                </pic:pic>
              </a:graphicData>
            </a:graphic>
          </wp:inline>
        </w:drawing>
      </w:r>
    </w:p>
    <w:p w14:paraId="03758319" w14:textId="162A74AD" w:rsidR="00ED2623" w:rsidRPr="00ED2623" w:rsidRDefault="00ED2623" w:rsidP="00ED2623">
      <w:pPr>
        <w:pBdr>
          <w:bottom w:val="single" w:sz="4" w:space="1" w:color="auto"/>
        </w:pBdr>
        <w:jc w:val="center"/>
        <w:rPr>
          <w:b/>
          <w:sz w:val="36"/>
          <w:szCs w:val="36"/>
        </w:rPr>
      </w:pPr>
      <w:r w:rsidRPr="00ED2623">
        <w:rPr>
          <w:b/>
          <w:sz w:val="36"/>
          <w:szCs w:val="36"/>
        </w:rPr>
        <w:t>Programme: BSc (Hons) Health and Social Care</w:t>
      </w:r>
    </w:p>
    <w:p w14:paraId="40FF7398" w14:textId="77777777" w:rsidR="00ED2623" w:rsidRPr="00ED2623" w:rsidRDefault="00ED2623" w:rsidP="00ED2623">
      <w:pPr>
        <w:jc w:val="center"/>
        <w:rPr>
          <w:b/>
          <w:sz w:val="36"/>
          <w:szCs w:val="36"/>
        </w:rPr>
      </w:pPr>
      <w:r w:rsidRPr="00ED2623">
        <w:rPr>
          <w:b/>
          <w:sz w:val="36"/>
          <w:szCs w:val="36"/>
        </w:rPr>
        <w:t>Module: Changemakers- Creativity and Value Creation</w:t>
      </w:r>
    </w:p>
    <w:p w14:paraId="23027240" w14:textId="77777777" w:rsidR="00ED2623" w:rsidRPr="00ED2623" w:rsidRDefault="00ED2623" w:rsidP="00ED2623">
      <w:pPr>
        <w:jc w:val="center"/>
        <w:rPr>
          <w:b/>
          <w:sz w:val="36"/>
          <w:szCs w:val="36"/>
        </w:rPr>
      </w:pPr>
      <w:r w:rsidRPr="00ED2623">
        <w:rPr>
          <w:b/>
          <w:sz w:val="36"/>
          <w:szCs w:val="36"/>
        </w:rPr>
        <w:t>Module code: BMHP5014</w:t>
      </w:r>
    </w:p>
    <w:p w14:paraId="2FE5C789" w14:textId="77777777" w:rsidR="00ED2623" w:rsidRPr="00ED2623" w:rsidRDefault="00ED2623" w:rsidP="00ED2623">
      <w:pPr>
        <w:jc w:val="center"/>
        <w:rPr>
          <w:b/>
          <w:sz w:val="36"/>
          <w:szCs w:val="36"/>
        </w:rPr>
      </w:pPr>
      <w:r w:rsidRPr="00ED2623">
        <w:rPr>
          <w:b/>
          <w:sz w:val="36"/>
          <w:szCs w:val="36"/>
        </w:rPr>
        <w:t>Assignment Title: Component 2: Written Assignment (Poster and Pitch)</w:t>
      </w:r>
    </w:p>
    <w:p w14:paraId="1D2494C9" w14:textId="77777777" w:rsidR="00ED2623" w:rsidRPr="00ED2623" w:rsidRDefault="00ED2623" w:rsidP="00ED2623">
      <w:pPr>
        <w:jc w:val="center"/>
        <w:rPr>
          <w:b/>
          <w:sz w:val="36"/>
          <w:szCs w:val="36"/>
        </w:rPr>
      </w:pPr>
      <w:r w:rsidRPr="00ED2623">
        <w:rPr>
          <w:b/>
          <w:sz w:val="36"/>
          <w:szCs w:val="36"/>
        </w:rPr>
        <w:t>Student name: Furaha Bahati</w:t>
      </w:r>
    </w:p>
    <w:p w14:paraId="671AC2EB" w14:textId="050004DB" w:rsidR="00ED2623" w:rsidRDefault="00ED2623" w:rsidP="00ED2623">
      <w:pPr>
        <w:jc w:val="center"/>
        <w:rPr>
          <w:b/>
          <w:sz w:val="36"/>
          <w:szCs w:val="36"/>
        </w:rPr>
      </w:pPr>
      <w:r w:rsidRPr="00ED2623">
        <w:rPr>
          <w:b/>
          <w:sz w:val="36"/>
          <w:szCs w:val="36"/>
        </w:rPr>
        <w:t>Student ID:</w:t>
      </w:r>
      <w:r w:rsidR="0034422C">
        <w:rPr>
          <w:b/>
          <w:sz w:val="36"/>
          <w:szCs w:val="36"/>
        </w:rPr>
        <w:t xml:space="preserve"> 2321694</w:t>
      </w:r>
    </w:p>
    <w:p w14:paraId="72148A68" w14:textId="77777777" w:rsidR="00ED2623" w:rsidRDefault="00ED2623">
      <w:pPr>
        <w:spacing w:line="276" w:lineRule="auto"/>
        <w:jc w:val="left"/>
        <w:rPr>
          <w:b/>
          <w:sz w:val="36"/>
          <w:szCs w:val="36"/>
        </w:rPr>
      </w:pPr>
      <w:r>
        <w:rPr>
          <w:b/>
          <w:sz w:val="36"/>
          <w:szCs w:val="36"/>
        </w:rPr>
        <w:br w:type="page"/>
      </w:r>
    </w:p>
    <w:p w14:paraId="3999054D" w14:textId="77777777" w:rsidR="00ED2623" w:rsidRDefault="00ED2623" w:rsidP="00ED2623">
      <w:pPr>
        <w:pStyle w:val="Heading1"/>
      </w:pPr>
      <w:r>
        <w:lastRenderedPageBreak/>
        <w:t xml:space="preserve">Poster </w:t>
      </w:r>
    </w:p>
    <w:p w14:paraId="786BB50B" w14:textId="57AD7428" w:rsidR="009258CF" w:rsidRDefault="009258CF" w:rsidP="009258CF">
      <w:pPr>
        <w:rPr>
          <w:lang w:val="en-IN"/>
        </w:rPr>
      </w:pPr>
      <w:r>
        <w:rPr>
          <w:noProof/>
          <w:lang w:val="en-IN" w:eastAsia="en-IN"/>
        </w:rPr>
        <w:drawing>
          <wp:inline distT="0" distB="0" distL="0" distR="0" wp14:anchorId="344E097C" wp14:editId="54581B38">
            <wp:extent cx="5943600" cy="334454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344545"/>
                    </a:xfrm>
                    <a:prstGeom prst="rect">
                      <a:avLst/>
                    </a:prstGeom>
                  </pic:spPr>
                </pic:pic>
              </a:graphicData>
            </a:graphic>
          </wp:inline>
        </w:drawing>
      </w:r>
    </w:p>
    <w:p w14:paraId="1C7A7A3B" w14:textId="5E9A55AD" w:rsidR="009258CF" w:rsidRPr="009258CF" w:rsidRDefault="009258CF" w:rsidP="009258CF">
      <w:pPr>
        <w:jc w:val="center"/>
        <w:rPr>
          <w:b/>
          <w:lang w:val="en-IN"/>
        </w:rPr>
      </w:pPr>
      <w:r w:rsidRPr="009258CF">
        <w:rPr>
          <w:b/>
          <w:lang w:val="en-IN"/>
        </w:rPr>
        <w:t xml:space="preserve">Source: Author </w:t>
      </w:r>
    </w:p>
    <w:p w14:paraId="7B7C44AB" w14:textId="77777777" w:rsidR="00ED2623" w:rsidRDefault="00ED2623">
      <w:pPr>
        <w:spacing w:line="276" w:lineRule="auto"/>
        <w:jc w:val="left"/>
        <w:rPr>
          <w:rFonts w:eastAsia="Arial" w:cs="Times New Roman"/>
          <w:b/>
          <w:bCs/>
          <w:noProof/>
          <w:sz w:val="28"/>
          <w:lang w:val="en-IN"/>
        </w:rPr>
      </w:pPr>
      <w:r>
        <w:br w:type="page"/>
      </w:r>
    </w:p>
    <w:p w14:paraId="71987946" w14:textId="77777777" w:rsidR="00ED2623" w:rsidRDefault="00ED2623" w:rsidP="00ED2623">
      <w:pPr>
        <w:pStyle w:val="Heading1"/>
      </w:pPr>
      <w:r>
        <w:lastRenderedPageBreak/>
        <w:t xml:space="preserve">Pitch </w:t>
      </w:r>
    </w:p>
    <w:p w14:paraId="1CE533EF" w14:textId="77777777" w:rsidR="00074447" w:rsidRDefault="00074447" w:rsidP="00074447">
      <w:pPr>
        <w:pStyle w:val="NormalWeb"/>
        <w:spacing w:before="0" w:beforeAutospacing="0" w:after="0" w:afterAutospacing="0" w:line="360" w:lineRule="auto"/>
        <w:jc w:val="both"/>
        <w:rPr>
          <w:sz w:val="24"/>
        </w:rPr>
      </w:pPr>
      <w:r>
        <w:rPr>
          <w:b/>
          <w:bCs/>
          <w:color w:val="000000"/>
        </w:rPr>
        <w:t>Title and innovation review </w:t>
      </w:r>
    </w:p>
    <w:p w14:paraId="20061A70" w14:textId="4BEC93D7" w:rsidR="00074447" w:rsidRDefault="00074447" w:rsidP="00074447">
      <w:pPr>
        <w:pStyle w:val="NormalWeb"/>
        <w:spacing w:before="0" w:beforeAutospacing="0" w:after="0" w:afterAutospacing="0" w:line="360" w:lineRule="auto"/>
        <w:jc w:val="both"/>
      </w:pPr>
      <w:r>
        <w:rPr>
          <w:color w:val="000000"/>
        </w:rPr>
        <w:t xml:space="preserve">The poster encompasses the demonstration of knowledge and critical understanding of innovation, creativity and an enterprising mind-set. The goal of this presentation is associated with the proposal of an innovative solution to enhance the experience in the health and social care sector. The service users, patients, and health care professionals will be benefited with the execution of the innovation to provide service for a healthcare reason. Connect to care is the name of the chosen initiative that covers a digital human integrated support network and its development to provide proper services in health and social care (Piardi </w:t>
      </w:r>
      <w:r>
        <w:rPr>
          <w:i/>
          <w:iCs/>
          <w:color w:val="000000"/>
        </w:rPr>
        <w:t xml:space="preserve">et al., </w:t>
      </w:r>
      <w:r>
        <w:rPr>
          <w:color w:val="000000"/>
        </w:rPr>
        <w:t>2024). </w:t>
      </w:r>
    </w:p>
    <w:p w14:paraId="25310086" w14:textId="77777777" w:rsidR="00074447" w:rsidRDefault="00074447" w:rsidP="00074447">
      <w:pPr>
        <w:pStyle w:val="NormalWeb"/>
        <w:spacing w:before="0" w:beforeAutospacing="0" w:after="0" w:afterAutospacing="0" w:line="360" w:lineRule="auto"/>
        <w:jc w:val="both"/>
      </w:pPr>
      <w:r>
        <w:rPr>
          <w:b/>
          <w:bCs/>
          <w:color w:val="000000"/>
        </w:rPr>
        <w:t>The identified gap in health and social care </w:t>
      </w:r>
    </w:p>
    <w:p w14:paraId="63EDD33E" w14:textId="77777777" w:rsidR="00074447" w:rsidRDefault="00074447" w:rsidP="00074447">
      <w:pPr>
        <w:pStyle w:val="NormalWeb"/>
        <w:spacing w:before="0" w:beforeAutospacing="0" w:after="0" w:afterAutospacing="0" w:line="360" w:lineRule="auto"/>
        <w:jc w:val="both"/>
      </w:pPr>
      <w:r>
        <w:rPr>
          <w:color w:val="000000"/>
        </w:rPr>
        <w:t xml:space="preserve">The huge rush in the health and social care sector, the execution of effective communication, and the removal of the issues of the ageing population are all associated with the void in the health and social care sector (Turk </w:t>
      </w:r>
      <w:r>
        <w:rPr>
          <w:i/>
          <w:iCs/>
          <w:color w:val="000000"/>
        </w:rPr>
        <w:t xml:space="preserve">et al., </w:t>
      </w:r>
      <w:r>
        <w:rPr>
          <w:color w:val="000000"/>
        </w:rPr>
        <w:t xml:space="preserve">2024). The identified gap is going to be mitigated through the integration of digital and human-supported network platforms. The innovation combines a digital help platform, community Health workers, AI based support tools to create a continuous purpose of care ecosystem (Patil </w:t>
      </w:r>
      <w:r>
        <w:rPr>
          <w:i/>
          <w:iCs/>
          <w:color w:val="000000"/>
        </w:rPr>
        <w:t xml:space="preserve">et al., </w:t>
      </w:r>
      <w:r>
        <w:rPr>
          <w:color w:val="000000"/>
        </w:rPr>
        <w:t>2024). </w:t>
      </w:r>
    </w:p>
    <w:p w14:paraId="35CDE510" w14:textId="77777777" w:rsidR="00074447" w:rsidRDefault="00074447" w:rsidP="00074447">
      <w:pPr>
        <w:pStyle w:val="NormalWeb"/>
        <w:spacing w:before="0" w:beforeAutospacing="0" w:after="0" w:afterAutospacing="0" w:line="360" w:lineRule="auto"/>
        <w:jc w:val="both"/>
      </w:pPr>
      <w:r>
        <w:rPr>
          <w:b/>
          <w:bCs/>
          <w:color w:val="000000"/>
        </w:rPr>
        <w:t>Target audience and impact </w:t>
      </w:r>
    </w:p>
    <w:p w14:paraId="36D97419" w14:textId="77777777" w:rsidR="00074447" w:rsidRDefault="00074447" w:rsidP="00074447">
      <w:pPr>
        <w:pStyle w:val="NormalWeb"/>
        <w:spacing w:before="0" w:beforeAutospacing="0" w:after="0" w:afterAutospacing="0" w:line="360" w:lineRule="auto"/>
        <w:jc w:val="both"/>
      </w:pPr>
      <w:r>
        <w:rPr>
          <w:color w:val="000000"/>
        </w:rPr>
        <w:t xml:space="preserve">The primary and secondary targets are related to the expected impact of easy access to the health care area, a better level of disease management and reduction in emergency hospital visits. The health care system will reduce the overload, improve the purpose of patient outcome and be efficient in terms of estimating the purpose of resource allocation. The elderly people will identify the requirement of ongoing help and support, and the patient with a chronic disease will get proper resistance (Patil </w:t>
      </w:r>
      <w:r>
        <w:rPr>
          <w:i/>
          <w:iCs/>
          <w:color w:val="000000"/>
        </w:rPr>
        <w:t xml:space="preserve">et al., </w:t>
      </w:r>
      <w:r>
        <w:rPr>
          <w:color w:val="000000"/>
        </w:rPr>
        <w:t>2024). The overall area of well-being will be followed by a stronger level of supporting networks to increase health awareness and improve social care coordination.</w:t>
      </w:r>
    </w:p>
    <w:p w14:paraId="4F47C264" w14:textId="77777777" w:rsidR="00074447" w:rsidRDefault="00074447" w:rsidP="00074447">
      <w:pPr>
        <w:pStyle w:val="NormalWeb"/>
        <w:spacing w:before="0" w:beforeAutospacing="0" w:after="0" w:afterAutospacing="0" w:line="360" w:lineRule="auto"/>
        <w:jc w:val="both"/>
      </w:pPr>
      <w:r>
        <w:rPr>
          <w:b/>
          <w:bCs/>
          <w:color w:val="000000"/>
        </w:rPr>
        <w:t>Implementation</w:t>
      </w:r>
    </w:p>
    <w:p w14:paraId="0EF951F8" w14:textId="77777777" w:rsidR="00074447" w:rsidRDefault="00074447" w:rsidP="00074447">
      <w:pPr>
        <w:pStyle w:val="NormalWeb"/>
        <w:spacing w:before="0" w:beforeAutospacing="0" w:after="0" w:afterAutospacing="0" w:line="360" w:lineRule="auto"/>
        <w:jc w:val="both"/>
      </w:pPr>
      <w:r>
        <w:rPr>
          <w:color w:val="000000"/>
        </w:rPr>
        <w:t xml:space="preserve">The detailed area of implementing this system will involve several integrated components like a mobile and web platform to book telehealth appointments, to track health data, access the purpose of health resources and request social support services. The estimation of community Health workers and the purpose of care coordination will be assisted by the patients with digital tools, and also connect users with care providers (Patil </w:t>
      </w:r>
      <w:r>
        <w:rPr>
          <w:i/>
          <w:iCs/>
          <w:color w:val="000000"/>
        </w:rPr>
        <w:t xml:space="preserve">et al., </w:t>
      </w:r>
      <w:r>
        <w:rPr>
          <w:color w:val="000000"/>
        </w:rPr>
        <w:t>2024).  </w:t>
      </w:r>
    </w:p>
    <w:p w14:paraId="0DCA5031" w14:textId="29E5185A" w:rsidR="00074447" w:rsidRDefault="00074447" w:rsidP="00074447">
      <w:pPr>
        <w:pStyle w:val="NormalWeb"/>
        <w:spacing w:before="0" w:beforeAutospacing="0" w:after="0" w:afterAutospacing="0" w:line="360" w:lineRule="auto"/>
        <w:jc w:val="both"/>
      </w:pPr>
      <w:r>
        <w:rPr>
          <w:color w:val="000000"/>
        </w:rPr>
        <w:t xml:space="preserve">The core designing area of patients, caregivers, and professionals is going to look into the system of virtual consultation, remote follow- up and proper guidance for prescriptions. The </w:t>
      </w:r>
      <w:r>
        <w:rPr>
          <w:color w:val="000000"/>
        </w:rPr>
        <w:lastRenderedPageBreak/>
        <w:t>identification of a centralised dashboard will help to allow healthcare providers to track patient progress, coordinate services and monitor different types of alerts from the health data</w:t>
      </w:r>
      <w:r w:rsidR="00F3099C">
        <w:rPr>
          <w:color w:val="000000"/>
        </w:rPr>
        <w:t xml:space="preserve"> (Pant </w:t>
      </w:r>
      <w:r w:rsidR="00F3099C">
        <w:rPr>
          <w:i/>
          <w:iCs/>
          <w:color w:val="000000"/>
        </w:rPr>
        <w:t xml:space="preserve">et al., </w:t>
      </w:r>
      <w:r w:rsidR="00F3099C">
        <w:rPr>
          <w:color w:val="000000"/>
        </w:rPr>
        <w:t>2024)</w:t>
      </w:r>
      <w:r>
        <w:rPr>
          <w:color w:val="000000"/>
        </w:rPr>
        <w:t>. </w:t>
      </w:r>
    </w:p>
    <w:p w14:paraId="25732B03" w14:textId="77777777" w:rsidR="00074447" w:rsidRDefault="00074447" w:rsidP="00074447">
      <w:pPr>
        <w:pStyle w:val="NormalWeb"/>
        <w:spacing w:before="0" w:beforeAutospacing="0" w:after="0" w:afterAutospacing="0" w:line="360" w:lineRule="auto"/>
        <w:jc w:val="both"/>
      </w:pPr>
      <w:r>
        <w:rPr>
          <w:b/>
          <w:bCs/>
          <w:color w:val="000000"/>
        </w:rPr>
        <w:t>Timeline</w:t>
      </w:r>
    </w:p>
    <w:p w14:paraId="4E45E94E" w14:textId="77777777" w:rsidR="00074447" w:rsidRDefault="00074447" w:rsidP="00074447">
      <w:pPr>
        <w:pStyle w:val="NormalWeb"/>
        <w:spacing w:before="0" w:beforeAutospacing="0" w:after="0" w:afterAutospacing="0" w:line="360" w:lineRule="auto"/>
        <w:jc w:val="both"/>
      </w:pPr>
      <w:r>
        <w:rPr>
          <w:color w:val="000000"/>
        </w:rPr>
        <w:t>The planning of co-design needs proper assessment, research and development along with the purpose of consultation with the stakeholders. The purpose of designing the platform is associated with the overall system for AI integration, database and infrastructure setup. </w:t>
      </w:r>
    </w:p>
    <w:p w14:paraId="6B143FA8" w14:textId="59F18CE5" w:rsidR="00074447" w:rsidRDefault="00074447" w:rsidP="00074447">
      <w:pPr>
        <w:pStyle w:val="NormalWeb"/>
        <w:spacing w:before="0" w:beforeAutospacing="0" w:after="0" w:afterAutospacing="0" w:line="360" w:lineRule="auto"/>
        <w:jc w:val="both"/>
      </w:pPr>
      <w:r>
        <w:rPr>
          <w:color w:val="000000"/>
        </w:rPr>
        <w:t>The system of digital development relates to the area of pilot programming in selected communities to train the community health workers to gather feedback and refine the system. The overall purpose of digital and human integration will innovate the strategy to identify the purpose of developing a network in social care, along with the achievement of the coordinated initiative. The overall process will be expanded within 2 years, and it will integrate the service area of the h</w:t>
      </w:r>
      <w:r w:rsidR="00F3099C">
        <w:rPr>
          <w:color w:val="000000"/>
        </w:rPr>
        <w:t>ospital and government programs.</w:t>
      </w:r>
    </w:p>
    <w:p w14:paraId="02DB0692" w14:textId="77777777" w:rsidR="00074447" w:rsidRDefault="00074447" w:rsidP="00074447">
      <w:pPr>
        <w:pStyle w:val="NormalWeb"/>
        <w:spacing w:before="0" w:beforeAutospacing="0" w:after="0" w:afterAutospacing="0" w:line="360" w:lineRule="auto"/>
        <w:jc w:val="both"/>
      </w:pPr>
      <w:r>
        <w:rPr>
          <w:b/>
          <w:bCs/>
          <w:color w:val="000000"/>
        </w:rPr>
        <w:t>Development and regulations </w:t>
      </w:r>
    </w:p>
    <w:p w14:paraId="2797D04E" w14:textId="3695F6A7" w:rsidR="00074447" w:rsidRPr="00F3099C" w:rsidRDefault="00074447" w:rsidP="00074447">
      <w:pPr>
        <w:rPr>
          <w:color w:val="000000"/>
        </w:rPr>
      </w:pPr>
      <w:r>
        <w:rPr>
          <w:color w:val="000000"/>
        </w:rPr>
        <w:t>The purpose of maintaining the standards of UK GDPR relates to the purpose of privacy regulations like health data protection policy, secured and encrypted database, and consent-based data sharing (</w:t>
      </w:r>
      <w:r w:rsidRPr="00FD6D05">
        <w:t>Konopik</w:t>
      </w:r>
      <w:r>
        <w:t xml:space="preserve"> </w:t>
      </w:r>
      <w:r w:rsidRPr="00FD6D05">
        <w:t>and Blunck</w:t>
      </w:r>
      <w:r>
        <w:t>, 2023)</w:t>
      </w:r>
      <w:r>
        <w:rPr>
          <w:color w:val="000000"/>
        </w:rPr>
        <w:t>. The area to comply with healthcare policies, different types of telemedicine guidelines, medical licensing requirements and clinical standards of safety are followed for compliance with healthcare regulations and ethical standards. The confidentiality of the patients is also related to the responsible area of this supporting network to manage the alerts properly. The area to deal with remote monitoring becomes a transfer in terms of identifying proper data practices</w:t>
      </w:r>
      <w:r w:rsidR="00F3099C">
        <w:rPr>
          <w:color w:val="000000"/>
        </w:rPr>
        <w:t xml:space="preserve"> (</w:t>
      </w:r>
      <w:r w:rsidR="00F3099C">
        <w:t xml:space="preserve">Maher </w:t>
      </w:r>
      <w:r w:rsidR="00F3099C">
        <w:rPr>
          <w:i/>
        </w:rPr>
        <w:t xml:space="preserve">et al., </w:t>
      </w:r>
      <w:r w:rsidR="00F3099C">
        <w:t>2023)</w:t>
      </w:r>
      <w:r>
        <w:rPr>
          <w:color w:val="000000"/>
        </w:rPr>
        <w:t>. </w:t>
      </w:r>
    </w:p>
    <w:p w14:paraId="061EFBD6" w14:textId="77777777" w:rsidR="00074447" w:rsidRDefault="00074447" w:rsidP="00074447">
      <w:pPr>
        <w:pStyle w:val="NormalWeb"/>
        <w:spacing w:before="0" w:beforeAutospacing="0" w:after="0" w:afterAutospacing="0" w:line="360" w:lineRule="auto"/>
        <w:jc w:val="both"/>
      </w:pPr>
      <w:r>
        <w:rPr>
          <w:b/>
          <w:bCs/>
          <w:color w:val="000000"/>
        </w:rPr>
        <w:t>Technology integration </w:t>
      </w:r>
    </w:p>
    <w:p w14:paraId="6DAFED66" w14:textId="1DC0FB72" w:rsidR="00074447" w:rsidRDefault="00074447" w:rsidP="00F3099C">
      <w:r>
        <w:rPr>
          <w:color w:val="000000"/>
        </w:rPr>
        <w:t>Connect to Care will integrate multiple areas of services with the execution of technology. The central digital platform is a secure system connection which will integrate with the purpose of social care providers, community services, GP practices and hospitals to look into the process of integrated care. The provision of mobile applications and access to care planning eventually led to the purpose of receiving medication reminders, along with the purpo</w:t>
      </w:r>
      <w:r w:rsidR="00F3099C">
        <w:rPr>
          <w:color w:val="000000"/>
        </w:rPr>
        <w:t>se of contact care coordination (</w:t>
      </w:r>
      <w:r w:rsidR="00F3099C">
        <w:t xml:space="preserve">Kerasidou </w:t>
      </w:r>
      <w:r w:rsidR="00F3099C" w:rsidRPr="00FD6D05">
        <w:t xml:space="preserve">and Kerasidou, </w:t>
      </w:r>
      <w:r w:rsidR="00F3099C">
        <w:t>2023).</w:t>
      </w:r>
    </w:p>
    <w:p w14:paraId="113345CA" w14:textId="71BD3EA9" w:rsidR="00074447" w:rsidRPr="00661185" w:rsidRDefault="00074447" w:rsidP="00074447">
      <w:pPr>
        <w:pStyle w:val="NormalWeb"/>
        <w:spacing w:before="0" w:beforeAutospacing="0" w:after="0" w:afterAutospacing="0" w:line="360" w:lineRule="auto"/>
        <w:jc w:val="both"/>
      </w:pPr>
      <w:r>
        <w:rPr>
          <w:color w:val="000000"/>
        </w:rPr>
        <w:t xml:space="preserve">The overall area of daily health service will integrate the purpose of video consultation along with the support of AI-triage. The purpose of patient-centred care is estimated by the implementation of a remote monitoring device to track and estimate data </w:t>
      </w:r>
      <w:r w:rsidR="008255B8">
        <w:rPr>
          <w:color w:val="000000"/>
        </w:rPr>
        <w:t>feeds into the digital platform (</w:t>
      </w:r>
      <w:r w:rsidR="008255B8" w:rsidRPr="004909A4">
        <w:t>Bhat</w:t>
      </w:r>
      <w:r w:rsidR="008255B8">
        <w:t xml:space="preserve"> </w:t>
      </w:r>
      <w:r w:rsidR="008255B8">
        <w:rPr>
          <w:i/>
        </w:rPr>
        <w:t>et a</w:t>
      </w:r>
      <w:r w:rsidR="00661185">
        <w:rPr>
          <w:i/>
        </w:rPr>
        <w:t xml:space="preserve">l., </w:t>
      </w:r>
      <w:r w:rsidR="00661185">
        <w:t>2022).</w:t>
      </w:r>
    </w:p>
    <w:p w14:paraId="770900DD" w14:textId="77777777" w:rsidR="00074447" w:rsidRDefault="00074447" w:rsidP="00074447">
      <w:pPr>
        <w:pStyle w:val="NormalWeb"/>
        <w:spacing w:before="0" w:beforeAutospacing="0" w:after="0" w:afterAutospacing="0" w:line="360" w:lineRule="auto"/>
        <w:jc w:val="both"/>
      </w:pPr>
      <w:r>
        <w:rPr>
          <w:b/>
          <w:bCs/>
          <w:color w:val="000000"/>
        </w:rPr>
        <w:lastRenderedPageBreak/>
        <w:t>Promotion strategy </w:t>
      </w:r>
    </w:p>
    <w:p w14:paraId="2F731E1D" w14:textId="36CCBA39" w:rsidR="00074447" w:rsidRDefault="00074447" w:rsidP="00074447">
      <w:pPr>
        <w:pStyle w:val="NormalWeb"/>
        <w:spacing w:before="0" w:beforeAutospacing="0" w:after="0" w:afterAutospacing="0" w:line="360" w:lineRule="auto"/>
        <w:jc w:val="both"/>
      </w:pPr>
      <w:r>
        <w:rPr>
          <w:color w:val="000000"/>
        </w:rPr>
        <w:t>The implementation of the hashtag #Connect to Care will promote the area of successful adaptation to develop a stronger level of awareness campaign. The provision of healthcare engagement, demonstration of platform benefits and the purpose of community outreach will relate to the area of elderly support groups</w:t>
      </w:r>
      <w:r w:rsidR="00F3099C">
        <w:rPr>
          <w:color w:val="000000"/>
        </w:rPr>
        <w:t xml:space="preserve"> (</w:t>
      </w:r>
      <w:r w:rsidR="00F3099C">
        <w:t xml:space="preserve">Maher </w:t>
      </w:r>
      <w:r w:rsidR="00F3099C">
        <w:rPr>
          <w:i/>
        </w:rPr>
        <w:t xml:space="preserve">et al., </w:t>
      </w:r>
      <w:r w:rsidR="00F3099C">
        <w:t>2023)</w:t>
      </w:r>
      <w:r>
        <w:rPr>
          <w:color w:val="000000"/>
        </w:rPr>
        <w:t>. The evolution of social media platforms, the promotion of GP practitioners, and the collaboration of partnerships with technology companies will refer to the purpose of promoting this thing to successfully deal with the process of onboarding. The verification of the ICS strategy, the collaboration with the NHS trust will implement the system of different kinds of demo</w:t>
      </w:r>
      <w:r w:rsidR="008255B8">
        <w:rPr>
          <w:color w:val="000000"/>
        </w:rPr>
        <w:t>nstrations of platform benefits (</w:t>
      </w:r>
      <w:r w:rsidR="008255B8">
        <w:t xml:space="preserve">Khan </w:t>
      </w:r>
      <w:r w:rsidR="008255B8">
        <w:rPr>
          <w:i/>
        </w:rPr>
        <w:t xml:space="preserve">et al., </w:t>
      </w:r>
      <w:r w:rsidR="008255B8">
        <w:t>2023).</w:t>
      </w:r>
      <w:r>
        <w:rPr>
          <w:color w:val="000000"/>
        </w:rPr>
        <w:t> </w:t>
      </w:r>
    </w:p>
    <w:p w14:paraId="6E5713E0" w14:textId="77777777" w:rsidR="00074447" w:rsidRDefault="00074447" w:rsidP="00074447">
      <w:pPr>
        <w:pStyle w:val="NormalWeb"/>
        <w:spacing w:before="0" w:beforeAutospacing="0" w:after="0" w:afterAutospacing="0" w:line="360" w:lineRule="auto"/>
        <w:jc w:val="both"/>
      </w:pPr>
      <w:r>
        <w:rPr>
          <w:b/>
          <w:bCs/>
          <w:color w:val="000000"/>
        </w:rPr>
        <w:t>Conclusion</w:t>
      </w:r>
    </w:p>
    <w:p w14:paraId="1DA2744F" w14:textId="6D59245D" w:rsidR="00074447" w:rsidRDefault="00074447" w:rsidP="00074447">
      <w:pPr>
        <w:pStyle w:val="NormalWeb"/>
        <w:spacing w:before="0" w:beforeAutospacing="0" w:after="0" w:afterAutospacing="0" w:line="360" w:lineRule="auto"/>
        <w:jc w:val="both"/>
      </w:pPr>
      <w:r>
        <w:rPr>
          <w:color w:val="000000"/>
        </w:rPr>
        <w:t xml:space="preserve">It is obvious from the overall presentation that this purpose-oriented strategy will be effective in terms of actualising the system of a modern integrated care model. Outcome of the patient and the purpose of care coordination will enhance the system of the National Health </w:t>
      </w:r>
      <w:r w:rsidR="00661185">
        <w:rPr>
          <w:color w:val="000000"/>
        </w:rPr>
        <w:t>Service</w:t>
      </w:r>
      <w:r>
        <w:rPr>
          <w:color w:val="000000"/>
        </w:rPr>
        <w:t xml:space="preserve"> providing more personalised and community-based care. The addiction of digital health solutions and models will play a crucial role in the purpose to build a coordinated system to represent this model in a proper way. </w:t>
      </w:r>
    </w:p>
    <w:p w14:paraId="1C22B94E" w14:textId="77777777" w:rsidR="00074447" w:rsidRPr="00074447" w:rsidRDefault="00074447" w:rsidP="00074447">
      <w:pPr>
        <w:rPr>
          <w:lang w:val="en-IN"/>
        </w:rPr>
      </w:pPr>
    </w:p>
    <w:p w14:paraId="768CD683" w14:textId="77777777" w:rsidR="00ED2623" w:rsidRDefault="00ED2623">
      <w:pPr>
        <w:spacing w:line="276" w:lineRule="auto"/>
        <w:jc w:val="left"/>
        <w:rPr>
          <w:rFonts w:eastAsia="Arial" w:cs="Times New Roman"/>
          <w:b/>
          <w:bCs/>
          <w:noProof/>
          <w:sz w:val="28"/>
          <w:lang w:val="en-IN"/>
        </w:rPr>
      </w:pPr>
      <w:r>
        <w:br w:type="page"/>
      </w:r>
    </w:p>
    <w:p w14:paraId="3648C170" w14:textId="12468A04" w:rsidR="00F3099C" w:rsidRDefault="00ED2623" w:rsidP="00F3099C">
      <w:pPr>
        <w:pStyle w:val="Heading1"/>
      </w:pPr>
      <w:r>
        <w:t xml:space="preserve">References </w:t>
      </w:r>
    </w:p>
    <w:p w14:paraId="2031C958" w14:textId="77777777" w:rsidR="00F3099C" w:rsidRDefault="00F3099C" w:rsidP="00F3099C">
      <w:r w:rsidRPr="004909A4">
        <w:t>Bhat, K., Easwarathasan, R., Jacob, M., Poole, W., Sapaetharan, V.,</w:t>
      </w:r>
      <w:r>
        <w:t xml:space="preserve"> Sidhu, M. and Thomas, A. (2022)</w:t>
      </w:r>
      <w:r w:rsidRPr="004909A4">
        <w:t xml:space="preserve"> </w:t>
      </w:r>
      <w:r>
        <w:t>‘</w:t>
      </w:r>
      <w:r w:rsidRPr="004909A4">
        <w:t>Identifying and understanding the factors that influence the functioning of integrated healthcare systems in the NHS: a systematic literature review.</w:t>
      </w:r>
      <w:r>
        <w:t>’</w:t>
      </w:r>
      <w:r w:rsidRPr="004909A4">
        <w:t> </w:t>
      </w:r>
      <w:r w:rsidRPr="004909A4">
        <w:rPr>
          <w:i/>
          <w:iCs/>
        </w:rPr>
        <w:t>BMJ open</w:t>
      </w:r>
      <w:r w:rsidRPr="004909A4">
        <w:t>, </w:t>
      </w:r>
      <w:r w:rsidRPr="004909A4">
        <w:rPr>
          <w:i/>
          <w:iCs/>
        </w:rPr>
        <w:t>12</w:t>
      </w:r>
      <w:r w:rsidRPr="004909A4">
        <w:t xml:space="preserve">(4), p.e049296. </w:t>
      </w:r>
      <w:r>
        <w:t xml:space="preserve">Available at: </w:t>
      </w:r>
      <w:hyperlink r:id="rId8" w:tgtFrame="_new" w:history="1">
        <w:r w:rsidRPr="004909A4">
          <w:rPr>
            <w:rStyle w:val="Hyperlink"/>
          </w:rPr>
          <w:t>https://doi.org/10.1136/bmjopen-2021-049296</w:t>
        </w:r>
      </w:hyperlink>
      <w:r>
        <w:t xml:space="preserve"> </w:t>
      </w:r>
    </w:p>
    <w:p w14:paraId="3105FEC6" w14:textId="77777777" w:rsidR="00F3099C" w:rsidRDefault="00F3099C" w:rsidP="00F3099C">
      <w:r w:rsidRPr="00FD6D05">
        <w:t xml:space="preserve">Kerasidou, A. and Kerasidou, C. </w:t>
      </w:r>
      <w:r>
        <w:t>(</w:t>
      </w:r>
      <w:r w:rsidRPr="00FD6D05">
        <w:t>2023</w:t>
      </w:r>
      <w:r>
        <w:t>)</w:t>
      </w:r>
      <w:r w:rsidRPr="00FD6D05">
        <w:t xml:space="preserve"> </w:t>
      </w:r>
      <w:r>
        <w:t>‘</w:t>
      </w:r>
      <w:r w:rsidRPr="00FD6D05">
        <w:t>Data-driven research and healthcare: public trust, data governance and the NHS.</w:t>
      </w:r>
      <w:r>
        <w:t>’</w:t>
      </w:r>
      <w:r w:rsidRPr="00FD6D05">
        <w:t> </w:t>
      </w:r>
      <w:r w:rsidRPr="00FD6D05">
        <w:rPr>
          <w:i/>
          <w:iCs/>
        </w:rPr>
        <w:t>BMC medical ethics</w:t>
      </w:r>
      <w:r w:rsidRPr="00FD6D05">
        <w:t>, </w:t>
      </w:r>
      <w:r w:rsidRPr="00FD6D05">
        <w:rPr>
          <w:i/>
          <w:iCs/>
        </w:rPr>
        <w:t>24</w:t>
      </w:r>
      <w:r w:rsidRPr="00FD6D05">
        <w:t xml:space="preserve">(1), p.51. </w:t>
      </w:r>
      <w:r>
        <w:t xml:space="preserve">Available at: </w:t>
      </w:r>
      <w:hyperlink r:id="rId9" w:history="1">
        <w:r w:rsidRPr="00315424">
          <w:rPr>
            <w:rStyle w:val="Hyperlink"/>
          </w:rPr>
          <w:t>https://link.springer.com/article/10.1186/s12910-023-00922-z</w:t>
        </w:r>
      </w:hyperlink>
      <w:r>
        <w:t xml:space="preserve"> </w:t>
      </w:r>
    </w:p>
    <w:p w14:paraId="4E0BC88C" w14:textId="77777777" w:rsidR="00F3099C" w:rsidRDefault="00F3099C" w:rsidP="00F3099C">
      <w:r w:rsidRPr="006321E4">
        <w:t>Khan, N., Ra</w:t>
      </w:r>
      <w:r>
        <w:t>ndhawa, G. and Hewson, D. (2023)</w:t>
      </w:r>
      <w:r w:rsidRPr="006321E4">
        <w:t xml:space="preserve"> </w:t>
      </w:r>
      <w:r>
        <w:t>‘</w:t>
      </w:r>
      <w:r w:rsidRPr="006321E4">
        <w:t>Integrated care for older people with different frailty levels: a qualitative study of local implementation of a national policy in Luton, England.</w:t>
      </w:r>
      <w:r>
        <w:t>’</w:t>
      </w:r>
      <w:r w:rsidRPr="006321E4">
        <w:t> </w:t>
      </w:r>
      <w:r w:rsidRPr="006321E4">
        <w:rPr>
          <w:i/>
          <w:iCs/>
        </w:rPr>
        <w:t>International Journal of Integrated Care</w:t>
      </w:r>
      <w:r w:rsidRPr="006321E4">
        <w:t>, </w:t>
      </w:r>
      <w:r w:rsidRPr="006321E4">
        <w:rPr>
          <w:i/>
          <w:iCs/>
        </w:rPr>
        <w:t>23</w:t>
      </w:r>
      <w:r w:rsidRPr="006321E4">
        <w:t xml:space="preserve">(1), p.15. </w:t>
      </w:r>
      <w:r>
        <w:t xml:space="preserve">Available at: </w:t>
      </w:r>
      <w:hyperlink r:id="rId10" w:history="1">
        <w:r w:rsidRPr="00F94973">
          <w:rPr>
            <w:rStyle w:val="Hyperlink"/>
          </w:rPr>
          <w:t>https://pmc.ncbi.nlm.nih.gov/articles/PMC10038114/</w:t>
        </w:r>
      </w:hyperlink>
      <w:r>
        <w:t xml:space="preserve"> [Accessed on: 09.03.2026.]</w:t>
      </w:r>
    </w:p>
    <w:p w14:paraId="35197BCD" w14:textId="77777777" w:rsidR="00F3099C" w:rsidRDefault="00F3099C" w:rsidP="00F3099C">
      <w:r w:rsidRPr="00FD6D05">
        <w:t xml:space="preserve">Konopik, J. and Blunck, D. </w:t>
      </w:r>
      <w:r>
        <w:t>(</w:t>
      </w:r>
      <w:r w:rsidRPr="00FD6D05">
        <w:t>2023</w:t>
      </w:r>
      <w:r>
        <w:t>)</w:t>
      </w:r>
      <w:r w:rsidRPr="00FD6D05">
        <w:t xml:space="preserve"> </w:t>
      </w:r>
      <w:r>
        <w:t>‘</w:t>
      </w:r>
      <w:r w:rsidRPr="00FD6D05">
        <w:t>Development of an evidence-based conceptual model of the health care sector under digital transformation: integrative review.</w:t>
      </w:r>
      <w:r>
        <w:t>’</w:t>
      </w:r>
      <w:r w:rsidRPr="00FD6D05">
        <w:t> </w:t>
      </w:r>
      <w:r w:rsidRPr="00FD6D05">
        <w:rPr>
          <w:i/>
          <w:iCs/>
        </w:rPr>
        <w:t>Journal of medical Internet research</w:t>
      </w:r>
      <w:r w:rsidRPr="00FD6D05">
        <w:t>, </w:t>
      </w:r>
      <w:r w:rsidRPr="00FD6D05">
        <w:rPr>
          <w:i/>
          <w:iCs/>
        </w:rPr>
        <w:t>25</w:t>
      </w:r>
      <w:r w:rsidRPr="00FD6D05">
        <w:t xml:space="preserve">, p.e41512. </w:t>
      </w:r>
      <w:r>
        <w:t xml:space="preserve">Available at: </w:t>
      </w:r>
      <w:hyperlink r:id="rId11" w:history="1">
        <w:r w:rsidRPr="00FD6D05">
          <w:rPr>
            <w:rStyle w:val="Hyperlink"/>
          </w:rPr>
          <w:t>doi:10.2196/41512</w:t>
        </w:r>
      </w:hyperlink>
      <w:r>
        <w:t xml:space="preserve"> </w:t>
      </w:r>
    </w:p>
    <w:p w14:paraId="2DAF3241" w14:textId="77777777" w:rsidR="00F3099C" w:rsidRDefault="00F3099C" w:rsidP="00F3099C">
      <w:r w:rsidRPr="00FD6D05">
        <w:t xml:space="preserve">Maher, M., Khan, I. and Prikshat, V. </w:t>
      </w:r>
      <w:r>
        <w:t>(</w:t>
      </w:r>
      <w:r w:rsidRPr="00FD6D05">
        <w:t>2023</w:t>
      </w:r>
      <w:r>
        <w:t>)</w:t>
      </w:r>
      <w:r w:rsidRPr="00FD6D05">
        <w:t xml:space="preserve"> </w:t>
      </w:r>
      <w:r>
        <w:t>‘</w:t>
      </w:r>
      <w:r w:rsidRPr="00FD6D05">
        <w:t>Monetisation of digital health data through a GDPR-compliant and blockchain enabled digital health data marketplace: A proposal to enhance patient's engagement with health data repositories.</w:t>
      </w:r>
      <w:r>
        <w:t>’</w:t>
      </w:r>
      <w:r w:rsidRPr="00FD6D05">
        <w:t> </w:t>
      </w:r>
      <w:r w:rsidRPr="00FD6D05">
        <w:rPr>
          <w:i/>
          <w:iCs/>
        </w:rPr>
        <w:t>International Journal of Information Management Data Insights</w:t>
      </w:r>
      <w:r w:rsidRPr="00FD6D05">
        <w:t>, </w:t>
      </w:r>
      <w:r w:rsidRPr="00FD6D05">
        <w:rPr>
          <w:i/>
          <w:iCs/>
        </w:rPr>
        <w:t>3</w:t>
      </w:r>
      <w:r w:rsidRPr="00FD6D05">
        <w:t xml:space="preserve">(1), p.100159. </w:t>
      </w:r>
      <w:r>
        <w:t xml:space="preserve">Available at: </w:t>
      </w:r>
      <w:hyperlink r:id="rId12" w:tgtFrame="_blank" w:tooltip="Persistent link using digital object identifier" w:history="1">
        <w:r w:rsidRPr="00FD6D05">
          <w:rPr>
            <w:rStyle w:val="Hyperlink"/>
          </w:rPr>
          <w:t>https://doi.org/10.1016/j.jjimei.2023.100159</w:t>
        </w:r>
      </w:hyperlink>
      <w:r>
        <w:t xml:space="preserve"> </w:t>
      </w:r>
    </w:p>
    <w:p w14:paraId="3527A5BB" w14:textId="77777777" w:rsidR="00F3099C" w:rsidRDefault="00F3099C" w:rsidP="00F3099C">
      <w:r w:rsidRPr="00FD6D05">
        <w:t xml:space="preserve">Pant, K., Bhatia, M. and Pant, R. </w:t>
      </w:r>
      <w:r>
        <w:t>(</w:t>
      </w:r>
      <w:r w:rsidRPr="00FD6D05">
        <w:t>2022</w:t>
      </w:r>
      <w:r>
        <w:t>)</w:t>
      </w:r>
      <w:r w:rsidRPr="00FD6D05">
        <w:t xml:space="preserve"> </w:t>
      </w:r>
      <w:r>
        <w:t>‘</w:t>
      </w:r>
      <w:r w:rsidRPr="00FD6D05">
        <w:t>Integrated care with digital health innovation: pressing challenges.</w:t>
      </w:r>
      <w:r>
        <w:t>’</w:t>
      </w:r>
      <w:r w:rsidRPr="00FD6D05">
        <w:t> </w:t>
      </w:r>
      <w:r w:rsidRPr="00FD6D05">
        <w:rPr>
          <w:i/>
          <w:iCs/>
        </w:rPr>
        <w:t>Journal of integrated care</w:t>
      </w:r>
      <w:r w:rsidRPr="00FD6D05">
        <w:t>, </w:t>
      </w:r>
      <w:r w:rsidRPr="00FD6D05">
        <w:rPr>
          <w:i/>
          <w:iCs/>
        </w:rPr>
        <w:t>30</w:t>
      </w:r>
      <w:r w:rsidRPr="00FD6D05">
        <w:t xml:space="preserve">(4), pp.324-334. </w:t>
      </w:r>
      <w:r>
        <w:t xml:space="preserve">Available at: </w:t>
      </w:r>
      <w:hyperlink r:id="rId13" w:tgtFrame="_blank" w:history="1">
        <w:r w:rsidRPr="00FD6D05">
          <w:rPr>
            <w:rStyle w:val="Hyperlink"/>
          </w:rPr>
          <w:t>https://doi.org/10.1108/JICA-01-2022-0008</w:t>
        </w:r>
      </w:hyperlink>
      <w:r>
        <w:t xml:space="preserve"> </w:t>
      </w:r>
    </w:p>
    <w:p w14:paraId="4D0DC0AA" w14:textId="77777777" w:rsidR="00F3099C" w:rsidRDefault="00F3099C" w:rsidP="00F3099C">
      <w:r w:rsidRPr="00FD6D05">
        <w:t xml:space="preserve">Patil, S., Kanade, T.M. and Batule, R. </w:t>
      </w:r>
      <w:r>
        <w:t>(</w:t>
      </w:r>
      <w:r w:rsidRPr="00FD6D05">
        <w:t>2024</w:t>
      </w:r>
      <w:r>
        <w:t>)</w:t>
      </w:r>
      <w:r w:rsidRPr="00FD6D05">
        <w:t xml:space="preserve"> August. </w:t>
      </w:r>
      <w:r>
        <w:t>‘</w:t>
      </w:r>
      <w:r w:rsidRPr="00FD6D05">
        <w:t>Exploring digital healthcare trends: Integrating people, technology, and procedures for a comprehensive healthcare ecosystem.</w:t>
      </w:r>
      <w:r>
        <w:t>’</w:t>
      </w:r>
      <w:r w:rsidRPr="00FD6D05">
        <w:t xml:space="preserve"> In </w:t>
      </w:r>
      <w:r w:rsidRPr="00FD6D05">
        <w:rPr>
          <w:i/>
          <w:iCs/>
        </w:rPr>
        <w:t>AIP Conference Proceedings</w:t>
      </w:r>
      <w:r w:rsidRPr="00FD6D05">
        <w:t xml:space="preserve"> (Vol. 3178, No. 1, p. 060002). AIP Publishing LLC. </w:t>
      </w:r>
      <w:r>
        <w:t xml:space="preserve">Available at: </w:t>
      </w:r>
      <w:hyperlink r:id="rId14" w:tgtFrame="_blank" w:history="1">
        <w:r w:rsidRPr="00FD6D05">
          <w:rPr>
            <w:rStyle w:val="Hyperlink"/>
          </w:rPr>
          <w:t>https://doi.org/10.1063/5.0229357</w:t>
        </w:r>
      </w:hyperlink>
      <w:r>
        <w:t xml:space="preserve"> </w:t>
      </w:r>
    </w:p>
    <w:p w14:paraId="23A50969" w14:textId="77777777" w:rsidR="00F3099C" w:rsidRDefault="00F3099C" w:rsidP="00F3099C">
      <w:r w:rsidRPr="00977629">
        <w:t xml:space="preserve">Piardi, L., Leitao, P., Queiroz, J. and Pontes, J. </w:t>
      </w:r>
      <w:r>
        <w:t>(</w:t>
      </w:r>
      <w:r w:rsidRPr="00977629">
        <w:t>2024</w:t>
      </w:r>
      <w:r>
        <w:t>)</w:t>
      </w:r>
      <w:r w:rsidRPr="00977629">
        <w:t xml:space="preserve"> </w:t>
      </w:r>
      <w:r>
        <w:t>‘</w:t>
      </w:r>
      <w:r w:rsidRPr="00977629">
        <w:t>Role of digital technologies to enhance the human integration in industrial cyber–physical systems.</w:t>
      </w:r>
      <w:r>
        <w:t>’</w:t>
      </w:r>
      <w:r w:rsidRPr="00977629">
        <w:t> </w:t>
      </w:r>
      <w:r w:rsidRPr="00977629">
        <w:rPr>
          <w:i/>
          <w:iCs/>
        </w:rPr>
        <w:t>Annual Reviews in Control</w:t>
      </w:r>
      <w:r w:rsidRPr="00977629">
        <w:t>, </w:t>
      </w:r>
      <w:r w:rsidRPr="00977629">
        <w:rPr>
          <w:i/>
          <w:iCs/>
        </w:rPr>
        <w:t>57</w:t>
      </w:r>
      <w:r w:rsidRPr="00977629">
        <w:t>, p.100934.</w:t>
      </w:r>
      <w:r>
        <w:t xml:space="preserve"> Available at: </w:t>
      </w:r>
      <w:hyperlink r:id="rId15" w:tgtFrame="_blank" w:tooltip="Persistent link using digital object identifier" w:history="1">
        <w:r w:rsidRPr="00977629">
          <w:rPr>
            <w:rStyle w:val="Hyperlink"/>
          </w:rPr>
          <w:t>https://doi.org/10.1016/j.arcontrol.2024.100934</w:t>
        </w:r>
      </w:hyperlink>
    </w:p>
    <w:p w14:paraId="0D66B7D8" w14:textId="77777777" w:rsidR="00F3099C" w:rsidRDefault="00F3099C" w:rsidP="00F3099C">
      <w:r w:rsidRPr="004909A4">
        <w:t>Tracy, D.K., Holloway, F., Hanson, K., James, A., Strathdee, G., Holmes, D., Kalidin</w:t>
      </w:r>
      <w:r>
        <w:t>di, S. and Shergill, S.S. (2023)</w:t>
      </w:r>
      <w:r w:rsidRPr="004909A4">
        <w:t xml:space="preserve"> </w:t>
      </w:r>
      <w:r>
        <w:t>‘</w:t>
      </w:r>
      <w:r w:rsidRPr="004909A4">
        <w:t>Why care about integrated care? Part I. Demographics, finances and workforce: immovable objects facing mental health services.</w:t>
      </w:r>
      <w:r>
        <w:t>’</w:t>
      </w:r>
      <w:r w:rsidRPr="004909A4">
        <w:t> </w:t>
      </w:r>
      <w:r w:rsidRPr="004909A4">
        <w:rPr>
          <w:i/>
          <w:iCs/>
        </w:rPr>
        <w:t>BJPsych advances</w:t>
      </w:r>
      <w:r w:rsidRPr="004909A4">
        <w:t>, </w:t>
      </w:r>
      <w:r w:rsidRPr="004909A4">
        <w:rPr>
          <w:i/>
          <w:iCs/>
        </w:rPr>
        <w:t>29</w:t>
      </w:r>
      <w:r w:rsidRPr="004909A4">
        <w:t xml:space="preserve">(1), pp.8-18. </w:t>
      </w:r>
      <w:r>
        <w:t xml:space="preserve">Available at: </w:t>
      </w:r>
      <w:hyperlink r:id="rId16" w:history="1">
        <w:r w:rsidRPr="00F94973">
          <w:rPr>
            <w:rStyle w:val="Hyperlink"/>
          </w:rPr>
          <w:t>https://doi.org/10.1192/bja.2019.78</w:t>
        </w:r>
      </w:hyperlink>
      <w:r>
        <w:t xml:space="preserve"> </w:t>
      </w:r>
    </w:p>
    <w:p w14:paraId="38A7A3E0" w14:textId="77777777" w:rsidR="00F3099C" w:rsidRDefault="00F3099C" w:rsidP="00F3099C">
      <w:r w:rsidRPr="00FD6D05">
        <w:t xml:space="preserve">Turk, E., Wontor, V., Vera-Muñoz, C., Comnes, L., Rodrigues, N., Ferrari, G. and Moen, A., </w:t>
      </w:r>
      <w:r>
        <w:t>(</w:t>
      </w:r>
      <w:r w:rsidRPr="00FD6D05">
        <w:t>2022</w:t>
      </w:r>
      <w:r>
        <w:t>)</w:t>
      </w:r>
      <w:r w:rsidRPr="00FD6D05">
        <w:t xml:space="preserve"> </w:t>
      </w:r>
      <w:r>
        <w:t>‘</w:t>
      </w:r>
      <w:r w:rsidRPr="00FD6D05">
        <w:t>Human-centered integrated care pathways for co-creating a digital, user-centric health information solution.</w:t>
      </w:r>
      <w:r>
        <w:t>’</w:t>
      </w:r>
      <w:r w:rsidRPr="00FD6D05">
        <w:t> </w:t>
      </w:r>
      <w:r w:rsidRPr="00FD6D05">
        <w:rPr>
          <w:i/>
          <w:iCs/>
        </w:rPr>
        <w:t>Journal of Integrated Care</w:t>
      </w:r>
      <w:r w:rsidRPr="00FD6D05">
        <w:t>, </w:t>
      </w:r>
      <w:r w:rsidRPr="00FD6D05">
        <w:rPr>
          <w:i/>
          <w:iCs/>
        </w:rPr>
        <w:t>30</w:t>
      </w:r>
      <w:r w:rsidRPr="00FD6D05">
        <w:t xml:space="preserve">(4), pp.296-309. </w:t>
      </w:r>
      <w:r>
        <w:t xml:space="preserve">Available at: </w:t>
      </w:r>
      <w:hyperlink r:id="rId17" w:tgtFrame="_blank" w:history="1">
        <w:r w:rsidRPr="00FD6D05">
          <w:rPr>
            <w:rStyle w:val="Hyperlink"/>
          </w:rPr>
          <w:t>https://doi.org/10.1108/JICA-01-2022-0007</w:t>
        </w:r>
      </w:hyperlink>
      <w:r>
        <w:t xml:space="preserve"> </w:t>
      </w:r>
    </w:p>
    <w:p w14:paraId="33E2B242" w14:textId="77777777" w:rsidR="00F3099C" w:rsidRPr="00F3099C" w:rsidRDefault="00F3099C" w:rsidP="00F3099C">
      <w:pPr>
        <w:rPr>
          <w:lang w:val="en-IN"/>
        </w:rPr>
      </w:pPr>
    </w:p>
    <w:sectPr w:rsidR="00F3099C" w:rsidRPr="00F3099C" w:rsidSect="00130484">
      <w:footerReference w:type="default" r:id="rId1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A31023F" w14:textId="77777777" w:rsidR="004F5CE4" w:rsidRDefault="004F5CE4" w:rsidP="00ED2623">
      <w:pPr>
        <w:spacing w:after="0" w:line="240" w:lineRule="auto"/>
      </w:pPr>
      <w:r>
        <w:separator/>
      </w:r>
    </w:p>
  </w:endnote>
  <w:endnote w:type="continuationSeparator" w:id="0">
    <w:p w14:paraId="0E2F4560" w14:textId="77777777" w:rsidR="004F5CE4" w:rsidRDefault="004F5CE4" w:rsidP="00ED26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10952391"/>
      <w:docPartObj>
        <w:docPartGallery w:val="Page Numbers (Bottom of Page)"/>
        <w:docPartUnique/>
      </w:docPartObj>
    </w:sdtPr>
    <w:sdtEndPr>
      <w:rPr>
        <w:noProof/>
      </w:rPr>
    </w:sdtEndPr>
    <w:sdtContent>
      <w:p w14:paraId="2A84BCEE" w14:textId="5129501D" w:rsidR="00ED2623" w:rsidRDefault="00ED2623">
        <w:pPr>
          <w:pStyle w:val="Footer"/>
          <w:jc w:val="right"/>
        </w:pPr>
        <w:r>
          <w:fldChar w:fldCharType="begin"/>
        </w:r>
        <w:r>
          <w:instrText xml:space="preserve"> PAGE   \* MERGEFORMAT </w:instrText>
        </w:r>
        <w:r>
          <w:fldChar w:fldCharType="separate"/>
        </w:r>
        <w:r w:rsidR="004F5CE4">
          <w:rPr>
            <w:noProof/>
          </w:rPr>
          <w:t>1</w:t>
        </w:r>
        <w:r>
          <w:rPr>
            <w:noProof/>
          </w:rPr>
          <w:fldChar w:fldCharType="end"/>
        </w:r>
      </w:p>
    </w:sdtContent>
  </w:sdt>
  <w:p w14:paraId="4321D057" w14:textId="77777777" w:rsidR="00ED2623" w:rsidRDefault="00ED26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B0EDAF9" w14:textId="77777777" w:rsidR="004F5CE4" w:rsidRDefault="004F5CE4" w:rsidP="00ED2623">
      <w:pPr>
        <w:spacing w:after="0" w:line="240" w:lineRule="auto"/>
      </w:pPr>
      <w:r>
        <w:separator/>
      </w:r>
    </w:p>
  </w:footnote>
  <w:footnote w:type="continuationSeparator" w:id="0">
    <w:p w14:paraId="0C702708" w14:textId="77777777" w:rsidR="004F5CE4" w:rsidRDefault="004F5CE4" w:rsidP="00ED262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80"/>
  <w:revisionView w:inkAnnotations="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37DD"/>
    <w:rsid w:val="000279BC"/>
    <w:rsid w:val="000327D5"/>
    <w:rsid w:val="000535B3"/>
    <w:rsid w:val="00074447"/>
    <w:rsid w:val="00081480"/>
    <w:rsid w:val="000919E5"/>
    <w:rsid w:val="000B7894"/>
    <w:rsid w:val="000C5F28"/>
    <w:rsid w:val="000D1DF4"/>
    <w:rsid w:val="001008A3"/>
    <w:rsid w:val="00130484"/>
    <w:rsid w:val="00164836"/>
    <w:rsid w:val="001975B4"/>
    <w:rsid w:val="001975F6"/>
    <w:rsid w:val="00226670"/>
    <w:rsid w:val="002A01A6"/>
    <w:rsid w:val="0031461E"/>
    <w:rsid w:val="0033532C"/>
    <w:rsid w:val="0034422C"/>
    <w:rsid w:val="00380E22"/>
    <w:rsid w:val="003878A0"/>
    <w:rsid w:val="003A0F09"/>
    <w:rsid w:val="003E1DFB"/>
    <w:rsid w:val="003F1054"/>
    <w:rsid w:val="003F2F33"/>
    <w:rsid w:val="00480052"/>
    <w:rsid w:val="004F5CE4"/>
    <w:rsid w:val="00513924"/>
    <w:rsid w:val="005700F2"/>
    <w:rsid w:val="005B2539"/>
    <w:rsid w:val="00620576"/>
    <w:rsid w:val="00661185"/>
    <w:rsid w:val="00664F5F"/>
    <w:rsid w:val="00666DED"/>
    <w:rsid w:val="006A2310"/>
    <w:rsid w:val="00707929"/>
    <w:rsid w:val="00730062"/>
    <w:rsid w:val="007335AA"/>
    <w:rsid w:val="007A01DF"/>
    <w:rsid w:val="007C6E8A"/>
    <w:rsid w:val="00814210"/>
    <w:rsid w:val="008253E9"/>
    <w:rsid w:val="008255B8"/>
    <w:rsid w:val="00855BA7"/>
    <w:rsid w:val="00865659"/>
    <w:rsid w:val="008E69EB"/>
    <w:rsid w:val="00920CC7"/>
    <w:rsid w:val="009258CF"/>
    <w:rsid w:val="00946C77"/>
    <w:rsid w:val="009513AA"/>
    <w:rsid w:val="0095553F"/>
    <w:rsid w:val="00973736"/>
    <w:rsid w:val="009917C3"/>
    <w:rsid w:val="009A2FFF"/>
    <w:rsid w:val="009B63DE"/>
    <w:rsid w:val="009E3880"/>
    <w:rsid w:val="009F610A"/>
    <w:rsid w:val="00A530B4"/>
    <w:rsid w:val="00AE3056"/>
    <w:rsid w:val="00AF32AE"/>
    <w:rsid w:val="00B30B47"/>
    <w:rsid w:val="00B613E8"/>
    <w:rsid w:val="00BA3DBC"/>
    <w:rsid w:val="00C5607A"/>
    <w:rsid w:val="00C72AAA"/>
    <w:rsid w:val="00C82150"/>
    <w:rsid w:val="00CA5976"/>
    <w:rsid w:val="00CB5EB3"/>
    <w:rsid w:val="00CD37DD"/>
    <w:rsid w:val="00CE68C0"/>
    <w:rsid w:val="00D77CF0"/>
    <w:rsid w:val="00D96A87"/>
    <w:rsid w:val="00DF5829"/>
    <w:rsid w:val="00E06720"/>
    <w:rsid w:val="00E25307"/>
    <w:rsid w:val="00EA67A5"/>
    <w:rsid w:val="00ED2623"/>
    <w:rsid w:val="00F3099C"/>
    <w:rsid w:val="00F65DC2"/>
    <w:rsid w:val="00F76467"/>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CD563C"/>
  <w15:chartTrackingRefBased/>
  <w15:docId w15:val="{8A990833-9771-4E2D-9AC6-A938268FFC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75F6"/>
    <w:pPr>
      <w:spacing w:line="360" w:lineRule="auto"/>
      <w:jc w:val="both"/>
    </w:pPr>
    <w:rPr>
      <w:rFonts w:ascii="Arial" w:hAnsi="Arial"/>
      <w:kern w:val="0"/>
      <w:lang w:val="en-GB"/>
    </w:rPr>
  </w:style>
  <w:style w:type="paragraph" w:styleId="Heading1">
    <w:name w:val="heading 1"/>
    <w:basedOn w:val="Normal"/>
    <w:next w:val="Normal"/>
    <w:link w:val="Heading1Char"/>
    <w:autoRedefine/>
    <w:uiPriority w:val="9"/>
    <w:qFormat/>
    <w:rsid w:val="00074447"/>
    <w:pPr>
      <w:spacing w:after="0" w:afterAutospacing="1"/>
      <w:contextualSpacing/>
      <w:outlineLvl w:val="0"/>
    </w:pPr>
    <w:rPr>
      <w:rFonts w:eastAsia="Arial" w:cs="Times New Roman"/>
      <w:b/>
      <w:bCs/>
      <w:noProof/>
      <w:sz w:val="28"/>
      <w:lang w:val="en-IN"/>
    </w:rPr>
  </w:style>
  <w:style w:type="paragraph" w:styleId="Heading2">
    <w:name w:val="heading 2"/>
    <w:basedOn w:val="Normal"/>
    <w:next w:val="Normal"/>
    <w:link w:val="Heading2Char"/>
    <w:qFormat/>
    <w:rsid w:val="00730062"/>
    <w:pPr>
      <w:keepNext/>
      <w:keepLines/>
      <w:spacing w:after="0"/>
      <w:outlineLvl w:val="1"/>
    </w:pPr>
    <w:rPr>
      <w:rFonts w:eastAsia="Arial" w:cs="Arial"/>
      <w:b/>
      <w:color w:val="000000" w:themeColor="text1"/>
      <w:sz w:val="26"/>
      <w:szCs w:val="32"/>
      <w:lang w:val="en"/>
    </w:rPr>
  </w:style>
  <w:style w:type="paragraph" w:styleId="Heading3">
    <w:name w:val="heading 3"/>
    <w:basedOn w:val="Normal"/>
    <w:next w:val="Normal"/>
    <w:link w:val="Heading3Char"/>
    <w:uiPriority w:val="9"/>
    <w:unhideWhenUsed/>
    <w:qFormat/>
    <w:rsid w:val="00730062"/>
    <w:pPr>
      <w:keepNext/>
      <w:keepLines/>
      <w:spacing w:before="160" w:after="80"/>
      <w:outlineLvl w:val="2"/>
    </w:pPr>
    <w:rPr>
      <w:rFonts w:eastAsiaTheme="majorEastAsia" w:cstheme="majorBidi"/>
      <w:b/>
      <w:szCs w:val="28"/>
      <w:lang w:val="en"/>
    </w:rPr>
  </w:style>
  <w:style w:type="paragraph" w:styleId="Heading4">
    <w:name w:val="heading 4"/>
    <w:basedOn w:val="Normal"/>
    <w:next w:val="Normal"/>
    <w:link w:val="Heading4Char"/>
    <w:uiPriority w:val="9"/>
    <w:semiHidden/>
    <w:unhideWhenUsed/>
    <w:qFormat/>
    <w:rsid w:val="00707929"/>
    <w:pPr>
      <w:keepNext/>
      <w:keepLines/>
      <w:spacing w:before="80" w:after="40"/>
      <w:outlineLvl w:val="3"/>
    </w:pPr>
    <w:rPr>
      <w:rFonts w:eastAsiaTheme="majorEastAsia" w:cstheme="majorBidi"/>
      <w:b/>
      <w:iCs/>
    </w:rPr>
  </w:style>
  <w:style w:type="paragraph" w:styleId="Heading5">
    <w:name w:val="heading 5"/>
    <w:basedOn w:val="Normal"/>
    <w:next w:val="Normal"/>
    <w:link w:val="Heading5Char"/>
    <w:uiPriority w:val="9"/>
    <w:semiHidden/>
    <w:unhideWhenUsed/>
    <w:qFormat/>
    <w:rsid w:val="00CD37DD"/>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CD37D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D37D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D37DD"/>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D37DD"/>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4447"/>
    <w:rPr>
      <w:rFonts w:ascii="Times New Roman" w:eastAsia="Arial" w:hAnsi="Times New Roman" w:cs="Times New Roman"/>
      <w:b/>
      <w:bCs/>
      <w:noProof/>
      <w:kern w:val="0"/>
      <w:sz w:val="28"/>
      <w:lang w:val="en-IN"/>
    </w:rPr>
  </w:style>
  <w:style w:type="character" w:customStyle="1" w:styleId="Heading2Char">
    <w:name w:val="Heading 2 Char"/>
    <w:basedOn w:val="DefaultParagraphFont"/>
    <w:link w:val="Heading2"/>
    <w:rsid w:val="00730062"/>
    <w:rPr>
      <w:rFonts w:ascii="Times New Roman" w:eastAsia="Arial" w:hAnsi="Times New Roman" w:cs="Arial"/>
      <w:b/>
      <w:color w:val="000000" w:themeColor="text1"/>
      <w:kern w:val="0"/>
      <w:sz w:val="26"/>
      <w:szCs w:val="32"/>
      <w:lang w:val="en"/>
    </w:rPr>
  </w:style>
  <w:style w:type="character" w:customStyle="1" w:styleId="Heading3Char">
    <w:name w:val="Heading 3 Char"/>
    <w:basedOn w:val="DefaultParagraphFont"/>
    <w:link w:val="Heading3"/>
    <w:uiPriority w:val="9"/>
    <w:rsid w:val="00730062"/>
    <w:rPr>
      <w:rFonts w:ascii="Times New Roman" w:eastAsiaTheme="majorEastAsia" w:hAnsi="Times New Roman" w:cstheme="majorBidi"/>
      <w:b/>
      <w:kern w:val="0"/>
      <w:szCs w:val="28"/>
      <w:lang w:val="en"/>
    </w:rPr>
  </w:style>
  <w:style w:type="character" w:customStyle="1" w:styleId="Heading4Char">
    <w:name w:val="Heading 4 Char"/>
    <w:basedOn w:val="DefaultParagraphFont"/>
    <w:link w:val="Heading4"/>
    <w:uiPriority w:val="9"/>
    <w:semiHidden/>
    <w:rsid w:val="00707929"/>
    <w:rPr>
      <w:rFonts w:ascii="Times New Roman" w:eastAsiaTheme="majorEastAsia" w:hAnsi="Times New Roman" w:cstheme="majorBidi"/>
      <w:b/>
      <w:iCs/>
      <w:kern w:val="0"/>
      <w:sz w:val="24"/>
      <w:lang w:val="en-GB"/>
    </w:rPr>
  </w:style>
  <w:style w:type="character" w:customStyle="1" w:styleId="Heading5Char">
    <w:name w:val="Heading 5 Char"/>
    <w:basedOn w:val="DefaultParagraphFont"/>
    <w:link w:val="Heading5"/>
    <w:uiPriority w:val="9"/>
    <w:semiHidden/>
    <w:rsid w:val="00CD37DD"/>
    <w:rPr>
      <w:rFonts w:eastAsiaTheme="majorEastAsia" w:cstheme="majorBidi"/>
      <w:color w:val="365F91" w:themeColor="accent1" w:themeShade="BF"/>
      <w:kern w:val="0"/>
      <w:sz w:val="24"/>
      <w:lang w:val="en-GB"/>
    </w:rPr>
  </w:style>
  <w:style w:type="character" w:customStyle="1" w:styleId="Heading6Char">
    <w:name w:val="Heading 6 Char"/>
    <w:basedOn w:val="DefaultParagraphFont"/>
    <w:link w:val="Heading6"/>
    <w:uiPriority w:val="9"/>
    <w:semiHidden/>
    <w:rsid w:val="00CD37DD"/>
    <w:rPr>
      <w:rFonts w:eastAsiaTheme="majorEastAsia" w:cstheme="majorBidi"/>
      <w:i/>
      <w:iCs/>
      <w:color w:val="595959" w:themeColor="text1" w:themeTint="A6"/>
      <w:kern w:val="0"/>
      <w:sz w:val="24"/>
      <w:lang w:val="en-GB"/>
    </w:rPr>
  </w:style>
  <w:style w:type="character" w:customStyle="1" w:styleId="Heading7Char">
    <w:name w:val="Heading 7 Char"/>
    <w:basedOn w:val="DefaultParagraphFont"/>
    <w:link w:val="Heading7"/>
    <w:uiPriority w:val="9"/>
    <w:semiHidden/>
    <w:rsid w:val="00CD37DD"/>
    <w:rPr>
      <w:rFonts w:eastAsiaTheme="majorEastAsia" w:cstheme="majorBidi"/>
      <w:color w:val="595959" w:themeColor="text1" w:themeTint="A6"/>
      <w:kern w:val="0"/>
      <w:sz w:val="24"/>
      <w:lang w:val="en-GB"/>
    </w:rPr>
  </w:style>
  <w:style w:type="character" w:customStyle="1" w:styleId="Heading8Char">
    <w:name w:val="Heading 8 Char"/>
    <w:basedOn w:val="DefaultParagraphFont"/>
    <w:link w:val="Heading8"/>
    <w:uiPriority w:val="9"/>
    <w:semiHidden/>
    <w:rsid w:val="00CD37DD"/>
    <w:rPr>
      <w:rFonts w:eastAsiaTheme="majorEastAsia" w:cstheme="majorBidi"/>
      <w:i/>
      <w:iCs/>
      <w:color w:val="272727" w:themeColor="text1" w:themeTint="D8"/>
      <w:kern w:val="0"/>
      <w:sz w:val="24"/>
      <w:lang w:val="en-GB"/>
    </w:rPr>
  </w:style>
  <w:style w:type="character" w:customStyle="1" w:styleId="Heading9Char">
    <w:name w:val="Heading 9 Char"/>
    <w:basedOn w:val="DefaultParagraphFont"/>
    <w:link w:val="Heading9"/>
    <w:uiPriority w:val="9"/>
    <w:semiHidden/>
    <w:rsid w:val="00CD37DD"/>
    <w:rPr>
      <w:rFonts w:eastAsiaTheme="majorEastAsia" w:cstheme="majorBidi"/>
      <w:color w:val="272727" w:themeColor="text1" w:themeTint="D8"/>
      <w:kern w:val="0"/>
      <w:sz w:val="24"/>
      <w:lang w:val="en-GB"/>
    </w:rPr>
  </w:style>
  <w:style w:type="paragraph" w:styleId="Title">
    <w:name w:val="Title"/>
    <w:basedOn w:val="Normal"/>
    <w:next w:val="Normal"/>
    <w:link w:val="TitleChar"/>
    <w:uiPriority w:val="10"/>
    <w:qFormat/>
    <w:rsid w:val="00CD37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37DD"/>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CD37DD"/>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37DD"/>
    <w:rPr>
      <w:rFonts w:eastAsiaTheme="majorEastAsia" w:cstheme="majorBidi"/>
      <w:color w:val="595959" w:themeColor="text1" w:themeTint="A6"/>
      <w:spacing w:val="15"/>
      <w:kern w:val="0"/>
      <w:sz w:val="28"/>
      <w:szCs w:val="28"/>
      <w:lang w:val="en-GB"/>
    </w:rPr>
  </w:style>
  <w:style w:type="paragraph" w:styleId="Quote">
    <w:name w:val="Quote"/>
    <w:basedOn w:val="Normal"/>
    <w:next w:val="Normal"/>
    <w:link w:val="QuoteChar"/>
    <w:uiPriority w:val="29"/>
    <w:qFormat/>
    <w:rsid w:val="00CD37D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D37DD"/>
    <w:rPr>
      <w:rFonts w:ascii="Times New Roman" w:hAnsi="Times New Roman"/>
      <w:i/>
      <w:iCs/>
      <w:color w:val="404040" w:themeColor="text1" w:themeTint="BF"/>
      <w:kern w:val="0"/>
      <w:sz w:val="24"/>
      <w:lang w:val="en-GB"/>
    </w:rPr>
  </w:style>
  <w:style w:type="paragraph" w:styleId="ListParagraph">
    <w:name w:val="List Paragraph"/>
    <w:basedOn w:val="Normal"/>
    <w:uiPriority w:val="34"/>
    <w:qFormat/>
    <w:rsid w:val="00CD37DD"/>
    <w:pPr>
      <w:ind w:left="720"/>
      <w:contextualSpacing/>
    </w:pPr>
  </w:style>
  <w:style w:type="character" w:styleId="IntenseEmphasis">
    <w:name w:val="Intense Emphasis"/>
    <w:basedOn w:val="DefaultParagraphFont"/>
    <w:uiPriority w:val="21"/>
    <w:qFormat/>
    <w:rsid w:val="00CD37DD"/>
    <w:rPr>
      <w:i/>
      <w:iCs/>
      <w:color w:val="365F91" w:themeColor="accent1" w:themeShade="BF"/>
    </w:rPr>
  </w:style>
  <w:style w:type="paragraph" w:styleId="IntenseQuote">
    <w:name w:val="Intense Quote"/>
    <w:basedOn w:val="Normal"/>
    <w:next w:val="Normal"/>
    <w:link w:val="IntenseQuoteChar"/>
    <w:uiPriority w:val="30"/>
    <w:qFormat/>
    <w:rsid w:val="00CD37DD"/>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CD37DD"/>
    <w:rPr>
      <w:rFonts w:ascii="Times New Roman" w:hAnsi="Times New Roman"/>
      <w:i/>
      <w:iCs/>
      <w:color w:val="365F91" w:themeColor="accent1" w:themeShade="BF"/>
      <w:kern w:val="0"/>
      <w:sz w:val="24"/>
      <w:lang w:val="en-GB"/>
    </w:rPr>
  </w:style>
  <w:style w:type="character" w:styleId="IntenseReference">
    <w:name w:val="Intense Reference"/>
    <w:basedOn w:val="DefaultParagraphFont"/>
    <w:uiPriority w:val="32"/>
    <w:qFormat/>
    <w:rsid w:val="00CD37DD"/>
    <w:rPr>
      <w:b/>
      <w:bCs/>
      <w:smallCaps/>
      <w:color w:val="365F91" w:themeColor="accent1" w:themeShade="BF"/>
      <w:spacing w:val="5"/>
    </w:rPr>
  </w:style>
  <w:style w:type="paragraph" w:styleId="Header">
    <w:name w:val="header"/>
    <w:basedOn w:val="Normal"/>
    <w:link w:val="HeaderChar"/>
    <w:uiPriority w:val="99"/>
    <w:unhideWhenUsed/>
    <w:rsid w:val="00ED26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2623"/>
    <w:rPr>
      <w:rFonts w:ascii="Times New Roman" w:hAnsi="Times New Roman"/>
      <w:kern w:val="0"/>
      <w:sz w:val="24"/>
      <w:lang w:val="en-GB"/>
    </w:rPr>
  </w:style>
  <w:style w:type="paragraph" w:styleId="Footer">
    <w:name w:val="footer"/>
    <w:basedOn w:val="Normal"/>
    <w:link w:val="FooterChar"/>
    <w:uiPriority w:val="99"/>
    <w:unhideWhenUsed/>
    <w:rsid w:val="00ED26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2623"/>
    <w:rPr>
      <w:rFonts w:ascii="Times New Roman" w:hAnsi="Times New Roman"/>
      <w:kern w:val="0"/>
      <w:sz w:val="24"/>
      <w:lang w:val="en-GB"/>
    </w:rPr>
  </w:style>
  <w:style w:type="paragraph" w:styleId="NormalWeb">
    <w:name w:val="Normal (Web)"/>
    <w:basedOn w:val="Normal"/>
    <w:uiPriority w:val="99"/>
    <w:semiHidden/>
    <w:unhideWhenUsed/>
    <w:rsid w:val="00074447"/>
    <w:pPr>
      <w:spacing w:before="100" w:beforeAutospacing="1" w:after="100" w:afterAutospacing="1" w:line="240" w:lineRule="auto"/>
      <w:jc w:val="left"/>
    </w:pPr>
    <w:rPr>
      <w:rFonts w:eastAsia="Times New Roman" w:cs="Times New Roman"/>
      <w:szCs w:val="24"/>
      <w:lang w:val="en-IN" w:eastAsia="en-IN"/>
    </w:rPr>
  </w:style>
  <w:style w:type="character" w:styleId="Hyperlink">
    <w:name w:val="Hyperlink"/>
    <w:basedOn w:val="DefaultParagraphFont"/>
    <w:uiPriority w:val="99"/>
    <w:unhideWhenUsed/>
    <w:rsid w:val="00F3099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806292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36/bmjopen-2021-049296" TargetMode="External"/><Relationship Id="rId13" Type="http://schemas.openxmlformats.org/officeDocument/2006/relationships/hyperlink" Target="https://doi.org/10.1108/JICA-01-2022-0008" TargetMode="External"/><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doi.org/10.1016/j.jjimei.2023.100159" TargetMode="External"/><Relationship Id="rId17" Type="http://schemas.openxmlformats.org/officeDocument/2006/relationships/hyperlink" Target="https://doi.org/10.1108/JICA-01-2022-0007" TargetMode="External"/><Relationship Id="rId2" Type="http://schemas.openxmlformats.org/officeDocument/2006/relationships/settings" Target="settings.xml"/><Relationship Id="rId16" Type="http://schemas.openxmlformats.org/officeDocument/2006/relationships/hyperlink" Target="https://doi.org/10.1192/bja.2019.78"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oi.org/10.2196/41512" TargetMode="External"/><Relationship Id="rId5" Type="http://schemas.openxmlformats.org/officeDocument/2006/relationships/endnotes" Target="endnotes.xml"/><Relationship Id="rId15" Type="http://schemas.openxmlformats.org/officeDocument/2006/relationships/hyperlink" Target="https://doi.org/10.1016/j.arcontrol.2024.100934" TargetMode="External"/><Relationship Id="rId10" Type="http://schemas.openxmlformats.org/officeDocument/2006/relationships/hyperlink" Target="https://pmc.ncbi.nlm.nih.gov/articles/PMC10038114/"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link.springer.com/article/10.1186/s12910-023-00922-z" TargetMode="External"/><Relationship Id="rId14" Type="http://schemas.openxmlformats.org/officeDocument/2006/relationships/hyperlink" Target="https://doi.org/10.1063/5.022935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1571</Words>
  <Characters>8957</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Mypc</dc:creator>
  <cp:keywords/>
  <dc:description/>
  <cp:lastModifiedBy>Furaha Ruth Fatuma Bahati (2321694)</cp:lastModifiedBy>
  <cp:revision>2</cp:revision>
  <dcterms:created xsi:type="dcterms:W3CDTF">2026-03-17T18:39:00Z</dcterms:created>
  <dcterms:modified xsi:type="dcterms:W3CDTF">2026-03-17T18:39:00Z</dcterms:modified>
</cp:coreProperties>
</file>