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B1343E" w14:textId="77777777" w:rsidR="00A2077C" w:rsidRDefault="006D3072">
      <w:pPr>
        <w:spacing w:after="160" w:line="259" w:lineRule="auto"/>
        <w:jc w:val="center"/>
        <w:rPr>
          <w:rFonts w:ascii="Calibri" w:eastAsia="Calibri" w:hAnsi="Calibri" w:cs="Calibri"/>
        </w:rPr>
      </w:pPr>
      <w:r>
        <w:rPr>
          <w:rFonts w:ascii="Calibri" w:eastAsia="Calibri" w:hAnsi="Calibri" w:cs="Calibri"/>
          <w:noProof/>
        </w:rPr>
        <w:drawing>
          <wp:inline distT="0" distB="0" distL="0" distR="0" wp14:anchorId="0EB134D3" wp14:editId="0EB134D4">
            <wp:extent cx="4191979" cy="139034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91979" cy="1390340"/>
                    </a:xfrm>
                    <a:prstGeom prst="rect">
                      <a:avLst/>
                    </a:prstGeom>
                    <a:ln/>
                  </pic:spPr>
                </pic:pic>
              </a:graphicData>
            </a:graphic>
          </wp:inline>
        </w:drawing>
      </w:r>
    </w:p>
    <w:p w14:paraId="0EB1343F" w14:textId="77777777" w:rsidR="00A2077C" w:rsidRDefault="00A2077C">
      <w:pPr>
        <w:spacing w:after="160" w:line="259" w:lineRule="auto"/>
        <w:rPr>
          <w:rFonts w:ascii="Calibri" w:eastAsia="Calibri" w:hAnsi="Calibri" w:cs="Calibri"/>
        </w:rPr>
      </w:pPr>
    </w:p>
    <w:p w14:paraId="0EB13440" w14:textId="77777777" w:rsidR="00A2077C" w:rsidRDefault="00A2077C">
      <w:pPr>
        <w:spacing w:after="160" w:line="259" w:lineRule="auto"/>
        <w:rPr>
          <w:rFonts w:ascii="Calibri" w:eastAsia="Calibri" w:hAnsi="Calibri" w:cs="Calibri"/>
        </w:rPr>
      </w:pPr>
    </w:p>
    <w:p w14:paraId="0EB13441" w14:textId="77777777" w:rsidR="00A2077C" w:rsidRDefault="006D3072" w:rsidP="004356BF">
      <w:pPr>
        <w:spacing w:line="259" w:lineRule="auto"/>
        <w:jc w:val="center"/>
        <w:rPr>
          <w:b/>
          <w:bCs/>
          <w:sz w:val="44"/>
          <w:szCs w:val="44"/>
        </w:rPr>
      </w:pPr>
      <w:r>
        <w:rPr>
          <w:b/>
          <w:bCs/>
          <w:sz w:val="44"/>
          <w:szCs w:val="44"/>
        </w:rPr>
        <w:t>BA (Hons) Leadership and Management</w:t>
      </w:r>
    </w:p>
    <w:p w14:paraId="0EB13442" w14:textId="77777777" w:rsidR="00A2077C" w:rsidRDefault="006D3072" w:rsidP="004356BF">
      <w:pPr>
        <w:spacing w:line="600" w:lineRule="auto"/>
        <w:jc w:val="center"/>
      </w:pPr>
      <w:r>
        <w:t>(Stakeholders Engagement)</w:t>
      </w:r>
    </w:p>
    <w:p w14:paraId="0EB13443" w14:textId="77777777" w:rsidR="00A2077C" w:rsidRPr="005121E0" w:rsidRDefault="006D3072" w:rsidP="00362832">
      <w:pPr>
        <w:spacing w:line="600" w:lineRule="auto"/>
        <w:rPr>
          <w:bCs/>
          <w:i/>
          <w:iCs/>
        </w:rPr>
      </w:pPr>
      <w:r>
        <w:rPr>
          <w:b/>
          <w:bCs/>
          <w:i/>
          <w:iCs/>
        </w:rPr>
        <w:t>Student Name:</w:t>
      </w:r>
      <w:r w:rsidR="005121E0">
        <w:rPr>
          <w:b/>
          <w:bCs/>
          <w:i/>
          <w:iCs/>
        </w:rPr>
        <w:t xml:space="preserve"> </w:t>
      </w:r>
      <w:r w:rsidR="005121E0">
        <w:rPr>
          <w:bCs/>
          <w:i/>
          <w:iCs/>
        </w:rPr>
        <w:t>Angelica Toma</w:t>
      </w:r>
    </w:p>
    <w:p w14:paraId="0EB13445" w14:textId="489FDB42" w:rsidR="00A2077C" w:rsidRDefault="006D3072" w:rsidP="00362832">
      <w:pPr>
        <w:spacing w:line="600" w:lineRule="auto"/>
        <w:rPr>
          <w:b/>
          <w:bCs/>
          <w:i/>
          <w:iCs/>
        </w:rPr>
      </w:pPr>
      <w:r>
        <w:rPr>
          <w:b/>
          <w:bCs/>
          <w:i/>
          <w:iCs/>
        </w:rPr>
        <w:t>Student Number:</w:t>
      </w:r>
      <w:r w:rsidR="005121E0">
        <w:rPr>
          <w:b/>
          <w:bCs/>
          <w:i/>
          <w:iCs/>
        </w:rPr>
        <w:t xml:space="preserve"> </w:t>
      </w:r>
      <w:r w:rsidR="005121E0" w:rsidRPr="005121E0">
        <w:rPr>
          <w:bCs/>
          <w:i/>
          <w:iCs/>
        </w:rPr>
        <w:t>2336703</w:t>
      </w:r>
    </w:p>
    <w:p w14:paraId="0EB13448" w14:textId="04F1FF6C" w:rsidR="00A2077C" w:rsidRDefault="006D3072" w:rsidP="00362832">
      <w:pPr>
        <w:spacing w:line="600" w:lineRule="auto"/>
        <w:rPr>
          <w:i/>
          <w:iCs/>
        </w:rPr>
      </w:pPr>
      <w:r>
        <w:rPr>
          <w:b/>
          <w:bCs/>
          <w:i/>
          <w:iCs/>
        </w:rPr>
        <w:t>Course Name:</w:t>
      </w:r>
      <w:r>
        <w:rPr>
          <w:i/>
          <w:iCs/>
        </w:rPr>
        <w:t xml:space="preserve"> </w:t>
      </w:r>
      <w:r w:rsidR="005121E0" w:rsidRPr="005121E0">
        <w:rPr>
          <w:i/>
          <w:iCs/>
        </w:rPr>
        <w:t>Developing and Managing Individuals and Teams</w:t>
      </w:r>
      <w:r w:rsidR="005121E0">
        <w:rPr>
          <w:i/>
          <w:iCs/>
        </w:rPr>
        <w:t xml:space="preserve"> LCLM5002</w:t>
      </w:r>
    </w:p>
    <w:p w14:paraId="0EB1344D" w14:textId="12B39227" w:rsidR="00A2077C" w:rsidRDefault="006D3072" w:rsidP="00362832">
      <w:pPr>
        <w:spacing w:line="600" w:lineRule="auto"/>
        <w:rPr>
          <w:i/>
          <w:iCs/>
        </w:rPr>
      </w:pPr>
      <w:r>
        <w:rPr>
          <w:b/>
          <w:bCs/>
          <w:i/>
          <w:iCs/>
        </w:rPr>
        <w:t xml:space="preserve">Lecturer Name: Dr. </w:t>
      </w:r>
      <w:r w:rsidR="005121E0">
        <w:rPr>
          <w:i/>
          <w:iCs/>
        </w:rPr>
        <w:t>Toyin Adisa</w:t>
      </w:r>
    </w:p>
    <w:p w14:paraId="0EB1344E" w14:textId="77777777" w:rsidR="00A2077C" w:rsidRDefault="006D3072" w:rsidP="00362832">
      <w:pPr>
        <w:spacing w:line="600" w:lineRule="auto"/>
        <w:rPr>
          <w:b/>
          <w:bCs/>
          <w:i/>
          <w:iCs/>
        </w:rPr>
      </w:pPr>
      <w:r>
        <w:rPr>
          <w:b/>
          <w:bCs/>
          <w:i/>
          <w:iCs/>
        </w:rPr>
        <w:t>Session</w:t>
      </w:r>
      <w:r>
        <w:rPr>
          <w:i/>
          <w:iCs/>
        </w:rPr>
        <w:t xml:space="preserve">: October </w:t>
      </w:r>
      <w:r>
        <w:rPr>
          <w:b/>
          <w:bCs/>
          <w:i/>
          <w:iCs/>
        </w:rPr>
        <w:t>2025 Term</w:t>
      </w:r>
    </w:p>
    <w:p w14:paraId="0EB1344F" w14:textId="77777777" w:rsidR="00A2077C" w:rsidRDefault="00A2077C">
      <w:pPr>
        <w:sectPr w:rsidR="00A2077C">
          <w:footerReference w:type="default" r:id="rId8"/>
          <w:pgSz w:w="11909" w:h="16834"/>
          <w:pgMar w:top="1440" w:right="1440" w:bottom="1440" w:left="1440" w:header="720" w:footer="720" w:gutter="0"/>
          <w:pgNumType w:start="1"/>
          <w:cols w:space="720"/>
        </w:sectPr>
      </w:pPr>
    </w:p>
    <w:p w14:paraId="0EB13450" w14:textId="77777777" w:rsidR="00A2077C" w:rsidRDefault="006D3072">
      <w:pPr>
        <w:spacing w:before="280" w:line="360" w:lineRule="auto"/>
        <w:jc w:val="center"/>
        <w:rPr>
          <w:b/>
          <w:bCs/>
        </w:rPr>
      </w:pPr>
      <w:r>
        <w:rPr>
          <w:b/>
          <w:bCs/>
        </w:rPr>
        <w:lastRenderedPageBreak/>
        <w:t>Table of contents</w:t>
      </w:r>
    </w:p>
    <w:sdt>
      <w:sdtPr>
        <w:id w:val="-2058933940"/>
        <w:docPartObj>
          <w:docPartGallery w:val="Table of Contents"/>
          <w:docPartUnique/>
        </w:docPartObj>
      </w:sdtPr>
      <w:sdtEndPr/>
      <w:sdtContent>
        <w:p w14:paraId="0EB13451" w14:textId="77777777" w:rsidR="00A2077C" w:rsidRDefault="006D3072">
          <w:pPr>
            <w:widowControl w:val="0"/>
            <w:tabs>
              <w:tab w:val="right" w:leader="dot" w:pos="12000"/>
            </w:tabs>
            <w:spacing w:before="60" w:line="480" w:lineRule="auto"/>
            <w:rPr>
              <w:color w:val="000000"/>
            </w:rPr>
          </w:pPr>
          <w:r>
            <w:fldChar w:fldCharType="begin"/>
          </w:r>
          <w:r>
            <w:instrText xml:space="preserve"> TOC \h \u \z \t "Heading 1,1,Heading 2,2,Heading 3,3,Heading 4,4,Heading 5,5,Heading 6,6,"</w:instrText>
          </w:r>
          <w:r>
            <w:fldChar w:fldCharType="separate"/>
          </w:r>
          <w:hyperlink w:anchor="_itlyjj164u0w">
            <w:r>
              <w:rPr>
                <w:color w:val="000000"/>
              </w:rPr>
              <w:t>Introduction</w:t>
            </w:r>
            <w:r>
              <w:rPr>
                <w:color w:val="000000"/>
              </w:rPr>
              <w:tab/>
              <w:t>1</w:t>
            </w:r>
          </w:hyperlink>
        </w:p>
        <w:p w14:paraId="0EB13452" w14:textId="77777777" w:rsidR="00A2077C" w:rsidRDefault="006D3072">
          <w:pPr>
            <w:widowControl w:val="0"/>
            <w:tabs>
              <w:tab w:val="right" w:leader="dot" w:pos="12000"/>
            </w:tabs>
            <w:spacing w:before="60" w:line="480" w:lineRule="auto"/>
            <w:rPr>
              <w:color w:val="000000"/>
            </w:rPr>
          </w:pPr>
          <w:hyperlink w:anchor="_pyrfri85n7tb">
            <w:r>
              <w:rPr>
                <w:color w:val="000000"/>
              </w:rPr>
              <w:t>1. Specific Factors Related to Business Transformation</w:t>
            </w:r>
            <w:r>
              <w:rPr>
                <w:color w:val="000000"/>
              </w:rPr>
              <w:tab/>
              <w:t>1</w:t>
            </w:r>
          </w:hyperlink>
        </w:p>
        <w:p w14:paraId="0EB13453" w14:textId="77777777" w:rsidR="00A2077C" w:rsidRDefault="006D3072">
          <w:pPr>
            <w:widowControl w:val="0"/>
            <w:tabs>
              <w:tab w:val="right" w:leader="dot" w:pos="12000"/>
            </w:tabs>
            <w:spacing w:before="60" w:line="480" w:lineRule="auto"/>
            <w:ind w:left="360"/>
            <w:rPr>
              <w:color w:val="000000"/>
            </w:rPr>
          </w:pPr>
          <w:hyperlink w:anchor="_w4aluuqst2bh">
            <w:r>
              <w:rPr>
                <w:color w:val="000000"/>
              </w:rPr>
              <w:t>1.1 Digital Technology Trends</w:t>
            </w:r>
            <w:r>
              <w:rPr>
                <w:color w:val="000000"/>
              </w:rPr>
              <w:tab/>
              <w:t>1</w:t>
            </w:r>
          </w:hyperlink>
        </w:p>
        <w:p w14:paraId="0EB13454" w14:textId="77777777" w:rsidR="00A2077C" w:rsidRDefault="006D3072">
          <w:pPr>
            <w:widowControl w:val="0"/>
            <w:tabs>
              <w:tab w:val="right" w:leader="dot" w:pos="12000"/>
            </w:tabs>
            <w:spacing w:before="60" w:line="480" w:lineRule="auto"/>
            <w:ind w:left="360"/>
            <w:rPr>
              <w:color w:val="000000"/>
            </w:rPr>
          </w:pPr>
          <w:hyperlink w:anchor="_hv968b1wf28b">
            <w:r>
              <w:rPr>
                <w:color w:val="000000"/>
              </w:rPr>
              <w:t>1.2 Flexible Working Arrangements</w:t>
            </w:r>
            <w:r>
              <w:rPr>
                <w:color w:val="000000"/>
              </w:rPr>
              <w:tab/>
              <w:t>2</w:t>
            </w:r>
          </w:hyperlink>
        </w:p>
        <w:p w14:paraId="0EB13455" w14:textId="77777777" w:rsidR="00A2077C" w:rsidRDefault="006D3072">
          <w:pPr>
            <w:widowControl w:val="0"/>
            <w:tabs>
              <w:tab w:val="right" w:leader="dot" w:pos="12000"/>
            </w:tabs>
            <w:spacing w:before="60" w:line="480" w:lineRule="auto"/>
            <w:ind w:left="360"/>
            <w:rPr>
              <w:color w:val="000000"/>
            </w:rPr>
          </w:pPr>
          <w:hyperlink w:anchor="_ieji6eu7stmi">
            <w:r>
              <w:rPr>
                <w:color w:val="000000"/>
              </w:rPr>
              <w:t>1.3 Organisational Culture and Leadership</w:t>
            </w:r>
            <w:r>
              <w:rPr>
                <w:color w:val="000000"/>
              </w:rPr>
              <w:tab/>
              <w:t>2</w:t>
            </w:r>
          </w:hyperlink>
        </w:p>
        <w:p w14:paraId="0EB13456" w14:textId="77777777" w:rsidR="00A2077C" w:rsidRDefault="006D3072">
          <w:pPr>
            <w:widowControl w:val="0"/>
            <w:tabs>
              <w:tab w:val="right" w:leader="dot" w:pos="12000"/>
            </w:tabs>
            <w:spacing w:before="60" w:line="480" w:lineRule="auto"/>
            <w:ind w:left="360"/>
            <w:rPr>
              <w:color w:val="000000"/>
            </w:rPr>
          </w:pPr>
          <w:hyperlink w:anchor="_pmbx2r5t5c3d">
            <w:r>
              <w:rPr>
                <w:color w:val="000000"/>
              </w:rPr>
              <w:t>1.4 Operational Risk and Compliance</w:t>
            </w:r>
            <w:r>
              <w:rPr>
                <w:color w:val="000000"/>
              </w:rPr>
              <w:tab/>
              <w:t>2</w:t>
            </w:r>
          </w:hyperlink>
        </w:p>
        <w:p w14:paraId="0EB13457" w14:textId="77777777" w:rsidR="00A2077C" w:rsidRDefault="006D3072">
          <w:pPr>
            <w:widowControl w:val="0"/>
            <w:tabs>
              <w:tab w:val="right" w:leader="dot" w:pos="12000"/>
            </w:tabs>
            <w:spacing w:before="60" w:line="480" w:lineRule="auto"/>
            <w:ind w:left="360"/>
            <w:rPr>
              <w:color w:val="000000"/>
            </w:rPr>
          </w:pPr>
          <w:hyperlink w:anchor="_172lybvflrgf">
            <w:r>
              <w:rPr>
                <w:color w:val="000000"/>
              </w:rPr>
              <w:t>1.5 Performance and Well-being Pressures</w:t>
            </w:r>
            <w:r>
              <w:rPr>
                <w:color w:val="000000"/>
              </w:rPr>
              <w:tab/>
              <w:t>2</w:t>
            </w:r>
          </w:hyperlink>
        </w:p>
        <w:p w14:paraId="0EB13458" w14:textId="77777777" w:rsidR="00A2077C" w:rsidRDefault="006D3072">
          <w:pPr>
            <w:widowControl w:val="0"/>
            <w:tabs>
              <w:tab w:val="right" w:leader="dot" w:pos="12000"/>
            </w:tabs>
            <w:spacing w:before="60" w:line="480" w:lineRule="auto"/>
            <w:rPr>
              <w:color w:val="000000"/>
            </w:rPr>
          </w:pPr>
          <w:hyperlink w:anchor="_3jpsmapqggv1">
            <w:r>
              <w:rPr>
                <w:color w:val="000000"/>
              </w:rPr>
              <w:t>2. Evaluation of Contemporary HR Practices</w:t>
            </w:r>
            <w:r>
              <w:rPr>
                <w:color w:val="000000"/>
              </w:rPr>
              <w:tab/>
              <w:t>3</w:t>
            </w:r>
          </w:hyperlink>
        </w:p>
        <w:p w14:paraId="0EB13459" w14:textId="77777777" w:rsidR="00A2077C" w:rsidRDefault="006D3072">
          <w:pPr>
            <w:widowControl w:val="0"/>
            <w:tabs>
              <w:tab w:val="right" w:leader="dot" w:pos="12000"/>
            </w:tabs>
            <w:spacing w:before="60" w:line="480" w:lineRule="auto"/>
            <w:ind w:left="360"/>
            <w:rPr>
              <w:color w:val="000000"/>
            </w:rPr>
          </w:pPr>
          <w:hyperlink w:anchor="_56zf3sl48f1o">
            <w:r>
              <w:rPr>
                <w:color w:val="000000"/>
              </w:rPr>
              <w:t>2.1 Change Management &amp; Digital Adoption Programmes</w:t>
            </w:r>
            <w:r>
              <w:rPr>
                <w:color w:val="000000"/>
              </w:rPr>
              <w:tab/>
              <w:t>3</w:t>
            </w:r>
          </w:hyperlink>
        </w:p>
        <w:p w14:paraId="0EB1345A" w14:textId="77777777" w:rsidR="00A2077C" w:rsidRDefault="006D3072">
          <w:pPr>
            <w:widowControl w:val="0"/>
            <w:tabs>
              <w:tab w:val="right" w:leader="dot" w:pos="12000"/>
            </w:tabs>
            <w:spacing w:before="60" w:line="480" w:lineRule="auto"/>
            <w:ind w:left="360"/>
            <w:rPr>
              <w:color w:val="000000"/>
            </w:rPr>
          </w:pPr>
          <w:hyperlink w:anchor="_g8lpcvlp2ru8">
            <w:r>
              <w:rPr>
                <w:color w:val="000000"/>
              </w:rPr>
              <w:t>2.2 Flexible Working Policy &amp; Workforce Planning</w:t>
            </w:r>
            <w:r>
              <w:rPr>
                <w:color w:val="000000"/>
              </w:rPr>
              <w:tab/>
              <w:t>3</w:t>
            </w:r>
          </w:hyperlink>
        </w:p>
        <w:p w14:paraId="0EB1345B" w14:textId="77777777" w:rsidR="00A2077C" w:rsidRDefault="006D3072">
          <w:pPr>
            <w:widowControl w:val="0"/>
            <w:tabs>
              <w:tab w:val="right" w:leader="dot" w:pos="12000"/>
            </w:tabs>
            <w:spacing w:before="60" w:line="480" w:lineRule="auto"/>
            <w:ind w:left="360"/>
            <w:rPr>
              <w:color w:val="000000"/>
            </w:rPr>
          </w:pPr>
          <w:hyperlink w:anchor="_kwzw79m4c41a">
            <w:r>
              <w:rPr>
                <w:color w:val="000000"/>
              </w:rPr>
              <w:t>2.3 Well-being and Job Design</w:t>
            </w:r>
            <w:r>
              <w:rPr>
                <w:color w:val="000000"/>
              </w:rPr>
              <w:tab/>
              <w:t>3</w:t>
            </w:r>
          </w:hyperlink>
        </w:p>
        <w:p w14:paraId="0EB1345C" w14:textId="77777777" w:rsidR="00A2077C" w:rsidRDefault="006D3072">
          <w:pPr>
            <w:widowControl w:val="0"/>
            <w:tabs>
              <w:tab w:val="right" w:leader="dot" w:pos="12000"/>
            </w:tabs>
            <w:spacing w:before="60" w:line="480" w:lineRule="auto"/>
            <w:ind w:left="360"/>
            <w:rPr>
              <w:color w:val="000000"/>
            </w:rPr>
          </w:pPr>
          <w:hyperlink w:anchor="_8xe0tygm3jhw">
            <w:r>
              <w:rPr>
                <w:color w:val="000000"/>
              </w:rPr>
              <w:t>2.4 Leadership Development and Culture Change</w:t>
            </w:r>
            <w:r>
              <w:rPr>
                <w:color w:val="000000"/>
              </w:rPr>
              <w:tab/>
              <w:t>4</w:t>
            </w:r>
          </w:hyperlink>
        </w:p>
        <w:p w14:paraId="0EB1345D" w14:textId="77777777" w:rsidR="00A2077C" w:rsidRDefault="006D3072">
          <w:pPr>
            <w:widowControl w:val="0"/>
            <w:tabs>
              <w:tab w:val="right" w:leader="dot" w:pos="12000"/>
            </w:tabs>
            <w:spacing w:before="60" w:line="480" w:lineRule="auto"/>
            <w:ind w:left="360"/>
            <w:rPr>
              <w:color w:val="000000"/>
            </w:rPr>
          </w:pPr>
          <w:hyperlink w:anchor="_uh3reyn2d8ho">
            <w:r>
              <w:rPr>
                <w:color w:val="000000"/>
              </w:rPr>
              <w:t>2.5 Performance Management and Feedback</w:t>
            </w:r>
            <w:r>
              <w:rPr>
                <w:color w:val="000000"/>
              </w:rPr>
              <w:tab/>
              <w:t>4</w:t>
            </w:r>
          </w:hyperlink>
        </w:p>
        <w:p w14:paraId="0EB1345E" w14:textId="77777777" w:rsidR="00A2077C" w:rsidRDefault="006D3072">
          <w:pPr>
            <w:widowControl w:val="0"/>
            <w:tabs>
              <w:tab w:val="right" w:leader="dot" w:pos="12000"/>
            </w:tabs>
            <w:spacing w:before="60" w:line="480" w:lineRule="auto"/>
            <w:rPr>
              <w:color w:val="000000"/>
            </w:rPr>
          </w:pPr>
          <w:hyperlink w:anchor="_hr5bado4unxs">
            <w:r>
              <w:rPr>
                <w:color w:val="000000"/>
              </w:rPr>
              <w:t>3. Critical Evaluation: How Departmental Managers Can Ensure Urgent Implementation</w:t>
            </w:r>
            <w:r>
              <w:rPr>
                <w:color w:val="000000"/>
              </w:rPr>
              <w:tab/>
              <w:t>4</w:t>
            </w:r>
          </w:hyperlink>
        </w:p>
        <w:p w14:paraId="0EB1345F" w14:textId="77777777" w:rsidR="00A2077C" w:rsidRDefault="006D3072">
          <w:pPr>
            <w:widowControl w:val="0"/>
            <w:tabs>
              <w:tab w:val="right" w:leader="dot" w:pos="12000"/>
            </w:tabs>
            <w:spacing w:before="60" w:line="480" w:lineRule="auto"/>
            <w:ind w:left="360"/>
            <w:rPr>
              <w:color w:val="000000"/>
            </w:rPr>
          </w:pPr>
          <w:hyperlink w:anchor="_o5zlcnx1eovz">
            <w:r>
              <w:rPr>
                <w:color w:val="000000"/>
              </w:rPr>
              <w:t>3.1 Role of Managers as Change Agents</w:t>
            </w:r>
            <w:r>
              <w:rPr>
                <w:color w:val="000000"/>
              </w:rPr>
              <w:tab/>
              <w:t>5</w:t>
            </w:r>
          </w:hyperlink>
        </w:p>
        <w:p w14:paraId="0EB13460" w14:textId="77777777" w:rsidR="00A2077C" w:rsidRDefault="006D3072">
          <w:pPr>
            <w:widowControl w:val="0"/>
            <w:tabs>
              <w:tab w:val="right" w:leader="dot" w:pos="12000"/>
            </w:tabs>
            <w:spacing w:before="60" w:line="480" w:lineRule="auto"/>
            <w:ind w:left="360"/>
            <w:rPr>
              <w:color w:val="000000"/>
            </w:rPr>
          </w:pPr>
          <w:hyperlink w:anchor="_3lahf5e7ngbl">
            <w:r>
              <w:rPr>
                <w:color w:val="000000"/>
              </w:rPr>
              <w:t>3.2 Building Trust &amp; Psychological Safety</w:t>
            </w:r>
            <w:r>
              <w:rPr>
                <w:color w:val="000000"/>
              </w:rPr>
              <w:tab/>
              <w:t>5</w:t>
            </w:r>
          </w:hyperlink>
        </w:p>
        <w:p w14:paraId="0EB13461" w14:textId="77777777" w:rsidR="00A2077C" w:rsidRDefault="006D3072">
          <w:pPr>
            <w:widowControl w:val="0"/>
            <w:tabs>
              <w:tab w:val="right" w:leader="dot" w:pos="12000"/>
            </w:tabs>
            <w:spacing w:before="60" w:line="480" w:lineRule="auto"/>
            <w:ind w:left="360"/>
            <w:rPr>
              <w:color w:val="000000"/>
            </w:rPr>
          </w:pPr>
          <w:hyperlink w:anchor="_lq5bbghn0jsw">
            <w:r>
              <w:rPr>
                <w:color w:val="000000"/>
              </w:rPr>
              <w:t>3.3 Training and Capability Building</w:t>
            </w:r>
            <w:r>
              <w:rPr>
                <w:color w:val="000000"/>
              </w:rPr>
              <w:tab/>
              <w:t>5</w:t>
            </w:r>
          </w:hyperlink>
        </w:p>
        <w:p w14:paraId="0EB13462" w14:textId="77777777" w:rsidR="00A2077C" w:rsidRDefault="006D3072">
          <w:pPr>
            <w:widowControl w:val="0"/>
            <w:tabs>
              <w:tab w:val="right" w:leader="dot" w:pos="12000"/>
            </w:tabs>
            <w:spacing w:before="60" w:line="480" w:lineRule="auto"/>
            <w:ind w:left="360"/>
            <w:rPr>
              <w:color w:val="000000"/>
            </w:rPr>
          </w:pPr>
          <w:hyperlink w:anchor="_k8h0u4ly2rjz">
            <w:r>
              <w:rPr>
                <w:color w:val="000000"/>
              </w:rPr>
              <w:t>3.4 Monitoring, Feedback, and Accountability</w:t>
            </w:r>
            <w:r>
              <w:rPr>
                <w:color w:val="000000"/>
              </w:rPr>
              <w:tab/>
              <w:t>5</w:t>
            </w:r>
          </w:hyperlink>
        </w:p>
        <w:p w14:paraId="0EB13463" w14:textId="77777777" w:rsidR="00A2077C" w:rsidRDefault="006D3072">
          <w:pPr>
            <w:widowControl w:val="0"/>
            <w:tabs>
              <w:tab w:val="right" w:leader="dot" w:pos="12000"/>
            </w:tabs>
            <w:spacing w:before="60" w:line="480" w:lineRule="auto"/>
            <w:ind w:left="360"/>
            <w:rPr>
              <w:color w:val="000000"/>
            </w:rPr>
          </w:pPr>
          <w:hyperlink w:anchor="_swqty03tu1gv">
            <w:r>
              <w:rPr>
                <w:color w:val="000000"/>
              </w:rPr>
              <w:t>3.5 Risk Mitigation and Continuous Improvement</w:t>
            </w:r>
            <w:r>
              <w:rPr>
                <w:color w:val="000000"/>
              </w:rPr>
              <w:tab/>
              <w:t>6</w:t>
            </w:r>
          </w:hyperlink>
        </w:p>
        <w:p w14:paraId="0EB13464" w14:textId="77777777" w:rsidR="00A2077C" w:rsidRDefault="006D3072">
          <w:pPr>
            <w:widowControl w:val="0"/>
            <w:tabs>
              <w:tab w:val="right" w:leader="dot" w:pos="12000"/>
            </w:tabs>
            <w:spacing w:before="60" w:line="480" w:lineRule="auto"/>
            <w:rPr>
              <w:color w:val="000000"/>
            </w:rPr>
          </w:pPr>
          <w:hyperlink w:anchor="_dd5894m3uf0y">
            <w:r>
              <w:rPr>
                <w:color w:val="000000"/>
              </w:rPr>
              <w:t>Conclusion &amp; Recommendations</w:t>
            </w:r>
            <w:r>
              <w:rPr>
                <w:color w:val="000000"/>
              </w:rPr>
              <w:tab/>
              <w:t>6</w:t>
            </w:r>
          </w:hyperlink>
        </w:p>
        <w:p w14:paraId="0EB13465" w14:textId="77777777" w:rsidR="00A2077C" w:rsidRDefault="006D3072">
          <w:pPr>
            <w:widowControl w:val="0"/>
            <w:tabs>
              <w:tab w:val="right" w:leader="dot" w:pos="12000"/>
            </w:tabs>
            <w:spacing w:before="60" w:line="480" w:lineRule="auto"/>
            <w:ind w:left="360"/>
            <w:rPr>
              <w:color w:val="000000"/>
            </w:rPr>
          </w:pPr>
          <w:hyperlink w:anchor="_3p7w3t5xpy0t">
            <w:r>
              <w:rPr>
                <w:color w:val="000000"/>
              </w:rPr>
              <w:t>Conclusion</w:t>
            </w:r>
            <w:r>
              <w:rPr>
                <w:color w:val="000000"/>
              </w:rPr>
              <w:tab/>
              <w:t>6</w:t>
            </w:r>
          </w:hyperlink>
        </w:p>
        <w:p w14:paraId="0EB13466" w14:textId="77777777" w:rsidR="00A2077C" w:rsidRDefault="006D3072">
          <w:pPr>
            <w:widowControl w:val="0"/>
            <w:tabs>
              <w:tab w:val="right" w:leader="dot" w:pos="12000"/>
            </w:tabs>
            <w:spacing w:before="60" w:line="480" w:lineRule="auto"/>
            <w:ind w:left="360"/>
            <w:rPr>
              <w:color w:val="000000"/>
            </w:rPr>
          </w:pPr>
          <w:hyperlink w:anchor="_ccsr8rcb8oi7">
            <w:r>
              <w:rPr>
                <w:color w:val="000000"/>
              </w:rPr>
              <w:t>Recommendations</w:t>
            </w:r>
            <w:r>
              <w:rPr>
                <w:color w:val="000000"/>
              </w:rPr>
              <w:tab/>
              <w:t>6</w:t>
            </w:r>
          </w:hyperlink>
        </w:p>
        <w:p w14:paraId="0EB13467" w14:textId="77777777" w:rsidR="00A2077C" w:rsidRDefault="006D3072">
          <w:pPr>
            <w:widowControl w:val="0"/>
            <w:tabs>
              <w:tab w:val="right" w:leader="dot" w:pos="12000"/>
            </w:tabs>
            <w:spacing w:before="60" w:line="480" w:lineRule="auto"/>
            <w:rPr>
              <w:color w:val="000000"/>
            </w:rPr>
          </w:pPr>
          <w:hyperlink w:anchor="_6qancwjvtr7g">
            <w:r>
              <w:rPr>
                <w:color w:val="000000"/>
              </w:rPr>
              <w:t>References</w:t>
            </w:r>
            <w:r>
              <w:rPr>
                <w:color w:val="000000"/>
              </w:rPr>
              <w:tab/>
              <w:t>8</w:t>
            </w:r>
          </w:hyperlink>
          <w:r>
            <w:fldChar w:fldCharType="end"/>
          </w:r>
        </w:p>
      </w:sdtContent>
    </w:sdt>
    <w:p w14:paraId="0EB13468" w14:textId="77777777" w:rsidR="00A2077C" w:rsidRDefault="00A2077C">
      <w:pPr>
        <w:sectPr w:rsidR="00A2077C">
          <w:pgSz w:w="11909" w:h="16834"/>
          <w:pgMar w:top="1440" w:right="1440" w:bottom="1440" w:left="1440" w:header="720" w:footer="720" w:gutter="0"/>
          <w:cols w:space="720"/>
        </w:sectPr>
      </w:pPr>
    </w:p>
    <w:p w14:paraId="0EB13469" w14:textId="77777777" w:rsidR="00A2077C" w:rsidRDefault="006D3072">
      <w:pPr>
        <w:pStyle w:val="Heading1"/>
        <w:keepNext w:val="0"/>
        <w:keepLines w:val="0"/>
        <w:spacing w:before="280" w:line="360" w:lineRule="auto"/>
        <w:jc w:val="both"/>
        <w:rPr>
          <w:b/>
          <w:bCs/>
          <w:sz w:val="22"/>
          <w:szCs w:val="22"/>
        </w:rPr>
      </w:pPr>
      <w:bookmarkStart w:id="0" w:name="_itlyjj164u0w" w:colFirst="0" w:colLast="0"/>
      <w:bookmarkEnd w:id="0"/>
      <w:r>
        <w:rPr>
          <w:b/>
          <w:bCs/>
          <w:sz w:val="22"/>
          <w:szCs w:val="22"/>
        </w:rPr>
        <w:lastRenderedPageBreak/>
        <w:t xml:space="preserve">Introduction </w:t>
      </w:r>
    </w:p>
    <w:p w14:paraId="0EB1346A" w14:textId="77777777" w:rsidR="00A2077C" w:rsidRDefault="006D3072">
      <w:pPr>
        <w:spacing w:before="240" w:after="240" w:line="360" w:lineRule="auto"/>
        <w:jc w:val="both"/>
      </w:pPr>
      <w:r>
        <w:t xml:space="preserve">In the rapidly evolving landscape of healthcare, </w:t>
      </w:r>
      <w:r>
        <w:rPr>
          <w:b/>
          <w:bCs/>
        </w:rPr>
        <w:t xml:space="preserve">North London Community Health Trust, </w:t>
      </w:r>
      <w:r>
        <w:t xml:space="preserve">(NLCHT) is a large NHS-style </w:t>
      </w:r>
      <w:proofErr w:type="spellStart"/>
      <w:r>
        <w:t>organisation</w:t>
      </w:r>
      <w:proofErr w:type="spellEnd"/>
      <w:r>
        <w:t xml:space="preserve"> that is going through a transformative stage, which is </w:t>
      </w:r>
      <w:proofErr w:type="spellStart"/>
      <w:r>
        <w:t>characterised</w:t>
      </w:r>
      <w:proofErr w:type="spellEnd"/>
      <w:r>
        <w:t xml:space="preserve"> by the introduction of digital technology and flexible working conditions. Although the objective of these changes is to enhance the care of patients, their operation and workforce satisfaction, the Trust has experienced an impressive increase in employee grievances within the initial month of the appointment to work in HR. Such complaints include not feeling comfortable with the new digital systems and having a sense of unfairness with hybrid schedules. One is the newly appointed HR professional having a focus on leadership and management, and the task is to create a strategic report that considers the root causes of these problems and provides recommendations on evidence-based intervention.</w:t>
      </w:r>
    </w:p>
    <w:p w14:paraId="0EB1346B" w14:textId="77777777" w:rsidR="00A2077C" w:rsidRDefault="006D3072">
      <w:pPr>
        <w:spacing w:before="240" w:after="240" w:line="360" w:lineRule="auto"/>
        <w:jc w:val="both"/>
      </w:pPr>
      <w:r>
        <w:t>The analysis will be based on the existing academic sources, policy frameworks in the NHS, and real-life examples of the UK healthcare industry. By doing so, the report is not only set to correct the urgent complaints but also to create a sustainable HR system that would help to create long-term change (Olander &amp; Eberhardt, 2025).</w:t>
      </w:r>
    </w:p>
    <w:p w14:paraId="0EB1346C" w14:textId="77777777" w:rsidR="00A2077C" w:rsidRDefault="006D3072">
      <w:pPr>
        <w:pStyle w:val="Heading1"/>
        <w:keepNext w:val="0"/>
        <w:keepLines w:val="0"/>
        <w:spacing w:before="280" w:line="360" w:lineRule="auto"/>
        <w:jc w:val="both"/>
        <w:rPr>
          <w:b/>
          <w:bCs/>
          <w:sz w:val="22"/>
          <w:szCs w:val="22"/>
        </w:rPr>
      </w:pPr>
      <w:bookmarkStart w:id="1" w:name="_pyrfri85n7tb" w:colFirst="0" w:colLast="0"/>
      <w:bookmarkEnd w:id="1"/>
      <w:r>
        <w:rPr>
          <w:b/>
          <w:bCs/>
          <w:sz w:val="22"/>
          <w:szCs w:val="22"/>
        </w:rPr>
        <w:t xml:space="preserve">1. Specific Factors Related to Business Transformation </w:t>
      </w:r>
    </w:p>
    <w:p w14:paraId="0EB1346D" w14:textId="77777777" w:rsidR="00A2077C" w:rsidRDefault="006D3072">
      <w:pPr>
        <w:pStyle w:val="Heading2"/>
        <w:spacing w:before="240" w:after="240" w:line="360" w:lineRule="auto"/>
        <w:jc w:val="both"/>
        <w:rPr>
          <w:b/>
          <w:bCs/>
          <w:sz w:val="22"/>
          <w:szCs w:val="22"/>
        </w:rPr>
      </w:pPr>
      <w:bookmarkStart w:id="2" w:name="_w4aluuqst2bh" w:colFirst="0" w:colLast="0"/>
      <w:bookmarkEnd w:id="2"/>
      <w:r>
        <w:rPr>
          <w:b/>
          <w:bCs/>
          <w:sz w:val="22"/>
          <w:szCs w:val="22"/>
        </w:rPr>
        <w:t>1.1 Digital Technology Trends</w:t>
      </w:r>
    </w:p>
    <w:p w14:paraId="0EB1346E" w14:textId="77777777" w:rsidR="00A2077C" w:rsidRDefault="006D3072">
      <w:pPr>
        <w:spacing w:before="240" w:after="240" w:line="360" w:lineRule="auto"/>
        <w:jc w:val="both"/>
      </w:pPr>
      <w:r>
        <w:t>The digital change experienced by NLCHT is the implementation of Electronic Health Records (EHR), telehealth technology, and automation of administrative processes. The changes are a socio-technical shift - the combination of technological systems and people-oriented processes. To the technical aspect, EHR implementation is likely to be more accessible to data and enhance patient safety. Telehealth facilitates distance-based consultations, which saves strain on physical facilities. Manual workloads can also be minimized by automated workflows (Li et al., 2022).</w:t>
      </w:r>
    </w:p>
    <w:p w14:paraId="0EB1346F" w14:textId="77777777" w:rsidR="00A2077C" w:rsidRDefault="006D3072">
      <w:pPr>
        <w:spacing w:before="240" w:after="240" w:line="360" w:lineRule="auto"/>
        <w:jc w:val="both"/>
      </w:pPr>
      <w:r>
        <w:t>But the people side is where some major challenges are brought out. Digital fatigue is being experienced by many clinicians and administrative staffs as they balance between old systems and the new systems. The gap in skills is also present: not every employee is equally trained or sure in his/her usage of new technologies. The causes of resistance to change can be anxiety about usability, concerns about data security, or even the worry of being replaced. In addition, the socio-technical systems theory cautions against ignoring the human aspect, i.e. how the work is restructured around the technology, which may result in the failure or ineffectiveness of a system (</w:t>
      </w:r>
      <w:proofErr w:type="spellStart"/>
      <w:r>
        <w:t>Degerli</w:t>
      </w:r>
      <w:proofErr w:type="spellEnd"/>
      <w:r>
        <w:t xml:space="preserve"> &amp; Ozkan Yildirim, 2022).</w:t>
      </w:r>
    </w:p>
    <w:p w14:paraId="0EB13470" w14:textId="77777777" w:rsidR="00A2077C" w:rsidRDefault="006D3072">
      <w:pPr>
        <w:pStyle w:val="Heading2"/>
        <w:spacing w:before="240" w:after="240" w:line="360" w:lineRule="auto"/>
        <w:jc w:val="both"/>
        <w:rPr>
          <w:b/>
          <w:bCs/>
          <w:sz w:val="22"/>
          <w:szCs w:val="22"/>
        </w:rPr>
      </w:pPr>
      <w:bookmarkStart w:id="3" w:name="_hv968b1wf28b" w:colFirst="0" w:colLast="0"/>
      <w:bookmarkEnd w:id="3"/>
      <w:r>
        <w:rPr>
          <w:b/>
          <w:bCs/>
          <w:sz w:val="22"/>
          <w:szCs w:val="22"/>
        </w:rPr>
        <w:lastRenderedPageBreak/>
        <w:t>1.2 Flexible Working Arrangements</w:t>
      </w:r>
    </w:p>
    <w:p w14:paraId="0EB13471" w14:textId="77777777" w:rsidR="00A2077C" w:rsidRDefault="006D3072">
      <w:pPr>
        <w:spacing w:before="240" w:after="240" w:line="360" w:lineRule="auto"/>
        <w:jc w:val="both"/>
      </w:pPr>
      <w:r>
        <w:t>In NLCHT, there has been an explosion of flexible working requests according to the current trends of the UK employment. In the recent UK flexible working legislation, employees are allowed to demand adjustment to his or her working pattern by the third day. At NLCHT, hybrid working, compressed hours, and remote working are being demanded as non-clinical staff (e.g., administration, management). By contrast, onsite working is mostly obligatory to clinical staff (nurses, doctors) because of the direct contact with patients and working in shifts.</w:t>
      </w:r>
    </w:p>
    <w:p w14:paraId="0EB13472" w14:textId="77777777" w:rsidR="00A2077C" w:rsidRDefault="006D3072">
      <w:pPr>
        <w:pStyle w:val="Heading2"/>
        <w:spacing w:before="240" w:after="240" w:line="360" w:lineRule="auto"/>
        <w:jc w:val="both"/>
        <w:rPr>
          <w:b/>
          <w:bCs/>
          <w:sz w:val="22"/>
          <w:szCs w:val="22"/>
        </w:rPr>
      </w:pPr>
      <w:bookmarkStart w:id="4" w:name="_ieji6eu7stmi" w:colFirst="0" w:colLast="0"/>
      <w:bookmarkEnd w:id="4"/>
      <w:r>
        <w:rPr>
          <w:b/>
          <w:bCs/>
          <w:sz w:val="22"/>
          <w:szCs w:val="22"/>
        </w:rPr>
        <w:t xml:space="preserve">1.3 </w:t>
      </w:r>
      <w:proofErr w:type="spellStart"/>
      <w:r>
        <w:rPr>
          <w:b/>
          <w:bCs/>
          <w:sz w:val="22"/>
          <w:szCs w:val="22"/>
        </w:rPr>
        <w:t>Organisational</w:t>
      </w:r>
      <w:proofErr w:type="spellEnd"/>
      <w:r>
        <w:rPr>
          <w:b/>
          <w:bCs/>
          <w:sz w:val="22"/>
          <w:szCs w:val="22"/>
        </w:rPr>
        <w:t xml:space="preserve"> Culture and Leadership</w:t>
      </w:r>
    </w:p>
    <w:p w14:paraId="0EB13473" w14:textId="77777777" w:rsidR="00A2077C" w:rsidRDefault="006D3072">
      <w:pPr>
        <w:spacing w:before="240" w:after="240" w:line="360" w:lineRule="auto"/>
        <w:jc w:val="both"/>
      </w:pPr>
      <w:r>
        <w:t>Both digital transformation and flexible working need a positive leadership culture. In the case of NLCHT, it is the leaders and managers adopting the changes who should show a display of digital adoption, be the champion of the change, and communicate effectively regarding the changes. In the absence of this, the workers will become alienated, unconfident, and unappreciated. The clinical culture can be hierarchical, which can be resistant to be flattened, and the management conventional practices may not be promoting such a participative decision making required. This is a cultural clash that can intensify complaints (Zhu et al., 2022).</w:t>
      </w:r>
    </w:p>
    <w:p w14:paraId="0EB13474" w14:textId="77777777" w:rsidR="00A2077C" w:rsidRDefault="006D3072">
      <w:pPr>
        <w:pStyle w:val="Heading2"/>
        <w:spacing w:before="240" w:after="240" w:line="360" w:lineRule="auto"/>
        <w:jc w:val="both"/>
        <w:rPr>
          <w:b/>
          <w:bCs/>
          <w:sz w:val="22"/>
          <w:szCs w:val="22"/>
        </w:rPr>
      </w:pPr>
      <w:bookmarkStart w:id="5" w:name="_pmbx2r5t5c3d" w:colFirst="0" w:colLast="0"/>
      <w:bookmarkEnd w:id="5"/>
      <w:r>
        <w:rPr>
          <w:b/>
          <w:bCs/>
          <w:sz w:val="22"/>
          <w:szCs w:val="22"/>
        </w:rPr>
        <w:t>1.4 Operational Risk and Compliance</w:t>
      </w:r>
    </w:p>
    <w:p w14:paraId="0EB13475" w14:textId="77777777" w:rsidR="00A2077C" w:rsidRDefault="006D3072">
      <w:pPr>
        <w:spacing w:before="240" w:after="240" w:line="360" w:lineRule="auto"/>
        <w:jc w:val="both"/>
      </w:pPr>
      <w:r>
        <w:t>Digital health systems introduce regulatory and data security risks: patient data are to be secured according to GDPR, and any malfunctions of the system can lead to the undermining of care. On the flexible-working side of the matter, NHS duty-of-care compliance, staffing ratios, and shift-pattern regulations (e.g., working time directive) is more complicated when the working patterns are different. Such risks may play a role in increasing anxiety on the part of managers and workers which serve as a boost to grievances.</w:t>
      </w:r>
    </w:p>
    <w:p w14:paraId="0EB13476" w14:textId="77777777" w:rsidR="00A2077C" w:rsidRDefault="006D3072">
      <w:pPr>
        <w:pStyle w:val="Heading2"/>
        <w:spacing w:before="240" w:after="240" w:line="360" w:lineRule="auto"/>
        <w:jc w:val="both"/>
        <w:rPr>
          <w:b/>
          <w:bCs/>
          <w:sz w:val="22"/>
          <w:szCs w:val="22"/>
        </w:rPr>
      </w:pPr>
      <w:bookmarkStart w:id="6" w:name="_172lybvflrgf" w:colFirst="0" w:colLast="0"/>
      <w:bookmarkEnd w:id="6"/>
      <w:r>
        <w:rPr>
          <w:b/>
          <w:bCs/>
          <w:sz w:val="22"/>
          <w:szCs w:val="22"/>
        </w:rPr>
        <w:t>1.5 Performance and Well-being Pressures</w:t>
      </w:r>
    </w:p>
    <w:p w14:paraId="0EB13477" w14:textId="77777777" w:rsidR="00A2077C" w:rsidRDefault="006D3072">
      <w:pPr>
        <w:spacing w:before="240" w:after="240" w:line="360" w:lineRule="auto"/>
        <w:jc w:val="both"/>
      </w:pPr>
      <w:r>
        <w:t xml:space="preserve">The change raises the level of job demands. Working hybrid and with new systems may increase cognitive load. Telehealth consultations can imply </w:t>
      </w:r>
      <w:proofErr w:type="spellStart"/>
      <w:r>
        <w:t>increased</w:t>
      </w:r>
      <w:proofErr w:type="spellEnd"/>
      <w:r>
        <w:t xml:space="preserve"> virtual appointments on a back-to-back basis. Surveillance may be viewed as a form of automated reporting or monitoring. All of this contributes to stress, burnout possibility, and diminished health - particularly in a stressful healthcare environment. Staff members can easily put forward grievances when they feel that they are overworked, and they may feel that they are not getting enough support (Helble et al., 2023).</w:t>
      </w:r>
    </w:p>
    <w:p w14:paraId="0EB13478" w14:textId="77777777" w:rsidR="00A2077C" w:rsidRDefault="006D3072">
      <w:pPr>
        <w:pStyle w:val="Heading1"/>
        <w:keepNext w:val="0"/>
        <w:keepLines w:val="0"/>
        <w:spacing w:before="280" w:line="360" w:lineRule="auto"/>
        <w:jc w:val="both"/>
        <w:rPr>
          <w:b/>
          <w:bCs/>
          <w:sz w:val="22"/>
          <w:szCs w:val="22"/>
        </w:rPr>
      </w:pPr>
      <w:bookmarkStart w:id="7" w:name="_3jpsmapqggv1" w:colFirst="0" w:colLast="0"/>
      <w:bookmarkEnd w:id="7"/>
      <w:r>
        <w:rPr>
          <w:b/>
          <w:bCs/>
          <w:sz w:val="22"/>
          <w:szCs w:val="22"/>
        </w:rPr>
        <w:lastRenderedPageBreak/>
        <w:t xml:space="preserve">2. Evaluation of Contemporary HR Practices </w:t>
      </w:r>
    </w:p>
    <w:p w14:paraId="0EB13479" w14:textId="77777777" w:rsidR="00A2077C" w:rsidRDefault="006D3072">
      <w:pPr>
        <w:pStyle w:val="Heading2"/>
        <w:spacing w:before="240" w:after="240" w:line="360" w:lineRule="auto"/>
        <w:jc w:val="both"/>
        <w:rPr>
          <w:b/>
          <w:bCs/>
          <w:sz w:val="22"/>
          <w:szCs w:val="22"/>
        </w:rPr>
      </w:pPr>
      <w:bookmarkStart w:id="8" w:name="_56zf3sl48f1o" w:colFirst="0" w:colLast="0"/>
      <w:bookmarkEnd w:id="8"/>
      <w:r>
        <w:rPr>
          <w:b/>
          <w:bCs/>
          <w:sz w:val="22"/>
          <w:szCs w:val="22"/>
        </w:rPr>
        <w:t xml:space="preserve">2.1 Change Management &amp; Digital Adoption </w:t>
      </w:r>
      <w:proofErr w:type="spellStart"/>
      <w:r>
        <w:rPr>
          <w:b/>
          <w:bCs/>
          <w:sz w:val="22"/>
          <w:szCs w:val="22"/>
        </w:rPr>
        <w:t>Programmes</w:t>
      </w:r>
      <w:proofErr w:type="spellEnd"/>
    </w:p>
    <w:p w14:paraId="0EB1347A" w14:textId="77777777" w:rsidR="00A2077C" w:rsidRDefault="006D3072">
      <w:pPr>
        <w:spacing w:before="240" w:after="240" w:line="360" w:lineRule="auto"/>
        <w:jc w:val="both"/>
      </w:pPr>
      <w:r>
        <w:t>Adopt a planned change management process, i.e., the 8-Step Model by Kotter to drive digital transformation. This involves the establishment of urgency, the establishment of a guiding coalition, development of a vision, and the establishment of new approaches within the culture. HR may become the head of digital champions networks: identify early adopters (both clinical and non-clinical employees) who can offer peer support, serve as liaisons to facilitate feedback, and facilitate bottom-up buy-in.</w:t>
      </w:r>
    </w:p>
    <w:p w14:paraId="0EB1347B" w14:textId="77777777" w:rsidR="00A2077C" w:rsidRDefault="006D3072">
      <w:pPr>
        <w:spacing w:before="240" w:after="240" w:line="360" w:lineRule="auto"/>
        <w:jc w:val="both"/>
      </w:pPr>
      <w:r>
        <w:t xml:space="preserve">Tailoring of training </w:t>
      </w:r>
      <w:proofErr w:type="spellStart"/>
      <w:r>
        <w:t>programmes</w:t>
      </w:r>
      <w:proofErr w:type="spellEnd"/>
      <w:r>
        <w:t xml:space="preserve"> also needs to be done. Instead of generic IT training, design just-in-time, role-based learning - i.e. microlearning units that teach nurses how to work with EHR, or data security training that </w:t>
      </w:r>
      <w:proofErr w:type="spellStart"/>
      <w:r>
        <w:t>teachs</w:t>
      </w:r>
      <w:proofErr w:type="spellEnd"/>
      <w:r>
        <w:t xml:space="preserve"> administrators. The use of blended learning (face-to-face and online) will make it more accessible and can accommodate shift workers.</w:t>
      </w:r>
    </w:p>
    <w:p w14:paraId="0EB1347C" w14:textId="77777777" w:rsidR="00A2077C" w:rsidRDefault="006D3072">
      <w:pPr>
        <w:pStyle w:val="Heading2"/>
        <w:spacing w:before="240" w:after="240" w:line="360" w:lineRule="auto"/>
        <w:jc w:val="both"/>
        <w:rPr>
          <w:b/>
          <w:bCs/>
          <w:sz w:val="22"/>
          <w:szCs w:val="22"/>
        </w:rPr>
      </w:pPr>
      <w:bookmarkStart w:id="9" w:name="_g8lpcvlp2ru8" w:colFirst="0" w:colLast="0"/>
      <w:bookmarkEnd w:id="9"/>
      <w:r>
        <w:rPr>
          <w:b/>
          <w:bCs/>
          <w:sz w:val="22"/>
          <w:szCs w:val="22"/>
        </w:rPr>
        <w:t>2.2 Flexible Working Policy &amp; Workforce Planning</w:t>
      </w:r>
    </w:p>
    <w:p w14:paraId="0EB1347D" w14:textId="77777777" w:rsidR="00A2077C" w:rsidRDefault="006D3072">
      <w:pPr>
        <w:spacing w:before="240" w:after="240" w:line="360" w:lineRule="auto"/>
        <w:jc w:val="both"/>
      </w:pPr>
      <w:r>
        <w:t>HR must come up with an open policy of flexible-working that is consistent with the NHS and the UK employment laws. Major principles: equity, predictability and practicality. Define a flexible working charter to direct decisions and make sure that requests are evaluated in a fair manner, managers trained on how to assess the request and have a process of appealing.</w:t>
      </w:r>
    </w:p>
    <w:p w14:paraId="0EB1347E" w14:textId="77777777" w:rsidR="00A2077C" w:rsidRDefault="006D3072">
      <w:pPr>
        <w:spacing w:before="240" w:after="240" w:line="360" w:lineRule="auto"/>
        <w:jc w:val="both"/>
      </w:pPr>
      <w:r>
        <w:t>Simultaneously, implement superior rostering solutions with flexibility. Current rostering technologies are able to simulate shift preference, equity, and service needs. Predictive analytics can help forecast the needs of staffing and impacts of flexible-working and balance patient-care continuity with employee preferences.</w:t>
      </w:r>
    </w:p>
    <w:p w14:paraId="0EB1347F" w14:textId="77777777" w:rsidR="00A2077C" w:rsidRDefault="006D3072">
      <w:pPr>
        <w:pStyle w:val="Heading2"/>
        <w:spacing w:before="240" w:after="240" w:line="360" w:lineRule="auto"/>
        <w:jc w:val="both"/>
        <w:rPr>
          <w:b/>
          <w:bCs/>
          <w:sz w:val="22"/>
          <w:szCs w:val="22"/>
        </w:rPr>
      </w:pPr>
      <w:bookmarkStart w:id="10" w:name="_kwzw79m4c41a" w:colFirst="0" w:colLast="0"/>
      <w:bookmarkEnd w:id="10"/>
      <w:r>
        <w:rPr>
          <w:b/>
          <w:bCs/>
          <w:sz w:val="22"/>
          <w:szCs w:val="22"/>
        </w:rPr>
        <w:t>2.3 Well-being and Job Design</w:t>
      </w:r>
    </w:p>
    <w:p w14:paraId="0EB13480" w14:textId="77777777" w:rsidR="00A2077C" w:rsidRDefault="006D3072">
      <w:pPr>
        <w:spacing w:before="240" w:after="240" w:line="360" w:lineRule="auto"/>
        <w:jc w:val="both"/>
      </w:pPr>
      <w:r>
        <w:t>Equip job design based on Job Demands-Resources (JD-R) model. The HR ought to evaluate the heightened needs (digital workloads, cognitive load) and provide sufficient resources: social support (peer networks), autonomy (the ability to control the process of accomplishing digital tasks), and recovery opportunities (protected breaks, mental health days) (Alattar &amp; Mohsen, 2023).</w:t>
      </w:r>
    </w:p>
    <w:p w14:paraId="0EB13481" w14:textId="77777777" w:rsidR="00A2077C" w:rsidRDefault="006D3072">
      <w:pPr>
        <w:spacing w:before="240" w:after="240" w:line="360" w:lineRule="auto"/>
        <w:jc w:val="both"/>
      </w:pPr>
      <w:r>
        <w:t xml:space="preserve">Implement digital and hybrid stress well-being </w:t>
      </w:r>
      <w:proofErr w:type="spellStart"/>
      <w:r>
        <w:t>programmes</w:t>
      </w:r>
      <w:proofErr w:type="spellEnd"/>
      <w:r>
        <w:t>: mental health, digital detox, and resilience workshops. Offer frequent check-ins and feedback mechanisms so workers can air their grievances at an early stage e.g. digital drop-in clinics where employees will report problems relating to the usability or experience burnout.</w:t>
      </w:r>
    </w:p>
    <w:p w14:paraId="0EB13482" w14:textId="77777777" w:rsidR="00A2077C" w:rsidRDefault="006D3072">
      <w:pPr>
        <w:pStyle w:val="Heading2"/>
        <w:spacing w:before="240" w:after="240" w:line="360" w:lineRule="auto"/>
        <w:jc w:val="both"/>
        <w:rPr>
          <w:b/>
          <w:bCs/>
          <w:sz w:val="22"/>
          <w:szCs w:val="22"/>
        </w:rPr>
      </w:pPr>
      <w:bookmarkStart w:id="11" w:name="_8xe0tygm3jhw" w:colFirst="0" w:colLast="0"/>
      <w:bookmarkEnd w:id="11"/>
      <w:r>
        <w:rPr>
          <w:b/>
          <w:bCs/>
          <w:sz w:val="22"/>
          <w:szCs w:val="22"/>
        </w:rPr>
        <w:lastRenderedPageBreak/>
        <w:t>2.4 Leadership Development and Culture Change</w:t>
      </w:r>
    </w:p>
    <w:p w14:paraId="0EB13483" w14:textId="77777777" w:rsidR="00A2077C" w:rsidRDefault="006D3072">
      <w:pPr>
        <w:spacing w:before="240" w:after="240" w:line="360" w:lineRule="auto"/>
        <w:jc w:val="both"/>
      </w:pPr>
      <w:r>
        <w:t>HR should train departmental managers on the compassionate leadership and transformational leadership styles. Enhance leadership development initiatives that focus on emotional intelligence, participative decision-making, and participatory change. Promote leaders to host listening sessions (town halls, staff focus groups) to address the topic of digital changes and flexible work, which will foster trust.</w:t>
      </w:r>
    </w:p>
    <w:p w14:paraId="0EB13484" w14:textId="77777777" w:rsidR="00A2077C" w:rsidRDefault="006D3072">
      <w:pPr>
        <w:spacing w:before="240" w:after="240" w:line="360" w:lineRule="auto"/>
        <w:jc w:val="both"/>
      </w:pPr>
      <w:r>
        <w:t>Incorporate an organizational culture of learning. 13. Monitor communities of practice with the staff trading tips and feedback in digital tools, lessons learnt. Reward and encourage innovation and flexibility, e.g. monthly digital hero awards, flexible-working champions recognition.</w:t>
      </w:r>
    </w:p>
    <w:p w14:paraId="0EB13485" w14:textId="77777777" w:rsidR="00A2077C" w:rsidRDefault="006D3072">
      <w:pPr>
        <w:spacing w:before="240" w:after="240" w:line="360" w:lineRule="auto"/>
        <w:jc w:val="both"/>
      </w:pPr>
      <w:r>
        <w:t>Performance management and feedback: Involving both employees and managers in the performance management process is essential as it encourages employees to improve their performance within the organization.</w:t>
      </w:r>
    </w:p>
    <w:p w14:paraId="0EB13486" w14:textId="77777777" w:rsidR="00A2077C" w:rsidRDefault="006D3072">
      <w:pPr>
        <w:pStyle w:val="Heading2"/>
        <w:spacing w:before="240" w:after="240" w:line="360" w:lineRule="auto"/>
        <w:jc w:val="both"/>
        <w:rPr>
          <w:b/>
          <w:bCs/>
          <w:sz w:val="22"/>
          <w:szCs w:val="22"/>
        </w:rPr>
      </w:pPr>
      <w:bookmarkStart w:id="12" w:name="_uh3reyn2d8ho" w:colFirst="0" w:colLast="0"/>
      <w:bookmarkEnd w:id="12"/>
      <w:r>
        <w:rPr>
          <w:b/>
          <w:bCs/>
          <w:sz w:val="22"/>
          <w:szCs w:val="22"/>
        </w:rPr>
        <w:t>2.5 Performance Management and Feedback</w:t>
      </w:r>
    </w:p>
    <w:p w14:paraId="0EB13487" w14:textId="77777777" w:rsidR="00A2077C" w:rsidRDefault="006D3072">
      <w:pPr>
        <w:spacing w:before="240" w:after="240" w:line="360" w:lineRule="auto"/>
        <w:jc w:val="both"/>
      </w:pPr>
      <w:r>
        <w:t>Re-define performance management to fit new working environments. Apply result-based performance indicators, rather than presenteeism (hours worked). Establish specific KPIs of digital adoption (e.g. use of EHR, decreased number of duplicate entries) and flexible working (e.g. continuity of patient care, staffing satisfaction) (Joshi et al., 2024).</w:t>
      </w:r>
    </w:p>
    <w:p w14:paraId="0EB13488" w14:textId="77777777" w:rsidR="00A2077C" w:rsidRDefault="006D3072">
      <w:pPr>
        <w:spacing w:before="240" w:after="240" w:line="360" w:lineRule="auto"/>
        <w:jc w:val="both"/>
      </w:pPr>
      <w:r>
        <w:t xml:space="preserve">Introduce 360 degree feedback systems, which involve peer appraisal and </w:t>
      </w:r>
      <w:proofErr w:type="spellStart"/>
      <w:r>
        <w:t>self appraisal</w:t>
      </w:r>
      <w:proofErr w:type="spellEnd"/>
      <w:r>
        <w:t xml:space="preserve"> with managers. This assists in determining informal barriers, prejudice, or problems in the hybrid working. Conduct periodic pulse surveys, targeted at digital experience and flexible-working satisfaction; respond decisively to results.</w:t>
      </w:r>
    </w:p>
    <w:p w14:paraId="0EB13489" w14:textId="77777777" w:rsidR="00A2077C" w:rsidRDefault="006D3072">
      <w:pPr>
        <w:pStyle w:val="Heading1"/>
        <w:keepNext w:val="0"/>
        <w:keepLines w:val="0"/>
        <w:spacing w:before="280" w:line="360" w:lineRule="auto"/>
        <w:jc w:val="both"/>
        <w:rPr>
          <w:b/>
          <w:bCs/>
          <w:sz w:val="22"/>
          <w:szCs w:val="22"/>
        </w:rPr>
      </w:pPr>
      <w:bookmarkStart w:id="13" w:name="_hr5bado4unxs" w:colFirst="0" w:colLast="0"/>
      <w:bookmarkEnd w:id="13"/>
      <w:r>
        <w:rPr>
          <w:b/>
          <w:bCs/>
          <w:sz w:val="22"/>
          <w:szCs w:val="22"/>
        </w:rPr>
        <w:t>3. Critical Evaluation: How Departmental Managers Can Ensure Urgent Implementation</w:t>
      </w:r>
    </w:p>
    <w:p w14:paraId="0EB1348A" w14:textId="77777777" w:rsidR="00A2077C" w:rsidRDefault="006D3072">
      <w:pPr>
        <w:pStyle w:val="Heading2"/>
        <w:spacing w:before="240" w:after="240" w:line="360" w:lineRule="auto"/>
        <w:jc w:val="both"/>
        <w:rPr>
          <w:b/>
          <w:bCs/>
          <w:sz w:val="22"/>
          <w:szCs w:val="22"/>
        </w:rPr>
      </w:pPr>
      <w:bookmarkStart w:id="14" w:name="_o5zlcnx1eovz" w:colFirst="0" w:colLast="0"/>
      <w:bookmarkEnd w:id="14"/>
      <w:r>
        <w:rPr>
          <w:b/>
          <w:bCs/>
          <w:sz w:val="22"/>
          <w:szCs w:val="22"/>
        </w:rPr>
        <w:t>3.1 Role of Managers as Change Agents</w:t>
      </w:r>
    </w:p>
    <w:p w14:paraId="0EB1348B" w14:textId="77777777" w:rsidR="00A2077C" w:rsidRDefault="006D3072">
      <w:pPr>
        <w:spacing w:before="240" w:after="240" w:line="360" w:lineRule="auto"/>
        <w:jc w:val="both"/>
      </w:pPr>
      <w:r>
        <w:t>Managers have to act as change agents. They are able to lead by example, literally working with new systems and publicly supporting flexible working. The more leaders walk talk, the more the staff is likely to commit. Digital champions can be sponsored by managers in their teams and they are given time and recognition to assist fellow workers. Managers can develop peer support and feedback loop by collaborating at an organizational level to establish a guiding coalition, grounding transformation into daily activities (Emmanuel, 2025).</w:t>
      </w:r>
    </w:p>
    <w:p w14:paraId="0EB1348C" w14:textId="77777777" w:rsidR="00A2077C" w:rsidRDefault="006D3072">
      <w:pPr>
        <w:pStyle w:val="Heading2"/>
        <w:spacing w:before="240" w:after="240" w:line="360" w:lineRule="auto"/>
        <w:jc w:val="both"/>
        <w:rPr>
          <w:b/>
          <w:bCs/>
          <w:sz w:val="22"/>
          <w:szCs w:val="22"/>
        </w:rPr>
      </w:pPr>
      <w:bookmarkStart w:id="15" w:name="_3lahf5e7ngbl" w:colFirst="0" w:colLast="0"/>
      <w:bookmarkEnd w:id="15"/>
      <w:r>
        <w:rPr>
          <w:b/>
          <w:bCs/>
          <w:sz w:val="22"/>
          <w:szCs w:val="22"/>
        </w:rPr>
        <w:lastRenderedPageBreak/>
        <w:t>3.2 Building Trust &amp; Psychological Safety</w:t>
      </w:r>
    </w:p>
    <w:p w14:paraId="0EB1348D" w14:textId="77777777" w:rsidR="00A2077C" w:rsidRDefault="006D3072">
      <w:pPr>
        <w:spacing w:before="240" w:after="240" w:line="360" w:lineRule="auto"/>
        <w:jc w:val="both"/>
      </w:pPr>
      <w:r>
        <w:t>Managers should create a psychological safety to overcome resistance and grievances. They are supposed to conduct frequent listening, one-on-one meetings, and informal check-ins. Employees in these forums are able to air problems regarding the use of technology, fairness in flexible working or workload. It is important that managers are responsive, transparent, admitting the problem, promising and following up. This generates trust, lowers doubt and fear of punishment.</w:t>
      </w:r>
    </w:p>
    <w:p w14:paraId="0EB1348E" w14:textId="77777777" w:rsidR="00A2077C" w:rsidRDefault="006D3072">
      <w:pPr>
        <w:pStyle w:val="Heading2"/>
        <w:spacing w:before="240" w:after="240" w:line="360" w:lineRule="auto"/>
        <w:jc w:val="both"/>
        <w:rPr>
          <w:b/>
          <w:bCs/>
          <w:sz w:val="22"/>
          <w:szCs w:val="22"/>
        </w:rPr>
      </w:pPr>
      <w:bookmarkStart w:id="16" w:name="_lq5bbghn0jsw" w:colFirst="0" w:colLast="0"/>
      <w:bookmarkEnd w:id="16"/>
      <w:r>
        <w:rPr>
          <w:b/>
          <w:bCs/>
          <w:sz w:val="22"/>
          <w:szCs w:val="22"/>
        </w:rPr>
        <w:t>3.3 Training and Capability Building</w:t>
      </w:r>
    </w:p>
    <w:p w14:paraId="0EB1348F" w14:textId="77777777" w:rsidR="00A2077C" w:rsidRDefault="006D3072">
      <w:pPr>
        <w:spacing w:before="240" w:after="240" w:line="360" w:lineRule="auto"/>
        <w:jc w:val="both"/>
      </w:pPr>
      <w:r>
        <w:t>Managers should also be trained not only about technical systems but people management in hybrid/digital environments. HR must supply them with manager toolkits that will inform discussion on flexible working, how to make judgements on the requests, and how to address grievances. Such resources must comprise role-plays, and best practices and case studies that are scenario-based. Managers that are confident in these tools will be more effective in the implementation of HR policies (Williams et al., 2023).</w:t>
      </w:r>
    </w:p>
    <w:p w14:paraId="0EB13490" w14:textId="77777777" w:rsidR="00A2077C" w:rsidRDefault="006D3072">
      <w:pPr>
        <w:pStyle w:val="Heading2"/>
        <w:spacing w:before="240" w:after="240" w:line="360" w:lineRule="auto"/>
        <w:jc w:val="both"/>
        <w:rPr>
          <w:b/>
          <w:bCs/>
          <w:sz w:val="22"/>
          <w:szCs w:val="22"/>
        </w:rPr>
      </w:pPr>
      <w:bookmarkStart w:id="17" w:name="_k8h0u4ly2rjz" w:colFirst="0" w:colLast="0"/>
      <w:bookmarkEnd w:id="17"/>
      <w:r>
        <w:rPr>
          <w:b/>
          <w:bCs/>
          <w:sz w:val="22"/>
          <w:szCs w:val="22"/>
        </w:rPr>
        <w:t>3.4 Monitoring, Feedback, and Accountability</w:t>
      </w:r>
    </w:p>
    <w:p w14:paraId="0EB13491" w14:textId="77777777" w:rsidR="00A2077C" w:rsidRDefault="006D3072">
      <w:pPr>
        <w:spacing w:before="240" w:after="240" w:line="360" w:lineRule="auto"/>
        <w:jc w:val="both"/>
      </w:pPr>
      <w:r>
        <w:t>In order to be accountable, NLCHT needs to incorporate change metrics in the performance objectives of the managers. They could include: the level of digital adoption within their teams, the response time of flexible working requests, and employee satisfaction. HR and managers should have regular review meetings (monthly or quarterly) to review these KPIs. In case a department falls behind, the HR must do something about it, such as offer more support (or change strategy).</w:t>
      </w:r>
    </w:p>
    <w:p w14:paraId="0EB13492" w14:textId="77777777" w:rsidR="00A2077C" w:rsidRDefault="006D3072">
      <w:pPr>
        <w:spacing w:before="240" w:after="240" w:line="360" w:lineRule="auto"/>
        <w:jc w:val="both"/>
      </w:pPr>
      <w:r>
        <w:t>Managers also ought to be the advocates of feedback loops: they should detect barriers early (e.g., the team does not use EHR properly) and report the issues to HR with the help of pulse surveys, focus groups, and direct feedback. Specifically, they are recommended to monitor complaints on digital tools or schedule and classify them and strive to address them by their root causes.</w:t>
      </w:r>
    </w:p>
    <w:p w14:paraId="0EB13493" w14:textId="77777777" w:rsidR="00A2077C" w:rsidRDefault="006D3072">
      <w:pPr>
        <w:pStyle w:val="Heading2"/>
        <w:spacing w:before="240" w:after="240" w:line="360" w:lineRule="auto"/>
        <w:jc w:val="both"/>
        <w:rPr>
          <w:b/>
          <w:bCs/>
          <w:sz w:val="22"/>
          <w:szCs w:val="22"/>
        </w:rPr>
      </w:pPr>
      <w:bookmarkStart w:id="18" w:name="_swqty03tu1gv" w:colFirst="0" w:colLast="0"/>
      <w:bookmarkEnd w:id="18"/>
      <w:r>
        <w:rPr>
          <w:b/>
          <w:bCs/>
          <w:sz w:val="22"/>
          <w:szCs w:val="22"/>
        </w:rPr>
        <w:t>3.5 Risk Mitigation and Continuous Improvement</w:t>
      </w:r>
    </w:p>
    <w:p w14:paraId="0EB13494" w14:textId="77777777" w:rsidR="00A2077C" w:rsidRDefault="006D3072">
      <w:pPr>
        <w:spacing w:before="240" w:after="240" w:line="360" w:lineRule="auto"/>
        <w:jc w:val="both"/>
      </w:pPr>
      <w:r>
        <w:t>Managers have to take the initiative to foresee risks. In the case of digital transformation, it will involve risk assessments (e.g. data privacy, system downtimes) and contingency plans. In order to be able to work flexibly, managers ought to simulate equitable distribution and customize rostering algorithms without compromising patient care (Deng, Gould &amp; Ali, 2022).</w:t>
      </w:r>
    </w:p>
    <w:p w14:paraId="0EB13495" w14:textId="77777777" w:rsidR="00A2077C" w:rsidRDefault="006D3072">
      <w:pPr>
        <w:spacing w:before="240" w:after="240" w:line="360" w:lineRule="auto"/>
        <w:jc w:val="both"/>
      </w:pPr>
      <w:r>
        <w:lastRenderedPageBreak/>
        <w:t>They are supposed to spearhead continuous improvement cycles - Plan-Do-Check-Act (PDCA). Managers are expected to review feedback and evaluate what works after implementing a digital tool or flexible-policy change and make iterative changes. They play an essential role in making this cycle happen: they will take strategic HR initiatives and convert them into operational learning.</w:t>
      </w:r>
    </w:p>
    <w:p w14:paraId="0EB13496" w14:textId="77777777" w:rsidR="00A2077C" w:rsidRDefault="006D3072">
      <w:pPr>
        <w:spacing w:before="240" w:after="240" w:line="360" w:lineRule="auto"/>
        <w:jc w:val="both"/>
      </w:pPr>
      <w:r>
        <w:t xml:space="preserve">Managers do not merely implement but enable urgency and sustainability. Their dedication, trust-forming, ability, observation, and risk-addressing strengths explain whether the aspirational practices of HR do translate to any significant change or not (Aguilar </w:t>
      </w:r>
      <w:proofErr w:type="spellStart"/>
      <w:r>
        <w:t>Torán</w:t>
      </w:r>
      <w:proofErr w:type="spellEnd"/>
      <w:r>
        <w:t>, 2024).</w:t>
      </w:r>
    </w:p>
    <w:p w14:paraId="0EB13497" w14:textId="77777777" w:rsidR="00A2077C" w:rsidRDefault="006D3072">
      <w:pPr>
        <w:pStyle w:val="Heading1"/>
        <w:keepNext w:val="0"/>
        <w:keepLines w:val="0"/>
        <w:spacing w:before="280" w:line="360" w:lineRule="auto"/>
        <w:jc w:val="both"/>
        <w:rPr>
          <w:b/>
          <w:bCs/>
          <w:sz w:val="22"/>
          <w:szCs w:val="22"/>
        </w:rPr>
      </w:pPr>
      <w:bookmarkStart w:id="19" w:name="_dd5894m3uf0y" w:colFirst="0" w:colLast="0"/>
      <w:bookmarkEnd w:id="19"/>
      <w:r>
        <w:rPr>
          <w:b/>
          <w:bCs/>
          <w:sz w:val="22"/>
          <w:szCs w:val="22"/>
        </w:rPr>
        <w:t>Conclusion &amp; Recommendations</w:t>
      </w:r>
    </w:p>
    <w:p w14:paraId="0EB13498" w14:textId="77777777" w:rsidR="00A2077C" w:rsidRDefault="006D3072">
      <w:pPr>
        <w:pStyle w:val="Heading2"/>
        <w:spacing w:before="240" w:after="240" w:line="360" w:lineRule="auto"/>
        <w:jc w:val="both"/>
        <w:rPr>
          <w:b/>
          <w:bCs/>
          <w:sz w:val="22"/>
          <w:szCs w:val="22"/>
        </w:rPr>
      </w:pPr>
      <w:bookmarkStart w:id="20" w:name="_3p7w3t5xpy0t" w:colFirst="0" w:colLast="0"/>
      <w:bookmarkEnd w:id="20"/>
      <w:r>
        <w:rPr>
          <w:b/>
          <w:bCs/>
          <w:sz w:val="22"/>
          <w:szCs w:val="22"/>
        </w:rPr>
        <w:t>Conclusion</w:t>
      </w:r>
    </w:p>
    <w:p w14:paraId="0EB13499" w14:textId="77777777" w:rsidR="00A2077C" w:rsidRDefault="006D3072">
      <w:pPr>
        <w:spacing w:before="240" w:after="240" w:line="360" w:lineRule="auto"/>
        <w:jc w:val="both"/>
      </w:pPr>
      <w:r>
        <w:t xml:space="preserve">North London Community Health Trust is in a turning point in its change process. The advent of digital systems and increased flexible working have a lot of potential in them, namely, greater efficiency, better patient care, and increased employee satisfaction. The influx of complaints in the process of this transition highlights the existence of vital tensions: the technological overload, the unequalness of flexibility, lack of clarity in leadership, and the increase in stress. These are not merely the operational hiccups but people-system issues and must not be ignored at all as they may derail the transformation (Darrow, </w:t>
      </w:r>
      <w:proofErr w:type="spellStart"/>
      <w:r>
        <w:t>Avorn</w:t>
      </w:r>
      <w:proofErr w:type="spellEnd"/>
      <w:r>
        <w:t xml:space="preserve"> &amp; Kesselheim, 2021).</w:t>
      </w:r>
    </w:p>
    <w:p w14:paraId="0EB1349A" w14:textId="77777777" w:rsidR="00A2077C" w:rsidRDefault="006D3072">
      <w:pPr>
        <w:pStyle w:val="Heading2"/>
        <w:spacing w:before="240" w:after="240" w:line="360" w:lineRule="auto"/>
        <w:jc w:val="both"/>
        <w:rPr>
          <w:b/>
          <w:bCs/>
          <w:sz w:val="22"/>
          <w:szCs w:val="22"/>
        </w:rPr>
      </w:pPr>
      <w:bookmarkStart w:id="21" w:name="_ccsr8rcb8oi7" w:colFirst="0" w:colLast="0"/>
      <w:bookmarkEnd w:id="21"/>
      <w:r>
        <w:rPr>
          <w:b/>
          <w:bCs/>
          <w:sz w:val="22"/>
          <w:szCs w:val="22"/>
        </w:rPr>
        <w:t>Recommendations</w:t>
      </w:r>
    </w:p>
    <w:p w14:paraId="0EB1349B" w14:textId="77777777" w:rsidR="00A2077C" w:rsidRDefault="006D3072">
      <w:pPr>
        <w:numPr>
          <w:ilvl w:val="0"/>
          <w:numId w:val="1"/>
        </w:numPr>
        <w:spacing w:before="240" w:line="360" w:lineRule="auto"/>
        <w:jc w:val="both"/>
      </w:pPr>
      <w:r>
        <w:rPr>
          <w:b/>
          <w:bCs/>
        </w:rPr>
        <w:t>Create a Change Leadership Coalition</w:t>
      </w:r>
      <w:r>
        <w:t>: Develop a cross-functional team comprising digital champions, nurse leaders and managers to develop transformation packages, with representation and buy-in at all levels of staff.</w:t>
      </w:r>
    </w:p>
    <w:p w14:paraId="0EB1349C" w14:textId="77777777" w:rsidR="00A2077C" w:rsidRDefault="006D3072">
      <w:pPr>
        <w:numPr>
          <w:ilvl w:val="0"/>
          <w:numId w:val="1"/>
        </w:numPr>
        <w:spacing w:line="360" w:lineRule="auto"/>
        <w:jc w:val="both"/>
      </w:pPr>
      <w:r>
        <w:rPr>
          <w:b/>
          <w:bCs/>
        </w:rPr>
        <w:t xml:space="preserve">Create Role-Specific Training </w:t>
      </w:r>
      <w:proofErr w:type="spellStart"/>
      <w:r>
        <w:rPr>
          <w:b/>
          <w:bCs/>
        </w:rPr>
        <w:t>Programmes</w:t>
      </w:r>
      <w:proofErr w:type="spellEnd"/>
      <w:r>
        <w:t>: Develop blended courses of microlearning, depending on the different roles (clinical and non-clinical) to enhance digital skills and confidence.</w:t>
      </w:r>
    </w:p>
    <w:p w14:paraId="0EB1349D" w14:textId="77777777" w:rsidR="00A2077C" w:rsidRDefault="006D3072">
      <w:pPr>
        <w:numPr>
          <w:ilvl w:val="0"/>
          <w:numId w:val="1"/>
        </w:numPr>
        <w:spacing w:line="360" w:lineRule="auto"/>
        <w:jc w:val="both"/>
      </w:pPr>
      <w:r>
        <w:rPr>
          <w:b/>
          <w:bCs/>
        </w:rPr>
        <w:t>Introduce an Unambiguous Flexible Work Policy and Charter:</w:t>
      </w:r>
      <w:r>
        <w:t xml:space="preserve"> Paint guidelines, decree of approval and resort to a fall back procedure which is based on an appeal procedure should be fair; include in long term rostering strategies.</w:t>
      </w:r>
    </w:p>
    <w:p w14:paraId="0EB1349E" w14:textId="77777777" w:rsidR="00A2077C" w:rsidRDefault="006D3072">
      <w:pPr>
        <w:numPr>
          <w:ilvl w:val="0"/>
          <w:numId w:val="1"/>
        </w:numPr>
        <w:spacing w:line="360" w:lineRule="auto"/>
        <w:jc w:val="both"/>
      </w:pPr>
      <w:r>
        <w:rPr>
          <w:b/>
          <w:bCs/>
        </w:rPr>
        <w:t xml:space="preserve">Develop Managerial Skill: </w:t>
      </w:r>
      <w:r>
        <w:t>Provide training and resource kit on compassionate leadership, hybrid team management and change talks to managers.</w:t>
      </w:r>
    </w:p>
    <w:p w14:paraId="0EB1349F" w14:textId="77777777" w:rsidR="00A2077C" w:rsidRDefault="006D3072">
      <w:pPr>
        <w:numPr>
          <w:ilvl w:val="0"/>
          <w:numId w:val="1"/>
        </w:numPr>
        <w:spacing w:line="360" w:lineRule="auto"/>
        <w:jc w:val="both"/>
      </w:pPr>
      <w:r>
        <w:rPr>
          <w:b/>
          <w:bCs/>
        </w:rPr>
        <w:t>Monitor and Measure Progress:</w:t>
      </w:r>
      <w:r>
        <w:t xml:space="preserve"> Introduce KPIs connected to digital adoption, flex working adoption, employee satisfaction, and level of grievance; meet every week between the HR and the managers.</w:t>
      </w:r>
    </w:p>
    <w:p w14:paraId="0EB134A0" w14:textId="77777777" w:rsidR="00A2077C" w:rsidRDefault="006D3072">
      <w:pPr>
        <w:numPr>
          <w:ilvl w:val="0"/>
          <w:numId w:val="1"/>
        </w:numPr>
        <w:spacing w:line="360" w:lineRule="auto"/>
        <w:jc w:val="both"/>
      </w:pPr>
      <w:r>
        <w:rPr>
          <w:b/>
          <w:bCs/>
        </w:rPr>
        <w:lastRenderedPageBreak/>
        <w:t>The Infrastructure of Well-being:</w:t>
      </w:r>
      <w:r>
        <w:t xml:space="preserve"> Introduce well-being intervention (resilience workshops, peer support, digital drop-in clinics) to alleviate stress and burnout.</w:t>
      </w:r>
    </w:p>
    <w:p w14:paraId="0EB134A1" w14:textId="77777777" w:rsidR="00A2077C" w:rsidRDefault="006D3072">
      <w:pPr>
        <w:numPr>
          <w:ilvl w:val="0"/>
          <w:numId w:val="1"/>
        </w:numPr>
        <w:spacing w:after="240" w:line="360" w:lineRule="auto"/>
        <w:jc w:val="both"/>
      </w:pPr>
      <w:r>
        <w:rPr>
          <w:b/>
          <w:bCs/>
        </w:rPr>
        <w:t>Create Continuous Feedback and Improvement:</w:t>
      </w:r>
      <w:r>
        <w:t xml:space="preserve"> Have feedback loops (pulse surveys, focus groups, listening sessions) and have Plan-Do-Check-Act loops to improve practices in an iterative fashion.</w:t>
      </w:r>
    </w:p>
    <w:p w14:paraId="0EB134A2" w14:textId="77777777" w:rsidR="00A2077C" w:rsidRDefault="00A2077C">
      <w:pPr>
        <w:spacing w:before="240" w:after="240" w:line="360" w:lineRule="auto"/>
        <w:jc w:val="both"/>
      </w:pPr>
    </w:p>
    <w:p w14:paraId="0EB134A3" w14:textId="77777777" w:rsidR="00A2077C" w:rsidRDefault="00A2077C">
      <w:pPr>
        <w:spacing w:before="240" w:after="240" w:line="360" w:lineRule="auto"/>
        <w:jc w:val="both"/>
      </w:pPr>
    </w:p>
    <w:p w14:paraId="0EB134A4" w14:textId="77777777" w:rsidR="00A2077C" w:rsidRDefault="00A2077C">
      <w:pPr>
        <w:spacing w:before="240" w:after="240" w:line="360" w:lineRule="auto"/>
        <w:jc w:val="both"/>
      </w:pPr>
    </w:p>
    <w:p w14:paraId="0EB134A5" w14:textId="77777777" w:rsidR="00A2077C" w:rsidRDefault="00A2077C">
      <w:pPr>
        <w:spacing w:before="240" w:after="240" w:line="360" w:lineRule="auto"/>
        <w:jc w:val="both"/>
      </w:pPr>
    </w:p>
    <w:p w14:paraId="0EB134A6" w14:textId="77777777" w:rsidR="00A2077C" w:rsidRDefault="00A2077C">
      <w:pPr>
        <w:spacing w:before="240" w:after="240" w:line="360" w:lineRule="auto"/>
        <w:jc w:val="both"/>
      </w:pPr>
    </w:p>
    <w:p w14:paraId="0EB134A7" w14:textId="77777777" w:rsidR="00A2077C" w:rsidRDefault="00A2077C">
      <w:pPr>
        <w:spacing w:before="240" w:after="240" w:line="360" w:lineRule="auto"/>
        <w:jc w:val="both"/>
      </w:pPr>
    </w:p>
    <w:p w14:paraId="0EB134A8" w14:textId="77777777" w:rsidR="00A2077C" w:rsidRDefault="00A2077C">
      <w:pPr>
        <w:spacing w:before="240" w:after="240" w:line="360" w:lineRule="auto"/>
        <w:jc w:val="both"/>
      </w:pPr>
    </w:p>
    <w:p w14:paraId="0EB134A9" w14:textId="77777777" w:rsidR="00A2077C" w:rsidRDefault="00A2077C">
      <w:pPr>
        <w:spacing w:before="240" w:after="240" w:line="360" w:lineRule="auto"/>
        <w:jc w:val="both"/>
      </w:pPr>
    </w:p>
    <w:p w14:paraId="0EB134AA" w14:textId="77777777" w:rsidR="00A2077C" w:rsidRDefault="00A2077C">
      <w:pPr>
        <w:spacing w:before="240" w:after="240" w:line="360" w:lineRule="auto"/>
        <w:jc w:val="both"/>
      </w:pPr>
    </w:p>
    <w:p w14:paraId="0EB134AB" w14:textId="77777777" w:rsidR="00A2077C" w:rsidRDefault="00A2077C">
      <w:pPr>
        <w:spacing w:before="240" w:after="240" w:line="360" w:lineRule="auto"/>
        <w:jc w:val="both"/>
      </w:pPr>
    </w:p>
    <w:p w14:paraId="0EB134AC" w14:textId="77777777" w:rsidR="00A2077C" w:rsidRDefault="00A2077C">
      <w:pPr>
        <w:spacing w:before="240" w:after="240" w:line="360" w:lineRule="auto"/>
        <w:jc w:val="both"/>
      </w:pPr>
    </w:p>
    <w:p w14:paraId="0EB134AD" w14:textId="77777777" w:rsidR="00A2077C" w:rsidRDefault="006D3072">
      <w:pPr>
        <w:pStyle w:val="Heading1"/>
        <w:spacing w:line="360" w:lineRule="auto"/>
        <w:jc w:val="both"/>
        <w:rPr>
          <w:b/>
          <w:bCs/>
          <w:sz w:val="22"/>
          <w:szCs w:val="22"/>
        </w:rPr>
      </w:pPr>
      <w:bookmarkStart w:id="22" w:name="_6qancwjvtr7g" w:colFirst="0" w:colLast="0"/>
      <w:bookmarkEnd w:id="22"/>
      <w:r>
        <w:rPr>
          <w:b/>
          <w:bCs/>
          <w:sz w:val="22"/>
          <w:szCs w:val="22"/>
        </w:rPr>
        <w:t>References</w:t>
      </w:r>
    </w:p>
    <w:p w14:paraId="0EB134AE" w14:textId="77777777" w:rsidR="00A2077C" w:rsidRDefault="006D3072">
      <w:pPr>
        <w:numPr>
          <w:ilvl w:val="0"/>
          <w:numId w:val="2"/>
        </w:numPr>
        <w:spacing w:line="360" w:lineRule="auto"/>
        <w:jc w:val="both"/>
        <w:rPr>
          <w:highlight w:val="white"/>
        </w:rPr>
      </w:pPr>
      <w:r>
        <w:rPr>
          <w:highlight w:val="white"/>
        </w:rPr>
        <w:t xml:space="preserve">Aguilar </w:t>
      </w:r>
      <w:proofErr w:type="spellStart"/>
      <w:r>
        <w:rPr>
          <w:highlight w:val="white"/>
        </w:rPr>
        <w:t>Torán</w:t>
      </w:r>
      <w:proofErr w:type="spellEnd"/>
      <w:r>
        <w:rPr>
          <w:highlight w:val="white"/>
        </w:rPr>
        <w:t xml:space="preserve">, J., 2024. Design, Development, and Validation of Medical Wearable Devices: Challenges and Solutions for Technology Integration, Industrialization and Certification. </w:t>
      </w:r>
      <w:hyperlink r:id="rId9">
        <w:r>
          <w:rPr>
            <w:highlight w:val="white"/>
            <w:u w:val="single"/>
          </w:rPr>
          <w:t>https://diposit.ub.edu/dspace/handle/2445/216658</w:t>
        </w:r>
      </w:hyperlink>
    </w:p>
    <w:p w14:paraId="0EB134AF" w14:textId="77777777" w:rsidR="00A2077C" w:rsidRDefault="006D3072">
      <w:pPr>
        <w:numPr>
          <w:ilvl w:val="0"/>
          <w:numId w:val="2"/>
        </w:numPr>
        <w:spacing w:line="360" w:lineRule="auto"/>
        <w:jc w:val="both"/>
      </w:pPr>
      <w:r>
        <w:rPr>
          <w:highlight w:val="white"/>
        </w:rPr>
        <w:t xml:space="preserve">Alattar, A.E. and Mohsen, S., 2023. A survey on smart wearable devices for healthcare applications. </w:t>
      </w:r>
      <w:r>
        <w:rPr>
          <w:i/>
          <w:iCs/>
          <w:highlight w:val="white"/>
        </w:rPr>
        <w:t>Wireless Personal Communications</w:t>
      </w:r>
      <w:r>
        <w:rPr>
          <w:highlight w:val="white"/>
        </w:rPr>
        <w:t xml:space="preserve">, </w:t>
      </w:r>
      <w:r>
        <w:rPr>
          <w:i/>
          <w:iCs/>
          <w:highlight w:val="white"/>
        </w:rPr>
        <w:t>132</w:t>
      </w:r>
      <w:r>
        <w:rPr>
          <w:highlight w:val="white"/>
        </w:rPr>
        <w:t xml:space="preserve">(1), pp.775-783. </w:t>
      </w:r>
      <w:hyperlink r:id="rId10">
        <w:r>
          <w:rPr>
            <w:highlight w:val="white"/>
            <w:u w:val="single"/>
          </w:rPr>
          <w:t>https://link.springer.com/article/10.1007/s11277-023-10639-2</w:t>
        </w:r>
      </w:hyperlink>
    </w:p>
    <w:p w14:paraId="0EB134B0" w14:textId="77777777" w:rsidR="00A2077C" w:rsidRDefault="006D3072">
      <w:pPr>
        <w:numPr>
          <w:ilvl w:val="0"/>
          <w:numId w:val="2"/>
        </w:numPr>
        <w:spacing w:line="360" w:lineRule="auto"/>
        <w:jc w:val="both"/>
        <w:rPr>
          <w:highlight w:val="white"/>
        </w:rPr>
      </w:pPr>
      <w:r>
        <w:rPr>
          <w:highlight w:val="white"/>
        </w:rPr>
        <w:t xml:space="preserve">Darrow, J.J., </w:t>
      </w:r>
      <w:proofErr w:type="spellStart"/>
      <w:r>
        <w:rPr>
          <w:highlight w:val="white"/>
        </w:rPr>
        <w:t>Avorn</w:t>
      </w:r>
      <w:proofErr w:type="spellEnd"/>
      <w:r>
        <w:rPr>
          <w:highlight w:val="white"/>
        </w:rPr>
        <w:t xml:space="preserve">, J. and Kesselheim, A.S., 2021. FDA regulation and approval of medical devices: 1976-2020. </w:t>
      </w:r>
      <w:r>
        <w:rPr>
          <w:i/>
          <w:iCs/>
          <w:highlight w:val="white"/>
        </w:rPr>
        <w:t>Jama</w:t>
      </w:r>
      <w:r>
        <w:rPr>
          <w:highlight w:val="white"/>
        </w:rPr>
        <w:t xml:space="preserve">, </w:t>
      </w:r>
      <w:r>
        <w:rPr>
          <w:i/>
          <w:iCs/>
          <w:highlight w:val="white"/>
        </w:rPr>
        <w:t>326</w:t>
      </w:r>
      <w:r>
        <w:rPr>
          <w:highlight w:val="white"/>
        </w:rPr>
        <w:t xml:space="preserve">(5), pp.420-432. </w:t>
      </w:r>
      <w:hyperlink r:id="rId11">
        <w:r>
          <w:rPr>
            <w:highlight w:val="white"/>
            <w:u w:val="single"/>
          </w:rPr>
          <w:t>https://jamanetwork.com/journals/jama/article-abstract/2782639</w:t>
        </w:r>
      </w:hyperlink>
    </w:p>
    <w:p w14:paraId="0EB134B1" w14:textId="77777777" w:rsidR="00A2077C" w:rsidRDefault="006D3072">
      <w:pPr>
        <w:numPr>
          <w:ilvl w:val="0"/>
          <w:numId w:val="2"/>
        </w:numPr>
        <w:spacing w:line="360" w:lineRule="auto"/>
        <w:jc w:val="both"/>
        <w:rPr>
          <w:highlight w:val="white"/>
        </w:rPr>
      </w:pPr>
      <w:proofErr w:type="spellStart"/>
      <w:r>
        <w:rPr>
          <w:highlight w:val="white"/>
        </w:rPr>
        <w:t>Degerli</w:t>
      </w:r>
      <w:proofErr w:type="spellEnd"/>
      <w:r>
        <w:rPr>
          <w:highlight w:val="white"/>
        </w:rPr>
        <w:t xml:space="preserve">, M. and Ozkan Yildirim, S., 2022. Identifying critical success factors for wearable medical devices: a comprehensive exploration. </w:t>
      </w:r>
      <w:r>
        <w:rPr>
          <w:i/>
          <w:iCs/>
          <w:highlight w:val="white"/>
        </w:rPr>
        <w:t xml:space="preserve">Universal Access in the </w:t>
      </w:r>
      <w:r>
        <w:rPr>
          <w:i/>
          <w:iCs/>
          <w:highlight w:val="white"/>
        </w:rPr>
        <w:lastRenderedPageBreak/>
        <w:t>Information Society</w:t>
      </w:r>
      <w:r>
        <w:rPr>
          <w:highlight w:val="white"/>
        </w:rPr>
        <w:t xml:space="preserve">, </w:t>
      </w:r>
      <w:r>
        <w:rPr>
          <w:i/>
          <w:iCs/>
          <w:highlight w:val="white"/>
        </w:rPr>
        <w:t>21</w:t>
      </w:r>
      <w:r>
        <w:rPr>
          <w:highlight w:val="white"/>
        </w:rPr>
        <w:t xml:space="preserve">(1), pp.121-143. </w:t>
      </w:r>
      <w:hyperlink r:id="rId12">
        <w:r>
          <w:rPr>
            <w:highlight w:val="white"/>
            <w:u w:val="single"/>
          </w:rPr>
          <w:t>https://link.springer.com/article/10.1007/s10209-020-00763-2</w:t>
        </w:r>
      </w:hyperlink>
    </w:p>
    <w:p w14:paraId="0EB134B2" w14:textId="77777777" w:rsidR="00A2077C" w:rsidRDefault="006D3072">
      <w:pPr>
        <w:numPr>
          <w:ilvl w:val="0"/>
          <w:numId w:val="2"/>
        </w:numPr>
        <w:spacing w:line="360" w:lineRule="auto"/>
        <w:jc w:val="both"/>
        <w:rPr>
          <w:highlight w:val="white"/>
        </w:rPr>
      </w:pPr>
      <w:r>
        <w:rPr>
          <w:highlight w:val="white"/>
        </w:rPr>
        <w:t xml:space="preserve">Deng, X., Gould, M. and Ali, M.A., 2022. A review of current advancements for wound healing: Biomaterial applications and medical devices. </w:t>
      </w:r>
      <w:r>
        <w:rPr>
          <w:i/>
          <w:iCs/>
          <w:highlight w:val="white"/>
        </w:rPr>
        <w:t>Journal of Biomedical Materials Research Part B: Applied Biomaterials</w:t>
      </w:r>
      <w:r>
        <w:rPr>
          <w:highlight w:val="white"/>
        </w:rPr>
        <w:t xml:space="preserve">, </w:t>
      </w:r>
      <w:r>
        <w:rPr>
          <w:i/>
          <w:iCs/>
          <w:highlight w:val="white"/>
        </w:rPr>
        <w:t>110</w:t>
      </w:r>
      <w:r>
        <w:rPr>
          <w:highlight w:val="white"/>
        </w:rPr>
        <w:t xml:space="preserve">(11), pp.2542-2573. </w:t>
      </w:r>
      <w:hyperlink r:id="rId13">
        <w:r>
          <w:rPr>
            <w:highlight w:val="white"/>
            <w:u w:val="single"/>
          </w:rPr>
          <w:t>https://onlinelibrary.wiley.com/doi/full/10.1002/jbm.b.35086</w:t>
        </w:r>
      </w:hyperlink>
    </w:p>
    <w:p w14:paraId="0EB134B3" w14:textId="77777777" w:rsidR="00A2077C" w:rsidRDefault="006D3072">
      <w:pPr>
        <w:numPr>
          <w:ilvl w:val="0"/>
          <w:numId w:val="2"/>
        </w:numPr>
        <w:spacing w:line="360" w:lineRule="auto"/>
        <w:jc w:val="both"/>
        <w:rPr>
          <w:highlight w:val="white"/>
        </w:rPr>
      </w:pPr>
      <w:r>
        <w:rPr>
          <w:highlight w:val="white"/>
        </w:rPr>
        <w:t xml:space="preserve">Emmanuel, M., 2025. Commercial vs. Clinical-Grade IoT Health Devices. </w:t>
      </w:r>
      <w:hyperlink r:id="rId14">
        <w:r>
          <w:rPr>
            <w:highlight w:val="white"/>
            <w:u w:val="single"/>
          </w:rPr>
          <w:t>https://www.researchgate.net/profile/Mayowa-Emmanuel-2/publication/393385418_Commercial_vs_Clinical-Grade_IoT_Health_Devices/links/68677f2892697d42903d06dd/Commercial-vs-Clinical-Grade-IoT-Health-Devices.pdf</w:t>
        </w:r>
      </w:hyperlink>
    </w:p>
    <w:p w14:paraId="0EB134B4" w14:textId="77777777" w:rsidR="00A2077C" w:rsidRDefault="006D3072">
      <w:pPr>
        <w:numPr>
          <w:ilvl w:val="0"/>
          <w:numId w:val="2"/>
        </w:numPr>
        <w:spacing w:line="360" w:lineRule="auto"/>
        <w:jc w:val="both"/>
        <w:rPr>
          <w:highlight w:val="white"/>
        </w:rPr>
      </w:pPr>
      <w:r>
        <w:rPr>
          <w:highlight w:val="white"/>
        </w:rPr>
        <w:t xml:space="preserve">Helble, M., Kuchenmüller, T., Reeder, J., Kim, J.H., </w:t>
      </w:r>
      <w:proofErr w:type="spellStart"/>
      <w:r>
        <w:rPr>
          <w:highlight w:val="white"/>
        </w:rPr>
        <w:t>Pécoul</w:t>
      </w:r>
      <w:proofErr w:type="spellEnd"/>
      <w:r>
        <w:rPr>
          <w:highlight w:val="white"/>
        </w:rPr>
        <w:t xml:space="preserve">, B., Reddy, D., Spigelman, M. and Swaminathan, S., 2023. Collaborations between product development partnerships and the World Health Organization. </w:t>
      </w:r>
      <w:r>
        <w:rPr>
          <w:i/>
          <w:iCs/>
          <w:highlight w:val="white"/>
        </w:rPr>
        <w:t>Bulletin of the World Health Organization</w:t>
      </w:r>
      <w:r>
        <w:rPr>
          <w:highlight w:val="white"/>
        </w:rPr>
        <w:t xml:space="preserve">, </w:t>
      </w:r>
      <w:r>
        <w:rPr>
          <w:i/>
          <w:iCs/>
          <w:highlight w:val="white"/>
        </w:rPr>
        <w:t>101</w:t>
      </w:r>
      <w:r>
        <w:rPr>
          <w:highlight w:val="white"/>
        </w:rPr>
        <w:t xml:space="preserve">(5), p.355. </w:t>
      </w:r>
      <w:hyperlink r:id="rId15">
        <w:r>
          <w:rPr>
            <w:highlight w:val="white"/>
            <w:u w:val="single"/>
          </w:rPr>
          <w:t>https://pmc.ncbi.nlm.nih.gov/articles/PMC10140690/</w:t>
        </w:r>
      </w:hyperlink>
    </w:p>
    <w:p w14:paraId="0EB134B5" w14:textId="77777777" w:rsidR="00A2077C" w:rsidRDefault="006D3072">
      <w:pPr>
        <w:numPr>
          <w:ilvl w:val="0"/>
          <w:numId w:val="2"/>
        </w:numPr>
        <w:spacing w:line="360" w:lineRule="auto"/>
        <w:jc w:val="both"/>
        <w:rPr>
          <w:highlight w:val="white"/>
        </w:rPr>
      </w:pPr>
      <w:r>
        <w:rPr>
          <w:highlight w:val="white"/>
        </w:rPr>
        <w:t xml:space="preserve">Joshi, G., Jain, A., </w:t>
      </w:r>
      <w:proofErr w:type="spellStart"/>
      <w:r>
        <w:rPr>
          <w:highlight w:val="white"/>
        </w:rPr>
        <w:t>Araveeti</w:t>
      </w:r>
      <w:proofErr w:type="spellEnd"/>
      <w:r>
        <w:rPr>
          <w:highlight w:val="white"/>
        </w:rPr>
        <w:t xml:space="preserve">, S.R., Adhikari, S., Garg, H. and Bhandari, M., 2024. FDA-approved artificial intelligence and machine learning (AI/ML)-enabled medical devices: an updated landscape. </w:t>
      </w:r>
      <w:r>
        <w:rPr>
          <w:i/>
          <w:iCs/>
          <w:highlight w:val="white"/>
        </w:rPr>
        <w:t>Electronics</w:t>
      </w:r>
      <w:r>
        <w:rPr>
          <w:highlight w:val="white"/>
        </w:rPr>
        <w:t xml:space="preserve">, </w:t>
      </w:r>
      <w:r>
        <w:rPr>
          <w:i/>
          <w:iCs/>
          <w:highlight w:val="white"/>
        </w:rPr>
        <w:t>13</w:t>
      </w:r>
      <w:r>
        <w:rPr>
          <w:highlight w:val="white"/>
        </w:rPr>
        <w:t xml:space="preserve">(3), p.498. </w:t>
      </w:r>
      <w:hyperlink r:id="rId16">
        <w:r>
          <w:rPr>
            <w:highlight w:val="white"/>
            <w:u w:val="single"/>
          </w:rPr>
          <w:t>https://www.mdpi.com/2079-9292/13/3/498</w:t>
        </w:r>
      </w:hyperlink>
    </w:p>
    <w:p w14:paraId="0EB134B6" w14:textId="77777777" w:rsidR="00A2077C" w:rsidRDefault="006D3072">
      <w:pPr>
        <w:numPr>
          <w:ilvl w:val="0"/>
          <w:numId w:val="2"/>
        </w:numPr>
        <w:spacing w:line="360" w:lineRule="auto"/>
        <w:jc w:val="both"/>
        <w:rPr>
          <w:highlight w:val="white"/>
        </w:rPr>
      </w:pPr>
      <w:r>
        <w:rPr>
          <w:highlight w:val="white"/>
        </w:rPr>
        <w:t xml:space="preserve">Li, W., Tang, J., Lee, D., Tice, T.R., Schwendeman, S.P. and </w:t>
      </w:r>
      <w:proofErr w:type="spellStart"/>
      <w:r>
        <w:rPr>
          <w:highlight w:val="white"/>
        </w:rPr>
        <w:t>Prausnitz</w:t>
      </w:r>
      <w:proofErr w:type="spellEnd"/>
      <w:r>
        <w:rPr>
          <w:highlight w:val="white"/>
        </w:rPr>
        <w:t xml:space="preserve">, M.R., 2022. Clinical translation of long-acting drug delivery formulations. </w:t>
      </w:r>
      <w:r>
        <w:rPr>
          <w:i/>
          <w:iCs/>
          <w:highlight w:val="white"/>
        </w:rPr>
        <w:t>Nature Reviews Materials</w:t>
      </w:r>
      <w:r>
        <w:rPr>
          <w:highlight w:val="white"/>
        </w:rPr>
        <w:t xml:space="preserve">, </w:t>
      </w:r>
      <w:r>
        <w:rPr>
          <w:i/>
          <w:iCs/>
          <w:highlight w:val="white"/>
        </w:rPr>
        <w:t>7</w:t>
      </w:r>
      <w:r>
        <w:rPr>
          <w:highlight w:val="white"/>
        </w:rPr>
        <w:t xml:space="preserve">(5), pp.406-420. </w:t>
      </w:r>
      <w:hyperlink r:id="rId17">
        <w:r>
          <w:rPr>
            <w:highlight w:val="white"/>
            <w:u w:val="single"/>
          </w:rPr>
          <w:t>https://www.nature.com/articles/s41578-021-00405-w</w:t>
        </w:r>
      </w:hyperlink>
    </w:p>
    <w:p w14:paraId="0EB134B7" w14:textId="77777777" w:rsidR="00A2077C" w:rsidRDefault="006D3072">
      <w:pPr>
        <w:numPr>
          <w:ilvl w:val="0"/>
          <w:numId w:val="2"/>
        </w:numPr>
        <w:spacing w:line="360" w:lineRule="auto"/>
        <w:jc w:val="both"/>
        <w:rPr>
          <w:highlight w:val="white"/>
        </w:rPr>
      </w:pPr>
      <w:r>
        <w:rPr>
          <w:highlight w:val="white"/>
        </w:rPr>
        <w:t xml:space="preserve">Olander, A. and Eberhardt, L., 2025. Collaborative Innovation Between Developers of Medical Devices &amp; Hospitals: An exploratory study of how to integrate hospitals in the new product development process to enhance collaborative innovation. </w:t>
      </w:r>
      <w:hyperlink r:id="rId18">
        <w:r>
          <w:rPr>
            <w:highlight w:val="white"/>
            <w:u w:val="single"/>
          </w:rPr>
          <w:t>https://www.diva-portal.org/smash/record.jsf?pid=diva2:1978887</w:t>
        </w:r>
      </w:hyperlink>
    </w:p>
    <w:p w14:paraId="0EB134B8" w14:textId="77777777" w:rsidR="00A2077C" w:rsidRDefault="006D3072">
      <w:pPr>
        <w:numPr>
          <w:ilvl w:val="0"/>
          <w:numId w:val="2"/>
        </w:numPr>
        <w:spacing w:line="360" w:lineRule="auto"/>
        <w:jc w:val="both"/>
        <w:rPr>
          <w:highlight w:val="white"/>
        </w:rPr>
      </w:pPr>
      <w:r>
        <w:rPr>
          <w:highlight w:val="white"/>
        </w:rPr>
        <w:t>Williams, G.J., Al-</w:t>
      </w:r>
      <w:proofErr w:type="spellStart"/>
      <w:r>
        <w:rPr>
          <w:highlight w:val="white"/>
        </w:rPr>
        <w:t>Baraikan</w:t>
      </w:r>
      <w:proofErr w:type="spellEnd"/>
      <w:r>
        <w:rPr>
          <w:highlight w:val="white"/>
        </w:rPr>
        <w:t xml:space="preserve">, A., Rademakers, F.E., </w:t>
      </w:r>
      <w:proofErr w:type="spellStart"/>
      <w:r>
        <w:rPr>
          <w:highlight w:val="white"/>
        </w:rPr>
        <w:t>Ciravegna</w:t>
      </w:r>
      <w:proofErr w:type="spellEnd"/>
      <w:r>
        <w:rPr>
          <w:highlight w:val="white"/>
        </w:rPr>
        <w:t xml:space="preserve">, F., van de </w:t>
      </w:r>
      <w:proofErr w:type="spellStart"/>
      <w:r>
        <w:rPr>
          <w:highlight w:val="white"/>
        </w:rPr>
        <w:t>Vosse</w:t>
      </w:r>
      <w:proofErr w:type="spellEnd"/>
      <w:r>
        <w:rPr>
          <w:highlight w:val="white"/>
        </w:rPr>
        <w:t xml:space="preserve">, F.N., Lawrie, A., Rothman, A., Ashley, E.A., Wilkins, M.R., Lawford, P.V. and Omholt, S.W., 2023. Wearable technology and the cardiovascular system: the future of patient assessment. </w:t>
      </w:r>
      <w:r>
        <w:rPr>
          <w:i/>
          <w:iCs/>
          <w:highlight w:val="white"/>
        </w:rPr>
        <w:t>The Lancet Digital Health</w:t>
      </w:r>
      <w:r>
        <w:rPr>
          <w:highlight w:val="white"/>
        </w:rPr>
        <w:t xml:space="preserve">, </w:t>
      </w:r>
      <w:r>
        <w:rPr>
          <w:i/>
          <w:iCs/>
          <w:highlight w:val="white"/>
        </w:rPr>
        <w:t>5</w:t>
      </w:r>
      <w:r>
        <w:rPr>
          <w:highlight w:val="white"/>
        </w:rPr>
        <w:t xml:space="preserve">(7), pp.e467-e476. </w:t>
      </w:r>
      <w:hyperlink r:id="rId19">
        <w:r>
          <w:rPr>
            <w:highlight w:val="white"/>
            <w:u w:val="single"/>
          </w:rPr>
          <w:t>https://www.thelancet.com/journals/landig/article/PIIS2589-7500(23)00087-0/fulltext</w:t>
        </w:r>
      </w:hyperlink>
    </w:p>
    <w:p w14:paraId="0EB134B9" w14:textId="77777777" w:rsidR="00A2077C" w:rsidRDefault="006D3072">
      <w:pPr>
        <w:numPr>
          <w:ilvl w:val="0"/>
          <w:numId w:val="2"/>
        </w:numPr>
        <w:spacing w:line="360" w:lineRule="auto"/>
        <w:jc w:val="both"/>
        <w:rPr>
          <w:highlight w:val="white"/>
        </w:rPr>
      </w:pPr>
      <w:r>
        <w:rPr>
          <w:highlight w:val="white"/>
        </w:rPr>
        <w:t xml:space="preserve">Zhu, L., Ng, P.C., Yu, Y., Wang, Y., </w:t>
      </w:r>
      <w:proofErr w:type="spellStart"/>
      <w:r>
        <w:rPr>
          <w:highlight w:val="white"/>
        </w:rPr>
        <w:t>Spachos</w:t>
      </w:r>
      <w:proofErr w:type="spellEnd"/>
      <w:r>
        <w:rPr>
          <w:highlight w:val="white"/>
        </w:rPr>
        <w:t xml:space="preserve">, P., </w:t>
      </w:r>
      <w:proofErr w:type="spellStart"/>
      <w:r>
        <w:rPr>
          <w:highlight w:val="white"/>
        </w:rPr>
        <w:t>Hatzinakos</w:t>
      </w:r>
      <w:proofErr w:type="spellEnd"/>
      <w:r>
        <w:rPr>
          <w:highlight w:val="white"/>
        </w:rPr>
        <w:t xml:space="preserve">, D. and </w:t>
      </w:r>
      <w:proofErr w:type="spellStart"/>
      <w:r>
        <w:rPr>
          <w:highlight w:val="white"/>
        </w:rPr>
        <w:t>Plataniotis</w:t>
      </w:r>
      <w:proofErr w:type="spellEnd"/>
      <w:r>
        <w:rPr>
          <w:highlight w:val="white"/>
        </w:rPr>
        <w:t xml:space="preserve">, K.N., 2022, May. Feasibility study of stress detection with machine learning through </w:t>
      </w:r>
      <w:proofErr w:type="spellStart"/>
      <w:r>
        <w:rPr>
          <w:highlight w:val="white"/>
        </w:rPr>
        <w:t>eda</w:t>
      </w:r>
      <w:proofErr w:type="spellEnd"/>
      <w:r>
        <w:rPr>
          <w:highlight w:val="white"/>
        </w:rPr>
        <w:t xml:space="preserve"> from wearable devices. In </w:t>
      </w:r>
      <w:r>
        <w:rPr>
          <w:i/>
          <w:iCs/>
          <w:highlight w:val="white"/>
        </w:rPr>
        <w:t>ICC 2022-IEEE International Conference on Communications</w:t>
      </w:r>
      <w:r>
        <w:rPr>
          <w:highlight w:val="white"/>
        </w:rPr>
        <w:t xml:space="preserve"> (pp. 4800-4805). IEEE. </w:t>
      </w:r>
      <w:hyperlink r:id="rId20">
        <w:r>
          <w:rPr>
            <w:highlight w:val="white"/>
            <w:u w:val="single"/>
          </w:rPr>
          <w:t>https://ieeexplore.ieee.org/abstract/document/9838970/</w:t>
        </w:r>
      </w:hyperlink>
    </w:p>
    <w:p w14:paraId="0EB134D2" w14:textId="77777777" w:rsidR="00A2077C" w:rsidRDefault="00A2077C">
      <w:pPr>
        <w:spacing w:line="360" w:lineRule="auto"/>
        <w:jc w:val="both"/>
        <w:rPr>
          <w:highlight w:val="white"/>
        </w:rPr>
      </w:pPr>
    </w:p>
    <w:sectPr w:rsidR="00A2077C">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E688F" w14:textId="77777777" w:rsidR="008F252F" w:rsidRDefault="008F252F">
      <w:pPr>
        <w:spacing w:line="240" w:lineRule="auto"/>
      </w:pPr>
      <w:r>
        <w:separator/>
      </w:r>
    </w:p>
  </w:endnote>
  <w:endnote w:type="continuationSeparator" w:id="0">
    <w:p w14:paraId="3AA2248D" w14:textId="77777777" w:rsidR="008F252F" w:rsidRDefault="008F252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0CE3551-2094-43FD-8A2A-F613B56D194D}"/>
  </w:font>
  <w:font w:name="Cambria">
    <w:panose1 w:val="02040503050406030204"/>
    <w:charset w:val="00"/>
    <w:family w:val="roman"/>
    <w:pitch w:val="variable"/>
    <w:sig w:usb0="E00006FF" w:usb1="420024FF" w:usb2="02000000" w:usb3="00000000" w:csb0="0000019F" w:csb1="00000000"/>
    <w:embedRegular r:id="rId2" w:fontKey="{36B03643-5A0B-4E2B-A49E-61C53FB4A34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134D9" w14:textId="77777777" w:rsidR="00A2077C" w:rsidRDefault="00A2077C"/>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134DA" w14:textId="77777777" w:rsidR="00A2077C" w:rsidRDefault="006D3072">
    <w:pPr>
      <w:jc w:val="right"/>
      <w:rPr>
        <w:color w:val="434343"/>
        <w:sz w:val="20"/>
        <w:szCs w:val="20"/>
      </w:rPr>
    </w:pPr>
    <w:r>
      <w:rPr>
        <w:color w:val="434343"/>
        <w:sz w:val="20"/>
        <w:szCs w:val="20"/>
      </w:rPr>
      <w:fldChar w:fldCharType="begin"/>
    </w:r>
    <w:r>
      <w:rPr>
        <w:color w:val="434343"/>
        <w:sz w:val="20"/>
        <w:szCs w:val="20"/>
      </w:rPr>
      <w:instrText>PAGE</w:instrText>
    </w:r>
    <w:r>
      <w:rPr>
        <w:color w:val="434343"/>
        <w:sz w:val="20"/>
        <w:szCs w:val="20"/>
      </w:rPr>
      <w:fldChar w:fldCharType="separate"/>
    </w:r>
    <w:r w:rsidR="005121E0">
      <w:rPr>
        <w:noProof/>
        <w:color w:val="434343"/>
        <w:sz w:val="20"/>
        <w:szCs w:val="20"/>
      </w:rPr>
      <w:t>9</w:t>
    </w:r>
    <w:r>
      <w:rPr>
        <w:color w:val="434343"/>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F222EF" w14:textId="77777777" w:rsidR="008F252F" w:rsidRDefault="008F252F">
      <w:pPr>
        <w:spacing w:line="240" w:lineRule="auto"/>
      </w:pPr>
      <w:r>
        <w:separator/>
      </w:r>
    </w:p>
  </w:footnote>
  <w:footnote w:type="continuationSeparator" w:id="0">
    <w:p w14:paraId="53D1103E" w14:textId="77777777" w:rsidR="008F252F" w:rsidRDefault="008F252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211A05"/>
    <w:multiLevelType w:val="multilevel"/>
    <w:tmpl w:val="BB427F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93E0930"/>
    <w:multiLevelType w:val="multilevel"/>
    <w:tmpl w:val="6CB607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16cid:durableId="82797622">
    <w:abstractNumId w:val="1"/>
  </w:num>
  <w:num w:numId="2" w16cid:durableId="499544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77C"/>
    <w:rsid w:val="00057078"/>
    <w:rsid w:val="00362832"/>
    <w:rsid w:val="004356BF"/>
    <w:rsid w:val="005121E0"/>
    <w:rsid w:val="006D3072"/>
    <w:rsid w:val="0077392A"/>
    <w:rsid w:val="008C4660"/>
    <w:rsid w:val="008F252F"/>
    <w:rsid w:val="0097267E"/>
    <w:rsid w:val="00A207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1343E"/>
  <w15:docId w15:val="{055A4D23-C5BB-476A-9DE2-D365A193F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onlinelibrary.wiley.com/doi/full/10.1002/jbm.b.35086" TargetMode="External"/><Relationship Id="rId18" Type="http://schemas.openxmlformats.org/officeDocument/2006/relationships/hyperlink" Target="https://www.diva-portal.org/smash/record.jsf?pid=diva2:1978887"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hyperlink" Target="https://link.springer.com/article/10.1007/s10209-020-00763-2" TargetMode="External"/><Relationship Id="rId17" Type="http://schemas.openxmlformats.org/officeDocument/2006/relationships/hyperlink" Target="https://www.nature.com/articles/s41578-021-00405-w" TargetMode="External"/><Relationship Id="rId2" Type="http://schemas.openxmlformats.org/officeDocument/2006/relationships/styles" Target="styles.xml"/><Relationship Id="rId16" Type="http://schemas.openxmlformats.org/officeDocument/2006/relationships/hyperlink" Target="https://www.mdpi.com/2079-9292/13/3/498" TargetMode="External"/><Relationship Id="rId20" Type="http://schemas.openxmlformats.org/officeDocument/2006/relationships/hyperlink" Target="https://ieeexplore.ieee.org/abstract/document/983897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amanetwork.com/journals/jama/article-abstract/2782639" TargetMode="External"/><Relationship Id="rId5" Type="http://schemas.openxmlformats.org/officeDocument/2006/relationships/footnotes" Target="footnotes.xml"/><Relationship Id="rId15" Type="http://schemas.openxmlformats.org/officeDocument/2006/relationships/hyperlink" Target="https://pmc.ncbi.nlm.nih.gov/articles/PMC10140690/" TargetMode="External"/><Relationship Id="rId23" Type="http://schemas.openxmlformats.org/officeDocument/2006/relationships/theme" Target="theme/theme1.xml"/><Relationship Id="rId10" Type="http://schemas.openxmlformats.org/officeDocument/2006/relationships/hyperlink" Target="https://link.springer.com/article/10.1007/s11277-023-10639-2" TargetMode="External"/><Relationship Id="rId19" Type="http://schemas.openxmlformats.org/officeDocument/2006/relationships/hyperlink" Target="https://www.thelancet.com/journals/landig/article/PIIS2589-7500(23)00087-0/fulltext" TargetMode="External"/><Relationship Id="rId4" Type="http://schemas.openxmlformats.org/officeDocument/2006/relationships/webSettings" Target="webSettings.xml"/><Relationship Id="rId9" Type="http://schemas.openxmlformats.org/officeDocument/2006/relationships/hyperlink" Target="https://diposit.ub.edu/dspace/handle/2445/216658" TargetMode="External"/><Relationship Id="rId14" Type="http://schemas.openxmlformats.org/officeDocument/2006/relationships/hyperlink" Target="https://www.researchgate.net/profile/Mayowa-Emmanuel-2/publication/393385418_Commercial_vs_Clinical-Grade_IoT_Health_Devices/links/68677f2892697d42903d06dd/Commercial-vs-Clinical-Grade-IoT-Health-Devices.pdf" TargetMode="External"/><Relationship Id="rId22"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3197</Words>
  <Characters>18228</Characters>
  <Application>Microsoft Office Word</Application>
  <DocSecurity>0</DocSecurity>
  <Lines>151</Lines>
  <Paragraphs>42</Paragraphs>
  <ScaleCrop>false</ScaleCrop>
  <Company/>
  <LinksUpToDate>false</LinksUpToDate>
  <CharactersWithSpaces>21383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Angelica Toma</cp:lastModifiedBy>
  <cp:revision>4</cp:revision>
  <dcterms:created xsi:type="dcterms:W3CDTF">2025-11-24T20:15:00Z</dcterms:created>
  <dcterms:modified xsi:type="dcterms:W3CDTF">2025-12-14T19:34:00Z</dcterms:modified>
</cp:coreProperties>
</file>