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B0901" w14:textId="77777777" w:rsidR="00BB2BB4" w:rsidRDefault="00BB2BB4" w:rsidP="00BB2BB4">
      <w:pPr>
        <w:spacing w:line="360" w:lineRule="auto"/>
        <w:jc w:val="center"/>
        <w:rPr>
          <w:rFonts w:cstheme="minorHAnsi"/>
          <w:b/>
          <w:bCs/>
          <w:sz w:val="28"/>
          <w:szCs w:val="28"/>
        </w:rPr>
      </w:pPr>
      <w:r>
        <w:rPr>
          <w:rFonts w:cstheme="minorHAnsi"/>
          <w:b/>
          <w:bCs/>
          <w:sz w:val="28"/>
          <w:szCs w:val="28"/>
        </w:rPr>
        <w:t>Student name: Ionut-Marius Pantiru</w:t>
      </w:r>
    </w:p>
    <w:p w14:paraId="45655AC8" w14:textId="77777777" w:rsidR="00BB2BB4" w:rsidRDefault="00BB2BB4" w:rsidP="00BB2BB4">
      <w:pPr>
        <w:spacing w:line="360" w:lineRule="auto"/>
        <w:jc w:val="center"/>
        <w:rPr>
          <w:rFonts w:cstheme="minorHAnsi"/>
          <w:b/>
          <w:bCs/>
          <w:sz w:val="28"/>
          <w:szCs w:val="28"/>
        </w:rPr>
      </w:pPr>
      <w:r>
        <w:rPr>
          <w:rFonts w:cstheme="minorHAnsi"/>
          <w:b/>
          <w:bCs/>
          <w:sz w:val="28"/>
          <w:szCs w:val="28"/>
        </w:rPr>
        <w:t>Student ID: 2213443</w:t>
      </w:r>
    </w:p>
    <w:p w14:paraId="5C588851" w14:textId="77777777" w:rsidR="00BB2BB4" w:rsidRDefault="00BB2BB4" w:rsidP="00BB2BB4">
      <w:pPr>
        <w:spacing w:line="360" w:lineRule="auto"/>
        <w:jc w:val="center"/>
        <w:rPr>
          <w:rFonts w:cstheme="minorHAnsi"/>
          <w:b/>
          <w:bCs/>
          <w:sz w:val="28"/>
          <w:szCs w:val="28"/>
        </w:rPr>
      </w:pPr>
      <w:r>
        <w:rPr>
          <w:rFonts w:cstheme="minorHAnsi"/>
          <w:b/>
          <w:bCs/>
          <w:sz w:val="28"/>
          <w:szCs w:val="28"/>
        </w:rPr>
        <w:t xml:space="preserve">Programme: Law and Legal Practice </w:t>
      </w:r>
    </w:p>
    <w:p w14:paraId="4B726736" w14:textId="77777777" w:rsidR="00BB2BB4" w:rsidRDefault="00BB2BB4" w:rsidP="00BB2BB4">
      <w:pPr>
        <w:spacing w:line="360" w:lineRule="auto"/>
        <w:jc w:val="center"/>
        <w:rPr>
          <w:rFonts w:cstheme="minorHAnsi"/>
          <w:b/>
          <w:bCs/>
          <w:sz w:val="28"/>
          <w:szCs w:val="28"/>
        </w:rPr>
      </w:pPr>
      <w:r>
        <w:rPr>
          <w:rFonts w:cstheme="minorHAnsi"/>
          <w:b/>
          <w:bCs/>
          <w:sz w:val="28"/>
          <w:szCs w:val="28"/>
        </w:rPr>
        <w:t xml:space="preserve">Module: Public Law </w:t>
      </w:r>
    </w:p>
    <w:p w14:paraId="7EEE7002" w14:textId="77777777" w:rsidR="00BB2BB4" w:rsidRDefault="00BB2BB4" w:rsidP="00BB2BB4">
      <w:pPr>
        <w:spacing w:line="360" w:lineRule="auto"/>
        <w:jc w:val="center"/>
        <w:rPr>
          <w:rFonts w:cstheme="minorHAnsi"/>
          <w:b/>
          <w:bCs/>
          <w:sz w:val="28"/>
          <w:szCs w:val="28"/>
        </w:rPr>
      </w:pPr>
      <w:r>
        <w:rPr>
          <w:rFonts w:cstheme="minorHAnsi"/>
          <w:b/>
          <w:bCs/>
          <w:sz w:val="28"/>
          <w:szCs w:val="28"/>
        </w:rPr>
        <w:t>Module code: BMLW4007</w:t>
      </w:r>
    </w:p>
    <w:p w14:paraId="1C4C046D" w14:textId="77777777" w:rsidR="00BB2BB4" w:rsidRPr="006431A4" w:rsidRDefault="00BB2BB4" w:rsidP="00BB2BB4">
      <w:pPr>
        <w:spacing w:line="360" w:lineRule="auto"/>
        <w:jc w:val="center"/>
        <w:rPr>
          <w:rFonts w:cstheme="minorHAnsi"/>
          <w:b/>
          <w:bCs/>
          <w:sz w:val="28"/>
          <w:szCs w:val="28"/>
        </w:rPr>
      </w:pPr>
      <w:r>
        <w:rPr>
          <w:rFonts w:cstheme="minorHAnsi"/>
          <w:b/>
          <w:bCs/>
          <w:sz w:val="28"/>
          <w:szCs w:val="28"/>
        </w:rPr>
        <w:t xml:space="preserve">Assignment Title: </w:t>
      </w:r>
      <w:r w:rsidRPr="006431A4">
        <w:rPr>
          <w:rFonts w:cstheme="minorHAnsi"/>
          <w:b/>
          <w:bCs/>
          <w:sz w:val="28"/>
          <w:szCs w:val="28"/>
        </w:rPr>
        <w:t>Recently, the United Kingdom’s government proposed a new piece of legislation namely the Bill of Rights Bill, this would repeal and replace the Human Rights Act 1998. Some argue that the introduction of such a legislation could damage the rule of law and impact the ability of individuals to protect their human rights. Discuss.</w:t>
      </w:r>
    </w:p>
    <w:p w14:paraId="2B527B47" w14:textId="77777777" w:rsidR="00BB2BB4" w:rsidRDefault="00BB2BB4" w:rsidP="00BB2BB4">
      <w:pPr>
        <w:spacing w:line="360" w:lineRule="auto"/>
        <w:jc w:val="center"/>
        <w:rPr>
          <w:rFonts w:cstheme="minorHAnsi"/>
          <w:b/>
          <w:bCs/>
          <w:sz w:val="28"/>
          <w:szCs w:val="28"/>
        </w:rPr>
      </w:pPr>
      <w:r>
        <w:rPr>
          <w:rFonts w:cstheme="minorHAnsi"/>
          <w:b/>
          <w:bCs/>
          <w:sz w:val="28"/>
          <w:szCs w:val="28"/>
        </w:rPr>
        <w:t>Word count: 1500 words</w:t>
      </w:r>
    </w:p>
    <w:p w14:paraId="165016AE" w14:textId="77777777" w:rsidR="00BB2BB4" w:rsidRDefault="00BB2BB4" w:rsidP="00BB2BB4">
      <w:pPr>
        <w:rPr>
          <w:rFonts w:cstheme="minorHAnsi"/>
          <w:b/>
          <w:bCs/>
          <w:sz w:val="28"/>
          <w:szCs w:val="28"/>
        </w:rPr>
      </w:pPr>
      <w:r>
        <w:rPr>
          <w:rFonts w:cstheme="minorHAnsi"/>
          <w:b/>
          <w:bCs/>
          <w:sz w:val="28"/>
          <w:szCs w:val="28"/>
        </w:rPr>
        <w:br w:type="page"/>
      </w:r>
    </w:p>
    <w:p w14:paraId="1982DA6B" w14:textId="4714A76A" w:rsidR="00BB2BB4" w:rsidRPr="006431A4" w:rsidRDefault="00BB2BB4" w:rsidP="00BB2BB4">
      <w:pPr>
        <w:spacing w:line="360" w:lineRule="auto"/>
        <w:rPr>
          <w:rFonts w:cstheme="minorHAnsi"/>
          <w:sz w:val="24"/>
          <w:szCs w:val="24"/>
        </w:rPr>
      </w:pPr>
      <w:r w:rsidRPr="006431A4">
        <w:rPr>
          <w:rFonts w:cstheme="minorHAnsi"/>
          <w:sz w:val="24"/>
          <w:szCs w:val="24"/>
        </w:rPr>
        <w:lastRenderedPageBreak/>
        <w:t xml:space="preserve">The British Bill of Rights Bill has been introduced in the House of Commons on 22 June 2022. The Bill has been introduced in order to reshape the framework of how the European Convention on Human Rights (hereinafter referred to as ‘ECHR’) and the European Court of Human Rights (hereinafter referred to as ‘ECtHR’ or ‘Strasbourg’) interfere in British matters. Nevertheless, the complications and the repercussions of repealing the Human Rights Act 1998 (hereinafter referred to as ‘HRA’) in favour of a British Bill of Rights has caused divided opinions and scepticism about the future of human rights in the UK, as well as throughout Europe </w:t>
      </w:r>
      <w:r>
        <w:rPr>
          <w:rFonts w:cstheme="minorHAnsi"/>
          <w:sz w:val="24"/>
          <w:szCs w:val="24"/>
        </w:rPr>
        <w:t xml:space="preserve">because </w:t>
      </w:r>
      <w:r>
        <w:rPr>
          <w:rFonts w:cstheme="minorHAnsi"/>
          <w:sz w:val="24"/>
          <w:szCs w:val="24"/>
        </w:rPr>
        <w:t>other countries</w:t>
      </w:r>
      <w:r w:rsidRPr="006431A4">
        <w:rPr>
          <w:rFonts w:cstheme="minorHAnsi"/>
          <w:sz w:val="24"/>
          <w:szCs w:val="24"/>
        </w:rPr>
        <w:t xml:space="preserve"> might follow suit. Moreover, the repeal of the HRA and revoking the judiciary’s involvement relating to </w:t>
      </w:r>
      <w:r>
        <w:rPr>
          <w:rFonts w:cstheme="minorHAnsi"/>
          <w:sz w:val="24"/>
          <w:szCs w:val="24"/>
        </w:rPr>
        <w:t xml:space="preserve">the </w:t>
      </w:r>
      <w:r w:rsidRPr="006431A4">
        <w:rPr>
          <w:rFonts w:cstheme="minorHAnsi"/>
          <w:sz w:val="24"/>
          <w:szCs w:val="24"/>
        </w:rPr>
        <w:t xml:space="preserve">interpretation of the ECHR are said to undermine the rule of law and principles on which the British Constitution has been built. </w:t>
      </w:r>
    </w:p>
    <w:p w14:paraId="4C02001B" w14:textId="16CF36B7" w:rsidR="00BB2BB4" w:rsidRPr="006431A4" w:rsidRDefault="00BB2BB4" w:rsidP="00BB2BB4">
      <w:pPr>
        <w:spacing w:line="360" w:lineRule="auto"/>
        <w:rPr>
          <w:rFonts w:cstheme="minorHAnsi"/>
          <w:sz w:val="24"/>
          <w:szCs w:val="24"/>
        </w:rPr>
      </w:pPr>
      <w:r w:rsidRPr="006431A4">
        <w:rPr>
          <w:rFonts w:cstheme="minorHAnsi"/>
          <w:sz w:val="24"/>
          <w:szCs w:val="24"/>
        </w:rPr>
        <w:t>As abovementioned, the Bill of Rights Bill has the purpose of repealing the HRA (Dawson, 2022). The current government wish to replace the HRA with a Bill of Rights in order to implement a new framework replacing the ECHR. The ECHR is a completely separate entity from the European Union and the UK has been a signatory since 1953. Due to the fact that the ECHR is a separate entity from the European Union, the European Union (Withdrawal) Act 2018 did not have any effect on the ECHR and its implementation in the UK, and its courts. The Conservative government wish to fulfil their manifesto of updating “the HRA and the administrative law to ensure that there is a proper balance between the rights of individuals, our vital national security and effective government” (Dawson, 2022).</w:t>
      </w:r>
      <w:r>
        <w:rPr>
          <w:rFonts w:cstheme="minorHAnsi"/>
          <w:sz w:val="24"/>
          <w:szCs w:val="24"/>
        </w:rPr>
        <w:t xml:space="preserve"> </w:t>
      </w:r>
      <w:r w:rsidRPr="006431A4">
        <w:rPr>
          <w:rFonts w:cstheme="minorHAnsi"/>
          <w:sz w:val="24"/>
          <w:szCs w:val="24"/>
        </w:rPr>
        <w:t xml:space="preserve">The Bill has been introduced in </w:t>
      </w:r>
      <w:r>
        <w:rPr>
          <w:rFonts w:cstheme="minorHAnsi"/>
          <w:sz w:val="24"/>
          <w:szCs w:val="24"/>
        </w:rPr>
        <w:t xml:space="preserve">the </w:t>
      </w:r>
      <w:r w:rsidRPr="006431A4">
        <w:rPr>
          <w:rFonts w:cstheme="minorHAnsi"/>
          <w:sz w:val="24"/>
          <w:szCs w:val="24"/>
        </w:rPr>
        <w:t xml:space="preserve">summer 2022, but due to the economic and political climate which followed the death of Queen Elizabeth II, the Bill has not had a second hearing (Dawson, 2022). </w:t>
      </w:r>
    </w:p>
    <w:p w14:paraId="03CADF5C" w14:textId="77777777" w:rsidR="00BB2BB4" w:rsidRPr="006431A4" w:rsidRDefault="00BB2BB4" w:rsidP="00BB2BB4">
      <w:pPr>
        <w:spacing w:line="360" w:lineRule="auto"/>
        <w:rPr>
          <w:rFonts w:cstheme="minorHAnsi"/>
          <w:sz w:val="24"/>
          <w:szCs w:val="24"/>
        </w:rPr>
      </w:pPr>
      <w:r w:rsidRPr="006431A4">
        <w:rPr>
          <w:rFonts w:cstheme="minorHAnsi"/>
          <w:sz w:val="24"/>
          <w:szCs w:val="24"/>
        </w:rPr>
        <w:t>The HRA has incorporated the ECHR into UK law. Its effect was of enabling people to bring claims relating to breaches of their human rights before the UK courts, and it requires public bodies to act compatibly with the human rights set out in the ECHR, i.e., the right to be free from torture, the right to life, privacy, liberty, and to freedom of speech and assembly.</w:t>
      </w:r>
    </w:p>
    <w:p w14:paraId="18E76DD8" w14:textId="1C7280F3" w:rsidR="00BB2BB4" w:rsidRPr="006431A4" w:rsidRDefault="00BB2BB4" w:rsidP="00BB2BB4">
      <w:pPr>
        <w:spacing w:line="360" w:lineRule="auto"/>
        <w:rPr>
          <w:rFonts w:cstheme="minorHAnsi"/>
          <w:sz w:val="24"/>
          <w:szCs w:val="24"/>
        </w:rPr>
      </w:pPr>
      <w:r w:rsidRPr="006431A4">
        <w:rPr>
          <w:rFonts w:cstheme="minorHAnsi"/>
          <w:sz w:val="24"/>
          <w:szCs w:val="24"/>
        </w:rPr>
        <w:t xml:space="preserve">Greer and Slowe (2015, p. 375) </w:t>
      </w:r>
      <w:r>
        <w:rPr>
          <w:rFonts w:cstheme="minorHAnsi"/>
          <w:sz w:val="24"/>
          <w:szCs w:val="24"/>
        </w:rPr>
        <w:t>describe</w:t>
      </w:r>
      <w:r w:rsidRPr="006431A4">
        <w:rPr>
          <w:rFonts w:cstheme="minorHAnsi"/>
          <w:sz w:val="24"/>
          <w:szCs w:val="24"/>
        </w:rPr>
        <w:t xml:space="preserve"> one of the main objectives of the Bill of Rights to be altering and restricting the power of judges over the interpretation and application of human rights in UK. Moreover, the Bill is expected to focus more on “quintessential UK rights” such </w:t>
      </w:r>
      <w:r>
        <w:rPr>
          <w:rFonts w:cstheme="minorHAnsi"/>
          <w:sz w:val="24"/>
          <w:szCs w:val="24"/>
        </w:rPr>
        <w:t xml:space="preserve">as </w:t>
      </w:r>
      <w:r w:rsidRPr="006431A4">
        <w:rPr>
          <w:rFonts w:cstheme="minorHAnsi"/>
          <w:sz w:val="24"/>
          <w:szCs w:val="24"/>
        </w:rPr>
        <w:t>a trial by jury and freedom of speech (Dawson, 2022).</w:t>
      </w:r>
    </w:p>
    <w:p w14:paraId="016DAB66" w14:textId="437BFBBB" w:rsidR="00BB2BB4" w:rsidRPr="006431A4" w:rsidRDefault="00BB2BB4" w:rsidP="00BB2BB4">
      <w:pPr>
        <w:spacing w:line="360" w:lineRule="auto"/>
        <w:rPr>
          <w:rFonts w:cstheme="minorHAnsi"/>
          <w:sz w:val="24"/>
          <w:szCs w:val="24"/>
        </w:rPr>
      </w:pPr>
      <w:r w:rsidRPr="006431A4">
        <w:rPr>
          <w:rFonts w:cstheme="minorHAnsi"/>
          <w:sz w:val="24"/>
          <w:szCs w:val="24"/>
        </w:rPr>
        <w:lastRenderedPageBreak/>
        <w:t xml:space="preserve">The reason for the proposal of </w:t>
      </w:r>
      <w:r>
        <w:rPr>
          <w:rFonts w:cstheme="minorHAnsi"/>
          <w:sz w:val="24"/>
          <w:szCs w:val="24"/>
        </w:rPr>
        <w:t xml:space="preserve">the </w:t>
      </w:r>
      <w:r w:rsidRPr="006431A4">
        <w:rPr>
          <w:rFonts w:cstheme="minorHAnsi"/>
          <w:sz w:val="24"/>
          <w:szCs w:val="24"/>
        </w:rPr>
        <w:t xml:space="preserve">Bill of Rights is to address to effects of the HRA in </w:t>
      </w:r>
      <w:r>
        <w:rPr>
          <w:rFonts w:cstheme="minorHAnsi"/>
          <w:sz w:val="24"/>
          <w:szCs w:val="24"/>
        </w:rPr>
        <w:t xml:space="preserve">the </w:t>
      </w:r>
      <w:r w:rsidRPr="006431A4">
        <w:rPr>
          <w:rFonts w:cstheme="minorHAnsi"/>
          <w:sz w:val="24"/>
          <w:szCs w:val="24"/>
        </w:rPr>
        <w:t xml:space="preserve">UK. There are three main reasons: the Act is considered to compromise the sovereignty of Parliament, domestic laws and policies may be unduly </w:t>
      </w:r>
      <w:r>
        <w:rPr>
          <w:rFonts w:cstheme="minorHAnsi"/>
          <w:sz w:val="24"/>
          <w:szCs w:val="24"/>
        </w:rPr>
        <w:t>directed</w:t>
      </w:r>
      <w:r w:rsidRPr="006431A4">
        <w:rPr>
          <w:rFonts w:cstheme="minorHAnsi"/>
          <w:sz w:val="24"/>
          <w:szCs w:val="24"/>
        </w:rPr>
        <w:t xml:space="preserve"> by the ECtHR, and the outcomes of the HRA are antithetical to British values (Williams &amp; Williams, 2016, p. 471-472). </w:t>
      </w:r>
    </w:p>
    <w:p w14:paraId="675516CF" w14:textId="101110CB" w:rsidR="00BB2BB4" w:rsidRPr="006431A4" w:rsidRDefault="00BB2BB4" w:rsidP="00BB2BB4">
      <w:pPr>
        <w:spacing w:line="360" w:lineRule="auto"/>
        <w:rPr>
          <w:rFonts w:cstheme="minorHAnsi"/>
          <w:sz w:val="24"/>
          <w:szCs w:val="24"/>
        </w:rPr>
      </w:pPr>
      <w:r w:rsidRPr="006431A4">
        <w:rPr>
          <w:rFonts w:cstheme="minorHAnsi"/>
          <w:sz w:val="24"/>
          <w:szCs w:val="24"/>
        </w:rPr>
        <w:t xml:space="preserve">The first reason for repealing the HRA is based on the principle of the separation of powers in the UK. The separation of powers in the UK is based on the idea that there </w:t>
      </w:r>
      <w:r>
        <w:rPr>
          <w:rFonts w:cstheme="minorHAnsi"/>
          <w:sz w:val="24"/>
          <w:szCs w:val="24"/>
        </w:rPr>
        <w:t xml:space="preserve">are </w:t>
      </w:r>
      <w:r w:rsidRPr="006431A4">
        <w:rPr>
          <w:rFonts w:cstheme="minorHAnsi"/>
          <w:sz w:val="24"/>
          <w:szCs w:val="24"/>
        </w:rPr>
        <w:t>three branches: the legislative (Parliament), the executive (government) and the judiciary (the courts). The current government argue that due to the HRA</w:t>
      </w:r>
      <w:r>
        <w:rPr>
          <w:rFonts w:cstheme="minorHAnsi"/>
          <w:sz w:val="24"/>
          <w:szCs w:val="24"/>
        </w:rPr>
        <w:t>,</w:t>
      </w:r>
      <w:r w:rsidRPr="006431A4">
        <w:rPr>
          <w:rFonts w:cstheme="minorHAnsi"/>
          <w:sz w:val="24"/>
          <w:szCs w:val="24"/>
        </w:rPr>
        <w:t xml:space="preserve"> the judiciary </w:t>
      </w:r>
      <w:r>
        <w:rPr>
          <w:rFonts w:cstheme="minorHAnsi"/>
          <w:sz w:val="24"/>
          <w:szCs w:val="24"/>
        </w:rPr>
        <w:t>has</w:t>
      </w:r>
      <w:r w:rsidRPr="006431A4">
        <w:rPr>
          <w:rFonts w:cstheme="minorHAnsi"/>
          <w:sz w:val="24"/>
          <w:szCs w:val="24"/>
        </w:rPr>
        <w:t xml:space="preserve"> been conferred undue powers, namely section 4 of the HRA through which the courts can declare an Act of Parliament are “incompatible” with the ECHR. Parliament is sovereign and the sole lawmaker under the UK Constitution, however, it has been argued the judiciary </w:t>
      </w:r>
      <w:r>
        <w:rPr>
          <w:rFonts w:cstheme="minorHAnsi"/>
          <w:sz w:val="24"/>
          <w:szCs w:val="24"/>
        </w:rPr>
        <w:t>has</w:t>
      </w:r>
      <w:r w:rsidRPr="006431A4">
        <w:rPr>
          <w:rFonts w:cstheme="minorHAnsi"/>
          <w:sz w:val="24"/>
          <w:szCs w:val="24"/>
        </w:rPr>
        <w:t xml:space="preserve"> the power to read legislation as far as it is possible to do so in order for said legislation to be compatible with the ECHR (Williams &amp; Williams, 2016, p.471). </w:t>
      </w:r>
    </w:p>
    <w:p w14:paraId="4658EA3A" w14:textId="77777777" w:rsidR="00BB2BB4" w:rsidRPr="006431A4" w:rsidRDefault="00BB2BB4" w:rsidP="00BB2BB4">
      <w:pPr>
        <w:spacing w:line="360" w:lineRule="auto"/>
        <w:rPr>
          <w:rFonts w:cstheme="minorHAnsi"/>
          <w:sz w:val="24"/>
          <w:szCs w:val="24"/>
        </w:rPr>
      </w:pPr>
      <w:r w:rsidRPr="006431A4">
        <w:rPr>
          <w:rFonts w:cstheme="minorHAnsi"/>
          <w:sz w:val="24"/>
          <w:szCs w:val="24"/>
        </w:rPr>
        <w:t>The second reason for repealing the HRA is that the Strasbourg Court unduly directs domestic laws and policies through the means provided in the HRA (Williams &amp; Williams, 2016, p. 471). This has the name of “mission creep” through which the ECtHR rules on matters which were no</w:t>
      </w:r>
      <w:r>
        <w:rPr>
          <w:rFonts w:cstheme="minorHAnsi"/>
          <w:sz w:val="24"/>
          <w:szCs w:val="24"/>
        </w:rPr>
        <w:t>t</w:t>
      </w:r>
      <w:r w:rsidRPr="006431A4">
        <w:rPr>
          <w:rFonts w:cstheme="minorHAnsi"/>
          <w:sz w:val="24"/>
          <w:szCs w:val="24"/>
        </w:rPr>
        <w:t xml:space="preserve"> intended to be part of the ECHR (Greer &amp; Slowe, 2015, p. 373). The Strasbourg Court has reinterpreted the Convention rights into new areas, arguably beyond the original intentions of the Convention. Nevertheless, Williams and Williams (2016, p. 472) argue that this expansion of the Convention rights into new areas is a method to adapt the rights to the everchanging society as the society of today is not the same as it was in </w:t>
      </w:r>
      <w:r>
        <w:rPr>
          <w:rFonts w:cstheme="minorHAnsi"/>
          <w:sz w:val="24"/>
          <w:szCs w:val="24"/>
        </w:rPr>
        <w:t xml:space="preserve">the </w:t>
      </w:r>
      <w:r w:rsidRPr="006431A4">
        <w:rPr>
          <w:rFonts w:cstheme="minorHAnsi"/>
          <w:sz w:val="24"/>
          <w:szCs w:val="24"/>
        </w:rPr>
        <w:t>twentieth century.</w:t>
      </w:r>
    </w:p>
    <w:p w14:paraId="5C1E8F02" w14:textId="23F60A02" w:rsidR="00BB2BB4" w:rsidRPr="006431A4" w:rsidRDefault="00BB2BB4" w:rsidP="00BB2BB4">
      <w:pPr>
        <w:spacing w:line="360" w:lineRule="auto"/>
        <w:rPr>
          <w:rFonts w:cstheme="minorHAnsi"/>
          <w:sz w:val="24"/>
          <w:szCs w:val="24"/>
        </w:rPr>
      </w:pPr>
      <w:r w:rsidRPr="006431A4">
        <w:rPr>
          <w:rFonts w:cstheme="minorHAnsi"/>
          <w:sz w:val="24"/>
          <w:szCs w:val="24"/>
        </w:rPr>
        <w:t xml:space="preserve">Lastly, the HRA is considered to have “generated outcomes antithetical to British values and the policies of British governments” (Williams &amp; Williams, 2016, p. 472). The proportionality doctrine of the ECtHR resulted in UK courts </w:t>
      </w:r>
      <w:r>
        <w:rPr>
          <w:rFonts w:cstheme="minorHAnsi"/>
          <w:sz w:val="24"/>
          <w:szCs w:val="24"/>
        </w:rPr>
        <w:t>engaging</w:t>
      </w:r>
      <w:r w:rsidRPr="006431A4">
        <w:rPr>
          <w:rFonts w:cstheme="minorHAnsi"/>
          <w:sz w:val="24"/>
          <w:szCs w:val="24"/>
        </w:rPr>
        <w:t xml:space="preserve"> in political evaluation of different policies which was deemed inappropriate. This once again highlights the disproportionality of the separation of powers the HRA has brought, as the courts are engaging in areas reserved for the legislative or executive branches. </w:t>
      </w:r>
    </w:p>
    <w:p w14:paraId="1B6114B3" w14:textId="4AB2DABB" w:rsidR="00BB2BB4" w:rsidRPr="006431A4" w:rsidRDefault="00BB2BB4" w:rsidP="00BB2BB4">
      <w:pPr>
        <w:spacing w:line="360" w:lineRule="auto"/>
        <w:rPr>
          <w:rFonts w:cstheme="minorHAnsi"/>
          <w:sz w:val="24"/>
          <w:szCs w:val="24"/>
        </w:rPr>
      </w:pPr>
      <w:r w:rsidRPr="006431A4">
        <w:rPr>
          <w:rFonts w:cstheme="minorHAnsi"/>
          <w:sz w:val="24"/>
          <w:szCs w:val="24"/>
        </w:rPr>
        <w:lastRenderedPageBreak/>
        <w:t xml:space="preserve">Greer and Slowe (2015, p. 373) outline the changes the Bill will bring about. The main change is to prevent the UK courts from extending the meaning of legislation beyond common sense. Secondly, the ECtHR will be reduced to the status of an advisory body in the UK, and prevent it from changing British law, by removing its binding effect </w:t>
      </w:r>
      <w:r>
        <w:rPr>
          <w:rFonts w:cstheme="minorHAnsi"/>
          <w:sz w:val="24"/>
          <w:szCs w:val="24"/>
        </w:rPr>
        <w:t>on</w:t>
      </w:r>
      <w:r w:rsidRPr="006431A4">
        <w:rPr>
          <w:rFonts w:cstheme="minorHAnsi"/>
          <w:sz w:val="24"/>
          <w:szCs w:val="24"/>
        </w:rPr>
        <w:t xml:space="preserve"> the Supreme Court. Thirdly, ECtHR jurisprudence will not be considered, nor will it oblige UK courts to consider them. Lastly, Convention rights which are not sufficiently clear, such as “degrading treatment or punishment”, will be clarified. </w:t>
      </w:r>
    </w:p>
    <w:p w14:paraId="7663C9C0" w14:textId="0E070561" w:rsidR="00BB2BB4" w:rsidRPr="006431A4" w:rsidRDefault="00BB2BB4" w:rsidP="00BB2BB4">
      <w:pPr>
        <w:spacing w:line="360" w:lineRule="auto"/>
        <w:rPr>
          <w:rFonts w:cstheme="minorHAnsi"/>
          <w:sz w:val="24"/>
          <w:szCs w:val="24"/>
        </w:rPr>
      </w:pPr>
      <w:r w:rsidRPr="006431A4">
        <w:rPr>
          <w:rFonts w:cstheme="minorHAnsi"/>
          <w:sz w:val="24"/>
          <w:szCs w:val="24"/>
        </w:rPr>
        <w:t xml:space="preserve">Although the Bill of Rights has the effect of departing from the ECHR and its effects </w:t>
      </w:r>
      <w:r>
        <w:rPr>
          <w:rFonts w:cstheme="minorHAnsi"/>
          <w:sz w:val="24"/>
          <w:szCs w:val="24"/>
        </w:rPr>
        <w:t>on</w:t>
      </w:r>
      <w:r w:rsidRPr="006431A4">
        <w:rPr>
          <w:rFonts w:cstheme="minorHAnsi"/>
          <w:sz w:val="24"/>
          <w:szCs w:val="24"/>
        </w:rPr>
        <w:t xml:space="preserve"> the UK courts, the text of the Bill will follow that of the HRA and the ECHR (Greer &amp; Slowe, 2015, p. 373).</w:t>
      </w:r>
    </w:p>
    <w:p w14:paraId="6D3FC9D3" w14:textId="76C171F5" w:rsidR="00BB2BB4" w:rsidRPr="006431A4" w:rsidRDefault="00BB2BB4" w:rsidP="00BB2BB4">
      <w:pPr>
        <w:spacing w:line="360" w:lineRule="auto"/>
        <w:rPr>
          <w:rFonts w:cstheme="minorHAnsi"/>
          <w:sz w:val="24"/>
          <w:szCs w:val="24"/>
        </w:rPr>
      </w:pPr>
      <w:r w:rsidRPr="006431A4">
        <w:rPr>
          <w:rFonts w:cstheme="minorHAnsi"/>
          <w:sz w:val="24"/>
          <w:szCs w:val="24"/>
        </w:rPr>
        <w:t>The disadvantages of these changes are threefold: the process which the Bill of Rights will introduce in the domestic courts, the fact that human rights will be defined by the government, and the undermining of the rule of law (Greer &amp; Slowe, 2015, p. 383). Through the process</w:t>
      </w:r>
      <w:r>
        <w:rPr>
          <w:rFonts w:cstheme="minorHAnsi"/>
          <w:sz w:val="24"/>
          <w:szCs w:val="24"/>
        </w:rPr>
        <w:t>,</w:t>
      </w:r>
      <w:r w:rsidRPr="006431A4">
        <w:rPr>
          <w:rFonts w:cstheme="minorHAnsi"/>
          <w:sz w:val="24"/>
          <w:szCs w:val="24"/>
        </w:rPr>
        <w:t xml:space="preserve"> the Bill will set out </w:t>
      </w:r>
      <w:r>
        <w:rPr>
          <w:rFonts w:cstheme="minorHAnsi"/>
          <w:sz w:val="24"/>
          <w:szCs w:val="24"/>
        </w:rPr>
        <w:t xml:space="preserve">that </w:t>
      </w:r>
      <w:r w:rsidRPr="006431A4">
        <w:rPr>
          <w:rFonts w:cstheme="minorHAnsi"/>
          <w:sz w:val="24"/>
          <w:szCs w:val="24"/>
        </w:rPr>
        <w:t>the British courts will be subordinates to Parliament, which will limit the courts’ ability to call into question human rights. Secondly, although the Bill of Rights is to follow the wording of the ECHR/HRA, it does not guarantee that all human rights will be covered and rights can “simply [be] what the government of today wants them to be” (Greer &amp; Slowe, 2015, p. 383). Lastly, and most importantly, it will undermine the rule of law by bestowing too much power in Parliament and not allowing it to be held accountable or questioned.</w:t>
      </w:r>
    </w:p>
    <w:p w14:paraId="432EA641" w14:textId="0062FAE8" w:rsidR="00BB2BB4" w:rsidRPr="006431A4" w:rsidRDefault="00BB2BB4" w:rsidP="00BB2BB4">
      <w:pPr>
        <w:spacing w:line="360" w:lineRule="auto"/>
        <w:rPr>
          <w:rFonts w:cstheme="minorHAnsi"/>
          <w:sz w:val="24"/>
          <w:szCs w:val="24"/>
        </w:rPr>
      </w:pPr>
      <w:r w:rsidRPr="006431A4">
        <w:rPr>
          <w:rFonts w:cstheme="minorHAnsi"/>
          <w:sz w:val="24"/>
          <w:szCs w:val="24"/>
        </w:rPr>
        <w:t xml:space="preserve">However, the Bill of Rights can bring its advantages. Its scope can be altered to the needs of the UK and its society. Socioeconomic or quintessential rights to the UK can be the focus of the Bill, and it can identify and protect the core liberties and more than those covered by the ECHR (Dawson, 2020; Grieve, 2015, p. 231). Furthermore, Grieve (2016, p. 234) argues that it could offer better protection from </w:t>
      </w:r>
      <w:r>
        <w:rPr>
          <w:rFonts w:cstheme="minorHAnsi"/>
          <w:sz w:val="24"/>
          <w:szCs w:val="24"/>
        </w:rPr>
        <w:t>supra-national</w:t>
      </w:r>
      <w:r w:rsidRPr="006431A4">
        <w:rPr>
          <w:rFonts w:cstheme="minorHAnsi"/>
          <w:sz w:val="24"/>
          <w:szCs w:val="24"/>
        </w:rPr>
        <w:t xml:space="preserve"> legal challenges.</w:t>
      </w:r>
    </w:p>
    <w:p w14:paraId="6FACD62A" w14:textId="6F1C815E" w:rsidR="00BB2BB4" w:rsidRPr="006431A4" w:rsidRDefault="00BB2BB4" w:rsidP="00BB2BB4">
      <w:pPr>
        <w:spacing w:line="360" w:lineRule="auto"/>
        <w:rPr>
          <w:rFonts w:cstheme="minorHAnsi"/>
          <w:sz w:val="24"/>
          <w:szCs w:val="24"/>
        </w:rPr>
      </w:pPr>
      <w:r w:rsidRPr="006431A4">
        <w:rPr>
          <w:rFonts w:cstheme="minorHAnsi"/>
          <w:sz w:val="24"/>
          <w:szCs w:val="24"/>
        </w:rPr>
        <w:t xml:space="preserve">The repeal of the HRA and changing the framework of human rights under the Convention is not the first of the UK’s acts to distance itself from human rights recognised across Europe. The UK has been a state of the EU since 1973 when the European Communities Act 1972 came into force. As a member state of the EU, the UK </w:t>
      </w:r>
      <w:r>
        <w:rPr>
          <w:rFonts w:cstheme="minorHAnsi"/>
          <w:sz w:val="24"/>
          <w:szCs w:val="24"/>
        </w:rPr>
        <w:t>is</w:t>
      </w:r>
      <w:r w:rsidRPr="006431A4">
        <w:rPr>
          <w:rFonts w:cstheme="minorHAnsi"/>
          <w:sz w:val="24"/>
          <w:szCs w:val="24"/>
        </w:rPr>
        <w:t xml:space="preserve"> obliged to adopt the Charter of Fundamental Rights (hereinafter referred to as ‘CFR’). Nevertheless, section 5(4) of the </w:t>
      </w:r>
      <w:r w:rsidRPr="006431A4">
        <w:rPr>
          <w:rFonts w:cstheme="minorHAnsi"/>
          <w:sz w:val="24"/>
          <w:szCs w:val="24"/>
        </w:rPr>
        <w:lastRenderedPageBreak/>
        <w:t xml:space="preserve">European Union (Withdrawal) Act 2018 states that the CFR will not be part of the retained EU law, thus removing the protection of fundamental rights under the CFR in </w:t>
      </w:r>
      <w:r>
        <w:rPr>
          <w:rFonts w:cstheme="minorHAnsi"/>
          <w:sz w:val="24"/>
          <w:szCs w:val="24"/>
        </w:rPr>
        <w:t xml:space="preserve">the </w:t>
      </w:r>
      <w:r w:rsidRPr="006431A4">
        <w:rPr>
          <w:rFonts w:cstheme="minorHAnsi"/>
          <w:sz w:val="24"/>
          <w:szCs w:val="24"/>
        </w:rPr>
        <w:t xml:space="preserve">UK. It is clear from this that the current government is adamant </w:t>
      </w:r>
      <w:r>
        <w:rPr>
          <w:rFonts w:cstheme="minorHAnsi"/>
          <w:sz w:val="24"/>
          <w:szCs w:val="24"/>
        </w:rPr>
        <w:t>about</w:t>
      </w:r>
      <w:r w:rsidRPr="006431A4">
        <w:rPr>
          <w:rFonts w:cstheme="minorHAnsi"/>
          <w:sz w:val="24"/>
          <w:szCs w:val="24"/>
        </w:rPr>
        <w:t xml:space="preserve"> creating a British Bill of Rights tailored to the UK society and its needs. </w:t>
      </w:r>
    </w:p>
    <w:p w14:paraId="54A0FF32" w14:textId="77777777" w:rsidR="00BB2BB4" w:rsidRDefault="00BB2BB4" w:rsidP="00BB2BB4">
      <w:pPr>
        <w:spacing w:line="360" w:lineRule="auto"/>
        <w:rPr>
          <w:rFonts w:cstheme="minorHAnsi"/>
          <w:sz w:val="24"/>
          <w:szCs w:val="24"/>
        </w:rPr>
      </w:pPr>
      <w:r w:rsidRPr="006431A4">
        <w:rPr>
          <w:rFonts w:cstheme="minorHAnsi"/>
          <w:sz w:val="24"/>
          <w:szCs w:val="24"/>
        </w:rPr>
        <w:t>Overall, the main objective of the Bill of Rights is to stop ‘mission creep’ and ensure the legislative body departs from the Strasbourg court’s influence. The rule of law and parliamentary democracy acting in the interest of a constitutional monarchy has upheld the country through extreme change. Nevertheless, Grieve (2016, p. 234) critiques that this is “very different than playing fast and loose with international legal obligations”. The repeal of the HRA is set to reframe the entire framework of the domestic UK courts and our human rights protection.</w:t>
      </w:r>
    </w:p>
    <w:p w14:paraId="3F6AF768" w14:textId="77777777" w:rsidR="00BB2BB4" w:rsidRDefault="00BB2BB4" w:rsidP="00BB2BB4">
      <w:pPr>
        <w:spacing w:line="360" w:lineRule="auto"/>
        <w:rPr>
          <w:rFonts w:cstheme="minorHAnsi"/>
          <w:sz w:val="24"/>
          <w:szCs w:val="24"/>
        </w:rPr>
      </w:pPr>
    </w:p>
    <w:p w14:paraId="05A22D3F" w14:textId="77777777" w:rsidR="00BB2BB4" w:rsidRDefault="00BB2BB4" w:rsidP="00BB2BB4">
      <w:pPr>
        <w:rPr>
          <w:rFonts w:cstheme="minorHAnsi"/>
          <w:sz w:val="24"/>
          <w:szCs w:val="24"/>
        </w:rPr>
      </w:pPr>
      <w:r>
        <w:rPr>
          <w:rFonts w:cstheme="minorHAnsi"/>
          <w:sz w:val="24"/>
          <w:szCs w:val="24"/>
        </w:rPr>
        <w:br w:type="page"/>
      </w:r>
    </w:p>
    <w:p w14:paraId="39AE82E8" w14:textId="77777777" w:rsidR="00BB2BB4" w:rsidRDefault="00BB2BB4" w:rsidP="00BB2BB4">
      <w:pPr>
        <w:spacing w:line="360" w:lineRule="auto"/>
        <w:rPr>
          <w:rFonts w:cstheme="minorHAnsi"/>
          <w:b/>
          <w:bCs/>
          <w:sz w:val="28"/>
          <w:szCs w:val="28"/>
          <w:u w:val="single"/>
        </w:rPr>
      </w:pPr>
      <w:r w:rsidRPr="00706DDA">
        <w:rPr>
          <w:rFonts w:cstheme="minorHAnsi"/>
          <w:b/>
          <w:bCs/>
          <w:sz w:val="28"/>
          <w:szCs w:val="28"/>
          <w:u w:val="single"/>
        </w:rPr>
        <w:lastRenderedPageBreak/>
        <w:t xml:space="preserve">Bibliography </w:t>
      </w:r>
    </w:p>
    <w:p w14:paraId="76E0E0E2" w14:textId="77777777" w:rsidR="00BB2BB4" w:rsidRPr="001769C7" w:rsidRDefault="00BB2BB4" w:rsidP="00BB2BB4">
      <w:pPr>
        <w:spacing w:line="360" w:lineRule="auto"/>
        <w:rPr>
          <w:rFonts w:cstheme="minorHAnsi"/>
          <w:sz w:val="24"/>
          <w:szCs w:val="24"/>
          <w:u w:val="single"/>
        </w:rPr>
      </w:pPr>
      <w:r w:rsidRPr="001769C7">
        <w:rPr>
          <w:rFonts w:cstheme="minorHAnsi"/>
          <w:sz w:val="24"/>
          <w:szCs w:val="24"/>
          <w:u w:val="single"/>
        </w:rPr>
        <w:t xml:space="preserve">Primary sources </w:t>
      </w:r>
    </w:p>
    <w:p w14:paraId="2C203FCE" w14:textId="77777777" w:rsidR="00BB2BB4" w:rsidRDefault="00BB2BB4" w:rsidP="00BB2BB4">
      <w:pPr>
        <w:spacing w:line="360" w:lineRule="auto"/>
        <w:rPr>
          <w:rFonts w:cstheme="minorHAnsi"/>
          <w:sz w:val="24"/>
          <w:szCs w:val="24"/>
        </w:rPr>
      </w:pPr>
      <w:r>
        <w:rPr>
          <w:rFonts w:cstheme="minorHAnsi"/>
          <w:sz w:val="24"/>
          <w:szCs w:val="24"/>
        </w:rPr>
        <w:t xml:space="preserve">Bill of Rights Bill 2022 </w:t>
      </w:r>
    </w:p>
    <w:p w14:paraId="6C3C857E" w14:textId="77777777" w:rsidR="00BB2BB4" w:rsidRDefault="00BB2BB4" w:rsidP="00BB2BB4">
      <w:pPr>
        <w:spacing w:line="360" w:lineRule="auto"/>
        <w:rPr>
          <w:rFonts w:cstheme="minorHAnsi"/>
          <w:sz w:val="24"/>
          <w:szCs w:val="24"/>
        </w:rPr>
      </w:pPr>
      <w:r>
        <w:rPr>
          <w:rFonts w:cstheme="minorHAnsi"/>
          <w:sz w:val="24"/>
          <w:szCs w:val="24"/>
        </w:rPr>
        <w:t>Charter of Fundamental Rights</w:t>
      </w:r>
    </w:p>
    <w:p w14:paraId="68DA33CC" w14:textId="77777777" w:rsidR="00BB2BB4" w:rsidRDefault="00BB2BB4" w:rsidP="00BB2BB4">
      <w:pPr>
        <w:spacing w:line="360" w:lineRule="auto"/>
        <w:rPr>
          <w:rFonts w:cstheme="minorHAnsi"/>
          <w:sz w:val="24"/>
          <w:szCs w:val="24"/>
        </w:rPr>
      </w:pPr>
      <w:r>
        <w:rPr>
          <w:rFonts w:cstheme="minorHAnsi"/>
          <w:sz w:val="24"/>
          <w:szCs w:val="24"/>
        </w:rPr>
        <w:t xml:space="preserve">European Communities Act 1972 </w:t>
      </w:r>
    </w:p>
    <w:p w14:paraId="16021139" w14:textId="77777777" w:rsidR="00BB2BB4" w:rsidRDefault="00BB2BB4" w:rsidP="00BB2BB4">
      <w:pPr>
        <w:spacing w:line="360" w:lineRule="auto"/>
        <w:rPr>
          <w:rFonts w:cstheme="minorHAnsi"/>
          <w:sz w:val="24"/>
          <w:szCs w:val="24"/>
        </w:rPr>
      </w:pPr>
      <w:r>
        <w:rPr>
          <w:rFonts w:cstheme="minorHAnsi"/>
          <w:sz w:val="24"/>
          <w:szCs w:val="24"/>
        </w:rPr>
        <w:t xml:space="preserve">European Convention on Human Rights 1950 </w:t>
      </w:r>
    </w:p>
    <w:p w14:paraId="685B71B3" w14:textId="77777777" w:rsidR="00BB2BB4" w:rsidRDefault="00BB2BB4" w:rsidP="00BB2BB4">
      <w:pPr>
        <w:spacing w:line="360" w:lineRule="auto"/>
        <w:rPr>
          <w:rFonts w:cstheme="minorHAnsi"/>
          <w:sz w:val="24"/>
          <w:szCs w:val="24"/>
        </w:rPr>
      </w:pPr>
      <w:r>
        <w:rPr>
          <w:rFonts w:cstheme="minorHAnsi"/>
          <w:sz w:val="24"/>
          <w:szCs w:val="24"/>
        </w:rPr>
        <w:t xml:space="preserve">European Union (Withdrawal) Act 2018 </w:t>
      </w:r>
    </w:p>
    <w:p w14:paraId="1725D07F" w14:textId="77777777" w:rsidR="00BB2BB4" w:rsidRDefault="00BB2BB4" w:rsidP="00BB2BB4">
      <w:pPr>
        <w:spacing w:line="360" w:lineRule="auto"/>
        <w:rPr>
          <w:rFonts w:cstheme="minorHAnsi"/>
          <w:sz w:val="24"/>
          <w:szCs w:val="24"/>
        </w:rPr>
      </w:pPr>
      <w:r>
        <w:rPr>
          <w:rFonts w:cstheme="minorHAnsi"/>
          <w:sz w:val="24"/>
          <w:szCs w:val="24"/>
        </w:rPr>
        <w:t xml:space="preserve">Human Rights Act 1998 </w:t>
      </w:r>
    </w:p>
    <w:p w14:paraId="20BC6444" w14:textId="77777777" w:rsidR="00BB2BB4" w:rsidRPr="008170B1" w:rsidRDefault="00BB2BB4" w:rsidP="00BB2BB4">
      <w:pPr>
        <w:spacing w:line="360" w:lineRule="auto"/>
        <w:rPr>
          <w:rFonts w:cstheme="minorHAnsi"/>
          <w:sz w:val="24"/>
          <w:szCs w:val="24"/>
          <w:u w:val="single"/>
        </w:rPr>
      </w:pPr>
      <w:r w:rsidRPr="008170B1">
        <w:rPr>
          <w:rFonts w:cstheme="minorHAnsi"/>
          <w:sz w:val="24"/>
          <w:szCs w:val="24"/>
          <w:u w:val="single"/>
        </w:rPr>
        <w:t>Secondary sources</w:t>
      </w:r>
    </w:p>
    <w:p w14:paraId="765F4D28" w14:textId="77777777" w:rsidR="00BB2BB4" w:rsidRDefault="00BB2BB4" w:rsidP="00BB2BB4">
      <w:pPr>
        <w:pStyle w:val="NormalWeb"/>
        <w:spacing w:before="0" w:beforeAutospacing="0" w:after="240" w:afterAutospacing="0" w:line="360" w:lineRule="auto"/>
      </w:pPr>
      <w:r>
        <w:t xml:space="preserve">Blair, S. (2017). ‘Brexit’ in the Supreme Court (Part 2). </w:t>
      </w:r>
      <w:r>
        <w:rPr>
          <w:i/>
          <w:iCs/>
        </w:rPr>
        <w:t>Scottish Human Rights Journal</w:t>
      </w:r>
      <w:r>
        <w:t>, 77, pp.2–3.</w:t>
      </w:r>
    </w:p>
    <w:p w14:paraId="411FEA2C" w14:textId="77777777" w:rsidR="00BB2BB4" w:rsidRDefault="00BB2BB4" w:rsidP="00BB2BB4">
      <w:pPr>
        <w:pStyle w:val="NormalWeb"/>
        <w:spacing w:before="0" w:beforeAutospacing="0" w:after="240" w:afterAutospacing="0" w:line="360" w:lineRule="auto"/>
      </w:pPr>
      <w:r>
        <w:t xml:space="preserve">Dawson, J. (2021). Reform of the Human Rights Act 1998. </w:t>
      </w:r>
      <w:r>
        <w:rPr>
          <w:i/>
          <w:iCs/>
        </w:rPr>
        <w:t>House of Commons Library</w:t>
      </w:r>
      <w:r>
        <w:t>. Available at: https://commonslibrary.parliament.uk/research-briefings/cbp-9406/ [Accessed 2 Mar. 2023].</w:t>
      </w:r>
    </w:p>
    <w:p w14:paraId="00677088" w14:textId="77777777" w:rsidR="00BB2BB4" w:rsidRDefault="00BB2BB4" w:rsidP="00BB2BB4">
      <w:pPr>
        <w:pStyle w:val="NormalWeb"/>
        <w:spacing w:before="0" w:beforeAutospacing="0" w:after="240" w:afterAutospacing="0" w:line="360" w:lineRule="auto"/>
      </w:pPr>
      <w:r>
        <w:t xml:space="preserve">Dawson, J. (2022). </w:t>
      </w:r>
      <w:r>
        <w:rPr>
          <w:i/>
          <w:iCs/>
        </w:rPr>
        <w:t>Human Rights Act reform</w:t>
      </w:r>
      <w:r>
        <w:t>. [online] House of Commons Library. Available at: https://commonslibrary.parliament.uk/research-briefings/cbp-9581/#:~:text=The%20Government%20has%20published%20a,Commons%20on%2022%20June%202022 [Accessed 1 Mar. 2023].</w:t>
      </w:r>
    </w:p>
    <w:p w14:paraId="1B54BD04" w14:textId="77777777" w:rsidR="00BB2BB4" w:rsidRDefault="00BB2BB4" w:rsidP="00BB2BB4">
      <w:pPr>
        <w:pStyle w:val="NormalWeb"/>
        <w:spacing w:before="0" w:beforeAutospacing="0" w:after="240" w:afterAutospacing="0" w:line="360" w:lineRule="auto"/>
      </w:pPr>
      <w:r>
        <w:t xml:space="preserve">Greer, S. and Slowe, R. (2015). The Conservatives’ proposals for a British Bill of Rights: mired in muddle, misconception and misrepresentation? </w:t>
      </w:r>
      <w:r>
        <w:rPr>
          <w:i/>
          <w:iCs/>
        </w:rPr>
        <w:t>European Human Rights Law Review</w:t>
      </w:r>
      <w:r>
        <w:t>, 4, pp.372–383.</w:t>
      </w:r>
    </w:p>
    <w:p w14:paraId="1CE4115B" w14:textId="77777777" w:rsidR="00BB2BB4" w:rsidRDefault="00BB2BB4" w:rsidP="00BB2BB4">
      <w:pPr>
        <w:pStyle w:val="NormalWeb"/>
        <w:spacing w:before="0" w:beforeAutospacing="0" w:after="240" w:afterAutospacing="0" w:line="360" w:lineRule="auto"/>
      </w:pPr>
      <w:r>
        <w:t xml:space="preserve">Grieve, D. (2016). Can a Bill of Rights do better than the Human Rights Act? </w:t>
      </w:r>
      <w:r>
        <w:rPr>
          <w:i/>
          <w:iCs/>
        </w:rPr>
        <w:t>Public Law</w:t>
      </w:r>
      <w:r>
        <w:t>, Apr, pp.223–234.</w:t>
      </w:r>
    </w:p>
    <w:p w14:paraId="747A9C2F" w14:textId="77777777" w:rsidR="00BB2BB4" w:rsidRDefault="00BB2BB4" w:rsidP="00BB2BB4">
      <w:pPr>
        <w:pStyle w:val="NormalWeb"/>
        <w:spacing w:before="0" w:beforeAutospacing="0" w:after="240" w:afterAutospacing="0" w:line="360" w:lineRule="auto"/>
      </w:pPr>
      <w:r>
        <w:t xml:space="preserve">Segan, J. (2018). </w:t>
      </w:r>
      <w:r>
        <w:rPr>
          <w:i/>
          <w:iCs/>
        </w:rPr>
        <w:t>The European Union (Withdrawal) Act 2018: Ten Key Implications for UK Law and Lawyers</w:t>
      </w:r>
      <w:r>
        <w:t xml:space="preserve">. [online] Blackstone Chambers. Available at: </w:t>
      </w:r>
      <w:r>
        <w:lastRenderedPageBreak/>
        <w:t>https://www.blackstonechambers.com/news/european-union-withdrawal-act-2018-ten-key-implications-uk-law-and-lawyers/ [Accessed 28 Feb. 2023].</w:t>
      </w:r>
    </w:p>
    <w:p w14:paraId="1EC6A5E5" w14:textId="77777777" w:rsidR="00BB2BB4" w:rsidRDefault="00BB2BB4" w:rsidP="00BB2BB4">
      <w:pPr>
        <w:pStyle w:val="NormalWeb"/>
        <w:spacing w:before="0" w:beforeAutospacing="0" w:after="240" w:afterAutospacing="0" w:line="360" w:lineRule="auto"/>
      </w:pPr>
      <w:r>
        <w:t xml:space="preserve">Williams, A. and Williams, G. (2016). The British Bill of Rights debate: lessons from Australia. </w:t>
      </w:r>
      <w:r>
        <w:rPr>
          <w:i/>
          <w:iCs/>
        </w:rPr>
        <w:t>Public Law</w:t>
      </w:r>
      <w:r>
        <w:t>, Jul, pp.471–490.</w:t>
      </w:r>
    </w:p>
    <w:p w14:paraId="379AEE52" w14:textId="77777777" w:rsidR="00B0781B" w:rsidRDefault="00B0781B"/>
    <w:sectPr w:rsidR="00B078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B0F"/>
    <w:rsid w:val="00B0781B"/>
    <w:rsid w:val="00B44B0F"/>
    <w:rsid w:val="00BB2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DB5FA"/>
  <w15:chartTrackingRefBased/>
  <w15:docId w15:val="{190A1352-D050-43C6-B3F6-572E23CDA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B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2B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1697</Words>
  <Characters>8690</Characters>
  <Application>Microsoft Office Word</Application>
  <DocSecurity>0</DocSecurity>
  <Lines>144</Lines>
  <Paragraphs>44</Paragraphs>
  <ScaleCrop>false</ScaleCrop>
  <Company/>
  <LinksUpToDate>false</LinksUpToDate>
  <CharactersWithSpaces>10343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Pantiru (2213443)</dc:creator>
  <cp:keywords/>
  <dc:description/>
  <cp:lastModifiedBy>Ionut Pantiru (2213443)</cp:lastModifiedBy>
  <cp:revision>2</cp:revision>
  <dcterms:created xsi:type="dcterms:W3CDTF">2023-03-10T17:35:00Z</dcterms:created>
  <dcterms:modified xsi:type="dcterms:W3CDTF">2023-03-10T17:38:00Z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641796c7d426147bcdef15f286b6a0226490f7e71746569bf136a5ad0f24313c</vt:lpwstr>
  </property>
</Properties>
</file>