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14143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66BF2AB" w14:textId="77777777" w:rsidR="000D7CCF" w:rsidRDefault="000D7CCF" w:rsidP="5B843AF0">
      <w:pPr>
        <w:ind w:right="237"/>
        <w:jc w:val="both"/>
        <w:rPr>
          <w:rFonts w:eastAsia="Arial"/>
          <w:b/>
          <w:bCs/>
          <w:color w:val="000000" w:themeColor="text1"/>
          <w:sz w:val="24"/>
          <w:szCs w:val="24"/>
        </w:rPr>
      </w:pPr>
    </w:p>
    <w:p w14:paraId="71B8B99C" w14:textId="77777777" w:rsidR="00141430" w:rsidRDefault="00141430" w:rsidP="00141430">
      <w:pPr>
        <w:rPr>
          <w:rFonts w:asciiTheme="minorHAnsi" w:hAnsiTheme="minorHAnsi" w:cstheme="minorHAnsi"/>
          <w:b/>
          <w:bCs/>
          <w:sz w:val="32"/>
          <w:szCs w:val="32"/>
        </w:rPr>
      </w:pPr>
      <w:r w:rsidRPr="00141430">
        <w:rPr>
          <w:rFonts w:asciiTheme="minorHAnsi" w:hAnsiTheme="minorHAnsi" w:cstheme="minorHAnsi"/>
          <w:b/>
          <w:bCs/>
          <w:sz w:val="32"/>
          <w:szCs w:val="32"/>
        </w:rPr>
        <w:t>UNFINISHED – SOURCES REQUIRED + TIDYING UP</w:t>
      </w:r>
    </w:p>
    <w:p w14:paraId="7D44C337" w14:textId="77777777" w:rsidR="00141430" w:rsidRPr="00141430" w:rsidRDefault="00141430" w:rsidP="00141430">
      <w:pPr>
        <w:rPr>
          <w:rFonts w:asciiTheme="minorHAnsi" w:hAnsiTheme="minorHAnsi" w:cstheme="minorHAnsi"/>
          <w:b/>
          <w:bCs/>
          <w:sz w:val="32"/>
          <w:szCs w:val="32"/>
        </w:rPr>
      </w:pPr>
    </w:p>
    <w:p w14:paraId="56B59978" w14:textId="77777777" w:rsidR="00141430" w:rsidRDefault="00141430" w:rsidP="00141430">
      <w:pPr>
        <w:rPr>
          <w:rFonts w:asciiTheme="minorHAnsi" w:hAnsiTheme="minorHAnsi" w:cstheme="minorHAnsi"/>
        </w:rPr>
      </w:pPr>
      <w:r w:rsidRPr="00141430">
        <w:rPr>
          <w:rFonts w:asciiTheme="minorHAnsi" w:hAnsiTheme="minorHAnsi" w:cstheme="minorHAnsi"/>
        </w:rPr>
        <w:t xml:space="preserve">A community is best defined as a group of people living in the same place or a group of people that share a common characteristic or nationality (Cambridge Dictionary, 2024). This is most easily identified in racial groups or religious groups. Despite living in a modernised society where multi-cultural communities are now the norm, there are still the select few who continue to demonstrate racist tendencies, such as committing hate crimes again those from an ethnic minority. A hate crime, as defined by the Metropolitan Police is any act of criminality that is perceived by the victim as prejudice or fuelled by hate, in relation to their disability, race, religion or sexual orientation (Metropolitan Police, 2024). Section 29 of the Crime and Disorder Act 1998 states that a crime such as an assault, becomes aggravated by a racial element. Due to this type of behaviour that ethnic minorities are subjected to, this may make them vulnerable. Vulnerability is defined as any person, who </w:t>
      </w:r>
      <w:proofErr w:type="gramStart"/>
      <w:r w:rsidRPr="00141430">
        <w:rPr>
          <w:rFonts w:asciiTheme="minorHAnsi" w:hAnsiTheme="minorHAnsi" w:cstheme="minorHAnsi"/>
        </w:rPr>
        <w:t>as a result of</w:t>
      </w:r>
      <w:proofErr w:type="gramEnd"/>
      <w:r w:rsidRPr="00141430">
        <w:rPr>
          <w:rFonts w:asciiTheme="minorHAnsi" w:hAnsiTheme="minorHAnsi" w:cstheme="minorHAnsi"/>
        </w:rPr>
        <w:t xml:space="preserve"> their circumstances, is unable to protect themselves from, criminality, harm or from being exploited (College of Policing, 2021). </w:t>
      </w:r>
    </w:p>
    <w:p w14:paraId="349781F6" w14:textId="77777777" w:rsidR="00141430" w:rsidRPr="00141430" w:rsidRDefault="00141430" w:rsidP="00141430">
      <w:pPr>
        <w:rPr>
          <w:rFonts w:asciiTheme="minorHAnsi" w:hAnsiTheme="minorHAnsi" w:cstheme="minorHAnsi"/>
        </w:rPr>
      </w:pPr>
    </w:p>
    <w:p w14:paraId="0FCD7DEB" w14:textId="77777777" w:rsidR="00141430" w:rsidRDefault="00141430" w:rsidP="00141430">
      <w:pPr>
        <w:rPr>
          <w:rFonts w:asciiTheme="minorHAnsi" w:hAnsiTheme="minorHAnsi" w:cstheme="minorHAnsi"/>
        </w:rPr>
      </w:pPr>
      <w:r w:rsidRPr="00141430">
        <w:rPr>
          <w:rFonts w:asciiTheme="minorHAnsi" w:hAnsiTheme="minorHAnsi" w:cstheme="minorHAnsi"/>
        </w:rPr>
        <w:t xml:space="preserve">Racism in society, both </w:t>
      </w:r>
      <w:proofErr w:type="gramStart"/>
      <w:r w:rsidRPr="00141430">
        <w:rPr>
          <w:rFonts w:asciiTheme="minorHAnsi" w:hAnsiTheme="minorHAnsi" w:cstheme="minorHAnsi"/>
        </w:rPr>
        <w:t>community</w:t>
      </w:r>
      <w:proofErr w:type="gramEnd"/>
      <w:r w:rsidRPr="00141430">
        <w:rPr>
          <w:rFonts w:asciiTheme="minorHAnsi" w:hAnsiTheme="minorHAnsi" w:cstheme="minorHAnsi"/>
        </w:rPr>
        <w:t xml:space="preserve"> based and institutional, remains a staple issue. Police are especially scrutinised for the way investigations are handled. On top of this, the added pressure of mental health offenders a factor that the police need to bear in mind when dealing with such incidents. </w:t>
      </w:r>
    </w:p>
    <w:p w14:paraId="3F3DC0EC" w14:textId="77777777" w:rsidR="00141430" w:rsidRPr="00141430" w:rsidRDefault="00141430" w:rsidP="00141430">
      <w:pPr>
        <w:rPr>
          <w:rFonts w:asciiTheme="minorHAnsi" w:hAnsiTheme="minorHAnsi" w:cstheme="minorHAnsi"/>
        </w:rPr>
      </w:pPr>
    </w:p>
    <w:p w14:paraId="5964545F" w14:textId="77777777" w:rsidR="00141430" w:rsidRDefault="00141430" w:rsidP="00141430">
      <w:pPr>
        <w:rPr>
          <w:rFonts w:asciiTheme="minorHAnsi" w:hAnsiTheme="minorHAnsi" w:cstheme="minorHAnsi"/>
        </w:rPr>
      </w:pPr>
      <w:r w:rsidRPr="00141430">
        <w:rPr>
          <w:rFonts w:asciiTheme="minorHAnsi" w:hAnsiTheme="minorHAnsi" w:cstheme="minorHAnsi"/>
        </w:rPr>
        <w:t xml:space="preserve">In my local area, there is a facility that homes those of an extremely vulnerable nature – those who are not deemed to have the capacity to cope with the outside world and require around the clock support from staff. Working closely with staff, combined with the cognitive inability to comprehend actions can create a particularly hostile environment. This facility is often the source of ‘slow time’ call demand, meaning the threat, risk and harm is often low enough for appointments to be made for police attendance. The facility’s work force is also diverse with applicants from multiple cultural backgrounds employed there. I have recently attended a call, categorised as a hate crime, whereby the subject has been shouting extremely derogatory racial abuse at one of the staff members. Whilst staff have attempted to restrain the subject, she has also </w:t>
      </w:r>
      <w:r w:rsidRPr="00141430">
        <w:rPr>
          <w:rFonts w:asciiTheme="minorHAnsi" w:hAnsiTheme="minorHAnsi" w:cstheme="minorHAnsi"/>
        </w:rPr>
        <w:lastRenderedPageBreak/>
        <w:t xml:space="preserve">lashed out and assaulted him. Unfortunately, the details of this call are not unfamiliar as this type of crime regularly occurs at this facility. The staff have seemingly become accustomed to the abuse they receive from the patients, and only tend to contact police after being advised to by their employer. I have conducted a risk assessment on the police occurrence recording system to determine the severity, as per policy. This risk assessment helps me determine the level of support that is required for the victim, </w:t>
      </w:r>
      <w:proofErr w:type="gramStart"/>
      <w:r w:rsidRPr="00141430">
        <w:rPr>
          <w:rFonts w:asciiTheme="minorHAnsi" w:hAnsiTheme="minorHAnsi" w:cstheme="minorHAnsi"/>
        </w:rPr>
        <w:t>in order to</w:t>
      </w:r>
      <w:proofErr w:type="gramEnd"/>
      <w:r w:rsidRPr="00141430">
        <w:rPr>
          <w:rFonts w:asciiTheme="minorHAnsi" w:hAnsiTheme="minorHAnsi" w:cstheme="minorHAnsi"/>
        </w:rPr>
        <w:t xml:space="preserve"> handle this investigation effectively and efficiently. </w:t>
      </w:r>
      <w:proofErr w:type="gramStart"/>
      <w:r w:rsidRPr="00141430">
        <w:rPr>
          <w:rFonts w:asciiTheme="minorHAnsi" w:hAnsiTheme="minorHAnsi" w:cstheme="minorHAnsi"/>
        </w:rPr>
        <w:t>That being said, on</w:t>
      </w:r>
      <w:proofErr w:type="gramEnd"/>
      <w:r w:rsidRPr="00141430">
        <w:rPr>
          <w:rFonts w:asciiTheme="minorHAnsi" w:hAnsiTheme="minorHAnsi" w:cstheme="minorHAnsi"/>
        </w:rPr>
        <w:t xml:space="preserve"> this occasion and like many other occasions, the staff member did not want to provide a statement of complaint to the police. On speaking with the victim, it was easy to identify the lack of faith he had in the progression of the investigation. He would follow his answers with a nonchalant comment, as if his answers did not matter. I had to ensure that I was clear and concise in my communication due to the language barrier, and by doing so, I have explained the options available to him in a way that he could understand. I also explained that new Gwent policy dictates that even without a complaint to support the investigation, I am able to continue to progress by means of </w:t>
      </w:r>
      <w:proofErr w:type="gramStart"/>
      <w:r w:rsidRPr="00141430">
        <w:rPr>
          <w:rFonts w:asciiTheme="minorHAnsi" w:hAnsiTheme="minorHAnsi" w:cstheme="minorHAnsi"/>
        </w:rPr>
        <w:t>an evidence</w:t>
      </w:r>
      <w:proofErr w:type="gramEnd"/>
      <w:r w:rsidRPr="00141430">
        <w:rPr>
          <w:rFonts w:asciiTheme="minorHAnsi" w:hAnsiTheme="minorHAnsi" w:cstheme="minorHAnsi"/>
        </w:rPr>
        <w:t xml:space="preserve"> led investigation – A fantastic policy brought in by Gwent police.</w:t>
      </w:r>
    </w:p>
    <w:p w14:paraId="1FA28FE2" w14:textId="77777777" w:rsidR="00141430" w:rsidRPr="00141430" w:rsidRDefault="00141430" w:rsidP="00141430">
      <w:pPr>
        <w:rPr>
          <w:rFonts w:asciiTheme="minorHAnsi" w:hAnsiTheme="minorHAnsi" w:cstheme="minorHAnsi"/>
        </w:rPr>
      </w:pPr>
    </w:p>
    <w:p w14:paraId="79059C98" w14:textId="77777777" w:rsidR="00141430" w:rsidRDefault="00141430" w:rsidP="00141430">
      <w:pPr>
        <w:rPr>
          <w:rFonts w:asciiTheme="minorHAnsi" w:hAnsiTheme="minorHAnsi" w:cstheme="minorHAnsi"/>
        </w:rPr>
      </w:pPr>
      <w:r w:rsidRPr="00141430">
        <w:rPr>
          <w:rFonts w:asciiTheme="minorHAnsi" w:hAnsiTheme="minorHAnsi" w:cstheme="minorHAnsi"/>
        </w:rPr>
        <w:t>In 2022, College of Policing alongside the National Police Chief’s Council (NPCC) have developed a plan to improve outcomes for people of an ethnic minority, when the investigation is being handled by Police. The plan aims to accelerate trust and confidence in the police from the black community, by ensuring that investigations are taken seriously as well as implementing the possibility for police to progress an investigation, without the support most often needed to do so (College of Policing, 2022). This is important because it creates a sense of urgency and significance, a demonstration to the public that hate crime is not tolerable. There are multiple studies that support the hypothesis of a somewhat cracked relationship between the police and black minority ethnicity communities (BME), and how there remain significant improvements to be made to rebuild this relationship (</w:t>
      </w:r>
      <w:proofErr w:type="spellStart"/>
      <w:r w:rsidRPr="00141430">
        <w:rPr>
          <w:rFonts w:asciiTheme="minorHAnsi" w:hAnsiTheme="minorHAnsi" w:cstheme="minorHAnsi"/>
        </w:rPr>
        <w:t>Arwan</w:t>
      </w:r>
      <w:proofErr w:type="spellEnd"/>
      <w:r w:rsidRPr="00141430">
        <w:rPr>
          <w:rFonts w:asciiTheme="minorHAnsi" w:hAnsiTheme="minorHAnsi" w:cstheme="minorHAnsi"/>
        </w:rPr>
        <w:t xml:space="preserve"> </w:t>
      </w:r>
      <w:r w:rsidRPr="00141430">
        <w:rPr>
          <w:rFonts w:asciiTheme="minorHAnsi" w:hAnsiTheme="minorHAnsi" w:cstheme="minorHAnsi"/>
          <w:i/>
          <w:iCs/>
        </w:rPr>
        <w:t>et al.</w:t>
      </w:r>
      <w:r w:rsidRPr="00141430">
        <w:rPr>
          <w:rFonts w:asciiTheme="minorHAnsi" w:hAnsiTheme="minorHAnsi" w:cstheme="minorHAnsi"/>
        </w:rPr>
        <w:t xml:space="preserve"> 2019). </w:t>
      </w:r>
    </w:p>
    <w:p w14:paraId="70448DE0" w14:textId="77777777" w:rsidR="00141430" w:rsidRPr="00141430" w:rsidRDefault="00141430" w:rsidP="00141430">
      <w:pPr>
        <w:rPr>
          <w:rFonts w:asciiTheme="minorHAnsi" w:hAnsiTheme="minorHAnsi" w:cstheme="minorHAnsi"/>
        </w:rPr>
      </w:pPr>
    </w:p>
    <w:p w14:paraId="67557C7C" w14:textId="77777777" w:rsidR="00141430" w:rsidRDefault="00141430" w:rsidP="00141430">
      <w:pPr>
        <w:rPr>
          <w:rFonts w:asciiTheme="minorHAnsi" w:hAnsiTheme="minorHAnsi" w:cstheme="minorHAnsi"/>
        </w:rPr>
      </w:pPr>
      <w:r w:rsidRPr="00141430">
        <w:rPr>
          <w:rFonts w:asciiTheme="minorHAnsi" w:hAnsiTheme="minorHAnsi" w:cstheme="minorHAnsi"/>
        </w:rPr>
        <w:t xml:space="preserve">One of the methods that is used to establish what support is best suited for a victim is identified </w:t>
      </w:r>
      <w:proofErr w:type="gramStart"/>
      <w:r w:rsidRPr="00141430">
        <w:rPr>
          <w:rFonts w:asciiTheme="minorHAnsi" w:hAnsiTheme="minorHAnsi" w:cstheme="minorHAnsi"/>
        </w:rPr>
        <w:t>through the use of</w:t>
      </w:r>
      <w:proofErr w:type="gramEnd"/>
      <w:r w:rsidRPr="00141430">
        <w:rPr>
          <w:rFonts w:asciiTheme="minorHAnsi" w:hAnsiTheme="minorHAnsi" w:cstheme="minorHAnsi"/>
        </w:rPr>
        <w:t xml:space="preserve"> a Public Protection Notification (PPN). A PPN is a document purposed to multi-agency practices and social services, identifying any safeguarding concerns in reference to adults or children in contact with the police (HMICFRS, 2023). This referral is made by the police so that outside agencies can review the assessment and determine what support is to be offered to the victim. (</w:t>
      </w:r>
      <w:r w:rsidRPr="00141430">
        <w:rPr>
          <w:rFonts w:asciiTheme="minorHAnsi" w:hAnsiTheme="minorHAnsi" w:cstheme="minorHAnsi"/>
          <w:b/>
          <w:bCs/>
        </w:rPr>
        <w:t xml:space="preserve">FIND SOURCE FOR PPN FAILURES) </w:t>
      </w:r>
      <w:r w:rsidRPr="00141430">
        <w:rPr>
          <w:rFonts w:asciiTheme="minorHAnsi" w:hAnsiTheme="minorHAnsi" w:cstheme="minorHAnsi"/>
        </w:rPr>
        <w:t>shows, social services do not always provide support to the victim, and this allows the victim to carry on being vulnerable to any offending behaviour that they may be subjected to (</w:t>
      </w:r>
      <w:r w:rsidRPr="00141430">
        <w:rPr>
          <w:rFonts w:asciiTheme="minorHAnsi" w:hAnsiTheme="minorHAnsi" w:cstheme="minorHAnsi"/>
          <w:b/>
          <w:bCs/>
        </w:rPr>
        <w:t>SOURCE</w:t>
      </w:r>
      <w:r w:rsidRPr="00141430">
        <w:rPr>
          <w:rFonts w:asciiTheme="minorHAnsi" w:hAnsiTheme="minorHAnsi" w:cstheme="minorHAnsi"/>
        </w:rPr>
        <w:t>). This is a drawback of PPNs as this is not what they should be used for. They should be used for helping the victim, not putting them back into a position of vulnerability. Not only can the PPN be sent on behalf of the victim, but it can also include the subject and their vulnerabilities or needs to ensure that their behaviour is recognised and ways to help them are considered. This can be as a means of countering reoffending by the subject as they may be a repeat offender. As in the incident that I attended, the subject had been involved in numerous previous incidents that also involved a racially aggravated element to it. A repeat offender is described as … (</w:t>
      </w:r>
      <w:r w:rsidRPr="00141430">
        <w:rPr>
          <w:rFonts w:asciiTheme="minorHAnsi" w:hAnsiTheme="minorHAnsi" w:cstheme="minorHAnsi"/>
          <w:b/>
          <w:bCs/>
        </w:rPr>
        <w:t>SOURCE</w:t>
      </w:r>
      <w:r w:rsidRPr="00141430">
        <w:rPr>
          <w:rFonts w:asciiTheme="minorHAnsi" w:hAnsiTheme="minorHAnsi" w:cstheme="minorHAnsi"/>
        </w:rPr>
        <w:t xml:space="preserve">). – </w:t>
      </w:r>
      <w:r w:rsidRPr="00141430">
        <w:rPr>
          <w:rFonts w:asciiTheme="minorHAnsi" w:hAnsiTheme="minorHAnsi" w:cstheme="minorHAnsi"/>
          <w:b/>
          <w:bCs/>
        </w:rPr>
        <w:t xml:space="preserve">INCLUDE RESEARCH HERE OF REPEAT OFFENDING </w:t>
      </w:r>
      <w:proofErr w:type="gramStart"/>
      <w:r w:rsidRPr="00141430">
        <w:rPr>
          <w:rFonts w:asciiTheme="minorHAnsi" w:hAnsiTheme="minorHAnsi" w:cstheme="minorHAnsi"/>
          <w:b/>
          <w:bCs/>
        </w:rPr>
        <w:t>- .</w:t>
      </w:r>
      <w:proofErr w:type="gramEnd"/>
      <w:r w:rsidRPr="00141430">
        <w:rPr>
          <w:rFonts w:asciiTheme="minorHAnsi" w:hAnsiTheme="minorHAnsi" w:cstheme="minorHAnsi"/>
          <w:b/>
          <w:bCs/>
        </w:rPr>
        <w:t xml:space="preserve"> </w:t>
      </w:r>
      <w:r w:rsidRPr="00141430">
        <w:rPr>
          <w:rFonts w:asciiTheme="minorHAnsi" w:hAnsiTheme="minorHAnsi" w:cstheme="minorHAnsi"/>
        </w:rPr>
        <w:t xml:space="preserve">As a result of the subject having been reported for racism in the past, out of court disposals were </w:t>
      </w:r>
      <w:proofErr w:type="spellStart"/>
      <w:r w:rsidRPr="00141430">
        <w:rPr>
          <w:rFonts w:asciiTheme="minorHAnsi" w:hAnsiTheme="minorHAnsi" w:cstheme="minorHAnsi"/>
        </w:rPr>
        <w:t>not longer</w:t>
      </w:r>
      <w:proofErr w:type="spellEnd"/>
      <w:r w:rsidRPr="00141430">
        <w:rPr>
          <w:rFonts w:asciiTheme="minorHAnsi" w:hAnsiTheme="minorHAnsi" w:cstheme="minorHAnsi"/>
        </w:rPr>
        <w:t xml:space="preserve"> optional for a me to use when dealing with the subject. The subject had exhausted her out of court options, and now other avenues had to be explored to target harden her offending behaviour. This may have been a silver lining as it meant that the soft approach of a community resolution was no longer being tolerated, and a more severe outcome is necessary.</w:t>
      </w:r>
    </w:p>
    <w:p w14:paraId="55DEEB35" w14:textId="77777777" w:rsidR="00141430" w:rsidRPr="00141430" w:rsidRDefault="00141430" w:rsidP="00141430">
      <w:pPr>
        <w:rPr>
          <w:rFonts w:asciiTheme="minorHAnsi" w:hAnsiTheme="minorHAnsi" w:cstheme="minorHAnsi"/>
        </w:rPr>
      </w:pPr>
    </w:p>
    <w:p w14:paraId="55959842" w14:textId="77777777" w:rsidR="00141430" w:rsidRDefault="00141430" w:rsidP="00141430">
      <w:pPr>
        <w:rPr>
          <w:rFonts w:asciiTheme="minorHAnsi" w:hAnsiTheme="minorHAnsi" w:cstheme="minorHAnsi"/>
          <w:b/>
          <w:bCs/>
        </w:rPr>
      </w:pPr>
      <w:r w:rsidRPr="00141430">
        <w:rPr>
          <w:rFonts w:asciiTheme="minorHAnsi" w:hAnsiTheme="minorHAnsi" w:cstheme="minorHAnsi"/>
        </w:rPr>
        <w:t xml:space="preserve">With offences that are racially aggravated, the subject is usually arrested under section 24 of the Police and Criminal Evidence Act 1984. However, due to the subject being detained in the mental health facility, the. I did not consider an arrest of the subject would be appropriate because … </w:t>
      </w:r>
      <w:r w:rsidRPr="00141430">
        <w:rPr>
          <w:rFonts w:asciiTheme="minorHAnsi" w:hAnsiTheme="minorHAnsi" w:cstheme="minorHAnsi"/>
          <w:b/>
          <w:bCs/>
        </w:rPr>
        <w:t>(TALK ABOUT MENTAL CAPACITY ACT 2015 HER)</w:t>
      </w:r>
    </w:p>
    <w:p w14:paraId="60369EFF" w14:textId="77777777" w:rsidR="00141430" w:rsidRPr="00141430" w:rsidRDefault="00141430" w:rsidP="00141430">
      <w:pPr>
        <w:rPr>
          <w:rFonts w:asciiTheme="minorHAnsi" w:hAnsiTheme="minorHAnsi" w:cstheme="minorHAnsi"/>
        </w:rPr>
      </w:pPr>
    </w:p>
    <w:p w14:paraId="66FEF570" w14:textId="77777777" w:rsidR="00141430" w:rsidRDefault="00141430" w:rsidP="00141430">
      <w:pPr>
        <w:rPr>
          <w:rFonts w:asciiTheme="minorHAnsi" w:hAnsiTheme="minorHAnsi" w:cstheme="minorHAnsi"/>
          <w:b/>
          <w:bCs/>
        </w:rPr>
      </w:pPr>
      <w:r w:rsidRPr="00141430">
        <w:rPr>
          <w:rFonts w:asciiTheme="minorHAnsi" w:hAnsiTheme="minorHAnsi" w:cstheme="minorHAnsi"/>
        </w:rPr>
        <w:t>The victim also did not provide a formal complaint as … (</w:t>
      </w:r>
      <w:r w:rsidRPr="00141430">
        <w:rPr>
          <w:rFonts w:asciiTheme="minorHAnsi" w:hAnsiTheme="minorHAnsi" w:cstheme="minorHAnsi"/>
          <w:b/>
          <w:bCs/>
        </w:rPr>
        <w:t>SOURCE</w:t>
      </w:r>
      <w:r w:rsidRPr="00141430">
        <w:rPr>
          <w:rFonts w:asciiTheme="minorHAnsi" w:hAnsiTheme="minorHAnsi" w:cstheme="minorHAnsi"/>
        </w:rPr>
        <w:t xml:space="preserve">) shows that many people of an ethnic minority do not report hate crimes they experience to the police because. </w:t>
      </w:r>
      <w:r w:rsidRPr="00141430">
        <w:rPr>
          <w:rFonts w:asciiTheme="minorHAnsi" w:hAnsiTheme="minorHAnsi" w:cstheme="minorHAnsi"/>
          <w:b/>
          <w:bCs/>
        </w:rPr>
        <w:t>WHY IS IT RELEVANT</w:t>
      </w:r>
    </w:p>
    <w:p w14:paraId="5234C53D" w14:textId="77777777" w:rsidR="00141430" w:rsidRDefault="00141430" w:rsidP="00141430">
      <w:pPr>
        <w:rPr>
          <w:rFonts w:asciiTheme="minorHAnsi" w:hAnsiTheme="minorHAnsi" w:cstheme="minorHAnsi"/>
          <w:b/>
          <w:bCs/>
        </w:rPr>
      </w:pPr>
    </w:p>
    <w:p w14:paraId="33FC4963" w14:textId="77777777" w:rsidR="00141430" w:rsidRPr="00141430" w:rsidRDefault="00141430" w:rsidP="00141430">
      <w:pPr>
        <w:rPr>
          <w:rFonts w:asciiTheme="minorHAnsi" w:hAnsiTheme="minorHAnsi" w:cstheme="minorHAnsi"/>
          <w:b/>
          <w:bCs/>
        </w:rPr>
      </w:pPr>
    </w:p>
    <w:p w14:paraId="5E1AC53E" w14:textId="77777777" w:rsidR="00141430" w:rsidRPr="00141430" w:rsidRDefault="00141430" w:rsidP="00141430">
      <w:pPr>
        <w:rPr>
          <w:rFonts w:asciiTheme="minorHAnsi" w:hAnsiTheme="minorHAnsi" w:cstheme="minorHAnsi"/>
          <w:b/>
          <w:bCs/>
        </w:rPr>
      </w:pPr>
      <w:r w:rsidRPr="00141430">
        <w:rPr>
          <w:rFonts w:asciiTheme="minorHAnsi" w:hAnsiTheme="minorHAnsi" w:cstheme="minorHAnsi"/>
        </w:rPr>
        <w:t>As stated above, due to the subject being detained in the mental health facility, and the victim being a worker there, the victim was now in a more vulnerable position, making the risk of repeat victimisation a solid possibility. (</w:t>
      </w:r>
      <w:r w:rsidRPr="00141430">
        <w:rPr>
          <w:rFonts w:asciiTheme="minorHAnsi" w:hAnsiTheme="minorHAnsi" w:cstheme="minorHAnsi"/>
          <w:b/>
          <w:bCs/>
        </w:rPr>
        <w:t>REPEAT VICTIM SOURCE</w:t>
      </w:r>
      <w:r w:rsidRPr="00141430">
        <w:rPr>
          <w:rFonts w:asciiTheme="minorHAnsi" w:hAnsiTheme="minorHAnsi" w:cstheme="minorHAnsi"/>
        </w:rPr>
        <w:t xml:space="preserve">). As … states, repeat victimisation is common amongst those who are ethnic minorities due to … As such, this needed to be considered from the victim’s side and what could be done to ensure their safety and make sure that they did not experience any further racist incidents, both from </w:t>
      </w:r>
      <w:r w:rsidRPr="00141430">
        <w:rPr>
          <w:rFonts w:asciiTheme="minorHAnsi" w:hAnsiTheme="minorHAnsi" w:cstheme="minorHAnsi"/>
        </w:rPr>
        <w:lastRenderedPageBreak/>
        <w:t xml:space="preserve">the subject and other individuals. </w:t>
      </w:r>
      <w:r w:rsidRPr="00141430">
        <w:rPr>
          <w:rFonts w:asciiTheme="minorHAnsi" w:hAnsiTheme="minorHAnsi" w:cstheme="minorHAnsi"/>
          <w:b/>
          <w:bCs/>
        </w:rPr>
        <w:t xml:space="preserve">(SOURCE) </w:t>
      </w:r>
      <w:r w:rsidRPr="00141430">
        <w:rPr>
          <w:rFonts w:asciiTheme="minorHAnsi" w:hAnsiTheme="minorHAnsi" w:cstheme="minorHAnsi"/>
        </w:rPr>
        <w:t xml:space="preserve">introduces the idea that … can be done to prevent repeat victimisation. </w:t>
      </w:r>
      <w:r w:rsidRPr="00141430">
        <w:rPr>
          <w:rFonts w:asciiTheme="minorHAnsi" w:hAnsiTheme="minorHAnsi" w:cstheme="minorHAnsi"/>
          <w:b/>
          <w:bCs/>
        </w:rPr>
        <w:t>WHY WOULD/WOULD IT NOT WORK IN RELATION TO MY INCIDENT</w:t>
      </w:r>
    </w:p>
    <w:p w14:paraId="440DC985" w14:textId="77777777" w:rsidR="00141430" w:rsidRDefault="00141430" w:rsidP="00141430">
      <w:pPr>
        <w:rPr>
          <w:rFonts w:asciiTheme="minorHAnsi" w:hAnsiTheme="minorHAnsi" w:cstheme="minorHAnsi"/>
          <w:b/>
          <w:bCs/>
        </w:rPr>
      </w:pPr>
      <w:r w:rsidRPr="00141430">
        <w:rPr>
          <w:rFonts w:asciiTheme="minorHAnsi" w:hAnsiTheme="minorHAnsi" w:cstheme="minorHAnsi"/>
          <w:b/>
          <w:bCs/>
        </w:rPr>
        <w:t>TALK ABOUT LINKING IN WITH CADRO</w:t>
      </w:r>
    </w:p>
    <w:p w14:paraId="16492163" w14:textId="77777777" w:rsidR="00141430" w:rsidRPr="00141430" w:rsidRDefault="00141430" w:rsidP="00141430">
      <w:pPr>
        <w:rPr>
          <w:rFonts w:asciiTheme="minorHAnsi" w:hAnsiTheme="minorHAnsi" w:cstheme="minorHAnsi"/>
          <w:b/>
          <w:bCs/>
        </w:rPr>
      </w:pPr>
    </w:p>
    <w:p w14:paraId="5FF8BFAB" w14:textId="77777777" w:rsidR="00141430" w:rsidRPr="00141430" w:rsidRDefault="00141430" w:rsidP="00141430">
      <w:pPr>
        <w:rPr>
          <w:rFonts w:asciiTheme="minorHAnsi" w:hAnsiTheme="minorHAnsi" w:cstheme="minorHAnsi"/>
          <w:b/>
          <w:bCs/>
        </w:rPr>
      </w:pPr>
      <w:r w:rsidRPr="00141430">
        <w:rPr>
          <w:rFonts w:asciiTheme="minorHAnsi" w:hAnsiTheme="minorHAnsi" w:cstheme="minorHAnsi"/>
        </w:rPr>
        <w:t xml:space="preserve">In conclusion, the mental health of the subject may undermine the way in which an investigation is carried out, as their mental capacity at the time of the incident is crucial as it determines whether an investigation can take place. </w:t>
      </w:r>
      <w:r w:rsidRPr="00141430">
        <w:rPr>
          <w:rFonts w:asciiTheme="minorHAnsi" w:hAnsiTheme="minorHAnsi" w:cstheme="minorHAnsi"/>
          <w:b/>
          <w:bCs/>
        </w:rPr>
        <w:t>TO BE FINALISED CORRECTLY</w:t>
      </w:r>
    </w:p>
    <w:p w14:paraId="64DDE07B" w14:textId="77777777" w:rsidR="00141430" w:rsidRPr="00141430" w:rsidRDefault="00141430" w:rsidP="00141430">
      <w:pPr>
        <w:rPr>
          <w:rFonts w:asciiTheme="minorHAnsi" w:hAnsiTheme="minorHAnsi" w:cstheme="minorHAnsi"/>
        </w:rPr>
      </w:pPr>
    </w:p>
    <w:p w14:paraId="2EF9B4F6" w14:textId="77777777" w:rsidR="00141430" w:rsidRPr="00141430" w:rsidRDefault="00141430" w:rsidP="00141430">
      <w:pPr>
        <w:rPr>
          <w:rFonts w:asciiTheme="minorHAnsi" w:hAnsiTheme="minorHAnsi" w:cstheme="minorHAnsi"/>
        </w:rPr>
      </w:pPr>
    </w:p>
    <w:p w14:paraId="3CA018E2" w14:textId="77777777" w:rsidR="00141430" w:rsidRPr="00141430" w:rsidRDefault="00141430" w:rsidP="00141430">
      <w:pPr>
        <w:rPr>
          <w:rFonts w:asciiTheme="minorHAnsi" w:hAnsiTheme="minorHAnsi" w:cstheme="minorHAnsi"/>
        </w:rPr>
      </w:pPr>
    </w:p>
    <w:p w14:paraId="64E775EF" w14:textId="77777777" w:rsidR="00141430" w:rsidRPr="00141430" w:rsidRDefault="00141430" w:rsidP="00141430">
      <w:pPr>
        <w:rPr>
          <w:rFonts w:asciiTheme="minorHAnsi" w:hAnsiTheme="minorHAnsi" w:cstheme="minorHAnsi"/>
        </w:rPr>
      </w:pPr>
    </w:p>
    <w:p w14:paraId="1EA437E1" w14:textId="77777777" w:rsidR="00141430" w:rsidRPr="00141430" w:rsidRDefault="00141430" w:rsidP="00141430">
      <w:pPr>
        <w:rPr>
          <w:rFonts w:asciiTheme="minorHAnsi" w:hAnsiTheme="minorHAnsi" w:cstheme="minorHAnsi"/>
        </w:rPr>
      </w:pPr>
    </w:p>
    <w:p w14:paraId="1D00755A" w14:textId="77777777" w:rsidR="00141430" w:rsidRPr="00141430" w:rsidRDefault="00141430" w:rsidP="00141430">
      <w:pPr>
        <w:rPr>
          <w:rFonts w:asciiTheme="minorHAnsi" w:hAnsiTheme="minorHAnsi" w:cstheme="minorHAnsi"/>
        </w:rPr>
      </w:pPr>
    </w:p>
    <w:p w14:paraId="35A2C388" w14:textId="77777777" w:rsidR="00141430" w:rsidRPr="00141430" w:rsidRDefault="00141430" w:rsidP="00141430">
      <w:pPr>
        <w:rPr>
          <w:rFonts w:asciiTheme="minorHAnsi" w:hAnsiTheme="minorHAnsi" w:cstheme="minorHAnsi"/>
        </w:rPr>
      </w:pPr>
    </w:p>
    <w:p w14:paraId="4033F6F9"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REFERENCES </w:t>
      </w:r>
    </w:p>
    <w:p w14:paraId="24967BA3"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College of Policing (2022). Police Race Action Plan. Available at </w:t>
      </w:r>
      <w:hyperlink r:id="rId15" w:history="1">
        <w:r w:rsidRPr="00141430">
          <w:rPr>
            <w:rStyle w:val="Hyperlink"/>
            <w:rFonts w:asciiTheme="minorHAnsi" w:hAnsiTheme="minorHAnsi" w:cstheme="minorHAnsi"/>
          </w:rPr>
          <w:t>Police Race Action Plan | College of Policing</w:t>
        </w:r>
      </w:hyperlink>
      <w:r w:rsidRPr="00141430">
        <w:rPr>
          <w:rFonts w:asciiTheme="minorHAnsi" w:hAnsiTheme="minorHAnsi" w:cstheme="minorHAnsi"/>
        </w:rPr>
        <w:t xml:space="preserve"> (Accessed January 15</w:t>
      </w:r>
      <w:r w:rsidRPr="00141430">
        <w:rPr>
          <w:rFonts w:asciiTheme="minorHAnsi" w:hAnsiTheme="minorHAnsi" w:cstheme="minorHAnsi"/>
          <w:vertAlign w:val="superscript"/>
        </w:rPr>
        <w:t>th</w:t>
      </w:r>
      <w:r w:rsidRPr="00141430">
        <w:rPr>
          <w:rFonts w:asciiTheme="minorHAnsi" w:hAnsiTheme="minorHAnsi" w:cstheme="minorHAnsi"/>
        </w:rPr>
        <w:t xml:space="preserve"> 2024).</w:t>
      </w:r>
    </w:p>
    <w:p w14:paraId="3C11D323"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Awan, I., Brookes, M., Powell, M., and Stanwell, S., (2019). </w:t>
      </w:r>
      <w:r w:rsidRPr="00141430">
        <w:rPr>
          <w:rFonts w:asciiTheme="minorHAnsi" w:hAnsiTheme="minorHAnsi" w:cstheme="minorHAnsi"/>
          <w:i/>
          <w:iCs/>
        </w:rPr>
        <w:t xml:space="preserve">Understanding the Public Perception and Satisfaction of a UK Police Constabulary. </w:t>
      </w:r>
      <w:r w:rsidRPr="00141430">
        <w:rPr>
          <w:rFonts w:asciiTheme="minorHAnsi" w:hAnsiTheme="minorHAnsi" w:cstheme="minorHAnsi"/>
        </w:rPr>
        <w:t>Police Practice and Research.</w:t>
      </w:r>
      <w:r w:rsidRPr="00141430">
        <w:rPr>
          <w:rFonts w:asciiTheme="minorHAnsi" w:hAnsiTheme="minorHAnsi" w:cstheme="minorHAnsi"/>
          <w:b/>
          <w:bCs/>
        </w:rPr>
        <w:t xml:space="preserve"> 20</w:t>
      </w:r>
      <w:r w:rsidRPr="00141430">
        <w:rPr>
          <w:rFonts w:asciiTheme="minorHAnsi" w:hAnsiTheme="minorHAnsi" w:cstheme="minorHAnsi"/>
        </w:rPr>
        <w:t>(2). Pp 172-184.</w:t>
      </w:r>
    </w:p>
    <w:p w14:paraId="12DDC507"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Metropolitan Police, (2024). What Is A Hate </w:t>
      </w:r>
      <w:proofErr w:type="gramStart"/>
      <w:r w:rsidRPr="00141430">
        <w:rPr>
          <w:rFonts w:asciiTheme="minorHAnsi" w:hAnsiTheme="minorHAnsi" w:cstheme="minorHAnsi"/>
        </w:rPr>
        <w:t>Crime?.</w:t>
      </w:r>
      <w:proofErr w:type="gramEnd"/>
      <w:r w:rsidRPr="00141430">
        <w:rPr>
          <w:rFonts w:asciiTheme="minorHAnsi" w:hAnsiTheme="minorHAnsi" w:cstheme="minorHAnsi"/>
        </w:rPr>
        <w:t xml:space="preserve"> Available at </w:t>
      </w:r>
      <w:hyperlink r:id="rId16" w:history="1">
        <w:r w:rsidRPr="00141430">
          <w:rPr>
            <w:rStyle w:val="Hyperlink"/>
            <w:rFonts w:asciiTheme="minorHAnsi" w:hAnsiTheme="minorHAnsi" w:cstheme="minorHAnsi"/>
          </w:rPr>
          <w:t>What is hate crime? | Metropolitan Police</w:t>
        </w:r>
      </w:hyperlink>
      <w:r w:rsidRPr="00141430">
        <w:rPr>
          <w:rFonts w:asciiTheme="minorHAnsi" w:hAnsiTheme="minorHAnsi" w:cstheme="minorHAnsi"/>
        </w:rPr>
        <w:t>. (Accessed February 20</w:t>
      </w:r>
      <w:r w:rsidRPr="00141430">
        <w:rPr>
          <w:rFonts w:asciiTheme="minorHAnsi" w:hAnsiTheme="minorHAnsi" w:cstheme="minorHAnsi"/>
          <w:vertAlign w:val="superscript"/>
        </w:rPr>
        <w:t>th</w:t>
      </w:r>
      <w:proofErr w:type="gramStart"/>
      <w:r w:rsidRPr="00141430">
        <w:rPr>
          <w:rFonts w:asciiTheme="minorHAnsi" w:hAnsiTheme="minorHAnsi" w:cstheme="minorHAnsi"/>
        </w:rPr>
        <w:t xml:space="preserve"> 2024</w:t>
      </w:r>
      <w:proofErr w:type="gramEnd"/>
      <w:r w:rsidRPr="00141430">
        <w:rPr>
          <w:rFonts w:asciiTheme="minorHAnsi" w:hAnsiTheme="minorHAnsi" w:cstheme="minorHAnsi"/>
        </w:rPr>
        <w:t>).</w:t>
      </w:r>
    </w:p>
    <w:p w14:paraId="60DC52D1"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College of Policing, (2021). Introduction to Vulnerability-Related Risk. Available at </w:t>
      </w:r>
      <w:hyperlink r:id="rId17" w:history="1">
        <w:r w:rsidRPr="00141430">
          <w:rPr>
            <w:rStyle w:val="Hyperlink"/>
            <w:rFonts w:asciiTheme="minorHAnsi" w:hAnsiTheme="minorHAnsi" w:cstheme="minorHAnsi"/>
          </w:rPr>
          <w:t>What is hate crime? | Metropolitan Police</w:t>
        </w:r>
      </w:hyperlink>
      <w:r w:rsidRPr="00141430">
        <w:rPr>
          <w:rFonts w:asciiTheme="minorHAnsi" w:hAnsiTheme="minorHAnsi" w:cstheme="minorHAnsi"/>
        </w:rPr>
        <w:t>. (Accessed 20</w:t>
      </w:r>
      <w:r w:rsidRPr="00141430">
        <w:rPr>
          <w:rFonts w:asciiTheme="minorHAnsi" w:hAnsiTheme="minorHAnsi" w:cstheme="minorHAnsi"/>
          <w:vertAlign w:val="superscript"/>
        </w:rPr>
        <w:t>th</w:t>
      </w:r>
      <w:r w:rsidRPr="00141430">
        <w:rPr>
          <w:rFonts w:asciiTheme="minorHAnsi" w:hAnsiTheme="minorHAnsi" w:cstheme="minorHAnsi"/>
        </w:rPr>
        <w:t xml:space="preserve"> February 2024).</w:t>
      </w:r>
    </w:p>
    <w:p w14:paraId="7F61FB62" w14:textId="77777777" w:rsidR="00141430" w:rsidRPr="00141430" w:rsidRDefault="00141430" w:rsidP="00141430">
      <w:pPr>
        <w:rPr>
          <w:rFonts w:asciiTheme="minorHAnsi" w:hAnsiTheme="minorHAnsi" w:cstheme="minorHAnsi"/>
        </w:rPr>
      </w:pPr>
      <w:r w:rsidRPr="00141430">
        <w:rPr>
          <w:rFonts w:asciiTheme="minorHAnsi" w:hAnsiTheme="minorHAnsi" w:cstheme="minorHAnsi"/>
        </w:rPr>
        <w:t xml:space="preserve">HMICFRS, (2023). Public Protection Notice (PPN). Available at </w:t>
      </w:r>
      <w:hyperlink r:id="rId18" w:anchor=":~:text=A%20PPN%20is%20an%20information,inform%20a%20multi%2Dagency%20response." w:history="1">
        <w:r w:rsidRPr="00141430">
          <w:rPr>
            <w:rStyle w:val="Hyperlink"/>
            <w:rFonts w:asciiTheme="minorHAnsi" w:hAnsiTheme="minorHAnsi" w:cstheme="minorHAnsi"/>
          </w:rPr>
          <w:t>Public protection notice (PPN) - His Majesty’s Inspectorate of Constabulary and Fire &amp; Rescue Services (justiceinspectorates.gov.uk)</w:t>
        </w:r>
      </w:hyperlink>
      <w:r w:rsidRPr="00141430">
        <w:rPr>
          <w:rFonts w:asciiTheme="minorHAnsi" w:hAnsiTheme="minorHAnsi" w:cstheme="minorHAnsi"/>
        </w:rPr>
        <w:t>. (Accessed 18</w:t>
      </w:r>
      <w:r w:rsidRPr="00141430">
        <w:rPr>
          <w:rFonts w:asciiTheme="minorHAnsi" w:hAnsiTheme="minorHAnsi" w:cstheme="minorHAnsi"/>
          <w:vertAlign w:val="superscript"/>
        </w:rPr>
        <w:t>th</w:t>
      </w:r>
      <w:r w:rsidRPr="00141430">
        <w:rPr>
          <w:rFonts w:asciiTheme="minorHAnsi" w:hAnsiTheme="minorHAnsi" w:cstheme="minorHAnsi"/>
        </w:rPr>
        <w:t xml:space="preserve"> March 2024).</w:t>
      </w:r>
    </w:p>
    <w:p w14:paraId="7C15F72F" w14:textId="77777777" w:rsidR="00141430" w:rsidRPr="00141430" w:rsidRDefault="00141430" w:rsidP="5B843AF0">
      <w:pPr>
        <w:ind w:right="237"/>
        <w:jc w:val="both"/>
        <w:rPr>
          <w:rFonts w:eastAsia="Arial"/>
          <w:color w:val="000000" w:themeColor="text1"/>
          <w:sz w:val="24"/>
          <w:szCs w:val="24"/>
        </w:rPr>
      </w:pPr>
    </w:p>
    <w:p w14:paraId="72BBA907" w14:textId="77777777" w:rsidR="000D7CCF" w:rsidRPr="00E676F7" w:rsidRDefault="000D7CCF"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6D638DF8" w14:textId="77777777" w:rsidR="00C02F78" w:rsidRDefault="00C02F78" w:rsidP="5CE196A1">
      <w:pPr>
        <w:ind w:right="237"/>
        <w:jc w:val="both"/>
        <w:rPr>
          <w:b/>
          <w:bCs/>
          <w:sz w:val="24"/>
          <w:szCs w:val="24"/>
        </w:rPr>
      </w:pPr>
    </w:p>
    <w:p w14:paraId="6299D591"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Domestic abuse related crime can be extremely dangerous due to the unpredictable nature it poses, and it is one of the more regular reports a police officer will be expected to deal with on response. This is reflected in the Office of National Statistics (ONS), whereby statistics illustrate that domestic abuse is a crime that affected on average 5% of adults, women 6.9% and men approximately 3%, and current statistics suggest that the number of recorded domestic abuse related crimes has increased as of March 2022 by approximately 7.7% in England and Wales (ONS, 2023). Though, this does not factor domestic abuse related crime that remains unreported, the most important is that it is increasing. With that in mind, it is vital that a police officer’s approach to domestic abuse related reports entails vigilance and thorough investigation to ensure the safety of victims in the community. </w:t>
      </w:r>
    </w:p>
    <w:p w14:paraId="42A2F452" w14:textId="77777777" w:rsidR="00C02F78" w:rsidRPr="009E09FE" w:rsidRDefault="00C02F78" w:rsidP="00C02F78">
      <w:pPr>
        <w:rPr>
          <w:rFonts w:asciiTheme="minorHAnsi" w:hAnsiTheme="minorHAnsi" w:cstheme="minorHAnsi"/>
          <w:sz w:val="24"/>
          <w:szCs w:val="24"/>
        </w:rPr>
      </w:pPr>
    </w:p>
    <w:p w14:paraId="0083B3B4"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The above identified statistics show that women as being more prone to domestic abuse. Considerations need to be made into the possibility that male victims of domestic abuse are less likely to report it, when compared to reports made by female victims. An interesting study conducted into health care highlighted just one of the many reasons that may account for this statistic. The study found that health professionals very rarely consider and very rarely ask about male victim’s domestic relationships (Huntley et al., 2019). It is often perceived that males are not expressive of their personal circumstances through choice or through embarrassment. This study suggests that there is also a lack of opportunity for males to voice their circumstances. </w:t>
      </w:r>
    </w:p>
    <w:p w14:paraId="57919F8F" w14:textId="77777777" w:rsidR="00C02F78" w:rsidRPr="009E09FE" w:rsidRDefault="00C02F78" w:rsidP="00C02F78">
      <w:pPr>
        <w:rPr>
          <w:rFonts w:asciiTheme="minorHAnsi" w:hAnsiTheme="minorHAnsi" w:cstheme="minorHAnsi"/>
          <w:sz w:val="24"/>
          <w:szCs w:val="24"/>
        </w:rPr>
      </w:pPr>
    </w:p>
    <w:p w14:paraId="08A3205F"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Research has intensified over the years, with the advancements in identifying flags and characteristics that can assist officers in recognising the signs of a domestic abuse aggressor. For example, sociologist Albert </w:t>
      </w:r>
      <w:proofErr w:type="spellStart"/>
      <w:r w:rsidRPr="009E09FE">
        <w:rPr>
          <w:rFonts w:asciiTheme="minorHAnsi" w:hAnsiTheme="minorHAnsi" w:cstheme="minorHAnsi"/>
          <w:sz w:val="24"/>
          <w:szCs w:val="24"/>
        </w:rPr>
        <w:t>Biderman</w:t>
      </w:r>
      <w:proofErr w:type="spellEnd"/>
      <w:r w:rsidRPr="009E09FE">
        <w:rPr>
          <w:rFonts w:asciiTheme="minorHAnsi" w:hAnsiTheme="minorHAnsi" w:cstheme="minorHAnsi"/>
          <w:sz w:val="24"/>
          <w:szCs w:val="24"/>
        </w:rPr>
        <w:t xml:space="preserve"> developed the </w:t>
      </w:r>
      <w:proofErr w:type="spellStart"/>
      <w:r w:rsidRPr="009E09FE">
        <w:rPr>
          <w:rFonts w:asciiTheme="minorHAnsi" w:hAnsiTheme="minorHAnsi" w:cstheme="minorHAnsi"/>
          <w:sz w:val="24"/>
          <w:szCs w:val="24"/>
        </w:rPr>
        <w:t>Biderman</w:t>
      </w:r>
      <w:proofErr w:type="spellEnd"/>
      <w:r w:rsidRPr="009E09FE">
        <w:rPr>
          <w:rFonts w:asciiTheme="minorHAnsi" w:hAnsiTheme="minorHAnsi" w:cstheme="minorHAnsi"/>
          <w:sz w:val="24"/>
          <w:szCs w:val="24"/>
        </w:rPr>
        <w:t xml:space="preserve"> Chart of Coercion in the 1950’s that outlines various techniques used to coerce or manipulate potential victims (</w:t>
      </w:r>
      <w:proofErr w:type="spellStart"/>
      <w:r w:rsidRPr="009E09FE">
        <w:rPr>
          <w:rFonts w:asciiTheme="minorHAnsi" w:hAnsiTheme="minorHAnsi" w:cstheme="minorHAnsi"/>
          <w:sz w:val="24"/>
          <w:szCs w:val="24"/>
        </w:rPr>
        <w:t>Biderman</w:t>
      </w:r>
      <w:proofErr w:type="spellEnd"/>
      <w:r w:rsidRPr="009E09FE">
        <w:rPr>
          <w:rFonts w:asciiTheme="minorHAnsi" w:hAnsiTheme="minorHAnsi" w:cstheme="minorHAnsi"/>
          <w:sz w:val="24"/>
          <w:szCs w:val="24"/>
        </w:rPr>
        <w:t xml:space="preserve">, 1957). The cycle was developed after </w:t>
      </w:r>
      <w:proofErr w:type="spellStart"/>
      <w:r w:rsidRPr="009E09FE">
        <w:rPr>
          <w:rFonts w:asciiTheme="minorHAnsi" w:hAnsiTheme="minorHAnsi" w:cstheme="minorHAnsi"/>
          <w:sz w:val="24"/>
          <w:szCs w:val="24"/>
        </w:rPr>
        <w:t>Biderman</w:t>
      </w:r>
      <w:proofErr w:type="spellEnd"/>
      <w:r w:rsidRPr="009E09FE">
        <w:rPr>
          <w:rFonts w:asciiTheme="minorHAnsi" w:hAnsiTheme="minorHAnsi" w:cstheme="minorHAnsi"/>
          <w:sz w:val="24"/>
          <w:szCs w:val="24"/>
        </w:rPr>
        <w:t xml:space="preserve"> conducted research into prisoners of war, and how captors would demonstrate psychological coercion. It is broken down into 8 stages and highlights methods used by captors with the aim of breaking down the victim. The 8 stages are isolation, monopolisation, humiliation and degradation, exhaustion, threats, occasional indulgencies, omnipotence and finally, forcing trivial demands (Peterson-Sparks and </w:t>
      </w:r>
      <w:proofErr w:type="spellStart"/>
      <w:r w:rsidRPr="009E09FE">
        <w:rPr>
          <w:rFonts w:asciiTheme="minorHAnsi" w:hAnsiTheme="minorHAnsi" w:cstheme="minorHAnsi"/>
          <w:sz w:val="24"/>
          <w:szCs w:val="24"/>
        </w:rPr>
        <w:t>Gruelle</w:t>
      </w:r>
      <w:proofErr w:type="spellEnd"/>
      <w:r w:rsidRPr="009E09FE">
        <w:rPr>
          <w:rFonts w:asciiTheme="minorHAnsi" w:hAnsiTheme="minorHAnsi" w:cstheme="minorHAnsi"/>
          <w:sz w:val="24"/>
          <w:szCs w:val="24"/>
        </w:rPr>
        <w:t>, 2016). The stages of this cycle can be applied when dealing with victims of domestic abuse, to help officers identify crucial periods of a domestic abuse a relationship.</w:t>
      </w:r>
    </w:p>
    <w:p w14:paraId="751D9F45" w14:textId="77777777" w:rsidR="00C02F78" w:rsidRPr="009E09FE" w:rsidRDefault="00C02F78" w:rsidP="00C02F78">
      <w:pPr>
        <w:rPr>
          <w:rFonts w:asciiTheme="minorHAnsi" w:hAnsiTheme="minorHAnsi" w:cstheme="minorHAnsi"/>
          <w:sz w:val="24"/>
          <w:szCs w:val="24"/>
        </w:rPr>
      </w:pPr>
    </w:p>
    <w:p w14:paraId="0C741434"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In my short time as a response police officer, I have attended a multitude of domestic abuse related reports ranging from the most basic reports to much more serious reports. Each call, I have ensured that I have made use of the National Decision-Making Model (NDM) as a means of identifying the offences through the gathering of information, assessing the risk, the potential risk and justification of the decisions I have made (College of Policing, 2013). The benefit of using such a model is that it ensures a clear and concise thought process, that is structured and can be applied during the attendance of any call. An officer should also be aware that there are multiple forms of domestic abuse and therefore a different approach may be necessary with each investigation. For example, the use of the </w:t>
      </w:r>
      <w:proofErr w:type="spellStart"/>
      <w:r w:rsidRPr="009E09FE">
        <w:rPr>
          <w:rFonts w:asciiTheme="minorHAnsi" w:hAnsiTheme="minorHAnsi" w:cstheme="minorHAnsi"/>
          <w:sz w:val="24"/>
          <w:szCs w:val="24"/>
        </w:rPr>
        <w:t>Betari’s</w:t>
      </w:r>
      <w:proofErr w:type="spellEnd"/>
      <w:r w:rsidRPr="009E09FE">
        <w:rPr>
          <w:rFonts w:asciiTheme="minorHAnsi" w:hAnsiTheme="minorHAnsi" w:cstheme="minorHAnsi"/>
          <w:sz w:val="24"/>
          <w:szCs w:val="24"/>
        </w:rPr>
        <w:t xml:space="preserve"> Box model, whereby a police constable will bear in mind the theorised relationship between perceived </w:t>
      </w:r>
      <w:r w:rsidRPr="009E09FE">
        <w:rPr>
          <w:rFonts w:asciiTheme="minorHAnsi" w:hAnsiTheme="minorHAnsi" w:cstheme="minorHAnsi"/>
          <w:sz w:val="24"/>
          <w:szCs w:val="24"/>
        </w:rPr>
        <w:lastRenderedPageBreak/>
        <w:t xml:space="preserve">attitude and behavioural response when dealing with particularly aggressive subjects or emotional victims (Pepper, 2011). </w:t>
      </w:r>
    </w:p>
    <w:p w14:paraId="5C37C55D" w14:textId="77777777" w:rsidR="00C02F78" w:rsidRPr="009E09FE" w:rsidRDefault="00C02F78" w:rsidP="00C02F78">
      <w:pPr>
        <w:rPr>
          <w:rFonts w:asciiTheme="minorHAnsi" w:hAnsiTheme="minorHAnsi" w:cstheme="minorHAnsi"/>
          <w:sz w:val="24"/>
          <w:szCs w:val="24"/>
        </w:rPr>
      </w:pPr>
    </w:p>
    <w:p w14:paraId="629B5CA5"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I have attended a call local in my area in which it was reported that a male was outside the home address of the reporting person, screaming and shouting abuse. The address is an assisted living accommodation that houses a range of vulnerable people, those who have been released from prison, refugees, and domestic abuse victims. Fortunately, the male did not know the exact location of the female’s room and was around the other side of the building and therefore, she was not directly impacted by it. They do, however, have a young child together who lives with the mother in the assisted living. On arrival, the male was not present. I have identified the room in which the female resides by speaking to witnesses and a member of staff. The female had disclosed that over the last year or so, she has made numerous reports of stalking and harassment-based reports to the police, that have largely resulted in no further action. She had also reported that on this occasion, the perpetrator had sent text messages of a vile nature, in which he had called her names and labelled her as useless. This is representative of the ‘</w:t>
      </w:r>
      <w:r w:rsidRPr="009E09FE">
        <w:rPr>
          <w:rFonts w:asciiTheme="minorHAnsi" w:hAnsiTheme="minorHAnsi" w:cstheme="minorHAnsi"/>
          <w:i/>
          <w:iCs/>
          <w:sz w:val="24"/>
          <w:szCs w:val="24"/>
        </w:rPr>
        <w:t xml:space="preserve">humiliation and degradation’ </w:t>
      </w:r>
      <w:r w:rsidRPr="009E09FE">
        <w:rPr>
          <w:rFonts w:asciiTheme="minorHAnsi" w:hAnsiTheme="minorHAnsi" w:cstheme="minorHAnsi"/>
          <w:sz w:val="24"/>
          <w:szCs w:val="24"/>
        </w:rPr>
        <w:t xml:space="preserve">stage of the cycle, from The </w:t>
      </w:r>
      <w:proofErr w:type="spellStart"/>
      <w:r w:rsidRPr="009E09FE">
        <w:rPr>
          <w:rFonts w:asciiTheme="minorHAnsi" w:hAnsiTheme="minorHAnsi" w:cstheme="minorHAnsi"/>
          <w:sz w:val="24"/>
          <w:szCs w:val="24"/>
        </w:rPr>
        <w:t>Biderman</w:t>
      </w:r>
      <w:proofErr w:type="spellEnd"/>
      <w:r w:rsidRPr="009E09FE">
        <w:rPr>
          <w:rFonts w:asciiTheme="minorHAnsi" w:hAnsiTheme="minorHAnsi" w:cstheme="minorHAnsi"/>
          <w:sz w:val="24"/>
          <w:szCs w:val="24"/>
        </w:rPr>
        <w:t xml:space="preserve"> Chart of Coercion. This is the first time I had met the female, yet there had been multiple previous reports made by her to police. Upon her disclosures, it was clear that there were offences and necessities to effect an arrest for the male. The female was happy to provide a statement at the time, however, she then changed her mind and refused to provide a statement. I had explained to the victim that with or out without her support for police action, the Gwent domestic violence policy allows us officers to continue </w:t>
      </w:r>
      <w:proofErr w:type="gramStart"/>
      <w:r w:rsidRPr="009E09FE">
        <w:rPr>
          <w:rFonts w:asciiTheme="minorHAnsi" w:hAnsiTheme="minorHAnsi" w:cstheme="minorHAnsi"/>
          <w:sz w:val="24"/>
          <w:szCs w:val="24"/>
        </w:rPr>
        <w:t>an evidence</w:t>
      </w:r>
      <w:proofErr w:type="gramEnd"/>
      <w:r w:rsidRPr="009E09FE">
        <w:rPr>
          <w:rFonts w:asciiTheme="minorHAnsi" w:hAnsiTheme="minorHAnsi" w:cstheme="minorHAnsi"/>
          <w:sz w:val="24"/>
          <w:szCs w:val="24"/>
        </w:rPr>
        <w:t xml:space="preserve"> led prosecution. I believe this policy poses a huge benefit in crime a such as domestic abuse. This is because it can assist in the prevention of repeat victimisation.</w:t>
      </w:r>
    </w:p>
    <w:p w14:paraId="7D3E1A4D" w14:textId="77777777" w:rsidR="00C02F78" w:rsidRPr="009E09FE" w:rsidRDefault="00C02F78" w:rsidP="00C02F78">
      <w:pPr>
        <w:rPr>
          <w:rFonts w:asciiTheme="minorHAnsi" w:hAnsiTheme="minorHAnsi" w:cstheme="minorHAnsi"/>
          <w:sz w:val="24"/>
          <w:szCs w:val="24"/>
        </w:rPr>
      </w:pPr>
    </w:p>
    <w:p w14:paraId="5283FF8C"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Developed as an umbrella term in 1973, Stockholm Syndrome is a psychological phenomenon that the American Psychiatric Association (APA) considers to be a mental and emotional response from victims, in which an attachment or bond is formed toward their captor (APA Dictionary of Psychology, 2023). This also inclusive of relationships. An often overlooked and misunderstood term, even by the victims themselves, represented mostly by those ask, “</w:t>
      </w:r>
      <w:r w:rsidRPr="009E09FE">
        <w:rPr>
          <w:rFonts w:asciiTheme="minorHAnsi" w:hAnsiTheme="minorHAnsi" w:cstheme="minorHAnsi"/>
          <w:i/>
          <w:iCs/>
          <w:sz w:val="24"/>
          <w:szCs w:val="24"/>
        </w:rPr>
        <w:t>why don’t you just leave?</w:t>
      </w:r>
      <w:r w:rsidRPr="009E09FE">
        <w:rPr>
          <w:rFonts w:asciiTheme="minorHAnsi" w:hAnsiTheme="minorHAnsi" w:cstheme="minorHAnsi"/>
          <w:sz w:val="24"/>
          <w:szCs w:val="24"/>
        </w:rPr>
        <w:t xml:space="preserve">”. Unfortunately, for victims of domestic abuse, it is not as simple as ‘just leave’ and this can become a considerable indicator for danger. Victims at the time of the report have often decided that enough is enough, however, that bond that is formed is powerful and victims often begin to consider dropping charges or withdraw statements. It is at this point where I believe evidence-lead prosecution plays its most significant role in investigation. It allows officers to take a more informed approach at progressing investigation, significantly increasing the safety of victims. In relation to the situation described above, the victim had not provided a statement in any of the previous 3 statements. She had insisted to officers that she felt the male would and could change.  </w:t>
      </w:r>
    </w:p>
    <w:p w14:paraId="2CEF7634" w14:textId="77777777" w:rsidR="00C02F78" w:rsidRPr="009E09FE" w:rsidRDefault="00C02F78" w:rsidP="00C02F78">
      <w:pPr>
        <w:rPr>
          <w:rFonts w:asciiTheme="minorHAnsi" w:hAnsiTheme="minorHAnsi" w:cstheme="minorHAnsi"/>
          <w:sz w:val="24"/>
          <w:szCs w:val="24"/>
        </w:rPr>
      </w:pPr>
    </w:p>
    <w:p w14:paraId="79966248"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Therefore, my priority shifted to effecting the arrest of the male. This allowed for bail conditions to be implemented that mitigate the risk to victim significantly and for us to conduct </w:t>
      </w:r>
      <w:proofErr w:type="gramStart"/>
      <w:r w:rsidRPr="009E09FE">
        <w:rPr>
          <w:rFonts w:asciiTheme="minorHAnsi" w:hAnsiTheme="minorHAnsi" w:cstheme="minorHAnsi"/>
          <w:sz w:val="24"/>
          <w:szCs w:val="24"/>
        </w:rPr>
        <w:t>an evidence</w:t>
      </w:r>
      <w:proofErr w:type="gramEnd"/>
      <w:r w:rsidRPr="009E09FE">
        <w:rPr>
          <w:rFonts w:asciiTheme="minorHAnsi" w:hAnsiTheme="minorHAnsi" w:cstheme="minorHAnsi"/>
          <w:sz w:val="24"/>
          <w:szCs w:val="24"/>
        </w:rPr>
        <w:t xml:space="preserve"> led prosecution. Within the bail conditions, we can implement contact with the child under supervision from solicitors or a 3</w:t>
      </w:r>
      <w:r w:rsidRPr="009E09FE">
        <w:rPr>
          <w:rFonts w:asciiTheme="minorHAnsi" w:hAnsiTheme="minorHAnsi" w:cstheme="minorHAnsi"/>
          <w:sz w:val="24"/>
          <w:szCs w:val="24"/>
          <w:vertAlign w:val="superscript"/>
        </w:rPr>
        <w:t>rd</w:t>
      </w:r>
      <w:r w:rsidRPr="009E09FE">
        <w:rPr>
          <w:rFonts w:asciiTheme="minorHAnsi" w:hAnsiTheme="minorHAnsi" w:cstheme="minorHAnsi"/>
          <w:sz w:val="24"/>
          <w:szCs w:val="24"/>
        </w:rPr>
        <w:t xml:space="preserve"> party, creating a safe environment for the child. The implementation of bail conditions has proved to be a valuable tactic in preventing re-offending. One study reviewed the statistics of re-offending whilst on bail and, interestingly, highlighted that the longer an offender is on, the more likely there would </w:t>
      </w:r>
      <w:r w:rsidRPr="009E09FE">
        <w:rPr>
          <w:rFonts w:asciiTheme="minorHAnsi" w:hAnsiTheme="minorHAnsi" w:cstheme="minorHAnsi"/>
          <w:sz w:val="24"/>
          <w:szCs w:val="24"/>
        </w:rPr>
        <w:lastRenderedPageBreak/>
        <w:t xml:space="preserve">be an offence (Whyte, 2021). Though, there are references in this study that suggest COVID-19 restrictions could be a factor for the reduction in re-offending. On the other hand, the table suggests, </w:t>
      </w:r>
      <w:proofErr w:type="gramStart"/>
      <w:r w:rsidRPr="009E09FE">
        <w:rPr>
          <w:rFonts w:asciiTheme="minorHAnsi" w:hAnsiTheme="minorHAnsi" w:cstheme="minorHAnsi"/>
          <w:sz w:val="24"/>
          <w:szCs w:val="24"/>
        </w:rPr>
        <w:t>in spite of</w:t>
      </w:r>
      <w:proofErr w:type="gramEnd"/>
      <w:r w:rsidRPr="009E09FE">
        <w:rPr>
          <w:rFonts w:asciiTheme="minorHAnsi" w:hAnsiTheme="minorHAnsi" w:cstheme="minorHAnsi"/>
          <w:sz w:val="24"/>
          <w:szCs w:val="24"/>
        </w:rPr>
        <w:t xml:space="preserve"> these restrictions, there was a gradual increase in re-offending, measured over a month-by-month period. In relation to child protection, a study conducted in the journal of Paediatrics and Child Health 2018, explains how adverse childhood experiences or ACEs, have been identified as a risk factor of the development of physiological illness, such as diabetes and cancers, as well as mental illness (</w:t>
      </w:r>
      <w:proofErr w:type="spellStart"/>
      <w:r w:rsidRPr="009E09FE">
        <w:rPr>
          <w:rFonts w:asciiTheme="minorHAnsi" w:hAnsiTheme="minorHAnsi" w:cstheme="minorHAnsi"/>
          <w:sz w:val="24"/>
          <w:szCs w:val="24"/>
        </w:rPr>
        <w:t>Boullier</w:t>
      </w:r>
      <w:proofErr w:type="spellEnd"/>
      <w:r w:rsidRPr="009E09FE">
        <w:rPr>
          <w:rFonts w:asciiTheme="minorHAnsi" w:hAnsiTheme="minorHAnsi" w:cstheme="minorHAnsi"/>
          <w:sz w:val="24"/>
          <w:szCs w:val="24"/>
        </w:rPr>
        <w:t xml:space="preserve"> and Blair, 2018). By implementing these conditions in the bail, I can mitigate the likelihood of ACEs and protect the child in the future. </w:t>
      </w:r>
    </w:p>
    <w:p w14:paraId="1945699B" w14:textId="77777777" w:rsidR="00C02F78" w:rsidRPr="009E09FE" w:rsidRDefault="00C02F78" w:rsidP="00C02F78">
      <w:pPr>
        <w:rPr>
          <w:rFonts w:asciiTheme="minorHAnsi" w:hAnsiTheme="minorHAnsi" w:cstheme="minorHAnsi"/>
          <w:sz w:val="24"/>
          <w:szCs w:val="24"/>
        </w:rPr>
      </w:pPr>
    </w:p>
    <w:p w14:paraId="16F1261E" w14:textId="77777777" w:rsidR="00C02F78" w:rsidRPr="009E09FE" w:rsidRDefault="00C02F78" w:rsidP="00C02F78">
      <w:pPr>
        <w:rPr>
          <w:rFonts w:asciiTheme="minorHAnsi" w:hAnsiTheme="minorHAnsi" w:cstheme="minorHAnsi"/>
          <w:sz w:val="24"/>
          <w:szCs w:val="24"/>
        </w:rPr>
      </w:pPr>
      <w:proofErr w:type="gramStart"/>
      <w:r w:rsidRPr="009E09FE">
        <w:rPr>
          <w:rFonts w:asciiTheme="minorHAnsi" w:hAnsiTheme="minorHAnsi" w:cstheme="minorHAnsi"/>
          <w:sz w:val="24"/>
          <w:szCs w:val="24"/>
        </w:rPr>
        <w:t>An evidence</w:t>
      </w:r>
      <w:proofErr w:type="gramEnd"/>
      <w:r w:rsidRPr="009E09FE">
        <w:rPr>
          <w:rFonts w:asciiTheme="minorHAnsi" w:hAnsiTheme="minorHAnsi" w:cstheme="minorHAnsi"/>
          <w:sz w:val="24"/>
          <w:szCs w:val="24"/>
        </w:rPr>
        <w:t xml:space="preserve"> led prosecution, best defined by His Majesty’s Inspectorate of Constabulary and Fire and Rescue Services, whereby a victim of a crime such as domestic abuse chooses not support means of prosecution. Given this, police can continue down the line of prosecution by gathering sufficient evidence to provide to the courts to allow for a potential prosecution (HMICFRS, 2020). Research surrounding the effectiveness of evidence led, however, is substantially low and inaccurate. A report from His Majesty’s Crown Prosecution Service Inspectorate (HMICPSI) published from an investigation into evidence led prosecution in Nottinghamshire Police force was inconclusive in </w:t>
      </w:r>
      <w:proofErr w:type="spellStart"/>
      <w:proofErr w:type="gramStart"/>
      <w:r w:rsidRPr="009E09FE">
        <w:rPr>
          <w:rFonts w:asciiTheme="minorHAnsi" w:hAnsiTheme="minorHAnsi" w:cstheme="minorHAnsi"/>
          <w:sz w:val="24"/>
          <w:szCs w:val="24"/>
        </w:rPr>
        <w:t>it’s</w:t>
      </w:r>
      <w:proofErr w:type="spellEnd"/>
      <w:proofErr w:type="gramEnd"/>
      <w:r w:rsidRPr="009E09FE">
        <w:rPr>
          <w:rFonts w:asciiTheme="minorHAnsi" w:hAnsiTheme="minorHAnsi" w:cstheme="minorHAnsi"/>
          <w:sz w:val="24"/>
          <w:szCs w:val="24"/>
        </w:rPr>
        <w:t xml:space="preserve"> findings into the value and success rate of purely evidence led trial (HMICPSI, 2020). This was deemed down to the fact that there is no way to identify which trails or which cases have been solely evidence led. Though the report shows a relatively high conviction rate in domestic abuse cases, where 98.2% of 160 cases resulting in charging decisions (HMICPSI 2020). Whether or not the results are inconclusive of purely evidence led trial, the basis that these trials can still go ahead and charging decisions are still able to be made rooted around some aspect of progressing the case through evidence led investigation, proves to be effective </w:t>
      </w:r>
      <w:proofErr w:type="gramStart"/>
      <w:r w:rsidRPr="009E09FE">
        <w:rPr>
          <w:rFonts w:asciiTheme="minorHAnsi" w:hAnsiTheme="minorHAnsi" w:cstheme="minorHAnsi"/>
          <w:sz w:val="24"/>
          <w:szCs w:val="24"/>
        </w:rPr>
        <w:t>in itself by</w:t>
      </w:r>
      <w:proofErr w:type="gramEnd"/>
      <w:r w:rsidRPr="009E09FE">
        <w:rPr>
          <w:rFonts w:asciiTheme="minorHAnsi" w:hAnsiTheme="minorHAnsi" w:cstheme="minorHAnsi"/>
          <w:sz w:val="24"/>
          <w:szCs w:val="24"/>
        </w:rPr>
        <w:t xml:space="preserve"> assisting those cases in progressing to trial. </w:t>
      </w:r>
    </w:p>
    <w:p w14:paraId="3C501953" w14:textId="77777777" w:rsidR="00C02F78" w:rsidRPr="009E09FE" w:rsidRDefault="00C02F78" w:rsidP="00C02F78">
      <w:pPr>
        <w:rPr>
          <w:rFonts w:asciiTheme="minorHAnsi" w:hAnsiTheme="minorHAnsi" w:cstheme="minorHAnsi"/>
          <w:sz w:val="24"/>
          <w:szCs w:val="24"/>
        </w:rPr>
      </w:pPr>
    </w:p>
    <w:p w14:paraId="67E8697B"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The importance of preventing repeat victimisation is paramount. It will restore faith in the police system by those who have been or felt let down in the past and ensure that victims feel as if they are being taken seriously (Bradford and Jackson, 2010). However, there may be newer and more accurate data available, given that this research is 14 years old. A more orthodox approach, and perhaps most importantly, is the implementation of safeguarding advice. A study has been conducted into evaluating the relationship in implementing safeguarding advice effectively. The research factored in developmental and implementation issues, inclusive of tailoring advice, communication breakdowns and reception by the victim. The results showed that failure to recognise the importance and conduct a thorough job, places the victims at risk of repeat victimisation (Thompson et al., 2008). To further progress this and guarantee officers do not fall short of expectation, the development of preventative tactics need to be considered. These tactics need not be complicated, illustrated by the research conducted whereby the suggestion of the use of a checklist can be used as a tactic to help (Sidebottom et al., 2012).</w:t>
      </w:r>
    </w:p>
    <w:p w14:paraId="5A2375D7" w14:textId="77777777" w:rsidR="00C02F78" w:rsidRPr="009E09FE" w:rsidRDefault="00C02F78" w:rsidP="00C02F78">
      <w:pPr>
        <w:rPr>
          <w:rFonts w:asciiTheme="minorHAnsi" w:hAnsiTheme="minorHAnsi" w:cstheme="minorHAnsi"/>
          <w:sz w:val="24"/>
          <w:szCs w:val="24"/>
        </w:rPr>
      </w:pPr>
    </w:p>
    <w:p w14:paraId="1D6C9100"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 xml:space="preserve">In conclusion, there are multiple factors and considerations that officers must be aware of when finding themselves dealing with domestic abuse victims. Research has suggested that empathy and a thorough investigation are some of the most important and effective factors for preventing repeat victimisation. It suggests that there is much more to the eye when investigating domestic violence, and that decisions need to me be made carefully and </w:t>
      </w:r>
      <w:r w:rsidRPr="009E09FE">
        <w:rPr>
          <w:rFonts w:asciiTheme="minorHAnsi" w:hAnsiTheme="minorHAnsi" w:cstheme="minorHAnsi"/>
          <w:sz w:val="24"/>
          <w:szCs w:val="24"/>
        </w:rPr>
        <w:lastRenderedPageBreak/>
        <w:t xml:space="preserve">concisely once all possibilities have been considered. Research has also highlighted the importance of appropriate safeguarding advice as a method of preventing a reoccurrence, it is important that this advice is tailored, ensuring the victim understands the advice and is clear and concise to the situation to become effective. Further research needs to be conducted into the development of crime preventative tactics, whether through invention or investment, to ensure that the police </w:t>
      </w:r>
      <w:proofErr w:type="gramStart"/>
      <w:r w:rsidRPr="009E09FE">
        <w:rPr>
          <w:rFonts w:asciiTheme="minorHAnsi" w:hAnsiTheme="minorHAnsi" w:cstheme="minorHAnsi"/>
          <w:sz w:val="24"/>
          <w:szCs w:val="24"/>
        </w:rPr>
        <w:t>are able to</w:t>
      </w:r>
      <w:proofErr w:type="gramEnd"/>
      <w:r w:rsidRPr="009E09FE">
        <w:rPr>
          <w:rFonts w:asciiTheme="minorHAnsi" w:hAnsiTheme="minorHAnsi" w:cstheme="minorHAnsi"/>
          <w:sz w:val="24"/>
          <w:szCs w:val="24"/>
        </w:rPr>
        <w:t xml:space="preserve"> carry out effective protective measures against victims of crime. Which, as a result, creates a greater relationship between the police and the public. Further to this, more extensive research is required into the effectiveness of evidence led prosecution. At current there are no means of measuring the effectiveness as it is not possible to isolate cases that were not entirely evidence led. </w:t>
      </w:r>
    </w:p>
    <w:p w14:paraId="690362F2" w14:textId="77777777" w:rsidR="00C02F78" w:rsidRPr="009E09FE" w:rsidRDefault="00C02F78" w:rsidP="00C02F78">
      <w:pPr>
        <w:rPr>
          <w:rFonts w:asciiTheme="minorHAnsi" w:hAnsiTheme="minorHAnsi" w:cstheme="minorHAnsi"/>
          <w:sz w:val="24"/>
          <w:szCs w:val="24"/>
        </w:rPr>
      </w:pPr>
    </w:p>
    <w:p w14:paraId="41F7D5B9" w14:textId="77777777" w:rsidR="00C02F78" w:rsidRPr="009E09FE" w:rsidRDefault="00C02F78" w:rsidP="00C02F78">
      <w:pPr>
        <w:rPr>
          <w:rFonts w:asciiTheme="minorHAnsi" w:hAnsiTheme="minorHAnsi" w:cstheme="minorHAnsi"/>
          <w:sz w:val="24"/>
          <w:szCs w:val="24"/>
        </w:rPr>
      </w:pPr>
      <w:r w:rsidRPr="009E09FE">
        <w:rPr>
          <w:rFonts w:asciiTheme="minorHAnsi" w:hAnsiTheme="minorHAnsi" w:cstheme="minorHAnsi"/>
          <w:sz w:val="24"/>
          <w:szCs w:val="24"/>
        </w:rPr>
        <w:t>Word Count: 1938</w:t>
      </w:r>
    </w:p>
    <w:p w14:paraId="01F301D4" w14:textId="77777777" w:rsidR="00C02F78" w:rsidRPr="00E676F7" w:rsidRDefault="00C02F78"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6E6531F" w14:textId="77777777" w:rsidR="00AD54D3" w:rsidRPr="00E676F7" w:rsidRDefault="00AD54D3"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B4E0F3B" w14:textId="45166B23" w:rsidR="00141430" w:rsidRPr="00141430" w:rsidRDefault="000F7ECD" w:rsidP="00141430">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CAB40BE" w14:textId="77777777" w:rsidR="00141430" w:rsidRPr="00141430" w:rsidRDefault="00141430" w:rsidP="00141430">
      <w:pPr>
        <w:rPr>
          <w:rFonts w:asciiTheme="minorHAnsi" w:hAnsiTheme="minorHAnsi" w:cstheme="minorHAnsi"/>
          <w:sz w:val="22"/>
          <w:szCs w:val="22"/>
        </w:rPr>
      </w:pPr>
    </w:p>
    <w:p w14:paraId="50DFB208" w14:textId="77777777" w:rsidR="00141430" w:rsidRPr="00141430" w:rsidRDefault="00141430" w:rsidP="00141430">
      <w:pPr>
        <w:rPr>
          <w:rFonts w:asciiTheme="minorHAnsi" w:hAnsiTheme="minorHAnsi" w:cstheme="minorHAnsi"/>
          <w:sz w:val="22"/>
          <w:szCs w:val="22"/>
        </w:rPr>
      </w:pPr>
    </w:p>
    <w:p w14:paraId="30BDC43C" w14:textId="77777777" w:rsidR="00141430" w:rsidRP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APA Dictionary of Psychology, (2023). </w:t>
      </w:r>
      <w:r w:rsidRPr="00141430">
        <w:rPr>
          <w:rFonts w:asciiTheme="minorHAnsi" w:hAnsiTheme="minorHAnsi" w:cstheme="minorHAnsi"/>
          <w:i/>
          <w:iCs/>
          <w:sz w:val="22"/>
          <w:szCs w:val="22"/>
        </w:rPr>
        <w:t xml:space="preserve">APA Dictionary of Psychology. </w:t>
      </w:r>
      <w:r w:rsidRPr="00141430">
        <w:rPr>
          <w:rFonts w:asciiTheme="minorHAnsi" w:hAnsiTheme="minorHAnsi" w:cstheme="minorHAnsi"/>
          <w:sz w:val="22"/>
          <w:szCs w:val="22"/>
        </w:rPr>
        <w:t>Stockholm Syndrome</w:t>
      </w:r>
    </w:p>
    <w:p w14:paraId="7B1DF7C7" w14:textId="77777777" w:rsidR="00141430" w:rsidRDefault="00141430" w:rsidP="00141430">
      <w:pPr>
        <w:rPr>
          <w:rFonts w:asciiTheme="minorHAnsi" w:hAnsiTheme="minorHAnsi" w:cstheme="minorHAnsi"/>
          <w:sz w:val="22"/>
          <w:szCs w:val="22"/>
        </w:rPr>
      </w:pPr>
      <w:r w:rsidRPr="00141430">
        <w:rPr>
          <w:rFonts w:asciiTheme="minorHAnsi" w:hAnsiTheme="minorHAnsi" w:cstheme="minorHAnsi"/>
          <w:sz w:val="22"/>
          <w:szCs w:val="22"/>
        </w:rPr>
        <w:t xml:space="preserve">Awan, I., Brookes, M., Powell, M., and Stanwell, S., (2019). </w:t>
      </w:r>
      <w:r w:rsidRPr="00141430">
        <w:rPr>
          <w:rFonts w:asciiTheme="minorHAnsi" w:hAnsiTheme="minorHAnsi" w:cstheme="minorHAnsi"/>
          <w:i/>
          <w:iCs/>
          <w:sz w:val="22"/>
          <w:szCs w:val="22"/>
        </w:rPr>
        <w:t xml:space="preserve">Understanding the Public Perception and Satisfaction of a UK Police Constabulary. </w:t>
      </w:r>
      <w:r w:rsidRPr="00141430">
        <w:rPr>
          <w:rFonts w:asciiTheme="minorHAnsi" w:hAnsiTheme="minorHAnsi" w:cstheme="minorHAnsi"/>
          <w:sz w:val="22"/>
          <w:szCs w:val="22"/>
        </w:rPr>
        <w:t>Police Practice and Research.</w:t>
      </w:r>
      <w:r w:rsidRPr="00141430">
        <w:rPr>
          <w:rFonts w:asciiTheme="minorHAnsi" w:hAnsiTheme="minorHAnsi" w:cstheme="minorHAnsi"/>
          <w:b/>
          <w:bCs/>
          <w:sz w:val="22"/>
          <w:szCs w:val="22"/>
        </w:rPr>
        <w:t xml:space="preserve"> 20</w:t>
      </w:r>
      <w:r w:rsidRPr="00141430">
        <w:rPr>
          <w:rFonts w:asciiTheme="minorHAnsi" w:hAnsiTheme="minorHAnsi" w:cstheme="minorHAnsi"/>
          <w:sz w:val="22"/>
          <w:szCs w:val="22"/>
        </w:rPr>
        <w:t>(2). Pp 172-184.</w:t>
      </w:r>
    </w:p>
    <w:p w14:paraId="40D254C6" w14:textId="77777777" w:rsidR="00141430" w:rsidRPr="00141430" w:rsidRDefault="00141430" w:rsidP="00141430">
      <w:pPr>
        <w:rPr>
          <w:rFonts w:asciiTheme="minorHAnsi" w:hAnsiTheme="minorHAnsi" w:cstheme="minorHAnsi"/>
          <w:sz w:val="22"/>
          <w:szCs w:val="22"/>
        </w:rPr>
      </w:pPr>
    </w:p>
    <w:p w14:paraId="47B78028" w14:textId="77777777" w:rsidR="00141430" w:rsidRDefault="00141430" w:rsidP="004847EF">
      <w:pPr>
        <w:rPr>
          <w:rFonts w:asciiTheme="minorHAnsi" w:hAnsiTheme="minorHAnsi" w:cstheme="minorHAnsi"/>
          <w:sz w:val="22"/>
          <w:szCs w:val="22"/>
        </w:rPr>
      </w:pPr>
      <w:proofErr w:type="spellStart"/>
      <w:r w:rsidRPr="00141430">
        <w:rPr>
          <w:rFonts w:asciiTheme="minorHAnsi" w:hAnsiTheme="minorHAnsi" w:cstheme="minorHAnsi"/>
          <w:sz w:val="22"/>
          <w:szCs w:val="22"/>
        </w:rPr>
        <w:t>Biderman</w:t>
      </w:r>
      <w:proofErr w:type="spellEnd"/>
      <w:r w:rsidRPr="00141430">
        <w:rPr>
          <w:rFonts w:asciiTheme="minorHAnsi" w:hAnsiTheme="minorHAnsi" w:cstheme="minorHAnsi"/>
          <w:sz w:val="22"/>
          <w:szCs w:val="22"/>
        </w:rPr>
        <w:t xml:space="preserve">, A., (1957). </w:t>
      </w:r>
      <w:r w:rsidRPr="00141430">
        <w:rPr>
          <w:rFonts w:asciiTheme="minorHAnsi" w:hAnsiTheme="minorHAnsi" w:cstheme="minorHAnsi"/>
          <w:i/>
          <w:iCs/>
          <w:sz w:val="22"/>
          <w:szCs w:val="22"/>
        </w:rPr>
        <w:t xml:space="preserve">Communist Attempts to Elicit False Confessions from Air Force Prisoners of War. </w:t>
      </w:r>
      <w:r w:rsidRPr="00141430">
        <w:rPr>
          <w:rFonts w:asciiTheme="minorHAnsi" w:hAnsiTheme="minorHAnsi" w:cstheme="minorHAnsi"/>
          <w:sz w:val="22"/>
          <w:szCs w:val="22"/>
        </w:rPr>
        <w:t xml:space="preserve">National Library of Medicine. </w:t>
      </w:r>
      <w:r w:rsidRPr="00141430">
        <w:rPr>
          <w:rFonts w:asciiTheme="minorHAnsi" w:hAnsiTheme="minorHAnsi" w:cstheme="minorHAnsi"/>
          <w:b/>
          <w:bCs/>
          <w:sz w:val="22"/>
          <w:szCs w:val="22"/>
        </w:rPr>
        <w:t>33</w:t>
      </w:r>
      <w:r w:rsidRPr="00141430">
        <w:rPr>
          <w:rFonts w:asciiTheme="minorHAnsi" w:hAnsiTheme="minorHAnsi" w:cstheme="minorHAnsi"/>
          <w:sz w:val="22"/>
          <w:szCs w:val="22"/>
        </w:rPr>
        <w:t>(9).</w:t>
      </w:r>
    </w:p>
    <w:p w14:paraId="61305FD7" w14:textId="77777777" w:rsidR="00141430" w:rsidRPr="00141430" w:rsidRDefault="00141430" w:rsidP="004847EF">
      <w:pPr>
        <w:rPr>
          <w:rFonts w:asciiTheme="minorHAnsi" w:hAnsiTheme="minorHAnsi" w:cstheme="minorHAnsi"/>
          <w:sz w:val="22"/>
          <w:szCs w:val="22"/>
        </w:rPr>
      </w:pPr>
    </w:p>
    <w:p w14:paraId="65BC69E7" w14:textId="77777777" w:rsidR="00141430" w:rsidRDefault="00141430" w:rsidP="004847EF">
      <w:pPr>
        <w:rPr>
          <w:rFonts w:asciiTheme="minorHAnsi" w:hAnsiTheme="minorHAnsi" w:cstheme="minorHAnsi"/>
          <w:sz w:val="22"/>
          <w:szCs w:val="22"/>
        </w:rPr>
      </w:pPr>
      <w:proofErr w:type="spellStart"/>
      <w:r w:rsidRPr="00141430">
        <w:rPr>
          <w:rFonts w:asciiTheme="minorHAnsi" w:hAnsiTheme="minorHAnsi" w:cstheme="minorHAnsi"/>
          <w:sz w:val="22"/>
          <w:szCs w:val="22"/>
        </w:rPr>
        <w:t>Boullier</w:t>
      </w:r>
      <w:proofErr w:type="spellEnd"/>
      <w:r w:rsidRPr="00141430">
        <w:rPr>
          <w:rFonts w:asciiTheme="minorHAnsi" w:hAnsiTheme="minorHAnsi" w:cstheme="minorHAnsi"/>
          <w:sz w:val="22"/>
          <w:szCs w:val="22"/>
        </w:rPr>
        <w:t xml:space="preserve">, M., and Blair, M., (2018). </w:t>
      </w:r>
      <w:r w:rsidRPr="00141430">
        <w:rPr>
          <w:rFonts w:asciiTheme="minorHAnsi" w:hAnsiTheme="minorHAnsi" w:cstheme="minorHAnsi"/>
          <w:i/>
          <w:iCs/>
          <w:sz w:val="22"/>
          <w:szCs w:val="22"/>
        </w:rPr>
        <w:t>Adverse Childhood Experiences</w:t>
      </w:r>
      <w:r w:rsidRPr="00141430">
        <w:rPr>
          <w:rFonts w:asciiTheme="minorHAnsi" w:hAnsiTheme="minorHAnsi" w:cstheme="minorHAnsi"/>
          <w:sz w:val="22"/>
          <w:szCs w:val="22"/>
        </w:rPr>
        <w:t>. Paediatrics and Child Health</w:t>
      </w:r>
      <w:r w:rsidRPr="00141430">
        <w:rPr>
          <w:rFonts w:asciiTheme="minorHAnsi" w:hAnsiTheme="minorHAnsi" w:cstheme="minorHAnsi"/>
          <w:i/>
          <w:iCs/>
          <w:sz w:val="22"/>
          <w:szCs w:val="22"/>
        </w:rPr>
        <w:t xml:space="preserve">. </w:t>
      </w:r>
      <w:r w:rsidRPr="00141430">
        <w:rPr>
          <w:rFonts w:asciiTheme="minorHAnsi" w:hAnsiTheme="minorHAnsi" w:cstheme="minorHAnsi"/>
          <w:b/>
          <w:bCs/>
          <w:sz w:val="22"/>
          <w:szCs w:val="22"/>
        </w:rPr>
        <w:t>28</w:t>
      </w:r>
      <w:r w:rsidRPr="00141430">
        <w:rPr>
          <w:rFonts w:asciiTheme="minorHAnsi" w:hAnsiTheme="minorHAnsi" w:cstheme="minorHAnsi"/>
          <w:sz w:val="22"/>
          <w:szCs w:val="22"/>
        </w:rPr>
        <w:t>(3), pp 132-137.</w:t>
      </w:r>
    </w:p>
    <w:p w14:paraId="11229A5D" w14:textId="77777777" w:rsidR="00141430" w:rsidRPr="00141430" w:rsidRDefault="00141430" w:rsidP="004847EF">
      <w:pPr>
        <w:rPr>
          <w:rFonts w:asciiTheme="minorHAnsi" w:hAnsiTheme="minorHAnsi" w:cstheme="minorHAnsi"/>
          <w:sz w:val="22"/>
          <w:szCs w:val="22"/>
        </w:rPr>
      </w:pPr>
    </w:p>
    <w:p w14:paraId="0837A7ED"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Bradford, B., and Jackson, J., (2010). </w:t>
      </w:r>
      <w:r w:rsidRPr="00141430">
        <w:rPr>
          <w:rFonts w:asciiTheme="minorHAnsi" w:hAnsiTheme="minorHAnsi" w:cstheme="minorHAnsi"/>
          <w:i/>
          <w:iCs/>
          <w:sz w:val="22"/>
          <w:szCs w:val="22"/>
        </w:rPr>
        <w:t xml:space="preserve">Trust and Confidence in the Police: A Conceptual Review. </w:t>
      </w:r>
      <w:r w:rsidRPr="00141430">
        <w:rPr>
          <w:rFonts w:asciiTheme="minorHAnsi" w:hAnsiTheme="minorHAnsi" w:cstheme="minorHAnsi"/>
          <w:sz w:val="22"/>
          <w:szCs w:val="22"/>
        </w:rPr>
        <w:t>SSRN. Pp 7-11.</w:t>
      </w:r>
    </w:p>
    <w:p w14:paraId="5176531C" w14:textId="77777777" w:rsidR="00141430" w:rsidRPr="00141430" w:rsidRDefault="00141430" w:rsidP="004847EF">
      <w:pPr>
        <w:rPr>
          <w:rFonts w:asciiTheme="minorHAnsi" w:hAnsiTheme="minorHAnsi" w:cstheme="minorHAnsi"/>
          <w:sz w:val="22"/>
          <w:szCs w:val="22"/>
        </w:rPr>
      </w:pPr>
    </w:p>
    <w:p w14:paraId="5A31DCE1" w14:textId="77777777" w:rsidR="00141430" w:rsidRDefault="00141430" w:rsidP="00141430">
      <w:pPr>
        <w:rPr>
          <w:rFonts w:asciiTheme="minorHAnsi" w:hAnsiTheme="minorHAnsi" w:cstheme="minorHAnsi"/>
          <w:sz w:val="22"/>
          <w:szCs w:val="22"/>
        </w:rPr>
      </w:pPr>
      <w:r w:rsidRPr="00141430">
        <w:rPr>
          <w:rFonts w:asciiTheme="minorHAnsi" w:hAnsiTheme="minorHAnsi" w:cstheme="minorHAnsi"/>
          <w:sz w:val="22"/>
          <w:szCs w:val="22"/>
        </w:rPr>
        <w:t xml:space="preserve">College of Policing (2022). Police Race Action Plan. Available at </w:t>
      </w:r>
      <w:hyperlink r:id="rId20" w:history="1">
        <w:r w:rsidRPr="00141430">
          <w:rPr>
            <w:rStyle w:val="Hyperlink"/>
            <w:rFonts w:asciiTheme="minorHAnsi" w:hAnsiTheme="minorHAnsi" w:cstheme="minorHAnsi"/>
            <w:sz w:val="22"/>
            <w:szCs w:val="22"/>
          </w:rPr>
          <w:t>Police Race Action Plan | College of Policing</w:t>
        </w:r>
      </w:hyperlink>
      <w:r w:rsidRPr="00141430">
        <w:rPr>
          <w:rFonts w:asciiTheme="minorHAnsi" w:hAnsiTheme="minorHAnsi" w:cstheme="minorHAnsi"/>
          <w:sz w:val="22"/>
          <w:szCs w:val="22"/>
        </w:rPr>
        <w:t xml:space="preserve"> (Accessed January 15</w:t>
      </w:r>
      <w:r w:rsidRPr="00141430">
        <w:rPr>
          <w:rFonts w:asciiTheme="minorHAnsi" w:hAnsiTheme="minorHAnsi" w:cstheme="minorHAnsi"/>
          <w:sz w:val="22"/>
          <w:szCs w:val="22"/>
          <w:vertAlign w:val="superscript"/>
        </w:rPr>
        <w:t>th</w:t>
      </w:r>
      <w:r w:rsidRPr="00141430">
        <w:rPr>
          <w:rFonts w:asciiTheme="minorHAnsi" w:hAnsiTheme="minorHAnsi" w:cstheme="minorHAnsi"/>
          <w:sz w:val="22"/>
          <w:szCs w:val="22"/>
        </w:rPr>
        <w:t xml:space="preserve"> 2024).</w:t>
      </w:r>
    </w:p>
    <w:p w14:paraId="3748BF59" w14:textId="77777777" w:rsidR="00141430" w:rsidRPr="00141430" w:rsidRDefault="00141430" w:rsidP="00141430">
      <w:pPr>
        <w:rPr>
          <w:rFonts w:asciiTheme="minorHAnsi" w:hAnsiTheme="minorHAnsi" w:cstheme="minorHAnsi"/>
          <w:sz w:val="22"/>
          <w:szCs w:val="22"/>
        </w:rPr>
      </w:pPr>
    </w:p>
    <w:p w14:paraId="45F37CE7"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College of Policing, (2013). </w:t>
      </w:r>
      <w:r w:rsidRPr="00141430">
        <w:rPr>
          <w:rFonts w:asciiTheme="minorHAnsi" w:hAnsiTheme="minorHAnsi" w:cstheme="minorHAnsi"/>
          <w:i/>
          <w:iCs/>
          <w:sz w:val="22"/>
          <w:szCs w:val="22"/>
        </w:rPr>
        <w:t xml:space="preserve">National Decision Model. </w:t>
      </w:r>
      <w:r w:rsidRPr="00141430">
        <w:rPr>
          <w:rFonts w:asciiTheme="minorHAnsi" w:hAnsiTheme="minorHAnsi" w:cstheme="minorHAnsi"/>
          <w:sz w:val="22"/>
          <w:szCs w:val="22"/>
        </w:rPr>
        <w:t xml:space="preserve">Available at: </w:t>
      </w:r>
      <w:hyperlink r:id="rId21" w:history="1">
        <w:r w:rsidRPr="00141430">
          <w:rPr>
            <w:rStyle w:val="Hyperlink"/>
            <w:rFonts w:asciiTheme="minorHAnsi" w:hAnsiTheme="minorHAnsi" w:cstheme="minorHAnsi"/>
            <w:sz w:val="22"/>
            <w:szCs w:val="22"/>
          </w:rPr>
          <w:t>https://www.college.police.uk/app/national-decision-model/national-decision-model</w:t>
        </w:r>
      </w:hyperlink>
      <w:r w:rsidRPr="00141430">
        <w:rPr>
          <w:rFonts w:asciiTheme="minorHAnsi" w:hAnsiTheme="minorHAnsi" w:cstheme="minorHAnsi"/>
          <w:sz w:val="22"/>
          <w:szCs w:val="22"/>
        </w:rPr>
        <w:t xml:space="preserve"> (Accessed on 2nd November 2023)</w:t>
      </w:r>
    </w:p>
    <w:p w14:paraId="72FAA61F" w14:textId="77777777" w:rsidR="00141430" w:rsidRPr="00141430" w:rsidRDefault="00141430" w:rsidP="004847EF">
      <w:pPr>
        <w:rPr>
          <w:rFonts w:asciiTheme="minorHAnsi" w:hAnsiTheme="minorHAnsi" w:cstheme="minorHAnsi"/>
          <w:sz w:val="22"/>
          <w:szCs w:val="22"/>
        </w:rPr>
      </w:pPr>
    </w:p>
    <w:p w14:paraId="290B899A" w14:textId="77777777" w:rsidR="00141430" w:rsidRDefault="00141430" w:rsidP="00141430">
      <w:pPr>
        <w:rPr>
          <w:rFonts w:asciiTheme="minorHAnsi" w:hAnsiTheme="minorHAnsi" w:cstheme="minorHAnsi"/>
          <w:sz w:val="22"/>
          <w:szCs w:val="22"/>
        </w:rPr>
      </w:pPr>
      <w:r w:rsidRPr="00141430">
        <w:rPr>
          <w:rFonts w:asciiTheme="minorHAnsi" w:hAnsiTheme="minorHAnsi" w:cstheme="minorHAnsi"/>
          <w:sz w:val="22"/>
          <w:szCs w:val="22"/>
        </w:rPr>
        <w:t xml:space="preserve">College of Policing, (2021). Introduction to Vulnerability-Related Risk. Available at </w:t>
      </w:r>
      <w:hyperlink r:id="rId22" w:history="1">
        <w:r w:rsidRPr="00141430">
          <w:rPr>
            <w:rStyle w:val="Hyperlink"/>
            <w:rFonts w:asciiTheme="minorHAnsi" w:hAnsiTheme="minorHAnsi" w:cstheme="minorHAnsi"/>
            <w:sz w:val="22"/>
            <w:szCs w:val="22"/>
          </w:rPr>
          <w:t>What is hate crime? | Metropolitan Police</w:t>
        </w:r>
      </w:hyperlink>
      <w:r w:rsidRPr="00141430">
        <w:rPr>
          <w:rFonts w:asciiTheme="minorHAnsi" w:hAnsiTheme="minorHAnsi" w:cstheme="minorHAnsi"/>
          <w:sz w:val="22"/>
          <w:szCs w:val="22"/>
        </w:rPr>
        <w:t>. (Accessed 20</w:t>
      </w:r>
      <w:r w:rsidRPr="00141430">
        <w:rPr>
          <w:rFonts w:asciiTheme="minorHAnsi" w:hAnsiTheme="minorHAnsi" w:cstheme="minorHAnsi"/>
          <w:sz w:val="22"/>
          <w:szCs w:val="22"/>
          <w:vertAlign w:val="superscript"/>
        </w:rPr>
        <w:t>th</w:t>
      </w:r>
      <w:r w:rsidRPr="00141430">
        <w:rPr>
          <w:rFonts w:asciiTheme="minorHAnsi" w:hAnsiTheme="minorHAnsi" w:cstheme="minorHAnsi"/>
          <w:sz w:val="22"/>
          <w:szCs w:val="22"/>
        </w:rPr>
        <w:t xml:space="preserve"> February 2024).</w:t>
      </w:r>
    </w:p>
    <w:p w14:paraId="3B5779E0" w14:textId="77777777" w:rsidR="00141430" w:rsidRPr="00141430" w:rsidRDefault="00141430" w:rsidP="00141430">
      <w:pPr>
        <w:rPr>
          <w:rFonts w:asciiTheme="minorHAnsi" w:hAnsiTheme="minorHAnsi" w:cstheme="minorHAnsi"/>
          <w:sz w:val="22"/>
          <w:szCs w:val="22"/>
        </w:rPr>
      </w:pPr>
    </w:p>
    <w:p w14:paraId="3AAAB110"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HMICFRS, (2020). </w:t>
      </w:r>
      <w:r w:rsidRPr="00141430">
        <w:rPr>
          <w:rFonts w:asciiTheme="minorHAnsi" w:hAnsiTheme="minorHAnsi" w:cstheme="minorHAnsi"/>
          <w:i/>
          <w:iCs/>
          <w:sz w:val="22"/>
          <w:szCs w:val="22"/>
        </w:rPr>
        <w:t xml:space="preserve">Evidence Led Domestic Abuse Prosecutions. </w:t>
      </w:r>
      <w:r w:rsidRPr="00141430">
        <w:rPr>
          <w:rFonts w:asciiTheme="minorHAnsi" w:hAnsiTheme="minorHAnsi" w:cstheme="minorHAnsi"/>
          <w:sz w:val="22"/>
          <w:szCs w:val="22"/>
        </w:rPr>
        <w:t xml:space="preserve">Available at </w:t>
      </w:r>
      <w:hyperlink r:id="rId23" w:history="1">
        <w:r w:rsidRPr="00141430">
          <w:rPr>
            <w:rStyle w:val="Hyperlink"/>
            <w:rFonts w:asciiTheme="minorHAnsi" w:hAnsiTheme="minorHAnsi" w:cstheme="minorHAnsi"/>
            <w:sz w:val="22"/>
            <w:szCs w:val="22"/>
          </w:rPr>
          <w:t>Evidence led domestic abuse prosecutions - His Majesty’s Inspectorate of Constabulary and Fire &amp; Rescue Services (justiceinspectorates.gov.uk)</w:t>
        </w:r>
      </w:hyperlink>
      <w:r w:rsidRPr="00141430">
        <w:rPr>
          <w:rFonts w:asciiTheme="minorHAnsi" w:hAnsiTheme="minorHAnsi" w:cstheme="minorHAnsi"/>
          <w:sz w:val="22"/>
          <w:szCs w:val="22"/>
        </w:rPr>
        <w:t>, (Accessed 2</w:t>
      </w:r>
      <w:r w:rsidRPr="00141430">
        <w:rPr>
          <w:rFonts w:asciiTheme="minorHAnsi" w:hAnsiTheme="minorHAnsi" w:cstheme="minorHAnsi"/>
          <w:sz w:val="22"/>
          <w:szCs w:val="22"/>
          <w:vertAlign w:val="superscript"/>
        </w:rPr>
        <w:t>nd</w:t>
      </w:r>
      <w:r w:rsidRPr="00141430">
        <w:rPr>
          <w:rFonts w:asciiTheme="minorHAnsi" w:hAnsiTheme="minorHAnsi" w:cstheme="minorHAnsi"/>
          <w:sz w:val="22"/>
          <w:szCs w:val="22"/>
        </w:rPr>
        <w:t xml:space="preserve"> April 2024).</w:t>
      </w:r>
    </w:p>
    <w:p w14:paraId="52248C29" w14:textId="77777777" w:rsidR="00141430" w:rsidRPr="00141430" w:rsidRDefault="00141430" w:rsidP="004847EF">
      <w:pPr>
        <w:rPr>
          <w:rFonts w:asciiTheme="minorHAnsi" w:hAnsiTheme="minorHAnsi" w:cstheme="minorHAnsi"/>
          <w:sz w:val="22"/>
          <w:szCs w:val="22"/>
        </w:rPr>
      </w:pPr>
    </w:p>
    <w:p w14:paraId="41577DAB" w14:textId="77777777" w:rsidR="00141430" w:rsidRDefault="00141430" w:rsidP="00141430">
      <w:pPr>
        <w:rPr>
          <w:rFonts w:asciiTheme="minorHAnsi" w:hAnsiTheme="minorHAnsi" w:cstheme="minorHAnsi"/>
          <w:sz w:val="22"/>
          <w:szCs w:val="22"/>
        </w:rPr>
      </w:pPr>
      <w:r w:rsidRPr="00141430">
        <w:rPr>
          <w:rFonts w:asciiTheme="minorHAnsi" w:hAnsiTheme="minorHAnsi" w:cstheme="minorHAnsi"/>
          <w:sz w:val="22"/>
          <w:szCs w:val="22"/>
        </w:rPr>
        <w:t xml:space="preserve">HMICFRS, (2023). Public Protection Notice (PPN). Available at </w:t>
      </w:r>
      <w:hyperlink r:id="rId24" w:anchor=":~:text=A%20PPN%20is%20an%20information,inform%20a%20multi%2Dagency%20response." w:history="1">
        <w:r w:rsidRPr="00141430">
          <w:rPr>
            <w:rStyle w:val="Hyperlink"/>
            <w:rFonts w:asciiTheme="minorHAnsi" w:hAnsiTheme="minorHAnsi" w:cstheme="minorHAnsi"/>
            <w:sz w:val="22"/>
            <w:szCs w:val="22"/>
          </w:rPr>
          <w:t>Public protection notice (PPN) - His Majesty’s Inspectorate of Constabulary and Fire &amp; Rescue Services (justiceinspectorates.gov.uk)</w:t>
        </w:r>
      </w:hyperlink>
      <w:r w:rsidRPr="00141430">
        <w:rPr>
          <w:rFonts w:asciiTheme="minorHAnsi" w:hAnsiTheme="minorHAnsi" w:cstheme="minorHAnsi"/>
          <w:sz w:val="22"/>
          <w:szCs w:val="22"/>
        </w:rPr>
        <w:t>. (Accessed 18</w:t>
      </w:r>
      <w:r w:rsidRPr="00141430">
        <w:rPr>
          <w:rFonts w:asciiTheme="minorHAnsi" w:hAnsiTheme="minorHAnsi" w:cstheme="minorHAnsi"/>
          <w:sz w:val="22"/>
          <w:szCs w:val="22"/>
          <w:vertAlign w:val="superscript"/>
        </w:rPr>
        <w:t>th</w:t>
      </w:r>
      <w:r w:rsidRPr="00141430">
        <w:rPr>
          <w:rFonts w:asciiTheme="minorHAnsi" w:hAnsiTheme="minorHAnsi" w:cstheme="minorHAnsi"/>
          <w:sz w:val="22"/>
          <w:szCs w:val="22"/>
        </w:rPr>
        <w:t xml:space="preserve"> March 2024).</w:t>
      </w:r>
    </w:p>
    <w:p w14:paraId="31528A26" w14:textId="77777777" w:rsidR="00141430" w:rsidRPr="00141430" w:rsidRDefault="00141430" w:rsidP="00141430">
      <w:pPr>
        <w:rPr>
          <w:rFonts w:asciiTheme="minorHAnsi" w:hAnsiTheme="minorHAnsi" w:cstheme="minorHAnsi"/>
          <w:sz w:val="22"/>
          <w:szCs w:val="22"/>
        </w:rPr>
      </w:pPr>
    </w:p>
    <w:p w14:paraId="547CCE34"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HMICPSI, (2020). </w:t>
      </w:r>
      <w:r w:rsidRPr="00141430">
        <w:rPr>
          <w:rFonts w:asciiTheme="minorHAnsi" w:hAnsiTheme="minorHAnsi" w:cstheme="minorHAnsi"/>
          <w:i/>
          <w:iCs/>
          <w:sz w:val="22"/>
          <w:szCs w:val="22"/>
        </w:rPr>
        <w:t>Evidence Led Domestic Abuse Prosecutions.</w:t>
      </w:r>
      <w:r w:rsidRPr="00141430">
        <w:rPr>
          <w:rFonts w:asciiTheme="minorHAnsi" w:hAnsiTheme="minorHAnsi" w:cstheme="minorHAnsi"/>
          <w:sz w:val="22"/>
          <w:szCs w:val="22"/>
        </w:rPr>
        <w:t xml:space="preserve"> Available at </w:t>
      </w:r>
      <w:hyperlink r:id="rId25" w:history="1">
        <w:r w:rsidRPr="00141430">
          <w:rPr>
            <w:rStyle w:val="Hyperlink"/>
            <w:rFonts w:asciiTheme="minorHAnsi" w:hAnsiTheme="minorHAnsi" w:cstheme="minorHAnsi"/>
            <w:sz w:val="22"/>
            <w:szCs w:val="22"/>
          </w:rPr>
          <w:t>HMICFRS HMCIPS Report - Evidence led domestic abuse prosecutions (pcc.police.uk)</w:t>
        </w:r>
      </w:hyperlink>
      <w:r w:rsidRPr="00141430">
        <w:rPr>
          <w:rFonts w:asciiTheme="minorHAnsi" w:hAnsiTheme="minorHAnsi" w:cstheme="minorHAnsi"/>
          <w:sz w:val="22"/>
          <w:szCs w:val="22"/>
        </w:rPr>
        <w:t xml:space="preserve"> (Accessed on 6</w:t>
      </w:r>
      <w:r w:rsidRPr="00141430">
        <w:rPr>
          <w:rFonts w:asciiTheme="minorHAnsi" w:hAnsiTheme="minorHAnsi" w:cstheme="minorHAnsi"/>
          <w:sz w:val="22"/>
          <w:szCs w:val="22"/>
          <w:vertAlign w:val="superscript"/>
        </w:rPr>
        <w:t>th</w:t>
      </w:r>
      <w:r w:rsidRPr="00141430">
        <w:rPr>
          <w:rFonts w:asciiTheme="minorHAnsi" w:hAnsiTheme="minorHAnsi" w:cstheme="minorHAnsi"/>
          <w:sz w:val="22"/>
          <w:szCs w:val="22"/>
        </w:rPr>
        <w:t xml:space="preserve"> April 2024).</w:t>
      </w:r>
    </w:p>
    <w:p w14:paraId="52177A65" w14:textId="77777777" w:rsidR="00141430" w:rsidRPr="00141430" w:rsidRDefault="00141430" w:rsidP="004847EF">
      <w:pPr>
        <w:rPr>
          <w:rFonts w:asciiTheme="minorHAnsi" w:hAnsiTheme="minorHAnsi" w:cstheme="minorHAnsi"/>
          <w:sz w:val="22"/>
          <w:szCs w:val="22"/>
        </w:rPr>
      </w:pPr>
    </w:p>
    <w:p w14:paraId="52FF8CDD"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Huntley, A., Potter, L., Williamson, E., </w:t>
      </w:r>
      <w:proofErr w:type="spellStart"/>
      <w:r w:rsidRPr="00141430">
        <w:rPr>
          <w:rFonts w:asciiTheme="minorHAnsi" w:hAnsiTheme="minorHAnsi" w:cstheme="minorHAnsi"/>
          <w:sz w:val="22"/>
          <w:szCs w:val="22"/>
        </w:rPr>
        <w:t>Malpass</w:t>
      </w:r>
      <w:proofErr w:type="spellEnd"/>
      <w:r w:rsidRPr="00141430">
        <w:rPr>
          <w:rFonts w:asciiTheme="minorHAnsi" w:hAnsiTheme="minorHAnsi" w:cstheme="minorHAnsi"/>
          <w:sz w:val="22"/>
          <w:szCs w:val="22"/>
        </w:rPr>
        <w:t xml:space="preserve">, A., </w:t>
      </w:r>
      <w:proofErr w:type="spellStart"/>
      <w:r w:rsidRPr="00141430">
        <w:rPr>
          <w:rFonts w:asciiTheme="minorHAnsi" w:hAnsiTheme="minorHAnsi" w:cstheme="minorHAnsi"/>
          <w:sz w:val="22"/>
          <w:szCs w:val="22"/>
        </w:rPr>
        <w:t>Szilassy</w:t>
      </w:r>
      <w:proofErr w:type="spellEnd"/>
      <w:r w:rsidRPr="00141430">
        <w:rPr>
          <w:rFonts w:asciiTheme="minorHAnsi" w:hAnsiTheme="minorHAnsi" w:cstheme="minorHAnsi"/>
          <w:sz w:val="22"/>
          <w:szCs w:val="22"/>
        </w:rPr>
        <w:t xml:space="preserve">, E., and Feder, G (2019). </w:t>
      </w:r>
      <w:r w:rsidRPr="00141430">
        <w:rPr>
          <w:rFonts w:asciiTheme="minorHAnsi" w:hAnsiTheme="minorHAnsi" w:cstheme="minorHAnsi"/>
          <w:i/>
          <w:iCs/>
          <w:sz w:val="22"/>
          <w:szCs w:val="22"/>
        </w:rPr>
        <w:t xml:space="preserve">Help Seeking by Male Victims of Domestic Violence and Abuse: A systematic Review and Qualitative Evidence Synthesis. </w:t>
      </w:r>
      <w:r w:rsidRPr="00141430">
        <w:rPr>
          <w:rFonts w:asciiTheme="minorHAnsi" w:hAnsiTheme="minorHAnsi" w:cstheme="minorHAnsi"/>
          <w:sz w:val="22"/>
          <w:szCs w:val="22"/>
        </w:rPr>
        <w:t xml:space="preserve">BMJ Journals. </w:t>
      </w:r>
      <w:r w:rsidRPr="00141430">
        <w:rPr>
          <w:rFonts w:asciiTheme="minorHAnsi" w:hAnsiTheme="minorHAnsi" w:cstheme="minorHAnsi"/>
          <w:b/>
          <w:bCs/>
          <w:sz w:val="22"/>
          <w:szCs w:val="22"/>
        </w:rPr>
        <w:t>9</w:t>
      </w:r>
      <w:r w:rsidRPr="00141430">
        <w:rPr>
          <w:rFonts w:asciiTheme="minorHAnsi" w:hAnsiTheme="minorHAnsi" w:cstheme="minorHAnsi"/>
          <w:sz w:val="22"/>
          <w:szCs w:val="22"/>
        </w:rPr>
        <w:t>(6). Pp 9-11.</w:t>
      </w:r>
    </w:p>
    <w:p w14:paraId="45F88884" w14:textId="77777777" w:rsidR="00141430" w:rsidRPr="00141430" w:rsidRDefault="00141430" w:rsidP="004847EF">
      <w:pPr>
        <w:rPr>
          <w:rFonts w:asciiTheme="minorHAnsi" w:hAnsiTheme="minorHAnsi" w:cstheme="minorHAnsi"/>
          <w:sz w:val="22"/>
          <w:szCs w:val="22"/>
        </w:rPr>
      </w:pPr>
    </w:p>
    <w:p w14:paraId="30CBCA4F" w14:textId="77777777" w:rsidR="00141430" w:rsidRDefault="00141430" w:rsidP="00141430">
      <w:pPr>
        <w:rPr>
          <w:rFonts w:asciiTheme="minorHAnsi" w:hAnsiTheme="minorHAnsi" w:cstheme="minorHAnsi"/>
          <w:sz w:val="22"/>
          <w:szCs w:val="22"/>
        </w:rPr>
      </w:pPr>
      <w:r w:rsidRPr="00141430">
        <w:rPr>
          <w:rFonts w:asciiTheme="minorHAnsi" w:hAnsiTheme="minorHAnsi" w:cstheme="minorHAnsi"/>
          <w:sz w:val="22"/>
          <w:szCs w:val="22"/>
        </w:rPr>
        <w:t xml:space="preserve">Metropolitan Police, (2024). What Is A Hate </w:t>
      </w:r>
      <w:proofErr w:type="gramStart"/>
      <w:r w:rsidRPr="00141430">
        <w:rPr>
          <w:rFonts w:asciiTheme="minorHAnsi" w:hAnsiTheme="minorHAnsi" w:cstheme="minorHAnsi"/>
          <w:sz w:val="22"/>
          <w:szCs w:val="22"/>
        </w:rPr>
        <w:t>Crime?.</w:t>
      </w:r>
      <w:proofErr w:type="gramEnd"/>
      <w:r w:rsidRPr="00141430">
        <w:rPr>
          <w:rFonts w:asciiTheme="minorHAnsi" w:hAnsiTheme="minorHAnsi" w:cstheme="minorHAnsi"/>
          <w:sz w:val="22"/>
          <w:szCs w:val="22"/>
        </w:rPr>
        <w:t xml:space="preserve"> Available at </w:t>
      </w:r>
      <w:hyperlink r:id="rId26" w:history="1">
        <w:r w:rsidRPr="00141430">
          <w:rPr>
            <w:rStyle w:val="Hyperlink"/>
            <w:rFonts w:asciiTheme="minorHAnsi" w:hAnsiTheme="minorHAnsi" w:cstheme="minorHAnsi"/>
            <w:sz w:val="22"/>
            <w:szCs w:val="22"/>
          </w:rPr>
          <w:t>What is hate crime? | Metropolitan Police</w:t>
        </w:r>
      </w:hyperlink>
      <w:r w:rsidRPr="00141430">
        <w:rPr>
          <w:rFonts w:asciiTheme="minorHAnsi" w:hAnsiTheme="minorHAnsi" w:cstheme="minorHAnsi"/>
          <w:sz w:val="22"/>
          <w:szCs w:val="22"/>
        </w:rPr>
        <w:t>. (Accessed February 20</w:t>
      </w:r>
      <w:r w:rsidRPr="00141430">
        <w:rPr>
          <w:rFonts w:asciiTheme="minorHAnsi" w:hAnsiTheme="minorHAnsi" w:cstheme="minorHAnsi"/>
          <w:sz w:val="22"/>
          <w:szCs w:val="22"/>
          <w:vertAlign w:val="superscript"/>
        </w:rPr>
        <w:t>th</w:t>
      </w:r>
      <w:proofErr w:type="gramStart"/>
      <w:r w:rsidRPr="00141430">
        <w:rPr>
          <w:rFonts w:asciiTheme="minorHAnsi" w:hAnsiTheme="minorHAnsi" w:cstheme="minorHAnsi"/>
          <w:sz w:val="22"/>
          <w:szCs w:val="22"/>
        </w:rPr>
        <w:t xml:space="preserve"> 2024</w:t>
      </w:r>
      <w:proofErr w:type="gramEnd"/>
      <w:r w:rsidRPr="00141430">
        <w:rPr>
          <w:rFonts w:asciiTheme="minorHAnsi" w:hAnsiTheme="minorHAnsi" w:cstheme="minorHAnsi"/>
          <w:sz w:val="22"/>
          <w:szCs w:val="22"/>
        </w:rPr>
        <w:t>).</w:t>
      </w:r>
    </w:p>
    <w:p w14:paraId="34C987A6" w14:textId="77777777" w:rsidR="00141430" w:rsidRPr="00141430" w:rsidRDefault="00141430" w:rsidP="00141430">
      <w:pPr>
        <w:rPr>
          <w:rFonts w:asciiTheme="minorHAnsi" w:hAnsiTheme="minorHAnsi" w:cstheme="minorHAnsi"/>
          <w:sz w:val="22"/>
          <w:szCs w:val="22"/>
        </w:rPr>
      </w:pPr>
    </w:p>
    <w:p w14:paraId="151D123E"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lastRenderedPageBreak/>
        <w:t xml:space="preserve">Office for National Statistics, (2022). </w:t>
      </w:r>
      <w:r w:rsidRPr="00141430">
        <w:rPr>
          <w:rFonts w:asciiTheme="minorHAnsi" w:hAnsiTheme="minorHAnsi" w:cstheme="minorHAnsi"/>
          <w:i/>
          <w:iCs/>
          <w:sz w:val="22"/>
          <w:szCs w:val="22"/>
        </w:rPr>
        <w:t>Domestic abuse in England and Wales overview: November 2022</w:t>
      </w:r>
      <w:r w:rsidRPr="00141430">
        <w:rPr>
          <w:rFonts w:asciiTheme="minorHAnsi" w:hAnsiTheme="minorHAnsi" w:cstheme="minorHAnsi"/>
          <w:sz w:val="22"/>
          <w:szCs w:val="22"/>
        </w:rPr>
        <w:t xml:space="preserve">. Available at </w:t>
      </w:r>
      <w:hyperlink r:id="rId27" w:anchor="domestic-abuse-in-england-and-wales-data" w:history="1">
        <w:r w:rsidRPr="00141430">
          <w:rPr>
            <w:rStyle w:val="Hyperlink"/>
            <w:rFonts w:asciiTheme="minorHAnsi" w:hAnsiTheme="minorHAnsi" w:cstheme="minorHAnsi"/>
            <w:sz w:val="22"/>
            <w:szCs w:val="22"/>
          </w:rPr>
          <w:t>Domestic abuse in England and Wales overview - Office for National Statistics (ons.gov.uk)</w:t>
        </w:r>
      </w:hyperlink>
      <w:r w:rsidRPr="00141430">
        <w:rPr>
          <w:rFonts w:asciiTheme="minorHAnsi" w:hAnsiTheme="minorHAnsi" w:cstheme="minorHAnsi"/>
          <w:sz w:val="22"/>
          <w:szCs w:val="22"/>
        </w:rPr>
        <w:t>, (accessed 2</w:t>
      </w:r>
      <w:r w:rsidRPr="00141430">
        <w:rPr>
          <w:rFonts w:asciiTheme="minorHAnsi" w:hAnsiTheme="minorHAnsi" w:cstheme="minorHAnsi"/>
          <w:sz w:val="22"/>
          <w:szCs w:val="22"/>
          <w:vertAlign w:val="superscript"/>
        </w:rPr>
        <w:t>nd</w:t>
      </w:r>
      <w:r w:rsidRPr="00141430">
        <w:rPr>
          <w:rFonts w:asciiTheme="minorHAnsi" w:hAnsiTheme="minorHAnsi" w:cstheme="minorHAnsi"/>
          <w:sz w:val="22"/>
          <w:szCs w:val="22"/>
        </w:rPr>
        <w:t xml:space="preserve"> November 2023)</w:t>
      </w:r>
    </w:p>
    <w:p w14:paraId="03DBDE8B" w14:textId="6AD23392" w:rsidR="00141430" w:rsidRPr="00141430" w:rsidRDefault="00141430" w:rsidP="004847EF">
      <w:pPr>
        <w:rPr>
          <w:rFonts w:asciiTheme="minorHAnsi" w:hAnsiTheme="minorHAnsi" w:cstheme="minorHAnsi"/>
          <w:sz w:val="22"/>
          <w:szCs w:val="22"/>
        </w:rPr>
      </w:pPr>
    </w:p>
    <w:p w14:paraId="17518A53"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Pepper, I., (2011). </w:t>
      </w:r>
      <w:r w:rsidRPr="00141430">
        <w:rPr>
          <w:rFonts w:asciiTheme="minorHAnsi" w:hAnsiTheme="minorHAnsi" w:cstheme="minorHAnsi"/>
          <w:i/>
          <w:iCs/>
          <w:sz w:val="22"/>
          <w:szCs w:val="22"/>
        </w:rPr>
        <w:t xml:space="preserve">Working In Policing. </w:t>
      </w:r>
      <w:r w:rsidRPr="00141430">
        <w:rPr>
          <w:rFonts w:asciiTheme="minorHAnsi" w:hAnsiTheme="minorHAnsi" w:cstheme="minorHAnsi"/>
          <w:sz w:val="22"/>
          <w:szCs w:val="22"/>
        </w:rPr>
        <w:t>SAGE Publications. United Kingdom</w:t>
      </w:r>
    </w:p>
    <w:p w14:paraId="3BC57324" w14:textId="77777777" w:rsidR="00141430" w:rsidRPr="00141430" w:rsidRDefault="00141430" w:rsidP="004847EF">
      <w:pPr>
        <w:rPr>
          <w:rFonts w:asciiTheme="minorHAnsi" w:hAnsiTheme="minorHAnsi" w:cstheme="minorHAnsi"/>
          <w:sz w:val="22"/>
          <w:szCs w:val="22"/>
        </w:rPr>
      </w:pPr>
    </w:p>
    <w:p w14:paraId="2E3455AA"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Sidebottom, A., Tilley, N., and Eck, J. (2012). </w:t>
      </w:r>
      <w:r w:rsidRPr="00141430">
        <w:rPr>
          <w:rFonts w:asciiTheme="minorHAnsi" w:hAnsiTheme="minorHAnsi" w:cstheme="minorHAnsi"/>
          <w:i/>
          <w:iCs/>
          <w:sz w:val="22"/>
          <w:szCs w:val="22"/>
        </w:rPr>
        <w:t xml:space="preserve">Towards Checklists to Reduce Common Sources of Problem-Solving Failure. </w:t>
      </w:r>
      <w:r w:rsidRPr="00141430">
        <w:rPr>
          <w:rFonts w:asciiTheme="minorHAnsi" w:hAnsiTheme="minorHAnsi" w:cstheme="minorHAnsi"/>
          <w:sz w:val="22"/>
          <w:szCs w:val="22"/>
        </w:rPr>
        <w:t>Policing: A Journal of Policy and Practice.</w:t>
      </w:r>
    </w:p>
    <w:p w14:paraId="26D8FB35" w14:textId="77777777" w:rsidR="00141430" w:rsidRPr="00141430" w:rsidRDefault="00141430" w:rsidP="004847EF">
      <w:pPr>
        <w:rPr>
          <w:rFonts w:asciiTheme="minorHAnsi" w:hAnsiTheme="minorHAnsi" w:cstheme="minorHAnsi"/>
          <w:sz w:val="22"/>
          <w:szCs w:val="22"/>
        </w:rPr>
      </w:pPr>
    </w:p>
    <w:p w14:paraId="28C7277C" w14:textId="77777777" w:rsid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Thompson, S., </w:t>
      </w:r>
      <w:proofErr w:type="spellStart"/>
      <w:r w:rsidRPr="00141430">
        <w:rPr>
          <w:rFonts w:asciiTheme="minorHAnsi" w:hAnsiTheme="minorHAnsi" w:cstheme="minorHAnsi"/>
          <w:sz w:val="22"/>
          <w:szCs w:val="22"/>
        </w:rPr>
        <w:t>Townsley</w:t>
      </w:r>
      <w:proofErr w:type="spellEnd"/>
      <w:r w:rsidRPr="00141430">
        <w:rPr>
          <w:rFonts w:asciiTheme="minorHAnsi" w:hAnsiTheme="minorHAnsi" w:cstheme="minorHAnsi"/>
          <w:sz w:val="22"/>
          <w:szCs w:val="22"/>
        </w:rPr>
        <w:t xml:space="preserve">, M., and Pease, K. (2008). </w:t>
      </w:r>
      <w:r w:rsidRPr="00141430">
        <w:rPr>
          <w:rFonts w:asciiTheme="minorHAnsi" w:hAnsiTheme="minorHAnsi" w:cstheme="minorHAnsi"/>
          <w:i/>
          <w:iCs/>
          <w:sz w:val="22"/>
          <w:szCs w:val="22"/>
        </w:rPr>
        <w:t xml:space="preserve">Repeat Burglary Victimisation: Analysis of a Partial Failure. </w:t>
      </w:r>
      <w:r w:rsidRPr="00141430">
        <w:rPr>
          <w:rFonts w:asciiTheme="minorHAnsi" w:hAnsiTheme="minorHAnsi" w:cstheme="minorHAnsi"/>
          <w:sz w:val="22"/>
          <w:szCs w:val="22"/>
        </w:rPr>
        <w:t xml:space="preserve">Irish Journal of Psychology. </w:t>
      </w:r>
      <w:r w:rsidRPr="00141430">
        <w:rPr>
          <w:rFonts w:asciiTheme="minorHAnsi" w:hAnsiTheme="minorHAnsi" w:cstheme="minorHAnsi"/>
          <w:b/>
          <w:bCs/>
          <w:sz w:val="22"/>
          <w:szCs w:val="22"/>
        </w:rPr>
        <w:t>29</w:t>
      </w:r>
      <w:r w:rsidRPr="00141430">
        <w:rPr>
          <w:rFonts w:asciiTheme="minorHAnsi" w:hAnsiTheme="minorHAnsi" w:cstheme="minorHAnsi"/>
          <w:sz w:val="22"/>
          <w:szCs w:val="22"/>
        </w:rPr>
        <w:t>. Pp 129-137.</w:t>
      </w:r>
    </w:p>
    <w:p w14:paraId="7E2A1F5D" w14:textId="77777777" w:rsidR="00141430" w:rsidRPr="00141430" w:rsidRDefault="00141430" w:rsidP="004847EF">
      <w:pPr>
        <w:rPr>
          <w:rFonts w:asciiTheme="minorHAnsi" w:hAnsiTheme="minorHAnsi" w:cstheme="minorHAnsi"/>
          <w:sz w:val="22"/>
          <w:szCs w:val="22"/>
        </w:rPr>
      </w:pPr>
    </w:p>
    <w:p w14:paraId="7B4299E2" w14:textId="77777777" w:rsidR="00141430" w:rsidRPr="00141430" w:rsidRDefault="00141430" w:rsidP="004847EF">
      <w:pPr>
        <w:rPr>
          <w:rFonts w:asciiTheme="minorHAnsi" w:hAnsiTheme="minorHAnsi" w:cstheme="minorHAnsi"/>
          <w:sz w:val="22"/>
          <w:szCs w:val="22"/>
        </w:rPr>
      </w:pPr>
      <w:r w:rsidRPr="00141430">
        <w:rPr>
          <w:rFonts w:asciiTheme="minorHAnsi" w:hAnsiTheme="minorHAnsi" w:cstheme="minorHAnsi"/>
          <w:sz w:val="22"/>
          <w:szCs w:val="22"/>
        </w:rPr>
        <w:t xml:space="preserve">Whyte, C., (2021). </w:t>
      </w:r>
      <w:r w:rsidRPr="00141430">
        <w:rPr>
          <w:rFonts w:asciiTheme="minorHAnsi" w:hAnsiTheme="minorHAnsi" w:cstheme="minorHAnsi"/>
          <w:i/>
          <w:iCs/>
          <w:sz w:val="22"/>
          <w:szCs w:val="22"/>
        </w:rPr>
        <w:t xml:space="preserve">Reoffending While on Bail: Analyses of Adult and Youth Defendants. </w:t>
      </w:r>
      <w:r w:rsidRPr="00141430">
        <w:rPr>
          <w:rFonts w:asciiTheme="minorHAnsi" w:hAnsiTheme="minorHAnsi" w:cstheme="minorHAnsi"/>
          <w:sz w:val="22"/>
          <w:szCs w:val="22"/>
        </w:rPr>
        <w:t>Criminal Justice and Statistics Unit. Northern Territory Government. Pp 12-15.</w:t>
      </w:r>
    </w:p>
    <w:p w14:paraId="3CE00498" w14:textId="77777777" w:rsidR="004847EF" w:rsidRDefault="004847EF" w:rsidP="00EA28F1">
      <w:pPr>
        <w:keepNext/>
        <w:spacing w:before="240" w:after="60"/>
        <w:ind w:right="237"/>
        <w:jc w:val="both"/>
      </w:pPr>
    </w:p>
    <w:sectPr w:rsidR="004847E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0BE67" w14:textId="77777777" w:rsidR="00327B55" w:rsidRDefault="00327B55">
      <w:r>
        <w:separator/>
      </w:r>
    </w:p>
  </w:endnote>
  <w:endnote w:type="continuationSeparator" w:id="0">
    <w:p w14:paraId="1E75A9D5" w14:textId="77777777" w:rsidR="00327B55" w:rsidRDefault="00327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3C45E" w14:textId="77777777" w:rsidR="00327B55" w:rsidRDefault="00327B55">
      <w:r>
        <w:separator/>
      </w:r>
    </w:p>
  </w:footnote>
  <w:footnote w:type="continuationSeparator" w:id="0">
    <w:p w14:paraId="469A029E" w14:textId="77777777" w:rsidR="00327B55" w:rsidRDefault="00327B5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7E8"/>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CCF"/>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1430"/>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7B55"/>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983"/>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7EF"/>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115D"/>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4BEE"/>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9FE"/>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4D3"/>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2F78"/>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B6D"/>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5507E"/>
    <w:rsid w:val="00E56516"/>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micfrs.justiceinspectorates.gov.uk/glossary/public-protection-notice/" TargetMode="External"/><Relationship Id="rId26" Type="http://schemas.openxmlformats.org/officeDocument/2006/relationships/hyperlink" Target="https://www.met.police.uk/advice/advice-and-information/hco/hate-crime/what-is-hate-crime/"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t.police.uk/advice/advice-and-information/hco/hate-crime/what-is-hate-crime/" TargetMode="External"/><Relationship Id="rId25" Type="http://schemas.openxmlformats.org/officeDocument/2006/relationships/hyperlink" Target="https://www.nottinghamshire.pcc.police.uk/Document-Library/Public-Information/HMIC-Reports/HMICFRS-HMCIPS-Report-Evidence-led-domestic-abuse-prosecutions.pdf" TargetMode="External"/><Relationship Id="rId2" Type="http://schemas.openxmlformats.org/officeDocument/2006/relationships/customXml" Target="../customXml/item2.xml"/><Relationship Id="rId16" Type="http://schemas.openxmlformats.org/officeDocument/2006/relationships/hyperlink" Target="https://www.met.police.uk/advice/advice-and-information/hco/hate-crime/what-is-hate-crime/" TargetMode="External"/><Relationship Id="rId20" Type="http://schemas.openxmlformats.org/officeDocument/2006/relationships/hyperlink" Target="https://www.college.police.uk/support-forces/diversity-and-inclusion/action-pla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 TargetMode="External"/><Relationship Id="rId5" Type="http://schemas.openxmlformats.org/officeDocument/2006/relationships/numbering" Target="numbering.xml"/><Relationship Id="rId15" Type="http://schemas.openxmlformats.org/officeDocument/2006/relationships/hyperlink" Target="https://www.college.police.uk/support-forces/diversity-and-inclusion/action-plan" TargetMode="External"/><Relationship Id="rId23" Type="http://schemas.openxmlformats.org/officeDocument/2006/relationships/hyperlink" Target="https://hmicfrs.justiceinspectorates.gov.uk/publications/evidence-led-domestic-abuse-prosecution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met.police.uk/advice/advice-and-information/hco/hate-crime/what-is-hate-crime/" TargetMode="External"/><Relationship Id="rId27" Type="http://schemas.openxmlformats.org/officeDocument/2006/relationships/hyperlink" Target="https://www.ons.gov.uk/peoplepopulationandcommunity/crimeandjustice/bulletins/domesticabuseinenglandandwalesoverview/november2022"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2ca0c8a78dd7796e5d46c7c8e775cb8c">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d0f938f8960d3db7005f850ab0be1b1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e20b08b0-acc6-4f95-a80d-0f14bda3809b" xsi:nil="true"/>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52A57469-A45C-4758-9DE0-C92638DED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e20b08b0-acc6-4f95-a80d-0f14bda3809b"/>
    <ds:schemaRef ds:uri="http://purl.org/dc/terms/"/>
    <ds:schemaRef ds:uri="http://schemas.openxmlformats.org/package/2006/metadata/core-properties"/>
    <ds:schemaRef ds:uri="6f089012-3fae-42a8-bbe5-94e46e1467ea"/>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5459</Words>
  <Characters>31988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Joe</cp:lastModifiedBy>
  <cp:revision>2</cp:revision>
  <cp:lastPrinted>2014-08-26T08:55:00Z</cp:lastPrinted>
  <dcterms:created xsi:type="dcterms:W3CDTF">2024-04-14T22:56:00Z</dcterms:created>
  <dcterms:modified xsi:type="dcterms:W3CDTF">2024-04-14T22:56:00Z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2023-11-02T08:33:59Z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e8ff2871-f991-48d2-8ad2-13b647b2c2db</vt:lpwstr>
  </property>
  <property fmtid="{D5CDD505-2E9C-101B-9397-08002B2CF9AE}" pid="9" name="MSIP_Label_f2acd28b-79a3-4a0f-b0ff-4b75658b1549_ContentBits">
    <vt:lpwstr>0</vt:lpwstr>
  </property>
</Properties>
</file>