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C6B6F"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24526C40"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090F8E86" w14:textId="0516709B" w:rsidR="006F6022" w:rsidRPr="0064763B" w:rsidRDefault="006F6022" w:rsidP="006F6022">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w:t>
      </w:r>
      <w:r>
        <w:rPr>
          <w:rFonts w:cs="Times New Roman"/>
          <w:b/>
          <w:bCs/>
          <w:sz w:val="40"/>
          <w:szCs w:val="40"/>
        </w:rPr>
        <w:t>5004</w:t>
      </w:r>
    </w:p>
    <w:p w14:paraId="34DB51CB" w14:textId="08745B86" w:rsidR="006F6022" w:rsidRPr="0064763B" w:rsidRDefault="006F6022" w:rsidP="006F6022">
      <w:pPr>
        <w:jc w:val="center"/>
        <w:rPr>
          <w:rFonts w:cs="Times New Roman"/>
          <w:b/>
          <w:bCs/>
          <w:sz w:val="40"/>
          <w:szCs w:val="40"/>
        </w:rPr>
      </w:pPr>
      <w:r>
        <w:rPr>
          <w:rFonts w:cs="Times New Roman"/>
          <w:b/>
          <w:bCs/>
          <w:sz w:val="40"/>
          <w:szCs w:val="40"/>
        </w:rPr>
        <w:t>Managing People</w:t>
      </w:r>
    </w:p>
    <w:p w14:paraId="5CDDAB8A" w14:textId="25E662E9" w:rsidR="006F6022" w:rsidRDefault="006F6022" w:rsidP="006F6022">
      <w:pPr>
        <w:jc w:val="center"/>
        <w:rPr>
          <w:rFonts w:cs="Times New Roman"/>
          <w:b/>
          <w:bCs/>
          <w:sz w:val="40"/>
          <w:szCs w:val="40"/>
        </w:rPr>
      </w:pPr>
    </w:p>
    <w:p w14:paraId="126D4C94" w14:textId="77777777" w:rsidR="006F6022" w:rsidRPr="0064763B" w:rsidRDefault="006F6022" w:rsidP="006F6022">
      <w:pPr>
        <w:jc w:val="center"/>
        <w:rPr>
          <w:rFonts w:cs="Times New Roman"/>
          <w:b/>
          <w:bCs/>
          <w:sz w:val="40"/>
          <w:szCs w:val="40"/>
        </w:rPr>
      </w:pPr>
    </w:p>
    <w:p w14:paraId="3F0AC252" w14:textId="77777777" w:rsidR="006F6022" w:rsidRPr="0064763B" w:rsidRDefault="006F6022" w:rsidP="006F6022">
      <w:pPr>
        <w:jc w:val="center"/>
        <w:rPr>
          <w:rFonts w:cs="Times New Roman"/>
          <w:sz w:val="40"/>
          <w:szCs w:val="40"/>
        </w:rPr>
      </w:pPr>
      <w:r w:rsidRPr="0064763B">
        <w:rPr>
          <w:rFonts w:cs="Times New Roman"/>
          <w:sz w:val="40"/>
          <w:szCs w:val="40"/>
        </w:rPr>
        <w:t xml:space="preserve">Assignment Title: </w:t>
      </w:r>
    </w:p>
    <w:p w14:paraId="1ACDA0ED" w14:textId="63205B10" w:rsidR="006F6022" w:rsidRPr="0064763B" w:rsidRDefault="006F6022" w:rsidP="006F6022">
      <w:pPr>
        <w:jc w:val="center"/>
        <w:rPr>
          <w:rFonts w:cs="Times New Roman"/>
          <w:sz w:val="40"/>
          <w:szCs w:val="40"/>
        </w:rPr>
      </w:pPr>
      <w:r w:rsidRPr="0064763B">
        <w:rPr>
          <w:rFonts w:cs="Times New Roman"/>
          <w:sz w:val="40"/>
          <w:szCs w:val="40"/>
        </w:rPr>
        <w:t xml:space="preserve">Assessment 2 </w:t>
      </w:r>
    </w:p>
    <w:p w14:paraId="5DA37578" w14:textId="6DC9234B" w:rsidR="006F6022" w:rsidRPr="0064763B" w:rsidRDefault="006F6022" w:rsidP="006F6022">
      <w:pPr>
        <w:jc w:val="center"/>
        <w:rPr>
          <w:rFonts w:cs="Times New Roman"/>
          <w:sz w:val="40"/>
          <w:szCs w:val="40"/>
        </w:rPr>
      </w:pPr>
      <w:r w:rsidRPr="0064763B">
        <w:rPr>
          <w:rFonts w:cs="Times New Roman"/>
          <w:sz w:val="40"/>
          <w:szCs w:val="40"/>
        </w:rPr>
        <w:t xml:space="preserve">Lecturer Name: </w:t>
      </w:r>
      <w:r>
        <w:rPr>
          <w:rFonts w:cs="Times New Roman"/>
          <w:sz w:val="40"/>
          <w:szCs w:val="40"/>
        </w:rPr>
        <w:t>Zainab Atta</w:t>
      </w:r>
    </w:p>
    <w:p w14:paraId="62DE6079" w14:textId="77777777" w:rsidR="006F6022" w:rsidRPr="0064763B" w:rsidRDefault="006F6022" w:rsidP="006F6022">
      <w:pPr>
        <w:jc w:val="center"/>
        <w:rPr>
          <w:rFonts w:cs="Times New Roman"/>
          <w:sz w:val="40"/>
          <w:szCs w:val="40"/>
        </w:rPr>
      </w:pPr>
    </w:p>
    <w:p w14:paraId="0827E0AC" w14:textId="77777777" w:rsidR="006F6022" w:rsidRPr="0064763B" w:rsidRDefault="006F6022" w:rsidP="006F6022">
      <w:pPr>
        <w:jc w:val="center"/>
        <w:rPr>
          <w:rFonts w:cs="Times New Roman"/>
          <w:sz w:val="40"/>
          <w:szCs w:val="40"/>
        </w:rPr>
      </w:pPr>
      <w:r w:rsidRPr="0064763B">
        <w:rPr>
          <w:rFonts w:cs="Times New Roman"/>
          <w:sz w:val="40"/>
          <w:szCs w:val="40"/>
        </w:rPr>
        <w:t>Student Name: Cristina Ghenea</w:t>
      </w:r>
    </w:p>
    <w:p w14:paraId="7CE2CA5F" w14:textId="77777777" w:rsidR="006F6022" w:rsidRPr="0064763B" w:rsidRDefault="006F6022" w:rsidP="006F6022">
      <w:pPr>
        <w:jc w:val="center"/>
        <w:rPr>
          <w:rFonts w:cs="Times New Roman"/>
          <w:sz w:val="40"/>
          <w:szCs w:val="40"/>
        </w:rPr>
      </w:pPr>
      <w:r w:rsidRPr="0064763B">
        <w:rPr>
          <w:rFonts w:cs="Times New Roman"/>
          <w:sz w:val="40"/>
          <w:szCs w:val="40"/>
        </w:rPr>
        <w:t>Student Number: 1921270</w:t>
      </w:r>
    </w:p>
    <w:p w14:paraId="237A9EF1" w14:textId="77777777" w:rsidR="006F6022" w:rsidRPr="0064763B" w:rsidRDefault="006F6022" w:rsidP="006F6022">
      <w:pPr>
        <w:rPr>
          <w:rFonts w:cs="Times New Roman"/>
        </w:rPr>
      </w:pPr>
    </w:p>
    <w:p w14:paraId="323043EA" w14:textId="77777777" w:rsidR="006F6022" w:rsidRPr="0064763B" w:rsidRDefault="006F6022" w:rsidP="006F6022">
      <w:pPr>
        <w:rPr>
          <w:rFonts w:cs="Times New Roman"/>
        </w:rPr>
      </w:pPr>
    </w:p>
    <w:p w14:paraId="00AA42FA" w14:textId="77777777" w:rsidR="006F6022" w:rsidRPr="0064763B" w:rsidRDefault="006F6022" w:rsidP="006F6022">
      <w:pPr>
        <w:rPr>
          <w:rFonts w:cs="Times New Roman"/>
        </w:rPr>
      </w:pPr>
    </w:p>
    <w:p w14:paraId="1ED81191" w14:textId="77777777" w:rsidR="006F6022" w:rsidRPr="0064763B" w:rsidRDefault="006F6022" w:rsidP="006F6022">
      <w:pPr>
        <w:spacing w:line="259" w:lineRule="auto"/>
        <w:jc w:val="left"/>
        <w:rPr>
          <w:rFonts w:cs="Times New Roman"/>
        </w:rPr>
      </w:pPr>
    </w:p>
    <w:p w14:paraId="6226A99D" w14:textId="77777777" w:rsidR="006F6022" w:rsidRPr="0064763B" w:rsidRDefault="006F6022" w:rsidP="006F6022">
      <w:pPr>
        <w:spacing w:line="259" w:lineRule="auto"/>
        <w:jc w:val="left"/>
        <w:rPr>
          <w:rFonts w:cs="Times New Roman"/>
        </w:rPr>
      </w:pPr>
    </w:p>
    <w:p w14:paraId="2945B333" w14:textId="1C090194" w:rsidR="00461B96" w:rsidRDefault="00461B96"/>
    <w:p w14:paraId="208E4A75" w14:textId="0DCB2D1E" w:rsidR="006F6022" w:rsidRDefault="006F6022"/>
    <w:p w14:paraId="468E9DBB" w14:textId="6845F3DC" w:rsidR="006F6022" w:rsidRDefault="006F6022"/>
    <w:p w14:paraId="5EA93276" w14:textId="1C01B628" w:rsidR="006F6022" w:rsidRDefault="006F6022"/>
    <w:p w14:paraId="7D55F37D" w14:textId="77777777" w:rsidR="006F6022" w:rsidRDefault="006F6022" w:rsidP="006F6022"/>
    <w:sdt>
      <w:sdtPr>
        <w:rPr>
          <w:rFonts w:ascii="Times New Roman" w:eastAsia="Calibri" w:hAnsi="Times New Roman" w:cstheme="minorBidi"/>
          <w:b w:val="0"/>
          <w:bCs w:val="0"/>
          <w:color w:val="auto"/>
          <w:sz w:val="24"/>
          <w:szCs w:val="22"/>
          <w:lang w:val="en-GB"/>
        </w:rPr>
        <w:id w:val="-2076964504"/>
        <w:docPartObj>
          <w:docPartGallery w:val="Table of Contents"/>
          <w:docPartUnique/>
        </w:docPartObj>
      </w:sdtPr>
      <w:sdtEndPr/>
      <w:sdtContent>
        <w:p w14:paraId="656AF9FE" w14:textId="7CBD0759" w:rsidR="006F6022" w:rsidRDefault="006F6022" w:rsidP="006F6022">
          <w:pPr>
            <w:pStyle w:val="TOCHeading"/>
          </w:pPr>
          <w:r>
            <w:rPr>
              <w:rFonts w:ascii="Times New Roman" w:eastAsia="Calibri" w:hAnsi="Times New Roman"/>
              <w:b w:val="0"/>
              <w:bCs w:val="0"/>
              <w:color w:val="auto"/>
              <w:sz w:val="24"/>
              <w:szCs w:val="22"/>
              <w:lang w:val="en-GB"/>
            </w:rPr>
            <w:t xml:space="preserve">                                                            </w:t>
          </w:r>
          <w:r>
            <w:t>Contents</w:t>
          </w:r>
        </w:p>
        <w:p w14:paraId="7ACFDE02" w14:textId="77777777" w:rsidR="00287C65" w:rsidRPr="00287C65" w:rsidRDefault="00287C65" w:rsidP="00287C65">
          <w:pPr>
            <w:rPr>
              <w:lang w:val="en-US"/>
            </w:rPr>
          </w:pPr>
        </w:p>
        <w:p w14:paraId="1894474A" w14:textId="3380D16E" w:rsidR="00D529A6" w:rsidRDefault="006F6022">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90835877" w:history="1">
            <w:r w:rsidR="00D529A6" w:rsidRPr="002818A5">
              <w:rPr>
                <w:rStyle w:val="Hyperlink"/>
                <w:noProof/>
              </w:rPr>
              <w:t>Introduction</w:t>
            </w:r>
            <w:r w:rsidR="00D529A6">
              <w:rPr>
                <w:noProof/>
                <w:webHidden/>
              </w:rPr>
              <w:tab/>
            </w:r>
            <w:r w:rsidR="00D529A6">
              <w:rPr>
                <w:noProof/>
                <w:webHidden/>
              </w:rPr>
              <w:fldChar w:fldCharType="begin"/>
            </w:r>
            <w:r w:rsidR="00D529A6">
              <w:rPr>
                <w:noProof/>
                <w:webHidden/>
              </w:rPr>
              <w:instrText xml:space="preserve"> PAGEREF _Toc90835877 \h </w:instrText>
            </w:r>
            <w:r w:rsidR="00D529A6">
              <w:rPr>
                <w:noProof/>
                <w:webHidden/>
              </w:rPr>
            </w:r>
            <w:r w:rsidR="00D529A6">
              <w:rPr>
                <w:noProof/>
                <w:webHidden/>
              </w:rPr>
              <w:fldChar w:fldCharType="separate"/>
            </w:r>
            <w:r w:rsidR="00D529A6">
              <w:rPr>
                <w:noProof/>
                <w:webHidden/>
              </w:rPr>
              <w:t>3</w:t>
            </w:r>
            <w:r w:rsidR="00D529A6">
              <w:rPr>
                <w:noProof/>
                <w:webHidden/>
              </w:rPr>
              <w:fldChar w:fldCharType="end"/>
            </w:r>
          </w:hyperlink>
        </w:p>
        <w:p w14:paraId="0B7FB2CF" w14:textId="10E9C248" w:rsidR="00D529A6" w:rsidRDefault="00A74A65">
          <w:pPr>
            <w:pStyle w:val="TOC1"/>
            <w:tabs>
              <w:tab w:val="right" w:leader="dot" w:pos="9016"/>
            </w:tabs>
            <w:rPr>
              <w:rFonts w:asciiTheme="minorHAnsi" w:eastAsiaTheme="minorEastAsia" w:hAnsiTheme="minorHAnsi" w:cstheme="minorBidi"/>
              <w:noProof/>
              <w:sz w:val="22"/>
              <w:lang w:eastAsia="en-GB"/>
            </w:rPr>
          </w:pPr>
          <w:hyperlink w:anchor="_Toc90835878" w:history="1">
            <w:r w:rsidR="00D529A6" w:rsidRPr="002818A5">
              <w:rPr>
                <w:rStyle w:val="Hyperlink"/>
                <w:noProof/>
              </w:rPr>
              <w:t>Concepts and drivers of employee engagement</w:t>
            </w:r>
            <w:r w:rsidR="00D529A6">
              <w:rPr>
                <w:noProof/>
                <w:webHidden/>
              </w:rPr>
              <w:tab/>
            </w:r>
            <w:r w:rsidR="00D529A6">
              <w:rPr>
                <w:noProof/>
                <w:webHidden/>
              </w:rPr>
              <w:fldChar w:fldCharType="begin"/>
            </w:r>
            <w:r w:rsidR="00D529A6">
              <w:rPr>
                <w:noProof/>
                <w:webHidden/>
              </w:rPr>
              <w:instrText xml:space="preserve"> PAGEREF _Toc90835878 \h </w:instrText>
            </w:r>
            <w:r w:rsidR="00D529A6">
              <w:rPr>
                <w:noProof/>
                <w:webHidden/>
              </w:rPr>
            </w:r>
            <w:r w:rsidR="00D529A6">
              <w:rPr>
                <w:noProof/>
                <w:webHidden/>
              </w:rPr>
              <w:fldChar w:fldCharType="separate"/>
            </w:r>
            <w:r w:rsidR="00D529A6">
              <w:rPr>
                <w:noProof/>
                <w:webHidden/>
              </w:rPr>
              <w:t>3</w:t>
            </w:r>
            <w:r w:rsidR="00D529A6">
              <w:rPr>
                <w:noProof/>
                <w:webHidden/>
              </w:rPr>
              <w:fldChar w:fldCharType="end"/>
            </w:r>
          </w:hyperlink>
        </w:p>
        <w:p w14:paraId="3CFB6945" w14:textId="560F2E43" w:rsidR="00D529A6" w:rsidRDefault="00A74A65">
          <w:pPr>
            <w:pStyle w:val="TOC2"/>
            <w:tabs>
              <w:tab w:val="right" w:leader="dot" w:pos="9016"/>
            </w:tabs>
            <w:rPr>
              <w:rFonts w:asciiTheme="minorHAnsi" w:eastAsiaTheme="minorEastAsia" w:hAnsiTheme="minorHAnsi" w:cstheme="minorBidi"/>
              <w:noProof/>
              <w:sz w:val="22"/>
              <w:lang w:eastAsia="en-GB"/>
            </w:rPr>
          </w:pPr>
          <w:hyperlink w:anchor="_Toc90835879" w:history="1">
            <w:r w:rsidR="00D529A6" w:rsidRPr="002818A5">
              <w:rPr>
                <w:rStyle w:val="Hyperlink"/>
                <w:noProof/>
              </w:rPr>
              <w:t>Employee engagement drivers</w:t>
            </w:r>
            <w:r w:rsidR="00D529A6">
              <w:rPr>
                <w:noProof/>
                <w:webHidden/>
              </w:rPr>
              <w:tab/>
            </w:r>
            <w:r w:rsidR="00D529A6">
              <w:rPr>
                <w:noProof/>
                <w:webHidden/>
              </w:rPr>
              <w:fldChar w:fldCharType="begin"/>
            </w:r>
            <w:r w:rsidR="00D529A6">
              <w:rPr>
                <w:noProof/>
                <w:webHidden/>
              </w:rPr>
              <w:instrText xml:space="preserve"> PAGEREF _Toc90835879 \h </w:instrText>
            </w:r>
            <w:r w:rsidR="00D529A6">
              <w:rPr>
                <w:noProof/>
                <w:webHidden/>
              </w:rPr>
            </w:r>
            <w:r w:rsidR="00D529A6">
              <w:rPr>
                <w:noProof/>
                <w:webHidden/>
              </w:rPr>
              <w:fldChar w:fldCharType="separate"/>
            </w:r>
            <w:r w:rsidR="00D529A6">
              <w:rPr>
                <w:noProof/>
                <w:webHidden/>
              </w:rPr>
              <w:t>3</w:t>
            </w:r>
            <w:r w:rsidR="00D529A6">
              <w:rPr>
                <w:noProof/>
                <w:webHidden/>
              </w:rPr>
              <w:fldChar w:fldCharType="end"/>
            </w:r>
          </w:hyperlink>
        </w:p>
        <w:p w14:paraId="14024D24" w14:textId="5FBE441D" w:rsidR="00D529A6" w:rsidRDefault="00A74A65">
          <w:pPr>
            <w:pStyle w:val="TOC1"/>
            <w:tabs>
              <w:tab w:val="right" w:leader="dot" w:pos="9016"/>
            </w:tabs>
            <w:rPr>
              <w:rFonts w:asciiTheme="minorHAnsi" w:eastAsiaTheme="minorEastAsia" w:hAnsiTheme="minorHAnsi" w:cstheme="minorBidi"/>
              <w:noProof/>
              <w:sz w:val="22"/>
              <w:lang w:eastAsia="en-GB"/>
            </w:rPr>
          </w:pPr>
          <w:hyperlink w:anchor="_Toc90835880" w:history="1">
            <w:r w:rsidR="00D529A6" w:rsidRPr="002818A5">
              <w:rPr>
                <w:rStyle w:val="Hyperlink"/>
                <w:noProof/>
              </w:rPr>
              <w:t>Assessment of diagnostic tools for determining employee engagement</w:t>
            </w:r>
            <w:r w:rsidR="00D529A6">
              <w:rPr>
                <w:noProof/>
                <w:webHidden/>
              </w:rPr>
              <w:tab/>
            </w:r>
            <w:r w:rsidR="00D529A6">
              <w:rPr>
                <w:noProof/>
                <w:webHidden/>
              </w:rPr>
              <w:fldChar w:fldCharType="begin"/>
            </w:r>
            <w:r w:rsidR="00D529A6">
              <w:rPr>
                <w:noProof/>
                <w:webHidden/>
              </w:rPr>
              <w:instrText xml:space="preserve"> PAGEREF _Toc90835880 \h </w:instrText>
            </w:r>
            <w:r w:rsidR="00D529A6">
              <w:rPr>
                <w:noProof/>
                <w:webHidden/>
              </w:rPr>
            </w:r>
            <w:r w:rsidR="00D529A6">
              <w:rPr>
                <w:noProof/>
                <w:webHidden/>
              </w:rPr>
              <w:fldChar w:fldCharType="separate"/>
            </w:r>
            <w:r w:rsidR="00D529A6">
              <w:rPr>
                <w:noProof/>
                <w:webHidden/>
              </w:rPr>
              <w:t>4</w:t>
            </w:r>
            <w:r w:rsidR="00D529A6">
              <w:rPr>
                <w:noProof/>
                <w:webHidden/>
              </w:rPr>
              <w:fldChar w:fldCharType="end"/>
            </w:r>
          </w:hyperlink>
        </w:p>
        <w:p w14:paraId="37562616" w14:textId="6FC05CCE" w:rsidR="00D529A6" w:rsidRDefault="00A74A65">
          <w:pPr>
            <w:pStyle w:val="TOC1"/>
            <w:tabs>
              <w:tab w:val="right" w:leader="dot" w:pos="9016"/>
            </w:tabs>
            <w:rPr>
              <w:rFonts w:asciiTheme="minorHAnsi" w:eastAsiaTheme="minorEastAsia" w:hAnsiTheme="minorHAnsi" w:cstheme="minorBidi"/>
              <w:noProof/>
              <w:sz w:val="22"/>
              <w:lang w:eastAsia="en-GB"/>
            </w:rPr>
          </w:pPr>
          <w:hyperlink w:anchor="_Toc90835881" w:history="1">
            <w:r w:rsidR="00D529A6" w:rsidRPr="002818A5">
              <w:rPr>
                <w:rStyle w:val="Hyperlink"/>
                <w:noProof/>
              </w:rPr>
              <w:t>Construction of an employee value proposition</w:t>
            </w:r>
            <w:r w:rsidR="00D529A6">
              <w:rPr>
                <w:noProof/>
                <w:webHidden/>
              </w:rPr>
              <w:tab/>
            </w:r>
            <w:r w:rsidR="00D529A6">
              <w:rPr>
                <w:noProof/>
                <w:webHidden/>
              </w:rPr>
              <w:fldChar w:fldCharType="begin"/>
            </w:r>
            <w:r w:rsidR="00D529A6">
              <w:rPr>
                <w:noProof/>
                <w:webHidden/>
              </w:rPr>
              <w:instrText xml:space="preserve"> PAGEREF _Toc90835881 \h </w:instrText>
            </w:r>
            <w:r w:rsidR="00D529A6">
              <w:rPr>
                <w:noProof/>
                <w:webHidden/>
              </w:rPr>
            </w:r>
            <w:r w:rsidR="00D529A6">
              <w:rPr>
                <w:noProof/>
                <w:webHidden/>
              </w:rPr>
              <w:fldChar w:fldCharType="separate"/>
            </w:r>
            <w:r w:rsidR="00D529A6">
              <w:rPr>
                <w:noProof/>
                <w:webHidden/>
              </w:rPr>
              <w:t>6</w:t>
            </w:r>
            <w:r w:rsidR="00D529A6">
              <w:rPr>
                <w:noProof/>
                <w:webHidden/>
              </w:rPr>
              <w:fldChar w:fldCharType="end"/>
            </w:r>
          </w:hyperlink>
        </w:p>
        <w:p w14:paraId="7EFFE2D2" w14:textId="38F98270" w:rsidR="00D529A6" w:rsidRDefault="00A74A65">
          <w:pPr>
            <w:pStyle w:val="TOC1"/>
            <w:tabs>
              <w:tab w:val="right" w:leader="dot" w:pos="9016"/>
            </w:tabs>
            <w:rPr>
              <w:rFonts w:asciiTheme="minorHAnsi" w:eastAsiaTheme="minorEastAsia" w:hAnsiTheme="minorHAnsi" w:cstheme="minorBidi"/>
              <w:noProof/>
              <w:sz w:val="22"/>
              <w:lang w:eastAsia="en-GB"/>
            </w:rPr>
          </w:pPr>
          <w:hyperlink w:anchor="_Toc90835882" w:history="1">
            <w:r w:rsidR="00D529A6" w:rsidRPr="002818A5">
              <w:rPr>
                <w:rStyle w:val="Hyperlink"/>
                <w:noProof/>
              </w:rPr>
              <w:t>Engagement-increasing tactics</w:t>
            </w:r>
            <w:r w:rsidR="00D529A6">
              <w:rPr>
                <w:noProof/>
                <w:webHidden/>
              </w:rPr>
              <w:tab/>
            </w:r>
            <w:r w:rsidR="00D529A6">
              <w:rPr>
                <w:noProof/>
                <w:webHidden/>
              </w:rPr>
              <w:fldChar w:fldCharType="begin"/>
            </w:r>
            <w:r w:rsidR="00D529A6">
              <w:rPr>
                <w:noProof/>
                <w:webHidden/>
              </w:rPr>
              <w:instrText xml:space="preserve"> PAGEREF _Toc90835882 \h </w:instrText>
            </w:r>
            <w:r w:rsidR="00D529A6">
              <w:rPr>
                <w:noProof/>
                <w:webHidden/>
              </w:rPr>
            </w:r>
            <w:r w:rsidR="00D529A6">
              <w:rPr>
                <w:noProof/>
                <w:webHidden/>
              </w:rPr>
              <w:fldChar w:fldCharType="separate"/>
            </w:r>
            <w:r w:rsidR="00D529A6">
              <w:rPr>
                <w:noProof/>
                <w:webHidden/>
              </w:rPr>
              <w:t>9</w:t>
            </w:r>
            <w:r w:rsidR="00D529A6">
              <w:rPr>
                <w:noProof/>
                <w:webHidden/>
              </w:rPr>
              <w:fldChar w:fldCharType="end"/>
            </w:r>
          </w:hyperlink>
        </w:p>
        <w:p w14:paraId="39AD8169" w14:textId="7F24DE04" w:rsidR="00D529A6" w:rsidRDefault="00A74A65">
          <w:pPr>
            <w:pStyle w:val="TOC1"/>
            <w:tabs>
              <w:tab w:val="right" w:leader="dot" w:pos="9016"/>
            </w:tabs>
            <w:rPr>
              <w:rFonts w:asciiTheme="minorHAnsi" w:eastAsiaTheme="minorEastAsia" w:hAnsiTheme="minorHAnsi" w:cstheme="minorBidi"/>
              <w:noProof/>
              <w:sz w:val="22"/>
              <w:lang w:eastAsia="en-GB"/>
            </w:rPr>
          </w:pPr>
          <w:hyperlink w:anchor="_Toc90835883" w:history="1">
            <w:r w:rsidR="00D529A6" w:rsidRPr="002818A5">
              <w:rPr>
                <w:rStyle w:val="Hyperlink"/>
                <w:noProof/>
              </w:rPr>
              <w:t>Conclusion</w:t>
            </w:r>
            <w:r w:rsidR="00D529A6">
              <w:rPr>
                <w:noProof/>
                <w:webHidden/>
              </w:rPr>
              <w:tab/>
            </w:r>
            <w:r w:rsidR="00D529A6">
              <w:rPr>
                <w:noProof/>
                <w:webHidden/>
              </w:rPr>
              <w:fldChar w:fldCharType="begin"/>
            </w:r>
            <w:r w:rsidR="00D529A6">
              <w:rPr>
                <w:noProof/>
                <w:webHidden/>
              </w:rPr>
              <w:instrText xml:space="preserve"> PAGEREF _Toc90835883 \h </w:instrText>
            </w:r>
            <w:r w:rsidR="00D529A6">
              <w:rPr>
                <w:noProof/>
                <w:webHidden/>
              </w:rPr>
            </w:r>
            <w:r w:rsidR="00D529A6">
              <w:rPr>
                <w:noProof/>
                <w:webHidden/>
              </w:rPr>
              <w:fldChar w:fldCharType="separate"/>
            </w:r>
            <w:r w:rsidR="00D529A6">
              <w:rPr>
                <w:noProof/>
                <w:webHidden/>
              </w:rPr>
              <w:t>10</w:t>
            </w:r>
            <w:r w:rsidR="00D529A6">
              <w:rPr>
                <w:noProof/>
                <w:webHidden/>
              </w:rPr>
              <w:fldChar w:fldCharType="end"/>
            </w:r>
          </w:hyperlink>
        </w:p>
        <w:p w14:paraId="504A5B01" w14:textId="197DD387" w:rsidR="00D529A6" w:rsidRDefault="00A74A65">
          <w:pPr>
            <w:pStyle w:val="TOC1"/>
            <w:tabs>
              <w:tab w:val="right" w:leader="dot" w:pos="9016"/>
            </w:tabs>
            <w:rPr>
              <w:rFonts w:asciiTheme="minorHAnsi" w:eastAsiaTheme="minorEastAsia" w:hAnsiTheme="minorHAnsi" w:cstheme="minorBidi"/>
              <w:noProof/>
              <w:sz w:val="22"/>
              <w:lang w:eastAsia="en-GB"/>
            </w:rPr>
          </w:pPr>
          <w:hyperlink w:anchor="_Toc90835884" w:history="1">
            <w:r w:rsidR="00D529A6" w:rsidRPr="002818A5">
              <w:rPr>
                <w:rStyle w:val="Hyperlink"/>
                <w:rFonts w:eastAsia="Times New Roman"/>
                <w:noProof/>
              </w:rPr>
              <w:t>References</w:t>
            </w:r>
            <w:r w:rsidR="00D529A6">
              <w:rPr>
                <w:noProof/>
                <w:webHidden/>
              </w:rPr>
              <w:tab/>
            </w:r>
            <w:r w:rsidR="00D529A6">
              <w:rPr>
                <w:noProof/>
                <w:webHidden/>
              </w:rPr>
              <w:fldChar w:fldCharType="begin"/>
            </w:r>
            <w:r w:rsidR="00D529A6">
              <w:rPr>
                <w:noProof/>
                <w:webHidden/>
              </w:rPr>
              <w:instrText xml:space="preserve"> PAGEREF _Toc90835884 \h </w:instrText>
            </w:r>
            <w:r w:rsidR="00D529A6">
              <w:rPr>
                <w:noProof/>
                <w:webHidden/>
              </w:rPr>
            </w:r>
            <w:r w:rsidR="00D529A6">
              <w:rPr>
                <w:noProof/>
                <w:webHidden/>
              </w:rPr>
              <w:fldChar w:fldCharType="separate"/>
            </w:r>
            <w:r w:rsidR="00D529A6">
              <w:rPr>
                <w:noProof/>
                <w:webHidden/>
              </w:rPr>
              <w:t>10</w:t>
            </w:r>
            <w:r w:rsidR="00D529A6">
              <w:rPr>
                <w:noProof/>
                <w:webHidden/>
              </w:rPr>
              <w:fldChar w:fldCharType="end"/>
            </w:r>
          </w:hyperlink>
        </w:p>
        <w:p w14:paraId="77B512F0" w14:textId="4F92289A" w:rsidR="006F6022" w:rsidRDefault="006F6022" w:rsidP="006F6022">
          <w:pPr>
            <w:spacing w:after="200"/>
            <w:rPr>
              <w:noProof/>
              <w:lang w:val="en-US"/>
            </w:rPr>
          </w:pPr>
          <w:r>
            <w:rPr>
              <w:b/>
              <w:bCs/>
              <w:noProof/>
            </w:rPr>
            <w:fldChar w:fldCharType="end"/>
          </w:r>
        </w:p>
      </w:sdtContent>
    </w:sdt>
    <w:p w14:paraId="78A46B95" w14:textId="77777777" w:rsidR="006F6022" w:rsidRDefault="006F6022" w:rsidP="006F6022"/>
    <w:p w14:paraId="56C030A2" w14:textId="77777777" w:rsidR="006F6022" w:rsidRDefault="006F6022" w:rsidP="006F6022"/>
    <w:p w14:paraId="26169A49" w14:textId="77777777" w:rsidR="006F6022" w:rsidRDefault="006F6022" w:rsidP="006F6022"/>
    <w:p w14:paraId="4C29976B" w14:textId="77777777" w:rsidR="006F6022" w:rsidRDefault="006F6022" w:rsidP="006F6022"/>
    <w:p w14:paraId="72A2C6D9" w14:textId="77777777" w:rsidR="006F6022" w:rsidRDefault="006F6022" w:rsidP="006F6022"/>
    <w:p w14:paraId="69B37102" w14:textId="77777777" w:rsidR="006F6022" w:rsidRDefault="006F6022" w:rsidP="006F6022"/>
    <w:p w14:paraId="2403556F" w14:textId="77777777" w:rsidR="006F6022" w:rsidRDefault="006F6022" w:rsidP="006F6022"/>
    <w:p w14:paraId="2EF158E5" w14:textId="77777777" w:rsidR="006F6022" w:rsidRDefault="006F6022" w:rsidP="006F6022"/>
    <w:p w14:paraId="7BEC0D4C" w14:textId="77777777" w:rsidR="006F6022" w:rsidRDefault="006F6022" w:rsidP="006F6022"/>
    <w:p w14:paraId="29C72116" w14:textId="77777777" w:rsidR="006F6022" w:rsidRDefault="006F6022" w:rsidP="006F6022"/>
    <w:p w14:paraId="574D01DD" w14:textId="77777777" w:rsidR="006F6022" w:rsidRDefault="006F6022" w:rsidP="006F6022"/>
    <w:p w14:paraId="404D4FF4" w14:textId="77777777" w:rsidR="006F6022" w:rsidRDefault="006F6022" w:rsidP="006F6022"/>
    <w:p w14:paraId="71012738" w14:textId="77777777" w:rsidR="006F6022" w:rsidRDefault="006F6022" w:rsidP="006F6022">
      <w:pPr>
        <w:pStyle w:val="Heading1"/>
      </w:pPr>
      <w:bookmarkStart w:id="0" w:name="_Toc90835877"/>
      <w:r>
        <w:lastRenderedPageBreak/>
        <w:t>Introduction</w:t>
      </w:r>
      <w:bookmarkEnd w:id="0"/>
    </w:p>
    <w:p w14:paraId="1E3799A4" w14:textId="32FE7ED8" w:rsidR="00841F63" w:rsidRDefault="008E3BD1" w:rsidP="008E3BD1">
      <w:r>
        <w:t>According to Armstrong (2006), e</w:t>
      </w:r>
      <w:r>
        <w:t xml:space="preserve">ngagement is </w:t>
      </w:r>
      <w:r>
        <w:t>“</w:t>
      </w:r>
      <w:r>
        <w:t>a positive, two-way, relationship between an employee and their organi</w:t>
      </w:r>
      <w:r>
        <w:t>s</w:t>
      </w:r>
      <w:r>
        <w:t>ation. Both parties are aware of their own and the other’s needs, and the way they</w:t>
      </w:r>
      <w:r>
        <w:t xml:space="preserve"> </w:t>
      </w:r>
      <w:r>
        <w:t>support each other to fulfil those needs.</w:t>
      </w:r>
      <w:r>
        <w:t>”</w:t>
      </w:r>
      <w:r>
        <w:t xml:space="preserve"> </w:t>
      </w:r>
      <w:r w:rsidRPr="008E3BD1">
        <w:t>Because they perceive the mutual advantage of investing in their relationship, engaged employees and businesses will go the additional mile for one another.</w:t>
      </w:r>
      <w:r>
        <w:t xml:space="preserve"> </w:t>
      </w:r>
      <w:r w:rsidR="006F6022">
        <w:t xml:space="preserve">Employee engagement represents the level of dedication, commitment, and passion of the employees in exploring the corporate objectives, mission, and vision. It is a strong tool in increasing productivity, profitability, and efficiency (Alarifi, 2020). In the given case the chief executive officer is concerned about the low level of employee engagement in his organization. In this regard, </w:t>
      </w:r>
      <w:r w:rsidR="00841F63">
        <w:t>t</w:t>
      </w:r>
      <w:r w:rsidR="00841F63" w:rsidRPr="00841F63">
        <w:t xml:space="preserve">his </w:t>
      </w:r>
      <w:r w:rsidR="00841F63">
        <w:t>report</w:t>
      </w:r>
      <w:r w:rsidR="00841F63" w:rsidRPr="00841F63">
        <w:t xml:space="preserve"> will examine and explain the idea and drivers of employee engagement, assess the most common instruments for measuring employee engagement, and develop an employee value proposition strategy, as well as tactics for increasing employee engagement.</w:t>
      </w:r>
    </w:p>
    <w:p w14:paraId="47FF473C" w14:textId="77777777" w:rsidR="006F6022" w:rsidRDefault="006F6022" w:rsidP="006F6022">
      <w:pPr>
        <w:pStyle w:val="Heading1"/>
      </w:pPr>
      <w:bookmarkStart w:id="1" w:name="_Toc90835878"/>
      <w:r>
        <w:t>Concepts and drivers of employee engagement</w:t>
      </w:r>
      <w:bookmarkEnd w:id="1"/>
    </w:p>
    <w:p w14:paraId="275CA15D" w14:textId="28A20EF9" w:rsidR="006F6022" w:rsidRDefault="006F6022" w:rsidP="006F6022">
      <w:r>
        <w:t>According to Milkovich</w:t>
      </w:r>
      <w:r w:rsidR="001529F8">
        <w:t xml:space="preserve"> </w:t>
      </w:r>
      <w:r>
        <w:t xml:space="preserve">(2019), </w:t>
      </w:r>
      <w:r w:rsidR="00841F63">
        <w:t>e</w:t>
      </w:r>
      <w:r w:rsidR="00841F63" w:rsidRPr="00841F63">
        <w:t>mployee engagement re</w:t>
      </w:r>
      <w:r w:rsidR="00841F63">
        <w:t>fers</w:t>
      </w:r>
      <w:r w:rsidR="00841F63" w:rsidRPr="00841F63">
        <w:t xml:space="preserve"> to how committed and enthusiastic individuals are about their professions.</w:t>
      </w:r>
      <w:r w:rsidR="00841F63">
        <w:t xml:space="preserve"> </w:t>
      </w:r>
      <w:r>
        <w:t xml:space="preserve">It is related to job satisfaction and employee morale. The concept of employee engagement was first adopted in the 1990s as a part of management theory. It is a critical success factor. </w:t>
      </w:r>
      <w:r w:rsidR="001529F8">
        <w:t>Hook (2020)</w:t>
      </w:r>
      <w:r>
        <w:t xml:space="preserve"> found that engaged employees are highly productive and passionate about their jobs. Ali</w:t>
      </w:r>
      <w:r w:rsidR="001529F8">
        <w:t xml:space="preserve"> </w:t>
      </w:r>
      <w:r>
        <w:t xml:space="preserve">(2021) added that employee engagement increases corporate citizenship </w:t>
      </w:r>
      <w:r w:rsidR="001529F8">
        <w:t>behaviour</w:t>
      </w:r>
      <w:r>
        <w:t xml:space="preserve">, and corporate citizenship </w:t>
      </w:r>
      <w:r w:rsidR="001529F8">
        <w:t>behaviour</w:t>
      </w:r>
      <w:r>
        <w:t xml:space="preserve"> results in a greater commitment to a company's values and goals. Numerous studies explore a direct link of employee engagement to a company's financial health and profitability as employee engagement is related to the emotional connection of employees to their jobs and company.</w:t>
      </w:r>
    </w:p>
    <w:p w14:paraId="27A73B16" w14:textId="38FFF00B" w:rsidR="006F6022" w:rsidRDefault="00BD676C" w:rsidP="006F6022">
      <w:pPr>
        <w:pStyle w:val="Heading2"/>
      </w:pPr>
      <w:bookmarkStart w:id="2" w:name="_Toc90835879"/>
      <w:r>
        <w:t>E</w:t>
      </w:r>
      <w:r w:rsidR="006F6022">
        <w:t xml:space="preserve">mployee engagement </w:t>
      </w:r>
      <w:r>
        <w:t>drivers</w:t>
      </w:r>
      <w:bookmarkEnd w:id="2"/>
    </w:p>
    <w:p w14:paraId="55928DB6" w14:textId="25CEDDDE" w:rsidR="006F6022" w:rsidRDefault="006F6022" w:rsidP="006F6022">
      <w:r>
        <w:t>There are many drivers of employee engagement. According to Pickford</w:t>
      </w:r>
      <w:r w:rsidR="001529F8">
        <w:t xml:space="preserve"> </w:t>
      </w:r>
      <w:r>
        <w:t>(2013), the key drivers of employee engagement are:</w:t>
      </w:r>
    </w:p>
    <w:p w14:paraId="72536D55" w14:textId="77777777" w:rsidR="006F6022" w:rsidRDefault="006F6022" w:rsidP="006F6022">
      <w:pPr>
        <w:pStyle w:val="ListParagraph"/>
        <w:numPr>
          <w:ilvl w:val="0"/>
          <w:numId w:val="1"/>
        </w:numPr>
      </w:pPr>
      <w:r>
        <w:t xml:space="preserve">Effective communication system </w:t>
      </w:r>
    </w:p>
    <w:p w14:paraId="05965D81" w14:textId="77777777" w:rsidR="006F6022" w:rsidRDefault="006F6022" w:rsidP="006F6022">
      <w:pPr>
        <w:pStyle w:val="ListParagraph"/>
        <w:numPr>
          <w:ilvl w:val="0"/>
          <w:numId w:val="1"/>
        </w:numPr>
      </w:pPr>
      <w:r>
        <w:t>Performance and reward system</w:t>
      </w:r>
    </w:p>
    <w:p w14:paraId="748DC8A5" w14:textId="77777777" w:rsidR="006F6022" w:rsidRDefault="006F6022" w:rsidP="006F6022">
      <w:pPr>
        <w:pStyle w:val="ListParagraph"/>
        <w:numPr>
          <w:ilvl w:val="0"/>
          <w:numId w:val="1"/>
        </w:numPr>
      </w:pPr>
      <w:r>
        <w:t>Values and purposes</w:t>
      </w:r>
    </w:p>
    <w:p w14:paraId="7E575747" w14:textId="77777777" w:rsidR="006F6022" w:rsidRDefault="006F6022" w:rsidP="006F6022">
      <w:pPr>
        <w:pStyle w:val="ListParagraph"/>
        <w:numPr>
          <w:ilvl w:val="0"/>
          <w:numId w:val="1"/>
        </w:numPr>
      </w:pPr>
      <w:r>
        <w:t xml:space="preserve">Mental and physical well-being </w:t>
      </w:r>
    </w:p>
    <w:p w14:paraId="77BC2A03" w14:textId="77777777" w:rsidR="006F6022" w:rsidRDefault="006F6022" w:rsidP="006F6022">
      <w:pPr>
        <w:pStyle w:val="ListParagraph"/>
        <w:numPr>
          <w:ilvl w:val="0"/>
          <w:numId w:val="1"/>
        </w:numPr>
      </w:pPr>
      <w:r>
        <w:lastRenderedPageBreak/>
        <w:t xml:space="preserve">Fairness and safety </w:t>
      </w:r>
    </w:p>
    <w:p w14:paraId="08A4B299" w14:textId="77777777" w:rsidR="006F6022" w:rsidRDefault="006F6022" w:rsidP="006F6022">
      <w:pPr>
        <w:pStyle w:val="ListParagraph"/>
        <w:numPr>
          <w:ilvl w:val="0"/>
          <w:numId w:val="1"/>
        </w:numPr>
      </w:pPr>
      <w:r>
        <w:t xml:space="preserve">Learning and development opportunities </w:t>
      </w:r>
    </w:p>
    <w:p w14:paraId="316454A6" w14:textId="77777777" w:rsidR="006F6022" w:rsidRDefault="006F6022" w:rsidP="006F6022">
      <w:pPr>
        <w:pStyle w:val="ListParagraph"/>
        <w:numPr>
          <w:ilvl w:val="0"/>
          <w:numId w:val="1"/>
        </w:numPr>
      </w:pPr>
      <w:r>
        <w:t>Good employee management relationship</w:t>
      </w:r>
    </w:p>
    <w:p w14:paraId="71103F91" w14:textId="77777777" w:rsidR="006F6022" w:rsidRDefault="006F6022" w:rsidP="006F6022">
      <w:pPr>
        <w:pStyle w:val="ListParagraph"/>
        <w:numPr>
          <w:ilvl w:val="0"/>
          <w:numId w:val="1"/>
        </w:numPr>
      </w:pPr>
      <w:r>
        <w:t xml:space="preserve">Supportive workplace environment </w:t>
      </w:r>
    </w:p>
    <w:p w14:paraId="176380A9" w14:textId="1B1F60A8" w:rsidR="006F6022" w:rsidRDefault="00841F63" w:rsidP="006F6022">
      <w:r w:rsidRPr="00841F63">
        <w:t>Employee engagement, according to Oberoi (2019), is</w:t>
      </w:r>
      <w:r w:rsidR="007B2B90">
        <w:t xml:space="preserve"> also</w:t>
      </w:r>
      <w:r w:rsidRPr="00841F63">
        <w:t xml:space="preserve"> influenced </w:t>
      </w:r>
      <w:r w:rsidR="007B2B90">
        <w:t xml:space="preserve">by </w:t>
      </w:r>
      <w:r w:rsidR="006F6022">
        <w:t>co-workers’ relationships, tools, and technologies</w:t>
      </w:r>
      <w:r w:rsidR="007B2B90">
        <w:t xml:space="preserve"> and</w:t>
      </w:r>
      <w:r w:rsidR="006F6022">
        <w:t xml:space="preserve"> employee empowerment</w:t>
      </w:r>
      <w:r w:rsidR="007B2B90">
        <w:t>.</w:t>
      </w:r>
    </w:p>
    <w:p w14:paraId="5F87095E" w14:textId="035FCDA6" w:rsidR="00BD676C" w:rsidRDefault="00BD676C" w:rsidP="0038224D">
      <w:pPr>
        <w:pStyle w:val="Heading1"/>
      </w:pPr>
      <w:bookmarkStart w:id="3" w:name="_Toc90835880"/>
      <w:r w:rsidRPr="00BD676C">
        <w:t>Assessment of diagnostic tools for determining employee engagement</w:t>
      </w:r>
      <w:bookmarkEnd w:id="3"/>
    </w:p>
    <w:p w14:paraId="6F372E0B" w14:textId="20C9246C" w:rsidR="006F6022" w:rsidRDefault="006F6022" w:rsidP="006F6022">
      <w:r>
        <w:t xml:space="preserve">According to Milkovich (2019), </w:t>
      </w:r>
      <w:r w:rsidR="001529F8">
        <w:t>a</w:t>
      </w:r>
      <w:r>
        <w:t xml:space="preserve">ccurately </w:t>
      </w:r>
      <w:r w:rsidR="001529F8">
        <w:t>m</w:t>
      </w:r>
      <w:r>
        <w:t xml:space="preserve">easuring employee engagement is very complex as it is related to the complex shape of human </w:t>
      </w:r>
      <w:r w:rsidR="001529F8">
        <w:t>behaviour</w:t>
      </w:r>
      <w:r>
        <w:t>, perceptions, social values, etc. Alarifi</w:t>
      </w:r>
      <w:r w:rsidR="001529F8">
        <w:t xml:space="preserve"> </w:t>
      </w:r>
      <w:r>
        <w:t xml:space="preserve">(2020), argued that </w:t>
      </w:r>
      <w:r w:rsidR="001529F8">
        <w:t>al</w:t>
      </w:r>
      <w:r>
        <w:t>though it is difficult to measure employee engagement, it can be measured by applying appropriate diagnostic tools. According to Ali</w:t>
      </w:r>
      <w:r w:rsidR="001529F8">
        <w:t xml:space="preserve"> </w:t>
      </w:r>
      <w:r>
        <w:t>(2021), there are five tools to measure employee engagement. These are:</w:t>
      </w:r>
    </w:p>
    <w:p w14:paraId="32EE53CF" w14:textId="77777777" w:rsidR="006F6022" w:rsidRDefault="006F6022" w:rsidP="006F6022">
      <w:pPr>
        <w:pStyle w:val="ListParagraph"/>
        <w:numPr>
          <w:ilvl w:val="0"/>
          <w:numId w:val="2"/>
        </w:numPr>
      </w:pPr>
      <w:r>
        <w:t xml:space="preserve">Employee survey </w:t>
      </w:r>
    </w:p>
    <w:p w14:paraId="7C11F0C1" w14:textId="77777777" w:rsidR="006F6022" w:rsidRDefault="006F6022" w:rsidP="006F6022">
      <w:pPr>
        <w:pStyle w:val="ListParagraph"/>
        <w:numPr>
          <w:ilvl w:val="0"/>
          <w:numId w:val="2"/>
        </w:numPr>
      </w:pPr>
      <w:r>
        <w:t>HR tools</w:t>
      </w:r>
    </w:p>
    <w:p w14:paraId="574E2408" w14:textId="77777777" w:rsidR="006F6022" w:rsidRDefault="006F6022" w:rsidP="006F6022">
      <w:pPr>
        <w:pStyle w:val="ListParagraph"/>
        <w:numPr>
          <w:ilvl w:val="0"/>
          <w:numId w:val="2"/>
        </w:numPr>
      </w:pPr>
      <w:r>
        <w:t>Social media</w:t>
      </w:r>
    </w:p>
    <w:p w14:paraId="6BC933ED" w14:textId="77777777" w:rsidR="006F6022" w:rsidRDefault="006F6022" w:rsidP="006F6022">
      <w:pPr>
        <w:pStyle w:val="ListParagraph"/>
        <w:numPr>
          <w:ilvl w:val="0"/>
          <w:numId w:val="2"/>
        </w:numPr>
      </w:pPr>
      <w:r>
        <w:t xml:space="preserve">Exit interviews </w:t>
      </w:r>
    </w:p>
    <w:p w14:paraId="20D9EFF4" w14:textId="77777777" w:rsidR="006F6022" w:rsidRDefault="006F6022" w:rsidP="006F6022">
      <w:pPr>
        <w:pStyle w:val="ListParagraph"/>
        <w:numPr>
          <w:ilvl w:val="0"/>
          <w:numId w:val="2"/>
        </w:numPr>
      </w:pPr>
      <w:r>
        <w:t>Taking the advantage of employee life-cycle, etc.</w:t>
      </w:r>
    </w:p>
    <w:p w14:paraId="63D729FF" w14:textId="77777777" w:rsidR="006F6022" w:rsidRDefault="006F6022" w:rsidP="006F6022">
      <w:r>
        <w:t>A brief evaluation of these diagnostic tools is given below:</w:t>
      </w:r>
    </w:p>
    <w:tbl>
      <w:tblPr>
        <w:tblStyle w:val="TableGrid"/>
        <w:tblW w:w="0" w:type="auto"/>
        <w:tblInd w:w="0" w:type="dxa"/>
        <w:tblLook w:val="04A0" w:firstRow="1" w:lastRow="0" w:firstColumn="1" w:lastColumn="0" w:noHBand="0" w:noVBand="1"/>
      </w:tblPr>
      <w:tblGrid>
        <w:gridCol w:w="2979"/>
        <w:gridCol w:w="3022"/>
        <w:gridCol w:w="3015"/>
      </w:tblGrid>
      <w:tr w:rsidR="00287C65" w14:paraId="0FB1A85C" w14:textId="77777777" w:rsidTr="009D4B6F">
        <w:tc>
          <w:tcPr>
            <w:tcW w:w="9016" w:type="dxa"/>
            <w:gridSpan w:val="3"/>
            <w:tcBorders>
              <w:top w:val="single" w:sz="4" w:space="0" w:color="auto"/>
              <w:left w:val="single" w:sz="4" w:space="0" w:color="auto"/>
              <w:bottom w:val="single" w:sz="4" w:space="0" w:color="auto"/>
              <w:right w:val="single" w:sz="4" w:space="0" w:color="auto"/>
            </w:tcBorders>
          </w:tcPr>
          <w:p w14:paraId="38A43C7F" w14:textId="77777777" w:rsidR="00287C65" w:rsidRDefault="00287C65" w:rsidP="009D4B6F">
            <w:pPr>
              <w:jc w:val="center"/>
              <w:rPr>
                <w:b/>
                <w:bCs/>
              </w:rPr>
            </w:pPr>
            <w:r>
              <w:rPr>
                <w:b/>
                <w:bCs/>
              </w:rPr>
              <w:t>Employee survey</w:t>
            </w:r>
          </w:p>
        </w:tc>
      </w:tr>
      <w:tr w:rsidR="006F6022" w14:paraId="764F412D"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50730AFB" w14:textId="77777777" w:rsidR="006F6022" w:rsidRDefault="006F6022">
            <w:pPr>
              <w:jc w:val="center"/>
              <w:rPr>
                <w:b/>
                <w:bCs/>
              </w:rPr>
            </w:pPr>
            <w:r>
              <w:rPr>
                <w:b/>
                <w:bCs/>
              </w:rPr>
              <w:t>Particulars</w:t>
            </w:r>
          </w:p>
        </w:tc>
        <w:tc>
          <w:tcPr>
            <w:tcW w:w="3022" w:type="dxa"/>
            <w:tcBorders>
              <w:top w:val="single" w:sz="4" w:space="0" w:color="auto"/>
              <w:left w:val="single" w:sz="4" w:space="0" w:color="auto"/>
              <w:bottom w:val="single" w:sz="4" w:space="0" w:color="auto"/>
              <w:right w:val="single" w:sz="4" w:space="0" w:color="auto"/>
            </w:tcBorders>
            <w:hideMark/>
          </w:tcPr>
          <w:p w14:paraId="687915E0" w14:textId="77777777" w:rsidR="006F6022" w:rsidRDefault="006F6022">
            <w:pPr>
              <w:jc w:val="center"/>
              <w:rPr>
                <w:b/>
                <w:bCs/>
              </w:rPr>
            </w:pPr>
            <w:r>
              <w:rPr>
                <w:b/>
                <w:bCs/>
              </w:rPr>
              <w:t>Advantages</w:t>
            </w:r>
          </w:p>
        </w:tc>
        <w:tc>
          <w:tcPr>
            <w:tcW w:w="3015" w:type="dxa"/>
            <w:tcBorders>
              <w:top w:val="single" w:sz="4" w:space="0" w:color="auto"/>
              <w:left w:val="single" w:sz="4" w:space="0" w:color="auto"/>
              <w:bottom w:val="single" w:sz="4" w:space="0" w:color="auto"/>
              <w:right w:val="single" w:sz="4" w:space="0" w:color="auto"/>
            </w:tcBorders>
            <w:hideMark/>
          </w:tcPr>
          <w:p w14:paraId="08491249" w14:textId="04D29318" w:rsidR="006F6022" w:rsidRDefault="006F6022">
            <w:pPr>
              <w:jc w:val="center"/>
              <w:rPr>
                <w:b/>
                <w:bCs/>
              </w:rPr>
            </w:pPr>
            <w:r>
              <w:rPr>
                <w:b/>
                <w:bCs/>
              </w:rPr>
              <w:t>Disadvantage</w:t>
            </w:r>
            <w:r w:rsidR="00675F51">
              <w:rPr>
                <w:b/>
                <w:bCs/>
              </w:rPr>
              <w:t>s</w:t>
            </w:r>
          </w:p>
        </w:tc>
      </w:tr>
      <w:tr w:rsidR="006F6022" w14:paraId="243B0B88"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419FD140" w14:textId="21CF0B50" w:rsidR="006F6022" w:rsidRDefault="006F6022" w:rsidP="001529F8">
            <w:pPr>
              <w:jc w:val="left"/>
            </w:pPr>
            <w:r>
              <w:t xml:space="preserve">(It is the process of collecting information about the feeling and attitudes of the employees related to employee engagement through a structured questionnaire approach. There are different third parties to conduct engagement surveys called </w:t>
            </w:r>
            <w:r>
              <w:lastRenderedPageBreak/>
              <w:t>survey monkey (Tome, 2017)</w:t>
            </w:r>
            <w:r w:rsidR="001529F8">
              <w:t>.</w:t>
            </w:r>
          </w:p>
        </w:tc>
        <w:tc>
          <w:tcPr>
            <w:tcW w:w="3022" w:type="dxa"/>
            <w:tcBorders>
              <w:top w:val="single" w:sz="4" w:space="0" w:color="auto"/>
              <w:left w:val="single" w:sz="4" w:space="0" w:color="auto"/>
              <w:bottom w:val="single" w:sz="4" w:space="0" w:color="auto"/>
              <w:right w:val="single" w:sz="4" w:space="0" w:color="auto"/>
            </w:tcBorders>
            <w:hideMark/>
          </w:tcPr>
          <w:p w14:paraId="2B2B4D3B" w14:textId="192534C2" w:rsidR="006F6022" w:rsidRPr="00432883" w:rsidRDefault="001406DC" w:rsidP="001406DC">
            <w:pPr>
              <w:pStyle w:val="ListParagraph"/>
              <w:numPr>
                <w:ilvl w:val="0"/>
                <w:numId w:val="13"/>
              </w:numPr>
              <w:jc w:val="left"/>
            </w:pPr>
            <w:r>
              <w:lastRenderedPageBreak/>
              <w:t xml:space="preserve">   </w:t>
            </w:r>
            <w:r w:rsidR="006F6022" w:rsidRPr="00432883">
              <w:t>It offers a flexible format for any organization</w:t>
            </w:r>
            <w:r w:rsidR="00287C65" w:rsidRPr="00432883">
              <w:t>.</w:t>
            </w:r>
          </w:p>
          <w:p w14:paraId="373EA720" w14:textId="7288038D" w:rsidR="006F6022" w:rsidRDefault="006F6022" w:rsidP="001406DC">
            <w:pPr>
              <w:pStyle w:val="ListParagraph"/>
              <w:numPr>
                <w:ilvl w:val="0"/>
                <w:numId w:val="3"/>
              </w:numPr>
              <w:jc w:val="left"/>
            </w:pPr>
            <w:r>
              <w:t>It requires a smaller time commitment than other tools</w:t>
            </w:r>
            <w:r w:rsidR="00287C65">
              <w:t>.</w:t>
            </w:r>
          </w:p>
          <w:p w14:paraId="799E5688" w14:textId="66FD2936" w:rsidR="006F6022" w:rsidRDefault="006F6022" w:rsidP="001406DC">
            <w:pPr>
              <w:pStyle w:val="ListParagraph"/>
              <w:numPr>
                <w:ilvl w:val="0"/>
                <w:numId w:val="3"/>
              </w:numPr>
              <w:jc w:val="left"/>
            </w:pPr>
            <w:r>
              <w:t>It is cost-effective</w:t>
            </w:r>
            <w:r w:rsidR="00287C65">
              <w:t>.</w:t>
            </w:r>
          </w:p>
          <w:p w14:paraId="4A6A8C6D" w14:textId="77777777" w:rsidR="006F6022" w:rsidRDefault="006F6022" w:rsidP="001406DC">
            <w:pPr>
              <w:pStyle w:val="ListParagraph"/>
              <w:numPr>
                <w:ilvl w:val="0"/>
                <w:numId w:val="3"/>
              </w:numPr>
              <w:jc w:val="left"/>
            </w:pPr>
            <w:r>
              <w:t xml:space="preserve">It is a famous tool for measuring employee engagement and employers can depend on </w:t>
            </w:r>
            <w:r>
              <w:lastRenderedPageBreak/>
              <w:t>the outcome (Oberoi, 2019).</w:t>
            </w:r>
          </w:p>
        </w:tc>
        <w:tc>
          <w:tcPr>
            <w:tcW w:w="3015" w:type="dxa"/>
            <w:tcBorders>
              <w:top w:val="single" w:sz="4" w:space="0" w:color="auto"/>
              <w:left w:val="single" w:sz="4" w:space="0" w:color="auto"/>
              <w:bottom w:val="single" w:sz="4" w:space="0" w:color="auto"/>
              <w:right w:val="single" w:sz="4" w:space="0" w:color="auto"/>
            </w:tcBorders>
            <w:hideMark/>
          </w:tcPr>
          <w:p w14:paraId="749A1686" w14:textId="0CF51EE8" w:rsidR="006F6022" w:rsidRPr="001406DC" w:rsidRDefault="006F6022" w:rsidP="00015999">
            <w:pPr>
              <w:pStyle w:val="ListParagraph"/>
              <w:numPr>
                <w:ilvl w:val="0"/>
                <w:numId w:val="3"/>
              </w:numPr>
              <w:jc w:val="left"/>
            </w:pPr>
            <w:r w:rsidRPr="001406DC">
              <w:lastRenderedPageBreak/>
              <w:t>It may not address all the issues and employees may not provide accurate information.</w:t>
            </w:r>
          </w:p>
          <w:p w14:paraId="565F0638" w14:textId="1AFF5E7E" w:rsidR="006F6022" w:rsidRDefault="006F6022" w:rsidP="00015999">
            <w:pPr>
              <w:pStyle w:val="ListParagraph"/>
              <w:numPr>
                <w:ilvl w:val="0"/>
                <w:numId w:val="4"/>
              </w:numPr>
              <w:jc w:val="left"/>
            </w:pPr>
            <w:r>
              <w:t>Inconsistent surveys can</w:t>
            </w:r>
            <w:r w:rsidR="001406DC">
              <w:t xml:space="preserve"> </w:t>
            </w:r>
            <w:r>
              <w:t>result in a survey failure. But doing surveys consistently is costly.</w:t>
            </w:r>
          </w:p>
          <w:p w14:paraId="167E6FC8" w14:textId="77777777" w:rsidR="006F6022" w:rsidRDefault="006F6022" w:rsidP="00015999">
            <w:pPr>
              <w:pStyle w:val="ListParagraph"/>
              <w:numPr>
                <w:ilvl w:val="0"/>
                <w:numId w:val="4"/>
              </w:numPr>
              <w:jc w:val="left"/>
            </w:pPr>
            <w:r>
              <w:t xml:space="preserve">Though the survey is conducted anonymously </w:t>
            </w:r>
            <w:r>
              <w:lastRenderedPageBreak/>
              <w:t>employees may be worried about negative comments.</w:t>
            </w:r>
          </w:p>
          <w:p w14:paraId="0B93128B" w14:textId="77777777" w:rsidR="006F6022" w:rsidRDefault="006F6022" w:rsidP="006F6022">
            <w:pPr>
              <w:pStyle w:val="ListParagraph"/>
              <w:numPr>
                <w:ilvl w:val="0"/>
                <w:numId w:val="4"/>
              </w:numPr>
            </w:pPr>
            <w:r>
              <w:t>Doesn’t provide real-time ongoing feedback</w:t>
            </w:r>
          </w:p>
        </w:tc>
      </w:tr>
      <w:tr w:rsidR="00015999" w14:paraId="71D605FB" w14:textId="77777777" w:rsidTr="00371200">
        <w:tc>
          <w:tcPr>
            <w:tcW w:w="9016" w:type="dxa"/>
            <w:gridSpan w:val="3"/>
            <w:tcBorders>
              <w:top w:val="single" w:sz="4" w:space="0" w:color="auto"/>
              <w:left w:val="single" w:sz="4" w:space="0" w:color="auto"/>
              <w:bottom w:val="single" w:sz="4" w:space="0" w:color="auto"/>
              <w:right w:val="single" w:sz="4" w:space="0" w:color="auto"/>
            </w:tcBorders>
          </w:tcPr>
          <w:p w14:paraId="7CC0219A" w14:textId="4DA23188" w:rsidR="00015999" w:rsidRPr="00015999" w:rsidRDefault="00015999" w:rsidP="00015999">
            <w:pPr>
              <w:pStyle w:val="ListParagraph"/>
              <w:ind w:left="360"/>
              <w:jc w:val="center"/>
              <w:rPr>
                <w:b/>
                <w:bCs/>
              </w:rPr>
            </w:pPr>
            <w:r w:rsidRPr="00015999">
              <w:rPr>
                <w:b/>
                <w:bCs/>
              </w:rPr>
              <w:lastRenderedPageBreak/>
              <w:t xml:space="preserve">HR </w:t>
            </w:r>
            <w:r>
              <w:rPr>
                <w:b/>
                <w:bCs/>
              </w:rPr>
              <w:t>T</w:t>
            </w:r>
            <w:r w:rsidRPr="00015999">
              <w:rPr>
                <w:b/>
                <w:bCs/>
              </w:rPr>
              <w:t>ools</w:t>
            </w:r>
          </w:p>
        </w:tc>
      </w:tr>
      <w:tr w:rsidR="00015999" w14:paraId="223B1BCE" w14:textId="77777777" w:rsidTr="00287C65">
        <w:tc>
          <w:tcPr>
            <w:tcW w:w="2979" w:type="dxa"/>
            <w:tcBorders>
              <w:top w:val="single" w:sz="4" w:space="0" w:color="auto"/>
              <w:left w:val="single" w:sz="4" w:space="0" w:color="auto"/>
              <w:bottom w:val="single" w:sz="4" w:space="0" w:color="auto"/>
              <w:right w:val="single" w:sz="4" w:space="0" w:color="auto"/>
            </w:tcBorders>
          </w:tcPr>
          <w:p w14:paraId="34875291" w14:textId="1D877636" w:rsidR="00015999" w:rsidRDefault="00015999" w:rsidP="00675F51">
            <w:pPr>
              <w:jc w:val="center"/>
            </w:pPr>
            <w:r>
              <w:rPr>
                <w:b/>
                <w:bCs/>
              </w:rPr>
              <w:t>Particulars</w:t>
            </w:r>
          </w:p>
        </w:tc>
        <w:tc>
          <w:tcPr>
            <w:tcW w:w="3022" w:type="dxa"/>
            <w:tcBorders>
              <w:top w:val="single" w:sz="4" w:space="0" w:color="auto"/>
              <w:left w:val="single" w:sz="4" w:space="0" w:color="auto"/>
              <w:bottom w:val="single" w:sz="4" w:space="0" w:color="auto"/>
              <w:right w:val="single" w:sz="4" w:space="0" w:color="auto"/>
            </w:tcBorders>
          </w:tcPr>
          <w:p w14:paraId="46774E8E" w14:textId="70CEAF62" w:rsidR="00015999" w:rsidRDefault="00015999" w:rsidP="00675F51">
            <w:pPr>
              <w:pStyle w:val="ListParagraph"/>
              <w:ind w:left="360"/>
              <w:jc w:val="center"/>
            </w:pPr>
            <w:r>
              <w:rPr>
                <w:b/>
                <w:bCs/>
              </w:rPr>
              <w:t>Advantages</w:t>
            </w:r>
          </w:p>
        </w:tc>
        <w:tc>
          <w:tcPr>
            <w:tcW w:w="3015" w:type="dxa"/>
            <w:tcBorders>
              <w:top w:val="single" w:sz="4" w:space="0" w:color="auto"/>
              <w:left w:val="single" w:sz="4" w:space="0" w:color="auto"/>
              <w:bottom w:val="single" w:sz="4" w:space="0" w:color="auto"/>
              <w:right w:val="single" w:sz="4" w:space="0" w:color="auto"/>
            </w:tcBorders>
          </w:tcPr>
          <w:p w14:paraId="6A0D7B2B" w14:textId="1D61BC7D" w:rsidR="00015999" w:rsidRDefault="00015999" w:rsidP="00675F51">
            <w:pPr>
              <w:jc w:val="center"/>
            </w:pPr>
            <w:r w:rsidRPr="00675F51">
              <w:rPr>
                <w:b/>
                <w:bCs/>
              </w:rPr>
              <w:t>Disadvantage</w:t>
            </w:r>
            <w:r w:rsidR="00675F51">
              <w:rPr>
                <w:b/>
                <w:bCs/>
              </w:rPr>
              <w:t>s</w:t>
            </w:r>
          </w:p>
        </w:tc>
      </w:tr>
      <w:tr w:rsidR="00015999" w14:paraId="6FED860D"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1E99EBC8" w14:textId="77777777" w:rsidR="00015999" w:rsidRDefault="00015999" w:rsidP="00015999">
            <w:pPr>
              <w:jc w:val="left"/>
            </w:pPr>
            <w:r>
              <w:t>It refers to the continual process of using HR management tools to collect, analyze, evaluate employees’ feedback about their satisfaction to understand employee engagement (Ali, 2021).</w:t>
            </w:r>
          </w:p>
        </w:tc>
        <w:tc>
          <w:tcPr>
            <w:tcW w:w="3022" w:type="dxa"/>
            <w:tcBorders>
              <w:top w:val="single" w:sz="4" w:space="0" w:color="auto"/>
              <w:left w:val="single" w:sz="4" w:space="0" w:color="auto"/>
              <w:bottom w:val="single" w:sz="4" w:space="0" w:color="auto"/>
              <w:right w:val="single" w:sz="4" w:space="0" w:color="auto"/>
            </w:tcBorders>
            <w:hideMark/>
          </w:tcPr>
          <w:p w14:paraId="11F72C07" w14:textId="77777777" w:rsidR="00015999" w:rsidRDefault="00015999" w:rsidP="00015999">
            <w:pPr>
              <w:pStyle w:val="ListParagraph"/>
              <w:numPr>
                <w:ilvl w:val="0"/>
                <w:numId w:val="5"/>
              </w:numPr>
              <w:jc w:val="left"/>
            </w:pPr>
            <w:r>
              <w:t>It overcomes the limitations of the employee survey approach and provides feedback on a real-time basis.</w:t>
            </w:r>
          </w:p>
          <w:p w14:paraId="5260D040" w14:textId="77777777" w:rsidR="00015999" w:rsidRDefault="00015999" w:rsidP="00015999">
            <w:pPr>
              <w:pStyle w:val="ListParagraph"/>
              <w:numPr>
                <w:ilvl w:val="0"/>
                <w:numId w:val="5"/>
              </w:numPr>
              <w:jc w:val="left"/>
            </w:pPr>
            <w:r>
              <w:t>Performance management software can be used here</w:t>
            </w:r>
          </w:p>
          <w:p w14:paraId="6721FA91" w14:textId="77777777" w:rsidR="00015999" w:rsidRDefault="00015999" w:rsidP="00015999">
            <w:pPr>
              <w:pStyle w:val="ListParagraph"/>
              <w:numPr>
                <w:ilvl w:val="0"/>
                <w:numId w:val="5"/>
              </w:numPr>
              <w:jc w:val="left"/>
            </w:pPr>
            <w:r>
              <w:t>It is directly linked to human resource management</w:t>
            </w:r>
          </w:p>
          <w:p w14:paraId="1D968C48" w14:textId="77777777" w:rsidR="00015999" w:rsidRDefault="00015999" w:rsidP="00015999">
            <w:pPr>
              <w:pStyle w:val="ListParagraph"/>
              <w:numPr>
                <w:ilvl w:val="0"/>
                <w:numId w:val="5"/>
              </w:numPr>
              <w:jc w:val="left"/>
            </w:pPr>
            <w:r>
              <w:t>Continual tracking helps to improve performance</w:t>
            </w:r>
          </w:p>
        </w:tc>
        <w:tc>
          <w:tcPr>
            <w:tcW w:w="3015" w:type="dxa"/>
            <w:tcBorders>
              <w:top w:val="single" w:sz="4" w:space="0" w:color="auto"/>
              <w:left w:val="single" w:sz="4" w:space="0" w:color="auto"/>
              <w:bottom w:val="single" w:sz="4" w:space="0" w:color="auto"/>
              <w:right w:val="single" w:sz="4" w:space="0" w:color="auto"/>
            </w:tcBorders>
          </w:tcPr>
          <w:p w14:paraId="33906672" w14:textId="77777777" w:rsidR="00015999" w:rsidRDefault="00015999" w:rsidP="00015999">
            <w:pPr>
              <w:pStyle w:val="ListParagraph"/>
              <w:numPr>
                <w:ilvl w:val="0"/>
                <w:numId w:val="5"/>
              </w:numPr>
              <w:jc w:val="left"/>
            </w:pPr>
            <w:r>
              <w:t>On the job, feedback may not be accurate</w:t>
            </w:r>
          </w:p>
          <w:p w14:paraId="45B6F769" w14:textId="77777777" w:rsidR="00015999" w:rsidRDefault="00015999" w:rsidP="00015999">
            <w:pPr>
              <w:pStyle w:val="ListParagraph"/>
              <w:numPr>
                <w:ilvl w:val="0"/>
                <w:numId w:val="5"/>
              </w:numPr>
              <w:jc w:val="left"/>
            </w:pPr>
            <w:r>
              <w:t xml:space="preserve">It can raise fear in employees’ minds while providing negative feedback </w:t>
            </w:r>
          </w:p>
          <w:p w14:paraId="173E4260" w14:textId="77777777" w:rsidR="00015999" w:rsidRDefault="00015999" w:rsidP="00015999">
            <w:pPr>
              <w:pStyle w:val="ListParagraph"/>
              <w:numPr>
                <w:ilvl w:val="0"/>
                <w:numId w:val="5"/>
              </w:numPr>
              <w:jc w:val="left"/>
            </w:pPr>
            <w:r>
              <w:t>There is the threat of programming errors (Jackson, 2021)</w:t>
            </w:r>
          </w:p>
          <w:p w14:paraId="4A851E70" w14:textId="77777777" w:rsidR="00015999" w:rsidRDefault="00015999" w:rsidP="00015999">
            <w:pPr>
              <w:jc w:val="left"/>
            </w:pPr>
          </w:p>
        </w:tc>
      </w:tr>
      <w:tr w:rsidR="00675F51" w14:paraId="5FD810F8" w14:textId="77777777" w:rsidTr="005C63CE">
        <w:tc>
          <w:tcPr>
            <w:tcW w:w="9016" w:type="dxa"/>
            <w:gridSpan w:val="3"/>
            <w:tcBorders>
              <w:top w:val="single" w:sz="4" w:space="0" w:color="auto"/>
              <w:left w:val="single" w:sz="4" w:space="0" w:color="auto"/>
              <w:bottom w:val="single" w:sz="4" w:space="0" w:color="auto"/>
              <w:right w:val="single" w:sz="4" w:space="0" w:color="auto"/>
            </w:tcBorders>
          </w:tcPr>
          <w:p w14:paraId="7AFD3B47" w14:textId="654B0F29" w:rsidR="00675F51" w:rsidRPr="00675F51" w:rsidRDefault="00675F51" w:rsidP="00675F51">
            <w:pPr>
              <w:jc w:val="center"/>
              <w:rPr>
                <w:b/>
                <w:bCs/>
              </w:rPr>
            </w:pPr>
            <w:r w:rsidRPr="00675F51">
              <w:rPr>
                <w:b/>
                <w:bCs/>
              </w:rPr>
              <w:t>Social Media</w:t>
            </w:r>
          </w:p>
        </w:tc>
      </w:tr>
      <w:tr w:rsidR="00015999" w14:paraId="5BF177D4"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5DC5C38D" w14:textId="279D771B" w:rsidR="00015999" w:rsidRDefault="00015999" w:rsidP="00675F51">
            <w:pPr>
              <w:jc w:val="left"/>
            </w:pPr>
            <w:r>
              <w:t>(It represents the analysis and evaluation of social media interactions such as email, Facebook, Instagram, Twitter, LinkedIn, etc. to understand employee satisfaction and engagement (Heery, 2</w:t>
            </w:r>
            <w:r w:rsidR="00675F51">
              <w:t>0</w:t>
            </w:r>
            <w:r>
              <w:t>17))</w:t>
            </w:r>
          </w:p>
        </w:tc>
        <w:tc>
          <w:tcPr>
            <w:tcW w:w="3022" w:type="dxa"/>
            <w:tcBorders>
              <w:top w:val="single" w:sz="4" w:space="0" w:color="auto"/>
              <w:left w:val="single" w:sz="4" w:space="0" w:color="auto"/>
              <w:bottom w:val="single" w:sz="4" w:space="0" w:color="auto"/>
              <w:right w:val="single" w:sz="4" w:space="0" w:color="auto"/>
            </w:tcBorders>
            <w:hideMark/>
          </w:tcPr>
          <w:p w14:paraId="06EBE76C" w14:textId="77777777" w:rsidR="00015999" w:rsidRDefault="00015999" w:rsidP="00675F51">
            <w:pPr>
              <w:pStyle w:val="ListParagraph"/>
              <w:numPr>
                <w:ilvl w:val="0"/>
                <w:numId w:val="6"/>
              </w:numPr>
              <w:jc w:val="left"/>
            </w:pPr>
            <w:r>
              <w:t xml:space="preserve">It is cost-effective </w:t>
            </w:r>
          </w:p>
          <w:p w14:paraId="2319BCA1" w14:textId="77777777" w:rsidR="00015999" w:rsidRDefault="00015999" w:rsidP="00675F51">
            <w:pPr>
              <w:pStyle w:val="ListParagraph"/>
              <w:numPr>
                <w:ilvl w:val="0"/>
                <w:numId w:val="6"/>
              </w:numPr>
              <w:jc w:val="left"/>
            </w:pPr>
            <w:r>
              <w:t xml:space="preserve">Programming applications can be used to analyze </w:t>
            </w:r>
          </w:p>
          <w:p w14:paraId="2D662E47" w14:textId="77777777" w:rsidR="00015999" w:rsidRDefault="00015999" w:rsidP="00675F51">
            <w:pPr>
              <w:pStyle w:val="ListParagraph"/>
              <w:numPr>
                <w:ilvl w:val="0"/>
                <w:numId w:val="6"/>
              </w:numPr>
              <w:jc w:val="left"/>
            </w:pPr>
            <w:r>
              <w:t>Can provide continual feedback (Hook, 2020)</w:t>
            </w:r>
          </w:p>
        </w:tc>
        <w:tc>
          <w:tcPr>
            <w:tcW w:w="3015" w:type="dxa"/>
            <w:tcBorders>
              <w:top w:val="single" w:sz="4" w:space="0" w:color="auto"/>
              <w:left w:val="single" w:sz="4" w:space="0" w:color="auto"/>
              <w:bottom w:val="single" w:sz="4" w:space="0" w:color="auto"/>
              <w:right w:val="single" w:sz="4" w:space="0" w:color="auto"/>
            </w:tcBorders>
            <w:hideMark/>
          </w:tcPr>
          <w:p w14:paraId="440A1FB3" w14:textId="77777777" w:rsidR="00015999" w:rsidRDefault="00015999" w:rsidP="00675F51">
            <w:pPr>
              <w:pStyle w:val="ListParagraph"/>
              <w:numPr>
                <w:ilvl w:val="0"/>
                <w:numId w:val="6"/>
              </w:numPr>
              <w:jc w:val="left"/>
            </w:pPr>
            <w:r>
              <w:t>There is a difference between social media interaction and work-life</w:t>
            </w:r>
          </w:p>
          <w:p w14:paraId="536F01EC" w14:textId="77777777" w:rsidR="00015999" w:rsidRDefault="00015999" w:rsidP="00675F51">
            <w:pPr>
              <w:pStyle w:val="ListParagraph"/>
              <w:numPr>
                <w:ilvl w:val="0"/>
                <w:numId w:val="6"/>
              </w:numPr>
              <w:jc w:val="left"/>
            </w:pPr>
            <w:r>
              <w:t>Employees may not always share their thinking and feelings on social media</w:t>
            </w:r>
          </w:p>
          <w:p w14:paraId="64A9AA27" w14:textId="77777777" w:rsidR="00015999" w:rsidRDefault="00015999" w:rsidP="00675F51">
            <w:pPr>
              <w:pStyle w:val="ListParagraph"/>
              <w:numPr>
                <w:ilvl w:val="0"/>
                <w:numId w:val="6"/>
              </w:numPr>
              <w:jc w:val="left"/>
            </w:pPr>
            <w:r>
              <w:t xml:space="preserve">It is not a structured approach and there can be a gap between </w:t>
            </w:r>
            <w:r>
              <w:lastRenderedPageBreak/>
              <w:t>employers’ requirements and social media posts</w:t>
            </w:r>
          </w:p>
        </w:tc>
      </w:tr>
      <w:tr w:rsidR="00675F51" w14:paraId="53915E01" w14:textId="77777777" w:rsidTr="003B72AA">
        <w:tc>
          <w:tcPr>
            <w:tcW w:w="9016" w:type="dxa"/>
            <w:gridSpan w:val="3"/>
            <w:tcBorders>
              <w:top w:val="single" w:sz="4" w:space="0" w:color="auto"/>
              <w:left w:val="single" w:sz="4" w:space="0" w:color="auto"/>
              <w:bottom w:val="single" w:sz="4" w:space="0" w:color="auto"/>
              <w:right w:val="single" w:sz="4" w:space="0" w:color="auto"/>
            </w:tcBorders>
          </w:tcPr>
          <w:p w14:paraId="39E2F9AE" w14:textId="477DAB34" w:rsidR="00675F51" w:rsidRPr="00675F51" w:rsidRDefault="00675F51" w:rsidP="00675F51">
            <w:pPr>
              <w:jc w:val="center"/>
              <w:rPr>
                <w:b/>
                <w:bCs/>
              </w:rPr>
            </w:pPr>
            <w:r w:rsidRPr="00675F51">
              <w:rPr>
                <w:b/>
                <w:bCs/>
              </w:rPr>
              <w:lastRenderedPageBreak/>
              <w:t>Exit Interviews</w:t>
            </w:r>
          </w:p>
        </w:tc>
      </w:tr>
      <w:tr w:rsidR="00015999" w14:paraId="0444E5E7"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589334DE" w14:textId="77777777" w:rsidR="00015999" w:rsidRDefault="00015999" w:rsidP="00675F51">
            <w:pPr>
              <w:jc w:val="left"/>
            </w:pPr>
            <w:r>
              <w:t>(It represents the technique to ask a well-designed employee engagement survey questions to the employees who are going to leave the organization. It may help to find out the drawbacks of the organization.)</w:t>
            </w:r>
          </w:p>
        </w:tc>
        <w:tc>
          <w:tcPr>
            <w:tcW w:w="3022" w:type="dxa"/>
            <w:tcBorders>
              <w:top w:val="single" w:sz="4" w:space="0" w:color="auto"/>
              <w:left w:val="single" w:sz="4" w:space="0" w:color="auto"/>
              <w:bottom w:val="single" w:sz="4" w:space="0" w:color="auto"/>
              <w:right w:val="single" w:sz="4" w:space="0" w:color="auto"/>
            </w:tcBorders>
            <w:hideMark/>
          </w:tcPr>
          <w:p w14:paraId="226009FB" w14:textId="77777777" w:rsidR="00015999" w:rsidRDefault="00015999" w:rsidP="00675F51">
            <w:pPr>
              <w:pStyle w:val="ListParagraph"/>
              <w:numPr>
                <w:ilvl w:val="0"/>
                <w:numId w:val="7"/>
              </w:numPr>
              <w:jc w:val="left"/>
            </w:pPr>
            <w:r>
              <w:t xml:space="preserve">Exit employees may provide accurate information </w:t>
            </w:r>
          </w:p>
          <w:p w14:paraId="596BBA26" w14:textId="77777777" w:rsidR="00015999" w:rsidRDefault="00015999" w:rsidP="00675F51">
            <w:pPr>
              <w:pStyle w:val="ListParagraph"/>
              <w:numPr>
                <w:ilvl w:val="0"/>
                <w:numId w:val="7"/>
              </w:numPr>
              <w:jc w:val="left"/>
            </w:pPr>
            <w:r>
              <w:t>It is the most effective source of improving organizational bugs</w:t>
            </w:r>
          </w:p>
          <w:p w14:paraId="14D12716" w14:textId="77777777" w:rsidR="00015999" w:rsidRDefault="00015999" w:rsidP="00675F51">
            <w:pPr>
              <w:pStyle w:val="ListParagraph"/>
              <w:numPr>
                <w:ilvl w:val="0"/>
                <w:numId w:val="7"/>
              </w:numPr>
              <w:jc w:val="left"/>
            </w:pPr>
            <w:r>
              <w:t>A structured approach can be applied (Hook, 2020)</w:t>
            </w:r>
          </w:p>
        </w:tc>
        <w:tc>
          <w:tcPr>
            <w:tcW w:w="3015" w:type="dxa"/>
            <w:tcBorders>
              <w:top w:val="single" w:sz="4" w:space="0" w:color="auto"/>
              <w:left w:val="single" w:sz="4" w:space="0" w:color="auto"/>
              <w:bottom w:val="single" w:sz="4" w:space="0" w:color="auto"/>
              <w:right w:val="single" w:sz="4" w:space="0" w:color="auto"/>
            </w:tcBorders>
            <w:hideMark/>
          </w:tcPr>
          <w:p w14:paraId="36D54452" w14:textId="77777777" w:rsidR="00015999" w:rsidRDefault="00015999" w:rsidP="00675F51">
            <w:pPr>
              <w:pStyle w:val="ListParagraph"/>
              <w:numPr>
                <w:ilvl w:val="0"/>
                <w:numId w:val="8"/>
              </w:numPr>
              <w:jc w:val="left"/>
            </w:pPr>
            <w:r>
              <w:t xml:space="preserve">Exit interviews can be biased as they are quitting </w:t>
            </w:r>
          </w:p>
          <w:p w14:paraId="2EAAC2A6" w14:textId="77777777" w:rsidR="00015999" w:rsidRDefault="00015999" w:rsidP="00675F51">
            <w:pPr>
              <w:pStyle w:val="ListParagraph"/>
              <w:numPr>
                <w:ilvl w:val="0"/>
                <w:numId w:val="8"/>
              </w:numPr>
              <w:jc w:val="left"/>
            </w:pPr>
            <w:r>
              <w:t xml:space="preserve">Interviews may include tough questions to answer </w:t>
            </w:r>
          </w:p>
          <w:p w14:paraId="67FA315F" w14:textId="77777777" w:rsidR="00015999" w:rsidRDefault="00015999" w:rsidP="00675F51">
            <w:pPr>
              <w:pStyle w:val="ListParagraph"/>
              <w:numPr>
                <w:ilvl w:val="0"/>
                <w:numId w:val="8"/>
              </w:numPr>
              <w:jc w:val="left"/>
            </w:pPr>
            <w:r>
              <w:t>It doesn’t provide ongoing evaluation too.</w:t>
            </w:r>
          </w:p>
        </w:tc>
      </w:tr>
    </w:tbl>
    <w:p w14:paraId="623480F8" w14:textId="77777777" w:rsidR="006F6022" w:rsidRDefault="006F6022" w:rsidP="006F6022">
      <w:pPr>
        <w:rPr>
          <w:lang w:val="en-US"/>
        </w:rPr>
      </w:pPr>
    </w:p>
    <w:p w14:paraId="134490D3" w14:textId="77777777" w:rsidR="006F6022" w:rsidRDefault="006F6022" w:rsidP="006F6022">
      <w:pPr>
        <w:pStyle w:val="Heading1"/>
      </w:pPr>
      <w:bookmarkStart w:id="4" w:name="_Toc90835881"/>
      <w:r>
        <w:t>Construction of an employee value proposition</w:t>
      </w:r>
      <w:bookmarkEnd w:id="4"/>
    </w:p>
    <w:p w14:paraId="4874A340" w14:textId="203FA299" w:rsidR="006F6022" w:rsidRDefault="006F6022" w:rsidP="006F6022">
      <w:r>
        <w:t>According to Hook (2020)</w:t>
      </w:r>
      <w:r w:rsidR="00675F51">
        <w:t>,</w:t>
      </w:r>
      <w:r>
        <w:t xml:space="preserve"> Employee Value Proposition (EVP) refers to the process of balancing rewards and benefits that a company can offer to its employees. It is one kind of employee branding to attract the skills and employees they desire. Ali (2021) added that it is a unique set of benefits that an organization offers to its employees in return for their skills, abilities, and experiences. EVP attracts talent, helps to increase motivation, and increases employee engagement. </w:t>
      </w:r>
      <w:r w:rsidR="00675F51">
        <w:t>T</w:t>
      </w:r>
      <w:r>
        <w:t>he plan for creating an effective value proposition</w:t>
      </w:r>
      <w:r w:rsidR="00675F51">
        <w:t xml:space="preserve"> can be found below.</w:t>
      </w:r>
    </w:p>
    <w:p w14:paraId="3DA7BBB8" w14:textId="77777777" w:rsidR="006F6022" w:rsidRDefault="006F6022" w:rsidP="006F6022">
      <w:pPr>
        <w:pStyle w:val="NoSpacing"/>
      </w:pPr>
      <w:r>
        <w:t>Understanding their existing perceptions</w:t>
      </w:r>
    </w:p>
    <w:p w14:paraId="66D96A24" w14:textId="36C80190" w:rsidR="006F6022" w:rsidRDefault="006F6022" w:rsidP="006F6022">
      <w:r>
        <w:t>It is crucial to determine the existing perceptions of the company that may attract potential talent and skilled workers. This process will start by evaluating the perception of existing employees and how they value their organization. It’s all about clearly understanding the pros and cons of the organization about its uniqueness and the ability to attract employees by its current perceptions (Ali, 2021). The chief executive can ask the following questions to understand the existing perceptions:</w:t>
      </w:r>
    </w:p>
    <w:p w14:paraId="3E671BCC" w14:textId="77777777" w:rsidR="00E11426" w:rsidRDefault="00E11426" w:rsidP="006F6022"/>
    <w:p w14:paraId="2B6402B1" w14:textId="14A23110" w:rsidR="00E11426" w:rsidRDefault="006F6022" w:rsidP="00E11426">
      <w:pPr>
        <w:jc w:val="center"/>
      </w:pPr>
      <w:r>
        <w:rPr>
          <w:noProof/>
        </w:rPr>
        <w:lastRenderedPageBreak/>
        <w:drawing>
          <wp:inline distT="0" distB="0" distL="0" distR="0" wp14:anchorId="42FAC5D2" wp14:editId="58E19AC5">
            <wp:extent cx="4257675" cy="2143125"/>
            <wp:effectExtent l="0" t="0" r="9525" b="952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7675" cy="2143125"/>
                    </a:xfrm>
                    <a:prstGeom prst="rect">
                      <a:avLst/>
                    </a:prstGeom>
                    <a:noFill/>
                    <a:ln>
                      <a:noFill/>
                    </a:ln>
                  </pic:spPr>
                </pic:pic>
              </a:graphicData>
            </a:graphic>
          </wp:inline>
        </w:drawing>
      </w:r>
    </w:p>
    <w:p w14:paraId="04D4912E" w14:textId="62672E31" w:rsidR="006F6022" w:rsidRDefault="006F6022" w:rsidP="006F6022">
      <w:pPr>
        <w:pStyle w:val="NoSpacing"/>
      </w:pPr>
      <w:r>
        <w:t>Determining the key selling points</w:t>
      </w:r>
    </w:p>
    <w:p w14:paraId="69D23526" w14:textId="59F6E0AF" w:rsidR="006F6022" w:rsidRDefault="006F6022" w:rsidP="006F6022">
      <w:r>
        <w:t>To determine the key selling point of the organization</w:t>
      </w:r>
      <w:r w:rsidR="00E11426">
        <w:t>,</w:t>
      </w:r>
      <w:r>
        <w:t xml:space="preserve"> a cross-functional team is required to review the research and determine the aspects of the organization that employees value most (Farnham</w:t>
      </w:r>
      <w:r w:rsidR="00B16FA1">
        <w:t xml:space="preserve"> and Smith</w:t>
      </w:r>
      <w:r>
        <w:t>, 2015). It is one kind of employer branding to the employee about its EVP. The following questionnaire can help the chief executive to determine the key selling points:</w:t>
      </w:r>
    </w:p>
    <w:p w14:paraId="404DEFC9" w14:textId="02EEDD43" w:rsidR="006F6022" w:rsidRDefault="006F6022" w:rsidP="006F6022">
      <w:pPr>
        <w:jc w:val="center"/>
      </w:pPr>
      <w:r>
        <w:rPr>
          <w:noProof/>
        </w:rPr>
        <w:drawing>
          <wp:inline distT="0" distB="0" distL="0" distR="0" wp14:anchorId="2983EE98" wp14:editId="346ADEB7">
            <wp:extent cx="4762500" cy="2085975"/>
            <wp:effectExtent l="0" t="0" r="0" b="952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085975"/>
                    </a:xfrm>
                    <a:prstGeom prst="rect">
                      <a:avLst/>
                    </a:prstGeom>
                    <a:noFill/>
                    <a:ln>
                      <a:noFill/>
                    </a:ln>
                  </pic:spPr>
                </pic:pic>
              </a:graphicData>
            </a:graphic>
          </wp:inline>
        </w:drawing>
      </w:r>
    </w:p>
    <w:p w14:paraId="08F4CAF7" w14:textId="77777777" w:rsidR="006F6022" w:rsidRDefault="006F6022" w:rsidP="006F6022">
      <w:pPr>
        <w:pStyle w:val="NoSpacing"/>
      </w:pPr>
      <w:r>
        <w:t>Creating an EVP</w:t>
      </w:r>
    </w:p>
    <w:p w14:paraId="321B0A26" w14:textId="55CE483F" w:rsidR="006F6022" w:rsidRDefault="006F6022" w:rsidP="006F6022">
      <w:r>
        <w:t xml:space="preserve">While creating an EVP the chief executive should focus on the compensation and benefits, career growth opportunities, corporate culture, wellness, diversity, equity, and inclusion. </w:t>
      </w:r>
      <w:r w:rsidR="00E11426">
        <w:t>A</w:t>
      </w:r>
      <w:r>
        <w:t>ccording to Farnham</w:t>
      </w:r>
      <w:r w:rsidR="00E11426">
        <w:t xml:space="preserve"> </w:t>
      </w:r>
      <w:r w:rsidR="00B16FA1">
        <w:t xml:space="preserve">and Smith </w:t>
      </w:r>
      <w:r>
        <w:t xml:space="preserve">(2015), </w:t>
      </w:r>
      <w:r w:rsidR="00E11426">
        <w:t>c</w:t>
      </w:r>
      <w:r>
        <w:t xml:space="preserve">ompetitive salary, paying for holidays, sick leaves, medical insurance, retirement benefit, etc. </w:t>
      </w:r>
      <w:r w:rsidR="00E11426">
        <w:t>s</w:t>
      </w:r>
      <w:r>
        <w:t xml:space="preserve">hould be included in compensation and benefits. Career advancement opportunities, leadership growth opportunities, professional development plan, etc. </w:t>
      </w:r>
      <w:r w:rsidR="00E11426">
        <w:t>s</w:t>
      </w:r>
      <w:r>
        <w:t xml:space="preserve">hould be included in career growth opportunities in the EVP.  </w:t>
      </w:r>
      <w:r w:rsidR="00B16FA1">
        <w:t>B</w:t>
      </w:r>
      <w:r>
        <w:t xml:space="preserve">uilding a supportive and collaborative organizational culture, compliance with social responsibility, ensuring work-life balance, introducing longevity service awards, etc. are the basic elements for effective corporate culture. According to Ali (2021), fitness program opportunities, corporate challenges, employee assistance programs, arranging different tournaments, etc. are crucial </w:t>
      </w:r>
      <w:r>
        <w:lastRenderedPageBreak/>
        <w:t>enrolments for employee wellness and organization</w:t>
      </w:r>
      <w:r w:rsidR="00B16FA1">
        <w:t>s</w:t>
      </w:r>
      <w:r>
        <w:t xml:space="preserve"> should closely look at </w:t>
      </w:r>
      <w:r w:rsidR="00B16FA1">
        <w:t>these</w:t>
      </w:r>
      <w:r>
        <w:t xml:space="preserve"> for an effective EVP. Finally, corporate diversity, equity, and inclusion along with the strategies to support environmental belonging are required to include in the EVP to attract new talent and retain the existing talents. So, the chief executive should critically evaluate the above-pointed issues in designing an effective EVP. After designing the EVP, it can be tested on the existing employee</w:t>
      </w:r>
      <w:r w:rsidR="00B16FA1">
        <w:t>s</w:t>
      </w:r>
      <w:r>
        <w:t xml:space="preserve"> to determine whether the EVP is effective </w:t>
      </w:r>
      <w:r w:rsidR="00B16FA1">
        <w:t xml:space="preserve">enough. </w:t>
      </w:r>
      <w:r w:rsidR="007B2B90" w:rsidRPr="007B2B90">
        <w:t>Employee feedback can assist in improving the EVP's performance</w:t>
      </w:r>
      <w:r>
        <w:t>. It will also help to articulate why the existing employees are working for the company.</w:t>
      </w:r>
    </w:p>
    <w:p w14:paraId="526111EB" w14:textId="67E6BA3A" w:rsidR="006F6022" w:rsidRDefault="006F6022" w:rsidP="006F6022">
      <w:pPr>
        <w:jc w:val="center"/>
      </w:pPr>
      <w:r>
        <w:rPr>
          <w:noProof/>
        </w:rPr>
        <w:drawing>
          <wp:inline distT="0" distB="0" distL="0" distR="0" wp14:anchorId="456506E0" wp14:editId="6A8E15C9">
            <wp:extent cx="5705475" cy="3286125"/>
            <wp:effectExtent l="0" t="0" r="9525" b="9525"/>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5475" cy="3286125"/>
                    </a:xfrm>
                    <a:prstGeom prst="rect">
                      <a:avLst/>
                    </a:prstGeom>
                    <a:noFill/>
                    <a:ln>
                      <a:noFill/>
                    </a:ln>
                  </pic:spPr>
                </pic:pic>
              </a:graphicData>
            </a:graphic>
          </wp:inline>
        </w:drawing>
      </w:r>
    </w:p>
    <w:p w14:paraId="70F95476" w14:textId="77777777" w:rsidR="006F6022" w:rsidRDefault="006F6022" w:rsidP="006F6022">
      <w:pPr>
        <w:jc w:val="center"/>
      </w:pPr>
      <w:r>
        <w:t>Figure: EVP (Ali, 2021)</w:t>
      </w:r>
    </w:p>
    <w:p w14:paraId="282A28E2" w14:textId="77777777" w:rsidR="006F6022" w:rsidRDefault="006F6022" w:rsidP="006F6022">
      <w:pPr>
        <w:pStyle w:val="NoSpacing"/>
      </w:pPr>
      <w:r>
        <w:t xml:space="preserve">Communicating the message </w:t>
      </w:r>
    </w:p>
    <w:p w14:paraId="746F1CDF" w14:textId="6E6979E5" w:rsidR="006F6022" w:rsidRDefault="006F6022" w:rsidP="006F6022">
      <w:r>
        <w:t>After designing the EVP, it is important to communicate it to the existing employees and the potential employees. Advertising it through the hiring channels, websites, magazines, journals, newspapers</w:t>
      </w:r>
      <w:r w:rsidR="0056462D">
        <w:t xml:space="preserve"> </w:t>
      </w:r>
      <w:r>
        <w:t xml:space="preserve">etc. can be the potential channel to communicate the EVP to the target people. Continual communication of EVP works as a branding of the organization and maintains good public relations (Hook, 2020). It will create a positive perception and value in the mind of the employees for the company. As a result, the chance of increasing corporate citizenship </w:t>
      </w:r>
      <w:r w:rsidR="0056462D">
        <w:t>behaviour</w:t>
      </w:r>
      <w:r>
        <w:t xml:space="preserve"> and employee engagement will increase. </w:t>
      </w:r>
    </w:p>
    <w:p w14:paraId="65B38EBF" w14:textId="77777777" w:rsidR="006F6022" w:rsidRDefault="006F6022" w:rsidP="006F6022">
      <w:pPr>
        <w:pStyle w:val="NoSpacing"/>
      </w:pPr>
      <w:r>
        <w:t>Ensuring alignment</w:t>
      </w:r>
    </w:p>
    <w:p w14:paraId="3478196B" w14:textId="5F46DC6B" w:rsidR="006F6022" w:rsidRDefault="006F6022" w:rsidP="006F6022">
      <w:r>
        <w:lastRenderedPageBreak/>
        <w:t>Existing employees are the most powerful source of advertising and branding of an organization. According to Oberoi (2019), appropriate execution of EVP is required to avoid dissatisfaction. Jackson (2021)</w:t>
      </w:r>
      <w:r w:rsidR="0038224D">
        <w:t xml:space="preserve"> </w:t>
      </w:r>
      <w:r>
        <w:t xml:space="preserve">added that cultivating brand ambassadors can let the existing and potential employees know about the EVP. Besides, the company's mission, vision, objectives, reward system, internal communication system, corporate policies, business plans, etc. are consistently required to monitor and review to understand the employee engagement of the existing workforce. With the sophisticated execution of the EVP, employees will fight to work for the organization. </w:t>
      </w:r>
    </w:p>
    <w:p w14:paraId="04884CF3" w14:textId="64E5E646" w:rsidR="0038224D" w:rsidRDefault="0038224D" w:rsidP="0038224D">
      <w:pPr>
        <w:pStyle w:val="Heading1"/>
      </w:pPr>
      <w:bookmarkStart w:id="5" w:name="_Toc90835882"/>
      <w:r w:rsidRPr="0038224D">
        <w:t>Engagement-increasing tactics</w:t>
      </w:r>
      <w:bookmarkEnd w:id="5"/>
    </w:p>
    <w:p w14:paraId="3F04948B" w14:textId="51610047" w:rsidR="006F6022" w:rsidRDefault="006F6022" w:rsidP="006F6022">
      <w:r>
        <w:t>The above analysis showed that employee engagement is a very crucial element for success. Many researchers showed that highly engaged people are 17% more productive than average employees. Even highly engaged employees have a 41% lower absenteeism rate than their peers (Jackson, 2021). So, appropriate strategies are required to raise the level of employee engagement. There are different techniques to improve employee engagement. A process of improving employee engagement is described below:</w:t>
      </w:r>
    </w:p>
    <w:p w14:paraId="2DC37363" w14:textId="77777777" w:rsidR="006F6022" w:rsidRDefault="006F6022" w:rsidP="006F6022">
      <w:pPr>
        <w:pStyle w:val="NoSpacing"/>
      </w:pPr>
      <w:r>
        <w:t>Improve workplace efficiency</w:t>
      </w:r>
    </w:p>
    <w:p w14:paraId="3E2E5D1B" w14:textId="13C5276E" w:rsidR="006F6022" w:rsidRDefault="006F6022" w:rsidP="006F6022">
      <w:r>
        <w:t xml:space="preserve">Incorporation of advanced technology in the management system and efficient practice are required to improve employee engagement. Here efficient practice represents an efficient document management process where the workload of the employee is much more measurable and easier to handle. So, employees can work from home and ensure their safety. As a result, employees can easily understand what they are doing and how they are valued by the organization </w:t>
      </w:r>
      <w:r w:rsidR="000222C3">
        <w:t>during Covid-19</w:t>
      </w:r>
      <w:r>
        <w:t xml:space="preserve"> pandemic (Ali, 2021). </w:t>
      </w:r>
    </w:p>
    <w:p w14:paraId="13B69ADF" w14:textId="77777777" w:rsidR="006F6022" w:rsidRDefault="006F6022" w:rsidP="006F6022">
      <w:pPr>
        <w:pStyle w:val="NoSpacing"/>
      </w:pPr>
      <w:r>
        <w:t xml:space="preserve">Ensuring a better communication system and raising interaction </w:t>
      </w:r>
    </w:p>
    <w:p w14:paraId="5F600A1E" w14:textId="02BCD008" w:rsidR="006F6022" w:rsidRDefault="006F6022" w:rsidP="006F6022">
      <w:r>
        <w:t>Effective communication is the most important factor of employee engagement. So, the organization should design a better internal communication system to help the employees to do their tasks effectively and accurately. It will also help to get a continual update about the employees (Tome</w:t>
      </w:r>
      <w:r w:rsidR="002A2851">
        <w:t xml:space="preserve"> et al</w:t>
      </w:r>
      <w:r>
        <w:t xml:space="preserve">, 2017). </w:t>
      </w:r>
    </w:p>
    <w:p w14:paraId="02710814" w14:textId="77777777" w:rsidR="006F6022" w:rsidRDefault="006F6022" w:rsidP="006F6022">
      <w:pPr>
        <w:pStyle w:val="NoSpacing"/>
      </w:pPr>
      <w:r>
        <w:t>Recognition system</w:t>
      </w:r>
    </w:p>
    <w:p w14:paraId="454F9F50" w14:textId="61DDCB2F" w:rsidR="006F6022" w:rsidRDefault="006F6022" w:rsidP="006F6022">
      <w:r>
        <w:t xml:space="preserve">Over 90% of human resource management professionals believe that recognition makes employees more likely to stay. Transparency in the recognition system is required to let the employee know how the company is valuing the contribution of the employee. In this regard, </w:t>
      </w:r>
      <w:r>
        <w:lastRenderedPageBreak/>
        <w:t>employee recognition software can play a big role because more than 96% of employees in the world have confidence in employee recognition software. According to Milkovich (2019), recognition of one employee also motivates other employees for the same recognition. A positive working environment is created that will in turn boost morale, workplace ethics, and employee engagement.</w:t>
      </w:r>
    </w:p>
    <w:p w14:paraId="1A9F94D0" w14:textId="77777777" w:rsidR="006F6022" w:rsidRDefault="006F6022" w:rsidP="006F6022">
      <w:pPr>
        <w:pStyle w:val="NoSpacing"/>
      </w:pPr>
      <w:r>
        <w:t>Investing on employees</w:t>
      </w:r>
    </w:p>
    <w:p w14:paraId="771CA462" w14:textId="77777777" w:rsidR="006F6022" w:rsidRDefault="006F6022" w:rsidP="006F6022">
      <w:r>
        <w:t>The chief executive should invest in the existing employees for career growth and wellness. The company should offer career advancement opportunities, professional development programs, mentorship opportunities, fitness programs, retirement benefits, etc. to secure the financial health and wellness of the employees.</w:t>
      </w:r>
    </w:p>
    <w:p w14:paraId="20DB45FB" w14:textId="77777777" w:rsidR="006F6022" w:rsidRDefault="006F6022" w:rsidP="006F6022">
      <w:pPr>
        <w:pStyle w:val="NoSpacing"/>
      </w:pPr>
      <w:r>
        <w:t xml:space="preserve">Being a responsible company </w:t>
      </w:r>
    </w:p>
    <w:p w14:paraId="171863C3" w14:textId="7438DA60" w:rsidR="006F6022" w:rsidRDefault="00E12920" w:rsidP="006F6022">
      <w:r>
        <w:t>The organisation</w:t>
      </w:r>
      <w:r w:rsidR="006F6022">
        <w:t xml:space="preserve"> should be a socially and environmentally responsible company. It should comply with all the legal requirements and corporate social responsibilities. According to Ali, (2021), when an organization is responsible to a wider group, its employees become responsible to the company. It is the representation of a higher employee engagement.</w:t>
      </w:r>
    </w:p>
    <w:p w14:paraId="1DB7DE73" w14:textId="441E9959" w:rsidR="006F6022" w:rsidRDefault="006F6022" w:rsidP="006F6022">
      <w:r>
        <w:t>Along with the above-discussed issues, the chief executive of the company should Encourage feedback, emphasize workplace culture, ensure workplace equity, recognize diversity, foster environmental belonging etc. to increase employee engagement of the existing employees.</w:t>
      </w:r>
    </w:p>
    <w:p w14:paraId="31DD9481" w14:textId="77777777" w:rsidR="006F6022" w:rsidRDefault="006F6022" w:rsidP="006F6022">
      <w:pPr>
        <w:pStyle w:val="Heading1"/>
      </w:pPr>
      <w:bookmarkStart w:id="6" w:name="_Toc90835883"/>
      <w:bookmarkStart w:id="7" w:name="_Hlk90835777"/>
      <w:r>
        <w:t>Conclusion</w:t>
      </w:r>
      <w:bookmarkEnd w:id="6"/>
    </w:p>
    <w:bookmarkEnd w:id="7"/>
    <w:p w14:paraId="1C96F195" w14:textId="6C7E6081" w:rsidR="006F6022" w:rsidRDefault="007B2B90" w:rsidP="006F6022">
      <w:r w:rsidRPr="007B2B90">
        <w:t>The concept and drivers of employee engagement were discussed in this report, as well as the diagnostic tools for measuring employee engagement, the creation of an employee value proposition for corporate branding, and the primary tactics for increasing employee engagement.</w:t>
      </w:r>
      <w:r>
        <w:t xml:space="preserve"> </w:t>
      </w:r>
      <w:r w:rsidR="006F6022">
        <w:t xml:space="preserve">The </w:t>
      </w:r>
      <w:r>
        <w:t>EVP</w:t>
      </w:r>
      <w:r w:rsidR="006F6022">
        <w:t xml:space="preserve"> is the most powerful tool for raising the level of employee engagement. The above-discussed EVP plan may help the chief executive to increase the level of engagement, productivity, efficiency, and long-term success. However, execution excellence is the key to implementing any plan. Effective execution of the plan may help to build a strong company image and ensure long-run</w:t>
      </w:r>
      <w:r w:rsidR="00E12920">
        <w:t xml:space="preserve"> organisational</w:t>
      </w:r>
      <w:r w:rsidR="006F6022">
        <w:t xml:space="preserve"> success.</w:t>
      </w:r>
    </w:p>
    <w:p w14:paraId="65BE9700" w14:textId="77777777" w:rsidR="006F6022" w:rsidRDefault="006F6022" w:rsidP="006F6022"/>
    <w:p w14:paraId="5BB3CBD7" w14:textId="65B68575" w:rsidR="006F6022" w:rsidRDefault="006F6022" w:rsidP="006F6022"/>
    <w:p w14:paraId="262ABAEA" w14:textId="50515B94" w:rsidR="007B2B90" w:rsidRDefault="007B2B90" w:rsidP="006F6022"/>
    <w:p w14:paraId="5C331BEC" w14:textId="2FC320CD" w:rsidR="007B2B90" w:rsidRDefault="007B2B90" w:rsidP="006F6022"/>
    <w:p w14:paraId="6BCE19CF" w14:textId="5CC10306" w:rsidR="007B2B90" w:rsidRDefault="007B2B90" w:rsidP="006F6022"/>
    <w:p w14:paraId="739DDB83" w14:textId="77777777" w:rsidR="007B2B90" w:rsidRDefault="007B2B90" w:rsidP="006F6022"/>
    <w:p w14:paraId="1B9FE614" w14:textId="77777777" w:rsidR="006F6022" w:rsidRDefault="006F6022" w:rsidP="006F6022"/>
    <w:p w14:paraId="1BB0EA0D" w14:textId="77777777" w:rsidR="006F6022" w:rsidRDefault="006F6022" w:rsidP="006F6022">
      <w:pPr>
        <w:spacing w:after="100" w:afterAutospacing="1" w:line="240" w:lineRule="auto"/>
        <w:jc w:val="left"/>
        <w:outlineLvl w:val="1"/>
        <w:rPr>
          <w:rFonts w:eastAsia="Times New Roman" w:cs="Times New Roman"/>
          <w:color w:val="000000"/>
          <w:sz w:val="36"/>
          <w:szCs w:val="36"/>
        </w:rPr>
      </w:pPr>
    </w:p>
    <w:p w14:paraId="6D0FB981" w14:textId="77777777" w:rsidR="006F6022" w:rsidRDefault="006F6022" w:rsidP="006F6022">
      <w:pPr>
        <w:pStyle w:val="Heading1"/>
        <w:rPr>
          <w:rFonts w:eastAsia="Times New Roman"/>
        </w:rPr>
      </w:pPr>
      <w:bookmarkStart w:id="8" w:name="_Toc90835884"/>
      <w:r>
        <w:rPr>
          <w:rFonts w:eastAsia="Times New Roman"/>
        </w:rPr>
        <w:t>References</w:t>
      </w:r>
      <w:bookmarkEnd w:id="8"/>
    </w:p>
    <w:p w14:paraId="22D782F3" w14:textId="40C756EE" w:rsidR="0056462D" w:rsidRDefault="006F6022" w:rsidP="0056462D">
      <w:pPr>
        <w:spacing w:after="180" w:line="240" w:lineRule="auto"/>
        <w:ind w:left="450" w:hanging="450"/>
        <w:jc w:val="left"/>
        <w:rPr>
          <w:rFonts w:eastAsia="Times New Roman" w:cs="Times New Roman"/>
          <w:color w:val="000000"/>
          <w:szCs w:val="24"/>
        </w:rPr>
      </w:pPr>
      <w:bookmarkStart w:id="9" w:name="_Hlk90042527"/>
      <w:r>
        <w:rPr>
          <w:rFonts w:eastAsia="Times New Roman" w:cs="Times New Roman"/>
          <w:color w:val="000000"/>
          <w:szCs w:val="24"/>
        </w:rPr>
        <w:t xml:space="preserve">Alarifi, A. and Al-Abbasi, J. </w:t>
      </w:r>
      <w:r w:rsidR="0056462D">
        <w:rPr>
          <w:rFonts w:eastAsia="Times New Roman" w:cs="Times New Roman"/>
          <w:color w:val="000000"/>
          <w:szCs w:val="24"/>
        </w:rPr>
        <w:t>(</w:t>
      </w:r>
      <w:r>
        <w:rPr>
          <w:rFonts w:eastAsia="Times New Roman" w:cs="Times New Roman"/>
          <w:color w:val="000000"/>
          <w:szCs w:val="24"/>
        </w:rPr>
        <w:t>2020</w:t>
      </w:r>
      <w:r w:rsidR="0056462D">
        <w:rPr>
          <w:rFonts w:eastAsia="Times New Roman" w:cs="Times New Roman"/>
          <w:color w:val="000000"/>
          <w:szCs w:val="24"/>
        </w:rPr>
        <w:t>)</w:t>
      </w:r>
      <w:r>
        <w:rPr>
          <w:rFonts w:eastAsia="Times New Roman" w:cs="Times New Roman"/>
          <w:color w:val="000000"/>
          <w:szCs w:val="24"/>
        </w:rPr>
        <w:t xml:space="preserve"> Employee Engagement: The Underlying Factors. </w:t>
      </w:r>
      <w:r>
        <w:rPr>
          <w:rFonts w:eastAsia="Times New Roman" w:cs="Times New Roman"/>
          <w:i/>
          <w:iCs/>
          <w:color w:val="000000"/>
          <w:szCs w:val="24"/>
        </w:rPr>
        <w:t>International Journal of Psychosocial Rehabilitation</w:t>
      </w:r>
      <w:r>
        <w:rPr>
          <w:rFonts w:eastAsia="Times New Roman" w:cs="Times New Roman"/>
          <w:color w:val="000000"/>
          <w:szCs w:val="24"/>
        </w:rPr>
        <w:t>, 24(Special Issue 1), pp.59-67.</w:t>
      </w:r>
    </w:p>
    <w:p w14:paraId="04E3D0BD" w14:textId="51A54F06"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 xml:space="preserve">Ali, B. and Anwar, G. </w:t>
      </w:r>
      <w:r w:rsidR="0056462D">
        <w:rPr>
          <w:rFonts w:eastAsia="Times New Roman" w:cs="Times New Roman"/>
          <w:color w:val="000000"/>
          <w:szCs w:val="24"/>
        </w:rPr>
        <w:t>(</w:t>
      </w:r>
      <w:r>
        <w:rPr>
          <w:rFonts w:eastAsia="Times New Roman" w:cs="Times New Roman"/>
          <w:color w:val="000000"/>
          <w:szCs w:val="24"/>
        </w:rPr>
        <w:t>2021</w:t>
      </w:r>
      <w:r w:rsidR="0056462D">
        <w:rPr>
          <w:rFonts w:eastAsia="Times New Roman" w:cs="Times New Roman"/>
          <w:color w:val="000000"/>
          <w:szCs w:val="24"/>
        </w:rPr>
        <w:t>)</w:t>
      </w:r>
      <w:r>
        <w:rPr>
          <w:rFonts w:eastAsia="Times New Roman" w:cs="Times New Roman"/>
          <w:color w:val="000000"/>
          <w:szCs w:val="24"/>
        </w:rPr>
        <w:t xml:space="preserve"> Work Engagement: How Does Employee Work Engagement influence Employee Satisfaction?</w:t>
      </w:r>
      <w:r w:rsidR="0056462D">
        <w:rPr>
          <w:rFonts w:eastAsia="Times New Roman" w:cs="Times New Roman"/>
          <w:color w:val="000000"/>
          <w:szCs w:val="24"/>
        </w:rPr>
        <w:t xml:space="preserve"> </w:t>
      </w:r>
      <w:r>
        <w:rPr>
          <w:rFonts w:eastAsia="Times New Roman" w:cs="Times New Roman"/>
          <w:i/>
          <w:iCs/>
          <w:color w:val="000000"/>
          <w:szCs w:val="24"/>
        </w:rPr>
        <w:t>International Journal of Advanced Engineering, Managemen</w:t>
      </w:r>
      <w:r w:rsidR="0056462D">
        <w:rPr>
          <w:rFonts w:eastAsia="Times New Roman" w:cs="Times New Roman"/>
          <w:i/>
          <w:iCs/>
          <w:color w:val="000000"/>
          <w:szCs w:val="24"/>
        </w:rPr>
        <w:t>t</w:t>
      </w:r>
      <w:r>
        <w:rPr>
          <w:rFonts w:eastAsia="Times New Roman" w:cs="Times New Roman"/>
          <w:i/>
          <w:iCs/>
          <w:color w:val="000000"/>
          <w:szCs w:val="24"/>
        </w:rPr>
        <w:t xml:space="preserve"> and Science</w:t>
      </w:r>
      <w:r>
        <w:rPr>
          <w:rFonts w:eastAsia="Times New Roman" w:cs="Times New Roman"/>
          <w:color w:val="000000"/>
          <w:szCs w:val="24"/>
        </w:rPr>
        <w:t>, 7(6), pp.10-21.</w:t>
      </w:r>
    </w:p>
    <w:p w14:paraId="40022656" w14:textId="77777777" w:rsidR="00A74A65" w:rsidRPr="00A74A65" w:rsidRDefault="00A74A65" w:rsidP="00A74A65">
      <w:pPr>
        <w:spacing w:after="180" w:line="240" w:lineRule="auto"/>
        <w:ind w:left="450" w:hanging="450"/>
        <w:jc w:val="left"/>
        <w:rPr>
          <w:rFonts w:eastAsia="Times New Roman" w:cs="Times New Roman"/>
          <w:color w:val="000000"/>
          <w:szCs w:val="24"/>
        </w:rPr>
      </w:pPr>
      <w:r w:rsidRPr="00A74A65">
        <w:rPr>
          <w:rFonts w:eastAsia="Times New Roman" w:cs="Times New Roman"/>
          <w:color w:val="000000"/>
          <w:szCs w:val="24"/>
        </w:rPr>
        <w:t xml:space="preserve">Armstrong, M. (2006) A </w:t>
      </w:r>
      <w:r w:rsidRPr="00A74A65">
        <w:rPr>
          <w:rFonts w:eastAsia="Times New Roman" w:cs="Times New Roman"/>
          <w:i/>
          <w:iCs/>
          <w:color w:val="000000"/>
          <w:szCs w:val="24"/>
        </w:rPr>
        <w:t>Handbook of Human Resource Management Practice</w:t>
      </w:r>
      <w:r w:rsidRPr="00A74A65">
        <w:rPr>
          <w:rFonts w:eastAsia="Times New Roman" w:cs="Times New Roman"/>
          <w:color w:val="000000"/>
          <w:szCs w:val="24"/>
        </w:rPr>
        <w:t>. 10</w:t>
      </w:r>
      <w:r w:rsidRPr="00A74A65">
        <w:rPr>
          <w:rFonts w:eastAsia="Times New Roman" w:cs="Times New Roman"/>
          <w:color w:val="000000"/>
          <w:szCs w:val="24"/>
          <w:vertAlign w:val="superscript"/>
        </w:rPr>
        <w:t>th</w:t>
      </w:r>
      <w:r w:rsidRPr="00A74A65">
        <w:rPr>
          <w:rFonts w:eastAsia="Times New Roman" w:cs="Times New Roman"/>
          <w:color w:val="000000"/>
          <w:szCs w:val="24"/>
        </w:rPr>
        <w:t xml:space="preserve"> </w:t>
      </w:r>
      <w:proofErr w:type="spellStart"/>
      <w:r w:rsidRPr="00A74A65">
        <w:rPr>
          <w:rFonts w:eastAsia="Times New Roman" w:cs="Times New Roman"/>
          <w:color w:val="000000"/>
          <w:szCs w:val="24"/>
        </w:rPr>
        <w:t>edn</w:t>
      </w:r>
      <w:proofErr w:type="spellEnd"/>
      <w:r w:rsidRPr="00A74A65">
        <w:rPr>
          <w:rFonts w:eastAsia="Times New Roman" w:cs="Times New Roman"/>
          <w:color w:val="000000"/>
          <w:szCs w:val="24"/>
        </w:rPr>
        <w:t>, Kogan Page: London</w:t>
      </w:r>
    </w:p>
    <w:p w14:paraId="32CB9B4F" w14:textId="3DC6AEB4"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Farnham, D. and Smith, P.</w:t>
      </w:r>
      <w:r w:rsidR="0056462D">
        <w:rPr>
          <w:rFonts w:eastAsia="Times New Roman" w:cs="Times New Roman"/>
          <w:color w:val="000000"/>
          <w:szCs w:val="24"/>
        </w:rPr>
        <w:t xml:space="preserve"> (</w:t>
      </w:r>
      <w:r>
        <w:rPr>
          <w:rFonts w:eastAsia="Times New Roman" w:cs="Times New Roman"/>
          <w:color w:val="000000"/>
          <w:szCs w:val="24"/>
        </w:rPr>
        <w:t>2015</w:t>
      </w:r>
      <w:r w:rsidR="0056462D">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People management and development</w:t>
      </w:r>
      <w:r>
        <w:rPr>
          <w:rFonts w:eastAsia="Times New Roman" w:cs="Times New Roman"/>
          <w:color w:val="000000"/>
          <w:szCs w:val="24"/>
        </w:rPr>
        <w:t>. London: Chartered Institute of Personnel and Development.</w:t>
      </w:r>
    </w:p>
    <w:p w14:paraId="4811E577" w14:textId="07D482FA"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Heery, E. and Noon, M.</w:t>
      </w:r>
      <w:r w:rsidR="002A2851">
        <w:rPr>
          <w:rFonts w:eastAsia="Times New Roman" w:cs="Times New Roman"/>
          <w:color w:val="000000"/>
          <w:szCs w:val="24"/>
        </w:rPr>
        <w:t xml:space="preserve"> (</w:t>
      </w:r>
      <w:r>
        <w:rPr>
          <w:rFonts w:eastAsia="Times New Roman" w:cs="Times New Roman"/>
          <w:color w:val="000000"/>
          <w:szCs w:val="24"/>
        </w:rPr>
        <w:t>2017</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A dictionary of human resource management</w:t>
      </w:r>
      <w:r>
        <w:rPr>
          <w:rFonts w:eastAsia="Times New Roman" w:cs="Times New Roman"/>
          <w:color w:val="000000"/>
          <w:szCs w:val="24"/>
        </w:rPr>
        <w:t>. Oxford: Oxford University Press.</w:t>
      </w:r>
    </w:p>
    <w:p w14:paraId="719CCFCF" w14:textId="10925B24"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Hook, C. and Jenkins, A.</w:t>
      </w:r>
      <w:r w:rsidR="0056462D">
        <w:rPr>
          <w:rFonts w:eastAsia="Times New Roman" w:cs="Times New Roman"/>
          <w:color w:val="000000"/>
          <w:szCs w:val="24"/>
        </w:rPr>
        <w:t xml:space="preserve"> (</w:t>
      </w:r>
      <w:r>
        <w:rPr>
          <w:rFonts w:eastAsia="Times New Roman" w:cs="Times New Roman"/>
          <w:color w:val="000000"/>
          <w:szCs w:val="24"/>
        </w:rPr>
        <w:t>2020</w:t>
      </w:r>
      <w:r w:rsidR="0056462D">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Introducing human resource management</w:t>
      </w:r>
      <w:r>
        <w:rPr>
          <w:rFonts w:eastAsia="Times New Roman" w:cs="Times New Roman"/>
          <w:color w:val="000000"/>
          <w:szCs w:val="24"/>
        </w:rPr>
        <w:t>.</w:t>
      </w:r>
    </w:p>
    <w:p w14:paraId="27DD2047" w14:textId="37D1CB97"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Jackson, T.</w:t>
      </w:r>
      <w:r w:rsidR="002A2851">
        <w:rPr>
          <w:rFonts w:eastAsia="Times New Roman" w:cs="Times New Roman"/>
          <w:color w:val="000000"/>
          <w:szCs w:val="24"/>
        </w:rPr>
        <w:t xml:space="preserve"> (</w:t>
      </w:r>
      <w:r>
        <w:rPr>
          <w:rFonts w:eastAsia="Times New Roman" w:cs="Times New Roman"/>
          <w:color w:val="000000"/>
          <w:szCs w:val="24"/>
        </w:rPr>
        <w:t>2021</w:t>
      </w:r>
      <w:r w:rsidR="002A2851">
        <w:rPr>
          <w:rFonts w:eastAsia="Times New Roman" w:cs="Times New Roman"/>
          <w:color w:val="000000"/>
          <w:szCs w:val="24"/>
        </w:rPr>
        <w:t>)</w:t>
      </w:r>
      <w:r>
        <w:rPr>
          <w:rFonts w:eastAsia="Times New Roman" w:cs="Times New Roman"/>
          <w:color w:val="000000"/>
          <w:szCs w:val="24"/>
        </w:rPr>
        <w:t xml:space="preserve"> The management of people across cultures: Valuing people differently. </w:t>
      </w:r>
      <w:r>
        <w:rPr>
          <w:rFonts w:eastAsia="Times New Roman" w:cs="Times New Roman"/>
          <w:i/>
          <w:iCs/>
          <w:color w:val="000000"/>
          <w:szCs w:val="24"/>
        </w:rPr>
        <w:t>Human Resource Management</w:t>
      </w:r>
      <w:r>
        <w:rPr>
          <w:rFonts w:eastAsia="Times New Roman" w:cs="Times New Roman"/>
          <w:color w:val="000000"/>
          <w:szCs w:val="24"/>
        </w:rPr>
        <w:t>, 41(4), pp.455-475.</w:t>
      </w:r>
    </w:p>
    <w:p w14:paraId="692C02CE" w14:textId="07E8ECBD"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Milkovich, G. and Boudreau, J.</w:t>
      </w:r>
      <w:r w:rsidR="002A2851">
        <w:rPr>
          <w:rFonts w:eastAsia="Times New Roman" w:cs="Times New Roman"/>
          <w:color w:val="000000"/>
          <w:szCs w:val="24"/>
        </w:rPr>
        <w:t xml:space="preserve"> (</w:t>
      </w:r>
      <w:r>
        <w:rPr>
          <w:rFonts w:eastAsia="Times New Roman" w:cs="Times New Roman"/>
          <w:color w:val="000000"/>
          <w:szCs w:val="24"/>
        </w:rPr>
        <w:t>2019</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Human resource management</w:t>
      </w:r>
      <w:r>
        <w:rPr>
          <w:rFonts w:eastAsia="Times New Roman" w:cs="Times New Roman"/>
          <w:color w:val="000000"/>
          <w:szCs w:val="24"/>
        </w:rPr>
        <w:t>. Boston: McGraw-Hill.</w:t>
      </w:r>
    </w:p>
    <w:p w14:paraId="58748FD2" w14:textId="01C3E95A"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Oberoi, U.</w:t>
      </w:r>
      <w:r w:rsidR="002A2851">
        <w:rPr>
          <w:rFonts w:eastAsia="Times New Roman" w:cs="Times New Roman"/>
          <w:color w:val="000000"/>
          <w:szCs w:val="24"/>
        </w:rPr>
        <w:t xml:space="preserve"> (2</w:t>
      </w:r>
      <w:r>
        <w:rPr>
          <w:rFonts w:eastAsia="Times New Roman" w:cs="Times New Roman"/>
          <w:color w:val="000000"/>
          <w:szCs w:val="24"/>
        </w:rPr>
        <w:t>019</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Managing the Indian state</w:t>
      </w:r>
      <w:r>
        <w:rPr>
          <w:rFonts w:eastAsia="Times New Roman" w:cs="Times New Roman"/>
          <w:color w:val="000000"/>
          <w:szCs w:val="24"/>
        </w:rPr>
        <w:t xml:space="preserve">. New Delhi: All India Management Association, in association with </w:t>
      </w:r>
      <w:proofErr w:type="spellStart"/>
      <w:r>
        <w:rPr>
          <w:rFonts w:eastAsia="Times New Roman" w:cs="Times New Roman"/>
          <w:color w:val="000000"/>
          <w:szCs w:val="24"/>
        </w:rPr>
        <w:t>Amexcel</w:t>
      </w:r>
      <w:proofErr w:type="spellEnd"/>
      <w:r>
        <w:rPr>
          <w:rFonts w:eastAsia="Times New Roman" w:cs="Times New Roman"/>
          <w:color w:val="000000"/>
          <w:szCs w:val="24"/>
        </w:rPr>
        <w:t xml:space="preserve"> Publishers.</w:t>
      </w:r>
    </w:p>
    <w:p w14:paraId="0ABE5637" w14:textId="6A82B873"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Pickford, J.</w:t>
      </w:r>
      <w:r w:rsidR="002A2851">
        <w:rPr>
          <w:rFonts w:eastAsia="Times New Roman" w:cs="Times New Roman"/>
          <w:color w:val="000000"/>
          <w:szCs w:val="24"/>
        </w:rPr>
        <w:t xml:space="preserve"> (</w:t>
      </w:r>
      <w:r>
        <w:rPr>
          <w:rFonts w:eastAsia="Times New Roman" w:cs="Times New Roman"/>
          <w:color w:val="000000"/>
          <w:szCs w:val="24"/>
        </w:rPr>
        <w:t>2013</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Mastering people management</w:t>
      </w:r>
      <w:r>
        <w:rPr>
          <w:rFonts w:eastAsia="Times New Roman" w:cs="Times New Roman"/>
          <w:color w:val="000000"/>
          <w:szCs w:val="24"/>
        </w:rPr>
        <w:t>. Harlow: Financial Times Prentice Hall.</w:t>
      </w:r>
    </w:p>
    <w:p w14:paraId="42FE372D" w14:textId="686473B5"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Tomè</w:t>
      </w:r>
      <w:r w:rsidR="002A2851">
        <w:rPr>
          <w:rFonts w:eastAsia="Times New Roman" w:cs="Times New Roman"/>
          <w:color w:val="000000"/>
          <w:szCs w:val="24"/>
        </w:rPr>
        <w:t xml:space="preserve"> et al. (</w:t>
      </w:r>
      <w:r>
        <w:rPr>
          <w:rFonts w:eastAsia="Times New Roman" w:cs="Times New Roman"/>
          <w:color w:val="000000"/>
          <w:szCs w:val="24"/>
        </w:rPr>
        <w:t>2017</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People management</w:t>
      </w:r>
      <w:r>
        <w:rPr>
          <w:rFonts w:eastAsia="Times New Roman" w:cs="Times New Roman"/>
          <w:color w:val="000000"/>
          <w:szCs w:val="24"/>
        </w:rPr>
        <w:t>. Milano: Wolters Kluwer.</w:t>
      </w:r>
    </w:p>
    <w:bookmarkEnd w:id="9"/>
    <w:p w14:paraId="2D977FDB" w14:textId="77777777" w:rsidR="006F6022" w:rsidRDefault="006F6022" w:rsidP="006F6022"/>
    <w:p w14:paraId="14B88A77" w14:textId="06A4BA72" w:rsidR="006F6022" w:rsidRDefault="006F6022"/>
    <w:p w14:paraId="78915844" w14:textId="7AF41306" w:rsidR="006F6022" w:rsidRDefault="006F6022"/>
    <w:p w14:paraId="008AC3CC" w14:textId="66860AE6" w:rsidR="006F6022" w:rsidRDefault="006F6022"/>
    <w:p w14:paraId="3F5D16B0" w14:textId="77777777" w:rsidR="006F6022" w:rsidRDefault="006F6022"/>
    <w:sectPr w:rsidR="006F60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5E2"/>
    <w:multiLevelType w:val="hybridMultilevel"/>
    <w:tmpl w:val="731A3774"/>
    <w:lvl w:ilvl="0" w:tplc="5ED2F1D6">
      <w:start w:val="1"/>
      <w:numFmt w:val="bullet"/>
      <w:lvlText w:val=""/>
      <w:lvlJc w:val="left"/>
      <w:pPr>
        <w:ind w:left="0" w:firstLine="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D88030D"/>
    <w:multiLevelType w:val="hybridMultilevel"/>
    <w:tmpl w:val="7E00292C"/>
    <w:lvl w:ilvl="0" w:tplc="540E3340">
      <w:start w:val="1"/>
      <w:numFmt w:val="bullet"/>
      <w:suff w:val="space"/>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912204"/>
    <w:multiLevelType w:val="hybridMultilevel"/>
    <w:tmpl w:val="90348CB4"/>
    <w:lvl w:ilvl="0" w:tplc="1BF876BC">
      <w:start w:val="1"/>
      <w:numFmt w:val="bullet"/>
      <w:lvlText w:val=""/>
      <w:lvlJc w:val="left"/>
      <w:pPr>
        <w:ind w:left="360" w:hanging="360"/>
      </w:pPr>
      <w:rPr>
        <w:rFonts w:ascii="Symbol" w:hAnsi="Symbol" w:hint="default"/>
      </w:rPr>
    </w:lvl>
    <w:lvl w:ilvl="1" w:tplc="A72E2E44">
      <w:start w:val="1"/>
      <w:numFmt w:val="bullet"/>
      <w:lvlText w:val="o"/>
      <w:lvlJc w:val="left"/>
      <w:pPr>
        <w:ind w:left="1440" w:hanging="360"/>
      </w:pPr>
      <w:rPr>
        <w:rFonts w:ascii="Courier New" w:hAnsi="Courier New" w:cs="Courier New" w:hint="default"/>
      </w:rPr>
    </w:lvl>
    <w:lvl w:ilvl="2" w:tplc="520614F2">
      <w:start w:val="1"/>
      <w:numFmt w:val="bullet"/>
      <w:lvlText w:val=""/>
      <w:lvlJc w:val="left"/>
      <w:pPr>
        <w:ind w:left="2160" w:hanging="360"/>
      </w:pPr>
      <w:rPr>
        <w:rFonts w:ascii="Wingdings" w:hAnsi="Wingdings" w:hint="default"/>
      </w:rPr>
    </w:lvl>
    <w:lvl w:ilvl="3" w:tplc="E126EDF8">
      <w:start w:val="1"/>
      <w:numFmt w:val="bullet"/>
      <w:lvlText w:val=""/>
      <w:lvlJc w:val="left"/>
      <w:pPr>
        <w:ind w:left="2880" w:hanging="360"/>
      </w:pPr>
      <w:rPr>
        <w:rFonts w:ascii="Symbol" w:hAnsi="Symbol" w:hint="default"/>
      </w:rPr>
    </w:lvl>
    <w:lvl w:ilvl="4" w:tplc="DC680E0A">
      <w:start w:val="1"/>
      <w:numFmt w:val="bullet"/>
      <w:lvlText w:val="o"/>
      <w:lvlJc w:val="left"/>
      <w:pPr>
        <w:ind w:left="3600" w:hanging="360"/>
      </w:pPr>
      <w:rPr>
        <w:rFonts w:ascii="Courier New" w:hAnsi="Courier New" w:cs="Courier New" w:hint="default"/>
      </w:rPr>
    </w:lvl>
    <w:lvl w:ilvl="5" w:tplc="19402306">
      <w:start w:val="1"/>
      <w:numFmt w:val="bullet"/>
      <w:lvlText w:val=""/>
      <w:lvlJc w:val="left"/>
      <w:pPr>
        <w:ind w:left="4320" w:hanging="360"/>
      </w:pPr>
      <w:rPr>
        <w:rFonts w:ascii="Wingdings" w:hAnsi="Wingdings" w:hint="default"/>
      </w:rPr>
    </w:lvl>
    <w:lvl w:ilvl="6" w:tplc="FFF61208">
      <w:start w:val="1"/>
      <w:numFmt w:val="bullet"/>
      <w:lvlText w:val=""/>
      <w:lvlJc w:val="left"/>
      <w:pPr>
        <w:ind w:left="5040" w:hanging="360"/>
      </w:pPr>
      <w:rPr>
        <w:rFonts w:ascii="Symbol" w:hAnsi="Symbol" w:hint="default"/>
      </w:rPr>
    </w:lvl>
    <w:lvl w:ilvl="7" w:tplc="F996B94A">
      <w:start w:val="1"/>
      <w:numFmt w:val="bullet"/>
      <w:lvlText w:val="o"/>
      <w:lvlJc w:val="left"/>
      <w:pPr>
        <w:ind w:left="5760" w:hanging="360"/>
      </w:pPr>
      <w:rPr>
        <w:rFonts w:ascii="Courier New" w:hAnsi="Courier New" w:cs="Courier New" w:hint="default"/>
      </w:rPr>
    </w:lvl>
    <w:lvl w:ilvl="8" w:tplc="CEDEC8FE">
      <w:start w:val="1"/>
      <w:numFmt w:val="bullet"/>
      <w:lvlText w:val=""/>
      <w:lvlJc w:val="left"/>
      <w:pPr>
        <w:ind w:left="6480" w:hanging="360"/>
      </w:pPr>
      <w:rPr>
        <w:rFonts w:ascii="Wingdings" w:hAnsi="Wingdings" w:hint="default"/>
      </w:rPr>
    </w:lvl>
  </w:abstractNum>
  <w:abstractNum w:abstractNumId="3" w15:restartNumberingAfterBreak="0">
    <w:nsid w:val="41D70470"/>
    <w:multiLevelType w:val="hybridMultilevel"/>
    <w:tmpl w:val="D592C5DC"/>
    <w:lvl w:ilvl="0" w:tplc="DBB0A394">
      <w:start w:val="1"/>
      <w:numFmt w:val="bullet"/>
      <w:lvlText w:val=""/>
      <w:lvlJc w:val="left"/>
      <w:pPr>
        <w:ind w:left="450" w:hanging="360"/>
      </w:pPr>
      <w:rPr>
        <w:rFonts w:ascii="Symbol" w:hAnsi="Symbol" w:hint="default"/>
      </w:rPr>
    </w:lvl>
    <w:lvl w:ilvl="1" w:tplc="DEFC26A8">
      <w:start w:val="1"/>
      <w:numFmt w:val="bullet"/>
      <w:lvlText w:val="o"/>
      <w:lvlJc w:val="left"/>
      <w:pPr>
        <w:ind w:left="1440" w:hanging="360"/>
      </w:pPr>
      <w:rPr>
        <w:rFonts w:ascii="Courier New" w:hAnsi="Courier New" w:cs="Courier New" w:hint="default"/>
      </w:rPr>
    </w:lvl>
    <w:lvl w:ilvl="2" w:tplc="87401B90">
      <w:start w:val="1"/>
      <w:numFmt w:val="bullet"/>
      <w:lvlText w:val=""/>
      <w:lvlJc w:val="left"/>
      <w:pPr>
        <w:ind w:left="2160" w:hanging="360"/>
      </w:pPr>
      <w:rPr>
        <w:rFonts w:ascii="Wingdings" w:hAnsi="Wingdings" w:hint="default"/>
      </w:rPr>
    </w:lvl>
    <w:lvl w:ilvl="3" w:tplc="BC46832A">
      <w:start w:val="1"/>
      <w:numFmt w:val="bullet"/>
      <w:lvlText w:val=""/>
      <w:lvlJc w:val="left"/>
      <w:pPr>
        <w:ind w:left="2880" w:hanging="360"/>
      </w:pPr>
      <w:rPr>
        <w:rFonts w:ascii="Symbol" w:hAnsi="Symbol" w:hint="default"/>
      </w:rPr>
    </w:lvl>
    <w:lvl w:ilvl="4" w:tplc="65E20DFE">
      <w:start w:val="1"/>
      <w:numFmt w:val="bullet"/>
      <w:lvlText w:val="o"/>
      <w:lvlJc w:val="left"/>
      <w:pPr>
        <w:ind w:left="3600" w:hanging="360"/>
      </w:pPr>
      <w:rPr>
        <w:rFonts w:ascii="Courier New" w:hAnsi="Courier New" w:cs="Courier New" w:hint="default"/>
      </w:rPr>
    </w:lvl>
    <w:lvl w:ilvl="5" w:tplc="1FE4E994">
      <w:start w:val="1"/>
      <w:numFmt w:val="bullet"/>
      <w:lvlText w:val=""/>
      <w:lvlJc w:val="left"/>
      <w:pPr>
        <w:ind w:left="4320" w:hanging="360"/>
      </w:pPr>
      <w:rPr>
        <w:rFonts w:ascii="Wingdings" w:hAnsi="Wingdings" w:hint="default"/>
      </w:rPr>
    </w:lvl>
    <w:lvl w:ilvl="6" w:tplc="8B8C13AE">
      <w:start w:val="1"/>
      <w:numFmt w:val="bullet"/>
      <w:lvlText w:val=""/>
      <w:lvlJc w:val="left"/>
      <w:pPr>
        <w:ind w:left="5040" w:hanging="360"/>
      </w:pPr>
      <w:rPr>
        <w:rFonts w:ascii="Symbol" w:hAnsi="Symbol" w:hint="default"/>
      </w:rPr>
    </w:lvl>
    <w:lvl w:ilvl="7" w:tplc="61E4BC1A">
      <w:start w:val="1"/>
      <w:numFmt w:val="bullet"/>
      <w:lvlText w:val="o"/>
      <w:lvlJc w:val="left"/>
      <w:pPr>
        <w:ind w:left="5760" w:hanging="360"/>
      </w:pPr>
      <w:rPr>
        <w:rFonts w:ascii="Courier New" w:hAnsi="Courier New" w:cs="Courier New" w:hint="default"/>
      </w:rPr>
    </w:lvl>
    <w:lvl w:ilvl="8" w:tplc="AC085A40">
      <w:start w:val="1"/>
      <w:numFmt w:val="bullet"/>
      <w:lvlText w:val=""/>
      <w:lvlJc w:val="left"/>
      <w:pPr>
        <w:ind w:left="6480" w:hanging="360"/>
      </w:pPr>
      <w:rPr>
        <w:rFonts w:ascii="Wingdings" w:hAnsi="Wingdings" w:hint="default"/>
      </w:rPr>
    </w:lvl>
  </w:abstractNum>
  <w:abstractNum w:abstractNumId="4" w15:restartNumberingAfterBreak="0">
    <w:nsid w:val="549D5E72"/>
    <w:multiLevelType w:val="hybridMultilevel"/>
    <w:tmpl w:val="68B8FC5A"/>
    <w:lvl w:ilvl="0" w:tplc="27D451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1A7716"/>
    <w:multiLevelType w:val="hybridMultilevel"/>
    <w:tmpl w:val="32741CD8"/>
    <w:lvl w:ilvl="0" w:tplc="8DB4B52E">
      <w:start w:val="1"/>
      <w:numFmt w:val="bullet"/>
      <w:lvlText w:val=""/>
      <w:lvlJc w:val="left"/>
      <w:pPr>
        <w:ind w:left="360" w:hanging="360"/>
      </w:pPr>
      <w:rPr>
        <w:rFonts w:ascii="Symbol" w:hAnsi="Symbol" w:hint="default"/>
      </w:rPr>
    </w:lvl>
    <w:lvl w:ilvl="1" w:tplc="166A372E">
      <w:start w:val="1"/>
      <w:numFmt w:val="bullet"/>
      <w:lvlText w:val="o"/>
      <w:lvlJc w:val="left"/>
      <w:pPr>
        <w:ind w:left="1440" w:hanging="360"/>
      </w:pPr>
      <w:rPr>
        <w:rFonts w:ascii="Courier New" w:hAnsi="Courier New" w:cs="Courier New" w:hint="default"/>
      </w:rPr>
    </w:lvl>
    <w:lvl w:ilvl="2" w:tplc="2DEC1E64">
      <w:start w:val="1"/>
      <w:numFmt w:val="bullet"/>
      <w:lvlText w:val=""/>
      <w:lvlJc w:val="left"/>
      <w:pPr>
        <w:ind w:left="2160" w:hanging="360"/>
      </w:pPr>
      <w:rPr>
        <w:rFonts w:ascii="Wingdings" w:hAnsi="Wingdings" w:hint="default"/>
      </w:rPr>
    </w:lvl>
    <w:lvl w:ilvl="3" w:tplc="616CEDB4">
      <w:start w:val="1"/>
      <w:numFmt w:val="bullet"/>
      <w:lvlText w:val=""/>
      <w:lvlJc w:val="left"/>
      <w:pPr>
        <w:ind w:left="2880" w:hanging="360"/>
      </w:pPr>
      <w:rPr>
        <w:rFonts w:ascii="Symbol" w:hAnsi="Symbol" w:hint="default"/>
      </w:rPr>
    </w:lvl>
    <w:lvl w:ilvl="4" w:tplc="C0CA86A6">
      <w:start w:val="1"/>
      <w:numFmt w:val="bullet"/>
      <w:lvlText w:val="o"/>
      <w:lvlJc w:val="left"/>
      <w:pPr>
        <w:ind w:left="3600" w:hanging="360"/>
      </w:pPr>
      <w:rPr>
        <w:rFonts w:ascii="Courier New" w:hAnsi="Courier New" w:cs="Courier New" w:hint="default"/>
      </w:rPr>
    </w:lvl>
    <w:lvl w:ilvl="5" w:tplc="316C7446">
      <w:start w:val="1"/>
      <w:numFmt w:val="bullet"/>
      <w:lvlText w:val=""/>
      <w:lvlJc w:val="left"/>
      <w:pPr>
        <w:ind w:left="4320" w:hanging="360"/>
      </w:pPr>
      <w:rPr>
        <w:rFonts w:ascii="Wingdings" w:hAnsi="Wingdings" w:hint="default"/>
      </w:rPr>
    </w:lvl>
    <w:lvl w:ilvl="6" w:tplc="0E74BFA4">
      <w:start w:val="1"/>
      <w:numFmt w:val="bullet"/>
      <w:lvlText w:val=""/>
      <w:lvlJc w:val="left"/>
      <w:pPr>
        <w:ind w:left="5040" w:hanging="360"/>
      </w:pPr>
      <w:rPr>
        <w:rFonts w:ascii="Symbol" w:hAnsi="Symbol" w:hint="default"/>
      </w:rPr>
    </w:lvl>
    <w:lvl w:ilvl="7" w:tplc="94309E0E">
      <w:start w:val="1"/>
      <w:numFmt w:val="bullet"/>
      <w:lvlText w:val="o"/>
      <w:lvlJc w:val="left"/>
      <w:pPr>
        <w:ind w:left="5760" w:hanging="360"/>
      </w:pPr>
      <w:rPr>
        <w:rFonts w:ascii="Courier New" w:hAnsi="Courier New" w:cs="Courier New" w:hint="default"/>
      </w:rPr>
    </w:lvl>
    <w:lvl w:ilvl="8" w:tplc="FE0C9BA6">
      <w:start w:val="1"/>
      <w:numFmt w:val="bullet"/>
      <w:lvlText w:val=""/>
      <w:lvlJc w:val="left"/>
      <w:pPr>
        <w:ind w:left="6480" w:hanging="360"/>
      </w:pPr>
      <w:rPr>
        <w:rFonts w:ascii="Wingdings" w:hAnsi="Wingdings" w:hint="default"/>
      </w:rPr>
    </w:lvl>
  </w:abstractNum>
  <w:abstractNum w:abstractNumId="6" w15:restartNumberingAfterBreak="0">
    <w:nsid w:val="60A55377"/>
    <w:multiLevelType w:val="hybridMultilevel"/>
    <w:tmpl w:val="725CBDC4"/>
    <w:lvl w:ilvl="0" w:tplc="6B6685DA">
      <w:start w:val="1"/>
      <w:numFmt w:val="bullet"/>
      <w:lvlText w:val=""/>
      <w:lvlJc w:val="left"/>
      <w:pPr>
        <w:ind w:left="720" w:hanging="360"/>
      </w:pPr>
      <w:rPr>
        <w:rFonts w:ascii="Symbol" w:hAnsi="Symbol" w:hint="default"/>
      </w:rPr>
    </w:lvl>
    <w:lvl w:ilvl="1" w:tplc="7042F52C">
      <w:start w:val="1"/>
      <w:numFmt w:val="bullet"/>
      <w:lvlText w:val="o"/>
      <w:lvlJc w:val="left"/>
      <w:pPr>
        <w:ind w:left="1440" w:hanging="360"/>
      </w:pPr>
      <w:rPr>
        <w:rFonts w:ascii="Courier New" w:hAnsi="Courier New" w:cs="Courier New" w:hint="default"/>
      </w:rPr>
    </w:lvl>
    <w:lvl w:ilvl="2" w:tplc="1DB028F8">
      <w:start w:val="1"/>
      <w:numFmt w:val="bullet"/>
      <w:lvlText w:val=""/>
      <w:lvlJc w:val="left"/>
      <w:pPr>
        <w:ind w:left="2160" w:hanging="360"/>
      </w:pPr>
      <w:rPr>
        <w:rFonts w:ascii="Wingdings" w:hAnsi="Wingdings" w:hint="default"/>
      </w:rPr>
    </w:lvl>
    <w:lvl w:ilvl="3" w:tplc="407C28D0">
      <w:start w:val="1"/>
      <w:numFmt w:val="bullet"/>
      <w:lvlText w:val=""/>
      <w:lvlJc w:val="left"/>
      <w:pPr>
        <w:ind w:left="2880" w:hanging="360"/>
      </w:pPr>
      <w:rPr>
        <w:rFonts w:ascii="Symbol" w:hAnsi="Symbol" w:hint="default"/>
      </w:rPr>
    </w:lvl>
    <w:lvl w:ilvl="4" w:tplc="1780D10C">
      <w:start w:val="1"/>
      <w:numFmt w:val="bullet"/>
      <w:lvlText w:val="o"/>
      <w:lvlJc w:val="left"/>
      <w:pPr>
        <w:ind w:left="3600" w:hanging="360"/>
      </w:pPr>
      <w:rPr>
        <w:rFonts w:ascii="Courier New" w:hAnsi="Courier New" w:cs="Courier New" w:hint="default"/>
      </w:rPr>
    </w:lvl>
    <w:lvl w:ilvl="5" w:tplc="7068A732">
      <w:start w:val="1"/>
      <w:numFmt w:val="bullet"/>
      <w:lvlText w:val=""/>
      <w:lvlJc w:val="left"/>
      <w:pPr>
        <w:ind w:left="4320" w:hanging="360"/>
      </w:pPr>
      <w:rPr>
        <w:rFonts w:ascii="Wingdings" w:hAnsi="Wingdings" w:hint="default"/>
      </w:rPr>
    </w:lvl>
    <w:lvl w:ilvl="6" w:tplc="95CAF9F0">
      <w:start w:val="1"/>
      <w:numFmt w:val="bullet"/>
      <w:lvlText w:val=""/>
      <w:lvlJc w:val="left"/>
      <w:pPr>
        <w:ind w:left="5040" w:hanging="360"/>
      </w:pPr>
      <w:rPr>
        <w:rFonts w:ascii="Symbol" w:hAnsi="Symbol" w:hint="default"/>
      </w:rPr>
    </w:lvl>
    <w:lvl w:ilvl="7" w:tplc="FB98B268">
      <w:start w:val="1"/>
      <w:numFmt w:val="bullet"/>
      <w:lvlText w:val="o"/>
      <w:lvlJc w:val="left"/>
      <w:pPr>
        <w:ind w:left="5760" w:hanging="360"/>
      </w:pPr>
      <w:rPr>
        <w:rFonts w:ascii="Courier New" w:hAnsi="Courier New" w:cs="Courier New" w:hint="default"/>
      </w:rPr>
    </w:lvl>
    <w:lvl w:ilvl="8" w:tplc="B89816E6">
      <w:start w:val="1"/>
      <w:numFmt w:val="bullet"/>
      <w:lvlText w:val=""/>
      <w:lvlJc w:val="left"/>
      <w:pPr>
        <w:ind w:left="6480" w:hanging="360"/>
      </w:pPr>
      <w:rPr>
        <w:rFonts w:ascii="Wingdings" w:hAnsi="Wingdings" w:hint="default"/>
      </w:rPr>
    </w:lvl>
  </w:abstractNum>
  <w:abstractNum w:abstractNumId="7" w15:restartNumberingAfterBreak="0">
    <w:nsid w:val="63B312C5"/>
    <w:multiLevelType w:val="hybridMultilevel"/>
    <w:tmpl w:val="9A006934"/>
    <w:lvl w:ilvl="0" w:tplc="1718462A">
      <w:start w:val="1"/>
      <w:numFmt w:val="bullet"/>
      <w:lvlText w:val=""/>
      <w:lvlJc w:val="left"/>
      <w:pPr>
        <w:ind w:left="360" w:hanging="360"/>
      </w:pPr>
      <w:rPr>
        <w:rFonts w:ascii="Symbol" w:hAnsi="Symbol" w:hint="default"/>
      </w:rPr>
    </w:lvl>
    <w:lvl w:ilvl="1" w:tplc="474A32BE">
      <w:start w:val="1"/>
      <w:numFmt w:val="bullet"/>
      <w:lvlText w:val="o"/>
      <w:lvlJc w:val="left"/>
      <w:pPr>
        <w:ind w:left="1440" w:hanging="360"/>
      </w:pPr>
      <w:rPr>
        <w:rFonts w:ascii="Courier New" w:hAnsi="Courier New" w:cs="Courier New" w:hint="default"/>
      </w:rPr>
    </w:lvl>
    <w:lvl w:ilvl="2" w:tplc="0D92E52A">
      <w:start w:val="1"/>
      <w:numFmt w:val="bullet"/>
      <w:lvlText w:val=""/>
      <w:lvlJc w:val="left"/>
      <w:pPr>
        <w:ind w:left="2160" w:hanging="360"/>
      </w:pPr>
      <w:rPr>
        <w:rFonts w:ascii="Wingdings" w:hAnsi="Wingdings" w:hint="default"/>
      </w:rPr>
    </w:lvl>
    <w:lvl w:ilvl="3" w:tplc="01A2F10C">
      <w:start w:val="1"/>
      <w:numFmt w:val="bullet"/>
      <w:lvlText w:val=""/>
      <w:lvlJc w:val="left"/>
      <w:pPr>
        <w:ind w:left="2880" w:hanging="360"/>
      </w:pPr>
      <w:rPr>
        <w:rFonts w:ascii="Symbol" w:hAnsi="Symbol" w:hint="default"/>
      </w:rPr>
    </w:lvl>
    <w:lvl w:ilvl="4" w:tplc="0F824618">
      <w:start w:val="1"/>
      <w:numFmt w:val="bullet"/>
      <w:lvlText w:val="o"/>
      <w:lvlJc w:val="left"/>
      <w:pPr>
        <w:ind w:left="3600" w:hanging="360"/>
      </w:pPr>
      <w:rPr>
        <w:rFonts w:ascii="Courier New" w:hAnsi="Courier New" w:cs="Courier New" w:hint="default"/>
      </w:rPr>
    </w:lvl>
    <w:lvl w:ilvl="5" w:tplc="99A6F9DE">
      <w:start w:val="1"/>
      <w:numFmt w:val="bullet"/>
      <w:lvlText w:val=""/>
      <w:lvlJc w:val="left"/>
      <w:pPr>
        <w:ind w:left="4320" w:hanging="360"/>
      </w:pPr>
      <w:rPr>
        <w:rFonts w:ascii="Wingdings" w:hAnsi="Wingdings" w:hint="default"/>
      </w:rPr>
    </w:lvl>
    <w:lvl w:ilvl="6" w:tplc="5EB6EAC4">
      <w:start w:val="1"/>
      <w:numFmt w:val="bullet"/>
      <w:lvlText w:val=""/>
      <w:lvlJc w:val="left"/>
      <w:pPr>
        <w:ind w:left="5040" w:hanging="360"/>
      </w:pPr>
      <w:rPr>
        <w:rFonts w:ascii="Symbol" w:hAnsi="Symbol" w:hint="default"/>
      </w:rPr>
    </w:lvl>
    <w:lvl w:ilvl="7" w:tplc="FAA4FE4E">
      <w:start w:val="1"/>
      <w:numFmt w:val="bullet"/>
      <w:lvlText w:val="o"/>
      <w:lvlJc w:val="left"/>
      <w:pPr>
        <w:ind w:left="5760" w:hanging="360"/>
      </w:pPr>
      <w:rPr>
        <w:rFonts w:ascii="Courier New" w:hAnsi="Courier New" w:cs="Courier New" w:hint="default"/>
      </w:rPr>
    </w:lvl>
    <w:lvl w:ilvl="8" w:tplc="9EB04EBE">
      <w:start w:val="1"/>
      <w:numFmt w:val="bullet"/>
      <w:lvlText w:val=""/>
      <w:lvlJc w:val="left"/>
      <w:pPr>
        <w:ind w:left="6480" w:hanging="360"/>
      </w:pPr>
      <w:rPr>
        <w:rFonts w:ascii="Wingdings" w:hAnsi="Wingdings" w:hint="default"/>
      </w:rPr>
    </w:lvl>
  </w:abstractNum>
  <w:abstractNum w:abstractNumId="8" w15:restartNumberingAfterBreak="0">
    <w:nsid w:val="65511AE0"/>
    <w:multiLevelType w:val="hybridMultilevel"/>
    <w:tmpl w:val="C7B05DCC"/>
    <w:lvl w:ilvl="0" w:tplc="E3AA8F16">
      <w:start w:val="1"/>
      <w:numFmt w:val="bullet"/>
      <w:suff w:val="nothing"/>
      <w:lvlText w:val=""/>
      <w:lvlJc w:val="left"/>
      <w:pPr>
        <w:ind w:left="360" w:firstLine="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75207B9"/>
    <w:multiLevelType w:val="hybridMultilevel"/>
    <w:tmpl w:val="E3A03264"/>
    <w:lvl w:ilvl="0" w:tplc="27D45196">
      <w:start w:val="1"/>
      <w:numFmt w:val="bullet"/>
      <w:lvlText w:val=""/>
      <w:lvlJc w:val="left"/>
      <w:pPr>
        <w:ind w:left="720" w:hanging="360"/>
      </w:pPr>
      <w:rPr>
        <w:rFonts w:ascii="Symbol" w:hAnsi="Symbol" w:hint="default"/>
      </w:rPr>
    </w:lvl>
    <w:lvl w:ilvl="1" w:tplc="49A81C94">
      <w:start w:val="1"/>
      <w:numFmt w:val="bullet"/>
      <w:lvlText w:val="o"/>
      <w:lvlJc w:val="left"/>
      <w:pPr>
        <w:ind w:left="1440" w:hanging="360"/>
      </w:pPr>
      <w:rPr>
        <w:rFonts w:ascii="Courier New" w:hAnsi="Courier New" w:cs="Courier New" w:hint="default"/>
      </w:rPr>
    </w:lvl>
    <w:lvl w:ilvl="2" w:tplc="D85027F2">
      <w:start w:val="1"/>
      <w:numFmt w:val="bullet"/>
      <w:lvlText w:val=""/>
      <w:lvlJc w:val="left"/>
      <w:pPr>
        <w:ind w:left="2160" w:hanging="360"/>
      </w:pPr>
      <w:rPr>
        <w:rFonts w:ascii="Wingdings" w:hAnsi="Wingdings" w:hint="default"/>
      </w:rPr>
    </w:lvl>
    <w:lvl w:ilvl="3" w:tplc="CD62B3B0">
      <w:start w:val="1"/>
      <w:numFmt w:val="bullet"/>
      <w:lvlText w:val=""/>
      <w:lvlJc w:val="left"/>
      <w:pPr>
        <w:ind w:left="2880" w:hanging="360"/>
      </w:pPr>
      <w:rPr>
        <w:rFonts w:ascii="Symbol" w:hAnsi="Symbol" w:hint="default"/>
      </w:rPr>
    </w:lvl>
    <w:lvl w:ilvl="4" w:tplc="E876ACA0">
      <w:start w:val="1"/>
      <w:numFmt w:val="bullet"/>
      <w:lvlText w:val="o"/>
      <w:lvlJc w:val="left"/>
      <w:pPr>
        <w:ind w:left="3600" w:hanging="360"/>
      </w:pPr>
      <w:rPr>
        <w:rFonts w:ascii="Courier New" w:hAnsi="Courier New" w:cs="Courier New" w:hint="default"/>
      </w:rPr>
    </w:lvl>
    <w:lvl w:ilvl="5" w:tplc="0AC46526">
      <w:start w:val="1"/>
      <w:numFmt w:val="bullet"/>
      <w:lvlText w:val=""/>
      <w:lvlJc w:val="left"/>
      <w:pPr>
        <w:ind w:left="4320" w:hanging="360"/>
      </w:pPr>
      <w:rPr>
        <w:rFonts w:ascii="Wingdings" w:hAnsi="Wingdings" w:hint="default"/>
      </w:rPr>
    </w:lvl>
    <w:lvl w:ilvl="6" w:tplc="FD904008">
      <w:start w:val="1"/>
      <w:numFmt w:val="bullet"/>
      <w:lvlText w:val=""/>
      <w:lvlJc w:val="left"/>
      <w:pPr>
        <w:ind w:left="5040" w:hanging="360"/>
      </w:pPr>
      <w:rPr>
        <w:rFonts w:ascii="Symbol" w:hAnsi="Symbol" w:hint="default"/>
      </w:rPr>
    </w:lvl>
    <w:lvl w:ilvl="7" w:tplc="CD84C1FE">
      <w:start w:val="1"/>
      <w:numFmt w:val="bullet"/>
      <w:lvlText w:val="o"/>
      <w:lvlJc w:val="left"/>
      <w:pPr>
        <w:ind w:left="5760" w:hanging="360"/>
      </w:pPr>
      <w:rPr>
        <w:rFonts w:ascii="Courier New" w:hAnsi="Courier New" w:cs="Courier New" w:hint="default"/>
      </w:rPr>
    </w:lvl>
    <w:lvl w:ilvl="8" w:tplc="A4A61F32">
      <w:start w:val="1"/>
      <w:numFmt w:val="bullet"/>
      <w:lvlText w:val=""/>
      <w:lvlJc w:val="left"/>
      <w:pPr>
        <w:ind w:left="6480" w:hanging="360"/>
      </w:pPr>
      <w:rPr>
        <w:rFonts w:ascii="Wingdings" w:hAnsi="Wingdings" w:hint="default"/>
      </w:rPr>
    </w:lvl>
  </w:abstractNum>
  <w:abstractNum w:abstractNumId="10" w15:restartNumberingAfterBreak="0">
    <w:nsid w:val="6A354341"/>
    <w:multiLevelType w:val="hybridMultilevel"/>
    <w:tmpl w:val="92DC729C"/>
    <w:lvl w:ilvl="0" w:tplc="D8968716">
      <w:start w:val="1"/>
      <w:numFmt w:val="bullet"/>
      <w:lvlText w:val=""/>
      <w:lvlJc w:val="left"/>
      <w:pPr>
        <w:ind w:left="360" w:hanging="360"/>
      </w:pPr>
      <w:rPr>
        <w:rFonts w:ascii="Symbol" w:hAnsi="Symbol" w:hint="default"/>
      </w:rPr>
    </w:lvl>
    <w:lvl w:ilvl="1" w:tplc="EC8AE760">
      <w:start w:val="1"/>
      <w:numFmt w:val="bullet"/>
      <w:lvlText w:val="o"/>
      <w:lvlJc w:val="left"/>
      <w:pPr>
        <w:ind w:left="1080" w:hanging="360"/>
      </w:pPr>
      <w:rPr>
        <w:rFonts w:ascii="Courier New" w:hAnsi="Courier New" w:cs="Courier New" w:hint="default"/>
      </w:rPr>
    </w:lvl>
    <w:lvl w:ilvl="2" w:tplc="D2D0FC54">
      <w:start w:val="1"/>
      <w:numFmt w:val="bullet"/>
      <w:lvlText w:val=""/>
      <w:lvlJc w:val="left"/>
      <w:pPr>
        <w:ind w:left="1800" w:hanging="360"/>
      </w:pPr>
      <w:rPr>
        <w:rFonts w:ascii="Wingdings" w:hAnsi="Wingdings" w:hint="default"/>
      </w:rPr>
    </w:lvl>
    <w:lvl w:ilvl="3" w:tplc="E126FC58">
      <w:start w:val="1"/>
      <w:numFmt w:val="bullet"/>
      <w:lvlText w:val=""/>
      <w:lvlJc w:val="left"/>
      <w:pPr>
        <w:ind w:left="2520" w:hanging="360"/>
      </w:pPr>
      <w:rPr>
        <w:rFonts w:ascii="Symbol" w:hAnsi="Symbol" w:hint="default"/>
      </w:rPr>
    </w:lvl>
    <w:lvl w:ilvl="4" w:tplc="540E2538">
      <w:start w:val="1"/>
      <w:numFmt w:val="bullet"/>
      <w:lvlText w:val="o"/>
      <w:lvlJc w:val="left"/>
      <w:pPr>
        <w:ind w:left="3240" w:hanging="360"/>
      </w:pPr>
      <w:rPr>
        <w:rFonts w:ascii="Courier New" w:hAnsi="Courier New" w:cs="Courier New" w:hint="default"/>
      </w:rPr>
    </w:lvl>
    <w:lvl w:ilvl="5" w:tplc="4B7681B4">
      <w:start w:val="1"/>
      <w:numFmt w:val="bullet"/>
      <w:lvlText w:val=""/>
      <w:lvlJc w:val="left"/>
      <w:pPr>
        <w:ind w:left="3960" w:hanging="360"/>
      </w:pPr>
      <w:rPr>
        <w:rFonts w:ascii="Wingdings" w:hAnsi="Wingdings" w:hint="default"/>
      </w:rPr>
    </w:lvl>
    <w:lvl w:ilvl="6" w:tplc="72080008">
      <w:start w:val="1"/>
      <w:numFmt w:val="bullet"/>
      <w:lvlText w:val=""/>
      <w:lvlJc w:val="left"/>
      <w:pPr>
        <w:ind w:left="4680" w:hanging="360"/>
      </w:pPr>
      <w:rPr>
        <w:rFonts w:ascii="Symbol" w:hAnsi="Symbol" w:hint="default"/>
      </w:rPr>
    </w:lvl>
    <w:lvl w:ilvl="7" w:tplc="796A4D7E">
      <w:start w:val="1"/>
      <w:numFmt w:val="bullet"/>
      <w:lvlText w:val="o"/>
      <w:lvlJc w:val="left"/>
      <w:pPr>
        <w:ind w:left="5400" w:hanging="360"/>
      </w:pPr>
      <w:rPr>
        <w:rFonts w:ascii="Courier New" w:hAnsi="Courier New" w:cs="Courier New" w:hint="default"/>
      </w:rPr>
    </w:lvl>
    <w:lvl w:ilvl="8" w:tplc="47620ED6">
      <w:start w:val="1"/>
      <w:numFmt w:val="bullet"/>
      <w:lvlText w:val=""/>
      <w:lvlJc w:val="left"/>
      <w:pPr>
        <w:ind w:left="6120" w:hanging="360"/>
      </w:pPr>
      <w:rPr>
        <w:rFonts w:ascii="Wingdings" w:hAnsi="Wingdings" w:hint="default"/>
      </w:rPr>
    </w:lvl>
  </w:abstractNum>
  <w:abstractNum w:abstractNumId="11" w15:restartNumberingAfterBreak="0">
    <w:nsid w:val="6D466B99"/>
    <w:multiLevelType w:val="hybridMultilevel"/>
    <w:tmpl w:val="13A2AE1E"/>
    <w:lvl w:ilvl="0" w:tplc="5D2A7A5E">
      <w:start w:val="1"/>
      <w:numFmt w:val="bullet"/>
      <w:lvlText w:val=""/>
      <w:lvlJc w:val="left"/>
      <w:pPr>
        <w:ind w:left="0" w:firstLine="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EFD29BC"/>
    <w:multiLevelType w:val="hybridMultilevel"/>
    <w:tmpl w:val="81B215E8"/>
    <w:lvl w:ilvl="0" w:tplc="3472702A">
      <w:start w:val="1"/>
      <w:numFmt w:val="bullet"/>
      <w:lvlText w:val=""/>
      <w:lvlJc w:val="left"/>
      <w:pPr>
        <w:ind w:left="720" w:hanging="360"/>
      </w:pPr>
      <w:rPr>
        <w:rFonts w:ascii="Symbol" w:hAnsi="Symbol" w:hint="default"/>
      </w:rPr>
    </w:lvl>
    <w:lvl w:ilvl="1" w:tplc="652E0258">
      <w:start w:val="1"/>
      <w:numFmt w:val="bullet"/>
      <w:lvlText w:val="o"/>
      <w:lvlJc w:val="left"/>
      <w:pPr>
        <w:ind w:left="1440" w:hanging="360"/>
      </w:pPr>
      <w:rPr>
        <w:rFonts w:ascii="Courier New" w:hAnsi="Courier New" w:cs="Courier New" w:hint="default"/>
      </w:rPr>
    </w:lvl>
    <w:lvl w:ilvl="2" w:tplc="61FA4E42">
      <w:start w:val="1"/>
      <w:numFmt w:val="bullet"/>
      <w:lvlText w:val=""/>
      <w:lvlJc w:val="left"/>
      <w:pPr>
        <w:ind w:left="2160" w:hanging="360"/>
      </w:pPr>
      <w:rPr>
        <w:rFonts w:ascii="Wingdings" w:hAnsi="Wingdings" w:hint="default"/>
      </w:rPr>
    </w:lvl>
    <w:lvl w:ilvl="3" w:tplc="9ED01630">
      <w:start w:val="1"/>
      <w:numFmt w:val="bullet"/>
      <w:lvlText w:val=""/>
      <w:lvlJc w:val="left"/>
      <w:pPr>
        <w:ind w:left="2880" w:hanging="360"/>
      </w:pPr>
      <w:rPr>
        <w:rFonts w:ascii="Symbol" w:hAnsi="Symbol" w:hint="default"/>
      </w:rPr>
    </w:lvl>
    <w:lvl w:ilvl="4" w:tplc="9F728304">
      <w:start w:val="1"/>
      <w:numFmt w:val="bullet"/>
      <w:lvlText w:val="o"/>
      <w:lvlJc w:val="left"/>
      <w:pPr>
        <w:ind w:left="3600" w:hanging="360"/>
      </w:pPr>
      <w:rPr>
        <w:rFonts w:ascii="Courier New" w:hAnsi="Courier New" w:cs="Courier New" w:hint="default"/>
      </w:rPr>
    </w:lvl>
    <w:lvl w:ilvl="5" w:tplc="8FF6710A">
      <w:start w:val="1"/>
      <w:numFmt w:val="bullet"/>
      <w:lvlText w:val=""/>
      <w:lvlJc w:val="left"/>
      <w:pPr>
        <w:ind w:left="4320" w:hanging="360"/>
      </w:pPr>
      <w:rPr>
        <w:rFonts w:ascii="Wingdings" w:hAnsi="Wingdings" w:hint="default"/>
      </w:rPr>
    </w:lvl>
    <w:lvl w:ilvl="6" w:tplc="01487C3A">
      <w:start w:val="1"/>
      <w:numFmt w:val="bullet"/>
      <w:lvlText w:val=""/>
      <w:lvlJc w:val="left"/>
      <w:pPr>
        <w:ind w:left="5040" w:hanging="360"/>
      </w:pPr>
      <w:rPr>
        <w:rFonts w:ascii="Symbol" w:hAnsi="Symbol" w:hint="default"/>
      </w:rPr>
    </w:lvl>
    <w:lvl w:ilvl="7" w:tplc="2A9C13DE">
      <w:start w:val="1"/>
      <w:numFmt w:val="bullet"/>
      <w:lvlText w:val="o"/>
      <w:lvlJc w:val="left"/>
      <w:pPr>
        <w:ind w:left="5760" w:hanging="360"/>
      </w:pPr>
      <w:rPr>
        <w:rFonts w:ascii="Courier New" w:hAnsi="Courier New" w:cs="Courier New" w:hint="default"/>
      </w:rPr>
    </w:lvl>
    <w:lvl w:ilvl="8" w:tplc="8B362324">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10"/>
  </w:num>
  <w:num w:numId="4">
    <w:abstractNumId w:val="7"/>
  </w:num>
  <w:num w:numId="5">
    <w:abstractNumId w:val="2"/>
  </w:num>
  <w:num w:numId="6">
    <w:abstractNumId w:val="5"/>
  </w:num>
  <w:num w:numId="7">
    <w:abstractNumId w:val="3"/>
  </w:num>
  <w:num w:numId="8">
    <w:abstractNumId w:val="6"/>
  </w:num>
  <w:num w:numId="9">
    <w:abstractNumId w:val="4"/>
  </w:num>
  <w:num w:numId="10">
    <w:abstractNumId w:val="9"/>
  </w:num>
  <w:num w:numId="11">
    <w:abstractNumId w:val="11"/>
  </w:num>
  <w:num w:numId="12">
    <w:abstractNumId w:val="0"/>
  </w:num>
  <w:num w:numId="13">
    <w:abstractNumId w:val="1"/>
  </w:num>
  <w:num w:numId="14">
    <w:abstractNumId w:val="8"/>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7D"/>
    <w:rsid w:val="00015999"/>
    <w:rsid w:val="000222C3"/>
    <w:rsid w:val="001406DC"/>
    <w:rsid w:val="001529F8"/>
    <w:rsid w:val="00287C65"/>
    <w:rsid w:val="002A2851"/>
    <w:rsid w:val="0038224D"/>
    <w:rsid w:val="00432883"/>
    <w:rsid w:val="00461B96"/>
    <w:rsid w:val="0056462D"/>
    <w:rsid w:val="00631808"/>
    <w:rsid w:val="00675F51"/>
    <w:rsid w:val="006F6022"/>
    <w:rsid w:val="007B2B90"/>
    <w:rsid w:val="00841F63"/>
    <w:rsid w:val="008E3BD1"/>
    <w:rsid w:val="00A74A65"/>
    <w:rsid w:val="00B16FA1"/>
    <w:rsid w:val="00BD676C"/>
    <w:rsid w:val="00D529A6"/>
    <w:rsid w:val="00E11426"/>
    <w:rsid w:val="00E12920"/>
    <w:rsid w:val="00F76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C20A6"/>
  <w15:chartTrackingRefBased/>
  <w15:docId w15:val="{26B4DA8F-3D04-40A9-8195-E05B7F0B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6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6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022"/>
    <w:rPr>
      <w:rFonts w:asciiTheme="majorHAnsi" w:eastAsiaTheme="majorEastAsia" w:hAnsiTheme="majorHAnsi" w:cstheme="majorBidi"/>
      <w:color w:val="2F5496" w:themeColor="accent1" w:themeShade="BF"/>
      <w:sz w:val="32"/>
      <w:szCs w:val="32"/>
    </w:rPr>
  </w:style>
  <w:style w:type="paragraph" w:customStyle="1" w:styleId="Standard">
    <w:name w:val="Standard"/>
    <w:rsid w:val="006F6022"/>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customStyle="1" w:styleId="Heading2Char">
    <w:name w:val="Heading 2 Char"/>
    <w:basedOn w:val="DefaultParagraphFont"/>
    <w:link w:val="Heading2"/>
    <w:uiPriority w:val="9"/>
    <w:semiHidden/>
    <w:rsid w:val="006F6022"/>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6F6022"/>
    <w:rPr>
      <w:color w:val="0000FF"/>
      <w:u w:val="single"/>
    </w:rPr>
  </w:style>
  <w:style w:type="paragraph" w:styleId="TOC1">
    <w:name w:val="toc 1"/>
    <w:basedOn w:val="Normal"/>
    <w:next w:val="Normal"/>
    <w:autoRedefine/>
    <w:uiPriority w:val="39"/>
    <w:unhideWhenUsed/>
    <w:rsid w:val="006F6022"/>
    <w:pPr>
      <w:spacing w:after="100"/>
    </w:pPr>
    <w:rPr>
      <w:rFonts w:eastAsia="Calibri" w:cs="Vrinda"/>
    </w:rPr>
  </w:style>
  <w:style w:type="paragraph" w:styleId="TOC2">
    <w:name w:val="toc 2"/>
    <w:basedOn w:val="Normal"/>
    <w:next w:val="Normal"/>
    <w:autoRedefine/>
    <w:uiPriority w:val="39"/>
    <w:unhideWhenUsed/>
    <w:rsid w:val="006F6022"/>
    <w:pPr>
      <w:spacing w:after="100"/>
      <w:ind w:left="220"/>
    </w:pPr>
    <w:rPr>
      <w:rFonts w:eastAsia="Calibri" w:cs="Vrinda"/>
    </w:rPr>
  </w:style>
  <w:style w:type="paragraph" w:styleId="NoSpacing">
    <w:name w:val="No Spacing"/>
    <w:autoRedefine/>
    <w:uiPriority w:val="1"/>
    <w:qFormat/>
    <w:rsid w:val="006F6022"/>
    <w:pPr>
      <w:spacing w:after="0" w:line="360" w:lineRule="auto"/>
      <w:jc w:val="both"/>
    </w:pPr>
    <w:rPr>
      <w:rFonts w:ascii="Times New Roman" w:hAnsi="Times New Roman"/>
      <w:b/>
      <w:sz w:val="24"/>
      <w:lang w:val="en-US"/>
    </w:rPr>
  </w:style>
  <w:style w:type="paragraph" w:styleId="ListParagraph">
    <w:name w:val="List Paragraph"/>
    <w:basedOn w:val="Normal"/>
    <w:uiPriority w:val="34"/>
    <w:qFormat/>
    <w:rsid w:val="006F6022"/>
    <w:pPr>
      <w:ind w:left="720"/>
      <w:contextualSpacing/>
    </w:pPr>
    <w:rPr>
      <w:lang w:val="en-US"/>
    </w:rPr>
  </w:style>
  <w:style w:type="paragraph" w:styleId="TOCHeading">
    <w:name w:val="TOC Heading"/>
    <w:basedOn w:val="Heading1"/>
    <w:next w:val="Normal"/>
    <w:uiPriority w:val="39"/>
    <w:semiHidden/>
    <w:unhideWhenUsed/>
    <w:qFormat/>
    <w:rsid w:val="006F6022"/>
    <w:pPr>
      <w:spacing w:before="0"/>
      <w:outlineLvl w:val="9"/>
    </w:pPr>
    <w:rPr>
      <w:rFonts w:ascii="Cambria" w:eastAsia="Times New Roman" w:hAnsi="Cambria" w:cs="Vrinda"/>
      <w:b/>
      <w:bCs/>
      <w:color w:val="365F91"/>
      <w:sz w:val="28"/>
      <w:szCs w:val="28"/>
      <w:lang w:val="en-US"/>
    </w:rPr>
  </w:style>
  <w:style w:type="table" w:styleId="TableGrid">
    <w:name w:val="Table Grid"/>
    <w:basedOn w:val="TableNormal"/>
    <w:uiPriority w:val="39"/>
    <w:rsid w:val="006F602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979870">
      <w:bodyDiv w:val="1"/>
      <w:marLeft w:val="0"/>
      <w:marRight w:val="0"/>
      <w:marTop w:val="0"/>
      <w:marBottom w:val="0"/>
      <w:divBdr>
        <w:top w:val="none" w:sz="0" w:space="0" w:color="auto"/>
        <w:left w:val="none" w:sz="0" w:space="0" w:color="auto"/>
        <w:bottom w:val="none" w:sz="0" w:space="0" w:color="auto"/>
        <w:right w:val="none" w:sz="0" w:space="0" w:color="auto"/>
      </w:divBdr>
    </w:div>
    <w:div w:id="109624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7F23A-1AB9-4BEB-86BF-E642AEBB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11</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6</cp:revision>
  <dcterms:created xsi:type="dcterms:W3CDTF">2021-12-19T18:25:00Z</dcterms:created>
  <dcterms:modified xsi:type="dcterms:W3CDTF">2021-12-20T14:05:00Z</dcterms:modified>
</cp:coreProperties>
</file>