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7AF2C" w14:textId="77777777" w:rsidR="00BA2971" w:rsidRDefault="00BA2971">
      <w:pPr>
        <w:pStyle w:val="Normal1"/>
      </w:pPr>
    </w:p>
    <w:p w14:paraId="5987F217" w14:textId="77777777" w:rsidR="00BA2971" w:rsidRDefault="00BA2971">
      <w:pPr>
        <w:pStyle w:val="Normal1"/>
        <w:jc w:val="center"/>
        <w:rPr>
          <w:b/>
          <w:bCs/>
        </w:rPr>
      </w:pPr>
    </w:p>
    <w:p w14:paraId="19F81D3D" w14:textId="6C92782B" w:rsidR="00A2416A" w:rsidRPr="00A2416A" w:rsidRDefault="00A2416A" w:rsidP="00A2416A">
      <w:pPr>
        <w:pStyle w:val="Normal1"/>
        <w:jc w:val="center"/>
        <w:rPr>
          <w:lang w:val="en-GB"/>
        </w:rPr>
      </w:pPr>
      <w:r w:rsidRPr="00A2416A">
        <w:rPr>
          <w:noProof/>
        </w:rPr>
        <w:drawing>
          <wp:inline distT="0" distB="0" distL="0" distR="0" wp14:anchorId="2C42CE7B" wp14:editId="21D8CC1D">
            <wp:extent cx="2619375" cy="1162050"/>
            <wp:effectExtent l="0" t="0" r="0" b="0"/>
            <wp:docPr id="1028170792" name="Imagine 2" descr="O imagine care conține text, Font, siglă, simbol&#10;&#10;Conținutul generat de inteligența artificială poate fi inco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170792" name="Imagine 2" descr="O imagine care conține text, Font, siglă, simbol&#10;&#10;Conținutul generat de inteligența artificială poate fi inco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9375" cy="1162050"/>
                    </a:xfrm>
                    <a:prstGeom prst="rect">
                      <a:avLst/>
                    </a:prstGeom>
                    <a:noFill/>
                    <a:ln>
                      <a:noFill/>
                    </a:ln>
                  </pic:spPr>
                </pic:pic>
              </a:graphicData>
            </a:graphic>
          </wp:inline>
        </w:drawing>
      </w:r>
    </w:p>
    <w:p w14:paraId="5E867012" w14:textId="77777777" w:rsidR="00A2416A" w:rsidRPr="00A2416A" w:rsidRDefault="00A2416A" w:rsidP="00A2416A">
      <w:pPr>
        <w:pStyle w:val="Normal1"/>
        <w:jc w:val="center"/>
        <w:rPr>
          <w:lang w:val="en-GB"/>
        </w:rPr>
      </w:pPr>
    </w:p>
    <w:p w14:paraId="6686443E" w14:textId="77777777" w:rsidR="00A2416A" w:rsidRPr="00A2416A" w:rsidRDefault="00A2416A" w:rsidP="00A2416A">
      <w:pPr>
        <w:pStyle w:val="Normal1"/>
        <w:jc w:val="center"/>
        <w:rPr>
          <w:lang w:val="en-GB"/>
        </w:rPr>
      </w:pPr>
    </w:p>
    <w:p w14:paraId="47F4F955" w14:textId="77777777" w:rsidR="00A2416A" w:rsidRPr="00A2416A" w:rsidRDefault="00A2416A" w:rsidP="00A2416A">
      <w:pPr>
        <w:pStyle w:val="Normal1"/>
        <w:jc w:val="center"/>
        <w:rPr>
          <w:lang w:val="en-GB"/>
        </w:rPr>
      </w:pPr>
    </w:p>
    <w:p w14:paraId="1C0E008E" w14:textId="77777777" w:rsidR="00A2416A" w:rsidRPr="00A2416A" w:rsidRDefault="00A2416A" w:rsidP="00A2416A">
      <w:pPr>
        <w:pStyle w:val="Normal1"/>
        <w:jc w:val="center"/>
        <w:rPr>
          <w:lang w:val="en-GB"/>
        </w:rPr>
      </w:pPr>
    </w:p>
    <w:p w14:paraId="603816C9" w14:textId="77777777" w:rsidR="00A2416A" w:rsidRPr="00BA62FD" w:rsidRDefault="00A2416A" w:rsidP="00A2416A">
      <w:pPr>
        <w:pStyle w:val="Normal1"/>
        <w:jc w:val="center"/>
        <w:rPr>
          <w:b/>
          <w:bCs/>
          <w:lang w:val="en-GB"/>
        </w:rPr>
      </w:pPr>
    </w:p>
    <w:p w14:paraId="62CEF6A2" w14:textId="77777777" w:rsidR="00A2416A" w:rsidRPr="00BA62FD" w:rsidRDefault="00A2416A" w:rsidP="00A2416A">
      <w:pPr>
        <w:pStyle w:val="Normal1"/>
        <w:jc w:val="center"/>
        <w:rPr>
          <w:b/>
          <w:bCs/>
          <w:lang w:val="en-GB"/>
        </w:rPr>
      </w:pPr>
      <w:r w:rsidRPr="00BA62FD">
        <w:rPr>
          <w:b/>
          <w:bCs/>
          <w:lang w:val="en-GB"/>
        </w:rPr>
        <w:t xml:space="preserve">Name:Ioana Madalina Priboi </w:t>
      </w:r>
    </w:p>
    <w:p w14:paraId="38D887FC" w14:textId="77777777" w:rsidR="00A2416A" w:rsidRPr="00BA62FD" w:rsidRDefault="00A2416A" w:rsidP="00A2416A">
      <w:pPr>
        <w:pStyle w:val="Normal1"/>
        <w:jc w:val="center"/>
        <w:rPr>
          <w:b/>
          <w:bCs/>
          <w:lang w:val="en-GB"/>
        </w:rPr>
      </w:pPr>
      <w:r w:rsidRPr="00BA62FD">
        <w:rPr>
          <w:b/>
          <w:bCs/>
          <w:lang w:val="en-GB"/>
        </w:rPr>
        <w:t>Student ID:2511525</w:t>
      </w:r>
    </w:p>
    <w:p w14:paraId="65E58DEF" w14:textId="0376DE28" w:rsidR="00A2416A" w:rsidRPr="00BA62FD" w:rsidRDefault="00A2416A" w:rsidP="00A2416A">
      <w:pPr>
        <w:pStyle w:val="Normal1"/>
        <w:jc w:val="center"/>
        <w:rPr>
          <w:b/>
          <w:bCs/>
          <w:lang w:val="en-GB"/>
        </w:rPr>
      </w:pPr>
      <w:r w:rsidRPr="00BA62FD">
        <w:rPr>
          <w:b/>
          <w:bCs/>
          <w:lang w:val="en-GB"/>
        </w:rPr>
        <w:t xml:space="preserve">Module Code: </w:t>
      </w:r>
      <w:r w:rsidR="00BA62FD">
        <w:rPr>
          <w:b/>
          <w:bCs/>
          <w:lang w:val="en-GB"/>
        </w:rPr>
        <w:t>L</w:t>
      </w:r>
      <w:r w:rsidRPr="00BA62FD">
        <w:rPr>
          <w:b/>
          <w:bCs/>
          <w:lang w:val="en-GB"/>
        </w:rPr>
        <w:t>CHS400</w:t>
      </w:r>
      <w:r w:rsidR="00BA62FD">
        <w:rPr>
          <w:b/>
          <w:bCs/>
          <w:lang w:val="en-GB"/>
        </w:rPr>
        <w:t>3</w:t>
      </w:r>
      <w:r w:rsidRPr="00BA62FD">
        <w:rPr>
          <w:b/>
          <w:bCs/>
          <w:lang w:val="en-GB"/>
        </w:rPr>
        <w:t>_BIRM</w:t>
      </w:r>
    </w:p>
    <w:p w14:paraId="3282FD4A" w14:textId="3A03858A" w:rsidR="00A2416A" w:rsidRPr="00BA62FD" w:rsidRDefault="00A2416A" w:rsidP="00A2416A">
      <w:pPr>
        <w:pStyle w:val="Normal1"/>
        <w:jc w:val="center"/>
        <w:rPr>
          <w:b/>
          <w:bCs/>
          <w:lang w:val="en-GB"/>
        </w:rPr>
      </w:pPr>
      <w:r w:rsidRPr="00BA62FD">
        <w:rPr>
          <w:b/>
          <w:bCs/>
          <w:lang w:val="en-GB"/>
        </w:rPr>
        <w:t xml:space="preserve">Module: Introduction </w:t>
      </w:r>
      <w:r w:rsidR="00BA62FD">
        <w:rPr>
          <w:b/>
          <w:bCs/>
          <w:lang w:val="en-GB"/>
        </w:rPr>
        <w:t>to Health and Social Care</w:t>
      </w:r>
    </w:p>
    <w:p w14:paraId="663BD633" w14:textId="4B86801A" w:rsidR="00A2416A" w:rsidRPr="00BA62FD" w:rsidRDefault="00A2416A" w:rsidP="00A2416A">
      <w:pPr>
        <w:pStyle w:val="Normal1"/>
        <w:jc w:val="center"/>
        <w:rPr>
          <w:b/>
          <w:bCs/>
          <w:lang w:val="en-GB"/>
        </w:rPr>
      </w:pPr>
      <w:r w:rsidRPr="00BA62FD">
        <w:rPr>
          <w:b/>
          <w:bCs/>
          <w:lang w:val="en-GB"/>
        </w:rPr>
        <w:t xml:space="preserve">Lecturer: </w:t>
      </w:r>
      <w:r w:rsidR="00BA62FD">
        <w:rPr>
          <w:b/>
          <w:bCs/>
          <w:lang w:val="en-GB"/>
        </w:rPr>
        <w:t>Azida Zainol</w:t>
      </w:r>
    </w:p>
    <w:p w14:paraId="209545F6" w14:textId="77777777" w:rsidR="00A2416A" w:rsidRPr="00A2416A" w:rsidRDefault="00A2416A" w:rsidP="00A2416A">
      <w:pPr>
        <w:pStyle w:val="Normal1"/>
        <w:jc w:val="center"/>
        <w:rPr>
          <w:lang w:val="en-GB"/>
        </w:rPr>
      </w:pPr>
    </w:p>
    <w:p w14:paraId="19A9A345" w14:textId="77777777" w:rsidR="00A2416A" w:rsidRPr="00A2416A" w:rsidRDefault="00A2416A" w:rsidP="00A2416A">
      <w:pPr>
        <w:pStyle w:val="Normal1"/>
        <w:jc w:val="center"/>
        <w:rPr>
          <w:lang w:val="en-GB"/>
        </w:rPr>
      </w:pPr>
    </w:p>
    <w:p w14:paraId="1BE94AB0" w14:textId="77777777" w:rsidR="00A2416A" w:rsidRPr="00A2416A" w:rsidRDefault="00A2416A" w:rsidP="00A2416A">
      <w:pPr>
        <w:pStyle w:val="Normal1"/>
        <w:jc w:val="center"/>
        <w:rPr>
          <w:lang w:val="en-GB"/>
        </w:rPr>
      </w:pPr>
    </w:p>
    <w:p w14:paraId="5FE2F363" w14:textId="77777777" w:rsidR="00A2416A" w:rsidRPr="00A2416A" w:rsidRDefault="00A2416A" w:rsidP="00A2416A">
      <w:pPr>
        <w:pStyle w:val="Normal1"/>
        <w:jc w:val="center"/>
        <w:rPr>
          <w:lang w:val="en-GB"/>
        </w:rPr>
      </w:pPr>
    </w:p>
    <w:p w14:paraId="20A018AC" w14:textId="77777777" w:rsidR="00A2416A" w:rsidRPr="00A2416A" w:rsidRDefault="00A2416A" w:rsidP="00A2416A">
      <w:pPr>
        <w:pStyle w:val="Normal1"/>
        <w:jc w:val="center"/>
        <w:rPr>
          <w:lang w:val="en-GB"/>
        </w:rPr>
      </w:pPr>
    </w:p>
    <w:p w14:paraId="38DF540E" w14:textId="77777777" w:rsidR="00A2416A" w:rsidRPr="00A2416A" w:rsidRDefault="00A2416A" w:rsidP="00A2416A">
      <w:pPr>
        <w:pStyle w:val="Normal1"/>
        <w:jc w:val="center"/>
        <w:rPr>
          <w:lang w:val="en-GB"/>
        </w:rPr>
      </w:pPr>
    </w:p>
    <w:p w14:paraId="6AA86132" w14:textId="77777777" w:rsidR="00A2416A" w:rsidRPr="00A2416A" w:rsidRDefault="00A2416A" w:rsidP="00A2416A">
      <w:pPr>
        <w:pStyle w:val="Normal1"/>
        <w:jc w:val="center"/>
        <w:rPr>
          <w:lang w:val="en-GB"/>
        </w:rPr>
      </w:pPr>
    </w:p>
    <w:p w14:paraId="58A59946" w14:textId="30D32FF4" w:rsidR="00A2416A" w:rsidRPr="00A2416A" w:rsidRDefault="00A2416A" w:rsidP="00A2416A">
      <w:pPr>
        <w:pStyle w:val="Normal1"/>
        <w:jc w:val="center"/>
        <w:rPr>
          <w:lang w:val="en-GB"/>
        </w:rPr>
      </w:pPr>
      <w:r w:rsidRPr="00A2416A">
        <w:rPr>
          <w:lang w:val="en-GB"/>
        </w:rPr>
        <w:tab/>
      </w:r>
      <w:r w:rsidRPr="00A2416A">
        <w:rPr>
          <w:lang w:val="en-GB"/>
        </w:rPr>
        <w:tab/>
      </w:r>
      <w:r w:rsidRPr="00A2416A">
        <w:rPr>
          <w:lang w:val="en-GB"/>
        </w:rPr>
        <w:tab/>
      </w:r>
      <w:r w:rsidRPr="00A2416A">
        <w:rPr>
          <w:lang w:val="en-GB"/>
        </w:rPr>
        <w:tab/>
      </w:r>
    </w:p>
    <w:p w14:paraId="4D3CAE88" w14:textId="6C050E52" w:rsidR="00BA2971" w:rsidRDefault="00000000">
      <w:pPr>
        <w:pStyle w:val="Normal1"/>
        <w:jc w:val="center"/>
        <w:rPr>
          <w:b/>
          <w:bCs/>
        </w:rPr>
      </w:pPr>
      <w:r>
        <w:br w:type="page"/>
      </w:r>
    </w:p>
    <w:p w14:paraId="2C006A47" w14:textId="77777777" w:rsidR="00BA2971" w:rsidRDefault="00000000">
      <w:pPr>
        <w:pStyle w:val="Normal1"/>
        <w:jc w:val="center"/>
        <w:rPr>
          <w:b/>
          <w:bCs/>
        </w:rPr>
      </w:pPr>
      <w:r>
        <w:rPr>
          <w:b/>
          <w:bCs/>
        </w:rPr>
        <w:lastRenderedPageBreak/>
        <w:t>Table of Contents</w:t>
      </w:r>
    </w:p>
    <w:sdt>
      <w:sdtPr>
        <w:id w:val="2000297723"/>
        <w:docPartObj>
          <w:docPartGallery w:val="Table of Contents"/>
          <w:docPartUnique/>
        </w:docPartObj>
      </w:sdtPr>
      <w:sdtContent>
        <w:p w14:paraId="26F9FB96" w14:textId="77777777" w:rsidR="006E3C94" w:rsidRDefault="00000000">
          <w:pPr>
            <w:pStyle w:val="Cuprins1"/>
            <w:tabs>
              <w:tab w:val="right" w:leader="dot" w:pos="9350"/>
            </w:tabs>
            <w:rPr>
              <w:noProof/>
            </w:rPr>
          </w:pPr>
          <w:r>
            <w:fldChar w:fldCharType="begin"/>
          </w:r>
          <w:r w:rsidR="00620256">
            <w:instrText xml:space="preserve"> TOC \h \u \z \t "Heading 1,1,Heading 2,2,Heading 3,3,Heading 4,4,Heading 5,5,Heading 6,6,"</w:instrText>
          </w:r>
          <w:r>
            <w:fldChar w:fldCharType="separate"/>
          </w:r>
          <w:hyperlink w:anchor="_Toc222761376" w:history="1">
            <w:r w:rsidR="006E3C94" w:rsidRPr="0077602D">
              <w:rPr>
                <w:rStyle w:val="Hyperlink"/>
                <w:noProof/>
              </w:rPr>
              <w:t>1. Introduction</w:t>
            </w:r>
            <w:r w:rsidR="006E3C94">
              <w:rPr>
                <w:noProof/>
                <w:webHidden/>
              </w:rPr>
              <w:tab/>
            </w:r>
            <w:r w:rsidR="006E3C94">
              <w:rPr>
                <w:noProof/>
                <w:webHidden/>
              </w:rPr>
              <w:fldChar w:fldCharType="begin"/>
            </w:r>
            <w:r w:rsidR="006E3C94">
              <w:rPr>
                <w:noProof/>
                <w:webHidden/>
              </w:rPr>
              <w:instrText xml:space="preserve"> PAGEREF _Toc222761376 \h </w:instrText>
            </w:r>
            <w:r w:rsidR="006E3C94">
              <w:rPr>
                <w:noProof/>
                <w:webHidden/>
              </w:rPr>
            </w:r>
            <w:r w:rsidR="006E3C94">
              <w:rPr>
                <w:noProof/>
                <w:webHidden/>
              </w:rPr>
              <w:fldChar w:fldCharType="separate"/>
            </w:r>
            <w:r w:rsidR="006E3C94">
              <w:rPr>
                <w:noProof/>
                <w:webHidden/>
              </w:rPr>
              <w:t>4</w:t>
            </w:r>
            <w:r w:rsidR="006E3C94">
              <w:rPr>
                <w:noProof/>
                <w:webHidden/>
              </w:rPr>
              <w:fldChar w:fldCharType="end"/>
            </w:r>
          </w:hyperlink>
        </w:p>
        <w:p w14:paraId="5F358281" w14:textId="77777777" w:rsidR="006E3C94" w:rsidRDefault="006E3C94">
          <w:pPr>
            <w:pStyle w:val="Cuprins1"/>
            <w:tabs>
              <w:tab w:val="right" w:leader="dot" w:pos="9350"/>
            </w:tabs>
            <w:rPr>
              <w:noProof/>
            </w:rPr>
          </w:pPr>
          <w:hyperlink w:anchor="_Toc222761377" w:history="1">
            <w:r w:rsidRPr="0077602D">
              <w:rPr>
                <w:rStyle w:val="Hyperlink"/>
                <w:noProof/>
              </w:rPr>
              <w:t>2. Importance of effective communication</w:t>
            </w:r>
            <w:r>
              <w:rPr>
                <w:noProof/>
                <w:webHidden/>
              </w:rPr>
              <w:tab/>
            </w:r>
            <w:r>
              <w:rPr>
                <w:noProof/>
                <w:webHidden/>
              </w:rPr>
              <w:fldChar w:fldCharType="begin"/>
            </w:r>
            <w:r>
              <w:rPr>
                <w:noProof/>
                <w:webHidden/>
              </w:rPr>
              <w:instrText xml:space="preserve"> PAGEREF _Toc222761377 \h </w:instrText>
            </w:r>
            <w:r>
              <w:rPr>
                <w:noProof/>
                <w:webHidden/>
              </w:rPr>
            </w:r>
            <w:r>
              <w:rPr>
                <w:noProof/>
                <w:webHidden/>
              </w:rPr>
              <w:fldChar w:fldCharType="separate"/>
            </w:r>
            <w:r>
              <w:rPr>
                <w:noProof/>
                <w:webHidden/>
              </w:rPr>
              <w:t>4</w:t>
            </w:r>
            <w:r>
              <w:rPr>
                <w:noProof/>
                <w:webHidden/>
              </w:rPr>
              <w:fldChar w:fldCharType="end"/>
            </w:r>
          </w:hyperlink>
        </w:p>
        <w:p w14:paraId="22DC86FA" w14:textId="77777777" w:rsidR="006E3C94" w:rsidRDefault="006E3C94">
          <w:pPr>
            <w:pStyle w:val="Cuprins1"/>
            <w:tabs>
              <w:tab w:val="right" w:leader="dot" w:pos="9350"/>
            </w:tabs>
            <w:rPr>
              <w:noProof/>
            </w:rPr>
          </w:pPr>
          <w:hyperlink w:anchor="_Toc222761378" w:history="1">
            <w:r w:rsidRPr="0077602D">
              <w:rPr>
                <w:rStyle w:val="Hyperlink"/>
                <w:noProof/>
              </w:rPr>
              <w:t>3. Importance of good administrative skills</w:t>
            </w:r>
            <w:r>
              <w:rPr>
                <w:noProof/>
                <w:webHidden/>
              </w:rPr>
              <w:tab/>
            </w:r>
            <w:r>
              <w:rPr>
                <w:noProof/>
                <w:webHidden/>
              </w:rPr>
              <w:fldChar w:fldCharType="begin"/>
            </w:r>
            <w:r>
              <w:rPr>
                <w:noProof/>
                <w:webHidden/>
              </w:rPr>
              <w:instrText xml:space="preserve"> PAGEREF _Toc222761378 \h </w:instrText>
            </w:r>
            <w:r>
              <w:rPr>
                <w:noProof/>
                <w:webHidden/>
              </w:rPr>
            </w:r>
            <w:r>
              <w:rPr>
                <w:noProof/>
                <w:webHidden/>
              </w:rPr>
              <w:fldChar w:fldCharType="separate"/>
            </w:r>
            <w:r>
              <w:rPr>
                <w:noProof/>
                <w:webHidden/>
              </w:rPr>
              <w:t>5</w:t>
            </w:r>
            <w:r>
              <w:rPr>
                <w:noProof/>
                <w:webHidden/>
              </w:rPr>
              <w:fldChar w:fldCharType="end"/>
            </w:r>
          </w:hyperlink>
        </w:p>
        <w:p w14:paraId="0132DED2" w14:textId="77777777" w:rsidR="006E3C94" w:rsidRDefault="006E3C94">
          <w:pPr>
            <w:pStyle w:val="Cuprins1"/>
            <w:tabs>
              <w:tab w:val="right" w:leader="dot" w:pos="9350"/>
            </w:tabs>
            <w:rPr>
              <w:noProof/>
            </w:rPr>
          </w:pPr>
          <w:hyperlink w:anchor="_Toc222761379" w:history="1">
            <w:r w:rsidRPr="0077602D">
              <w:rPr>
                <w:rStyle w:val="Hyperlink"/>
                <w:noProof/>
              </w:rPr>
              <w:t>4. Importance of working collaboratively with other professionals</w:t>
            </w:r>
            <w:r>
              <w:rPr>
                <w:noProof/>
                <w:webHidden/>
              </w:rPr>
              <w:tab/>
            </w:r>
            <w:r>
              <w:rPr>
                <w:noProof/>
                <w:webHidden/>
              </w:rPr>
              <w:fldChar w:fldCharType="begin"/>
            </w:r>
            <w:r>
              <w:rPr>
                <w:noProof/>
                <w:webHidden/>
              </w:rPr>
              <w:instrText xml:space="preserve"> PAGEREF _Toc222761379 \h </w:instrText>
            </w:r>
            <w:r>
              <w:rPr>
                <w:noProof/>
                <w:webHidden/>
              </w:rPr>
            </w:r>
            <w:r>
              <w:rPr>
                <w:noProof/>
                <w:webHidden/>
              </w:rPr>
              <w:fldChar w:fldCharType="separate"/>
            </w:r>
            <w:r>
              <w:rPr>
                <w:noProof/>
                <w:webHidden/>
              </w:rPr>
              <w:t>7</w:t>
            </w:r>
            <w:r>
              <w:rPr>
                <w:noProof/>
                <w:webHidden/>
              </w:rPr>
              <w:fldChar w:fldCharType="end"/>
            </w:r>
          </w:hyperlink>
        </w:p>
        <w:p w14:paraId="179AC208" w14:textId="77777777" w:rsidR="006E3C94" w:rsidRDefault="006E3C94">
          <w:pPr>
            <w:pStyle w:val="Cuprins1"/>
            <w:tabs>
              <w:tab w:val="right" w:leader="dot" w:pos="9350"/>
            </w:tabs>
            <w:rPr>
              <w:noProof/>
            </w:rPr>
          </w:pPr>
          <w:hyperlink w:anchor="_Toc222761380" w:history="1">
            <w:r w:rsidRPr="0077602D">
              <w:rPr>
                <w:rStyle w:val="Hyperlink"/>
                <w:noProof/>
              </w:rPr>
              <w:t>Conclusion</w:t>
            </w:r>
            <w:r>
              <w:rPr>
                <w:noProof/>
                <w:webHidden/>
              </w:rPr>
              <w:tab/>
            </w:r>
            <w:r>
              <w:rPr>
                <w:noProof/>
                <w:webHidden/>
              </w:rPr>
              <w:fldChar w:fldCharType="begin"/>
            </w:r>
            <w:r>
              <w:rPr>
                <w:noProof/>
                <w:webHidden/>
              </w:rPr>
              <w:instrText xml:space="preserve"> PAGEREF _Toc222761380 \h </w:instrText>
            </w:r>
            <w:r>
              <w:rPr>
                <w:noProof/>
                <w:webHidden/>
              </w:rPr>
            </w:r>
            <w:r>
              <w:rPr>
                <w:noProof/>
                <w:webHidden/>
              </w:rPr>
              <w:fldChar w:fldCharType="separate"/>
            </w:r>
            <w:r>
              <w:rPr>
                <w:noProof/>
                <w:webHidden/>
              </w:rPr>
              <w:t>8</w:t>
            </w:r>
            <w:r>
              <w:rPr>
                <w:noProof/>
                <w:webHidden/>
              </w:rPr>
              <w:fldChar w:fldCharType="end"/>
            </w:r>
          </w:hyperlink>
        </w:p>
        <w:p w14:paraId="27127909" w14:textId="77777777" w:rsidR="006E3C94" w:rsidRDefault="006E3C94">
          <w:pPr>
            <w:pStyle w:val="Cuprins1"/>
            <w:tabs>
              <w:tab w:val="right" w:leader="dot" w:pos="9350"/>
            </w:tabs>
            <w:rPr>
              <w:noProof/>
            </w:rPr>
          </w:pPr>
          <w:hyperlink w:anchor="_Toc222761381" w:history="1">
            <w:r w:rsidRPr="0077602D">
              <w:rPr>
                <w:rStyle w:val="Hyperlink"/>
                <w:noProof/>
              </w:rPr>
              <w:t>References</w:t>
            </w:r>
            <w:r>
              <w:rPr>
                <w:noProof/>
                <w:webHidden/>
              </w:rPr>
              <w:tab/>
            </w:r>
            <w:r>
              <w:rPr>
                <w:noProof/>
                <w:webHidden/>
              </w:rPr>
              <w:fldChar w:fldCharType="begin"/>
            </w:r>
            <w:r>
              <w:rPr>
                <w:noProof/>
                <w:webHidden/>
              </w:rPr>
              <w:instrText xml:space="preserve"> PAGEREF _Toc222761381 \h </w:instrText>
            </w:r>
            <w:r>
              <w:rPr>
                <w:noProof/>
                <w:webHidden/>
              </w:rPr>
            </w:r>
            <w:r>
              <w:rPr>
                <w:noProof/>
                <w:webHidden/>
              </w:rPr>
              <w:fldChar w:fldCharType="separate"/>
            </w:r>
            <w:r>
              <w:rPr>
                <w:noProof/>
                <w:webHidden/>
              </w:rPr>
              <w:t>9</w:t>
            </w:r>
            <w:r>
              <w:rPr>
                <w:noProof/>
                <w:webHidden/>
              </w:rPr>
              <w:fldChar w:fldCharType="end"/>
            </w:r>
          </w:hyperlink>
        </w:p>
        <w:p w14:paraId="0ABA223B" w14:textId="77777777" w:rsidR="00BA2971" w:rsidRDefault="00000000">
          <w:pPr>
            <w:pStyle w:val="Normal1"/>
            <w:widowControl w:val="0"/>
            <w:tabs>
              <w:tab w:val="right" w:leader="dot" w:pos="9360"/>
            </w:tabs>
            <w:spacing w:before="60"/>
            <w:rPr>
              <w:color w:val="000000"/>
            </w:rPr>
          </w:pPr>
          <w:r>
            <w:fldChar w:fldCharType="end"/>
          </w:r>
        </w:p>
      </w:sdtContent>
    </w:sdt>
    <w:p w14:paraId="21BFE5FF" w14:textId="77777777" w:rsidR="00BA2971" w:rsidRDefault="00BA2971">
      <w:pPr>
        <w:pStyle w:val="Normal1"/>
      </w:pPr>
    </w:p>
    <w:p w14:paraId="59E73E71" w14:textId="77777777" w:rsidR="00BA2971" w:rsidRDefault="00BA2971">
      <w:pPr>
        <w:pStyle w:val="Normal1"/>
        <w:jc w:val="center"/>
        <w:rPr>
          <w:b/>
          <w:bCs/>
        </w:rPr>
      </w:pPr>
    </w:p>
    <w:p w14:paraId="17534C3C" w14:textId="77777777" w:rsidR="00BA2971" w:rsidRDefault="00BA2971">
      <w:pPr>
        <w:pStyle w:val="Normal1"/>
        <w:jc w:val="center"/>
        <w:rPr>
          <w:b/>
          <w:bCs/>
        </w:rPr>
      </w:pPr>
    </w:p>
    <w:p w14:paraId="71A0470D" w14:textId="77777777" w:rsidR="00BA2971" w:rsidRDefault="00000000">
      <w:pPr>
        <w:pStyle w:val="Normal1"/>
        <w:jc w:val="center"/>
        <w:rPr>
          <w:b/>
          <w:bCs/>
        </w:rPr>
      </w:pPr>
      <w:r>
        <w:br w:type="page"/>
      </w:r>
    </w:p>
    <w:p w14:paraId="2CD2B2D6" w14:textId="77777777" w:rsidR="00BA2971" w:rsidRDefault="00000000">
      <w:pPr>
        <w:pStyle w:val="Normal1"/>
        <w:jc w:val="center"/>
        <w:rPr>
          <w:b/>
          <w:bCs/>
        </w:rPr>
      </w:pPr>
      <w:r>
        <w:rPr>
          <w:b/>
          <w:bCs/>
        </w:rPr>
        <w:lastRenderedPageBreak/>
        <w:t>Executive Summary</w:t>
      </w:r>
    </w:p>
    <w:p w14:paraId="2A2391FC" w14:textId="77777777" w:rsidR="00BA2971" w:rsidRDefault="00000000">
      <w:pPr>
        <w:pStyle w:val="Normal1"/>
      </w:pPr>
      <w:r>
        <w:t xml:space="preserve">This study explores the structure as well as the development of the UK health system, in addition to the social care system. It reveals the role of the National Health Service in providing universal as well as equitable healthcare since 1948. The study emphasises recent challenges that include ageing populations in addition to workforce shortages, as well as financial pressures that affect service quality. </w:t>
      </w:r>
      <w:r w:rsidR="00863BA6">
        <w:t>Mr.</w:t>
      </w:r>
      <w:r>
        <w:t xml:space="preserve"> Ahmed's case focuses on risks regarding communication barriers following hospital discharge subsequent to stroke treatment. Language disparities highlight the significance of culturally sensitive as well as person-centric strategies to care delivery. Eventually, legal frameworks like the Equality Act 2010, along with the Mental Capacity Act 2005, safeguard individuals’ rights. Furthermore, these practices ensure autonomy in addition to several informed consents. Apart from these, effective record-keeping is supported by the Data Protection Act 2018. This act contributes to ensuring privacy along with responsibility. Furthermore, ensuring different accountabilities under the Care Act 2014 safeguard patient mental health and wellbeing. Moreover, collaborative multidisciplinary practice reinforces the extent of coordination. This practice is associated with reduced risk factors, followed by promoting secure, integrated, and community-centric care.        </w:t>
      </w:r>
    </w:p>
    <w:p w14:paraId="31A44D02" w14:textId="77777777" w:rsidR="00BA2971" w:rsidRDefault="00BA2971">
      <w:pPr>
        <w:pStyle w:val="Normal1"/>
        <w:jc w:val="center"/>
        <w:rPr>
          <w:b/>
          <w:bCs/>
        </w:rPr>
      </w:pPr>
    </w:p>
    <w:p w14:paraId="072B251D" w14:textId="77777777" w:rsidR="00BA2971" w:rsidRDefault="00000000">
      <w:pPr>
        <w:pStyle w:val="Normal1"/>
        <w:rPr>
          <w:b/>
          <w:bCs/>
        </w:rPr>
      </w:pPr>
      <w:r>
        <w:br w:type="page"/>
      </w:r>
    </w:p>
    <w:p w14:paraId="1D3B85C8" w14:textId="77777777" w:rsidR="00BA2971" w:rsidRDefault="00000000">
      <w:pPr>
        <w:pStyle w:val="Titlu1"/>
        <w:rPr>
          <w:sz w:val="22"/>
          <w:szCs w:val="22"/>
          <w:highlight w:val="yellow"/>
        </w:rPr>
      </w:pPr>
      <w:bookmarkStart w:id="0" w:name="_Toc222761376"/>
      <w:r>
        <w:rPr>
          <w:sz w:val="22"/>
          <w:szCs w:val="22"/>
        </w:rPr>
        <w:lastRenderedPageBreak/>
        <w:t>1. Introduction</w:t>
      </w:r>
      <w:bookmarkEnd w:id="0"/>
    </w:p>
    <w:p w14:paraId="0F87FEA2" w14:textId="77777777" w:rsidR="00BA2971" w:rsidRDefault="00000000">
      <w:pPr>
        <w:pStyle w:val="Normal1"/>
      </w:pPr>
      <w:r>
        <w:t>The UK health and social care system was established with the National Health Service in 1948 (Nuffieldtrust, 2022). It was founded on principles of universality, in addition to equity, along with free access. Presently, the system integrates health services with the social care provision of the regional authority. However, it experiences several challenges that include ageing populations along with workforce shortages. Apart from these, funding constraints as well as the enhancement of chronic conditions further create pressure towards service delivery. In connection with this, in the given case study, Mr Ahmed is identified as a 68-year-old gentleman who has been recently discharged after the completion of his stroke treatment. He lives with his spouse in a ground-floor flat. He receives domiciliary care thrice daily in favour of care support. Concerns arose, followed by a missed home visit as well as a major delay in medication. Thus, effective communication, along with accurate record-keeping as well as collaborative practice, remains necessary.</w:t>
      </w:r>
    </w:p>
    <w:p w14:paraId="6F40506F" w14:textId="77777777" w:rsidR="00BA2971" w:rsidRDefault="00000000">
      <w:pPr>
        <w:pStyle w:val="Titlu1"/>
        <w:rPr>
          <w:sz w:val="22"/>
          <w:szCs w:val="22"/>
          <w:highlight w:val="yellow"/>
        </w:rPr>
      </w:pPr>
      <w:bookmarkStart w:id="1" w:name="_Toc222761377"/>
      <w:r>
        <w:rPr>
          <w:sz w:val="22"/>
          <w:szCs w:val="22"/>
        </w:rPr>
        <w:t>2. Importance of effective communication</w:t>
      </w:r>
      <w:bookmarkEnd w:id="1"/>
      <w:r>
        <w:rPr>
          <w:sz w:val="22"/>
          <w:szCs w:val="22"/>
        </w:rPr>
        <w:t xml:space="preserve"> </w:t>
      </w:r>
    </w:p>
    <w:p w14:paraId="115AAC63" w14:textId="77777777" w:rsidR="00BA2971" w:rsidRDefault="00000000">
      <w:pPr>
        <w:pStyle w:val="Normal1"/>
      </w:pPr>
      <w:r>
        <w:t>Effective communication ensures safe as well as person-</w:t>
      </w:r>
      <w:r w:rsidR="00863BA6">
        <w:t>centered</w:t>
      </w:r>
      <w:r>
        <w:t xml:space="preserve"> care in favour of </w:t>
      </w:r>
      <w:r w:rsidR="00863BA6">
        <w:t>Mr.</w:t>
      </w:r>
      <w:r>
        <w:t xml:space="preserve"> Ahmed. He does not comprehend English properly and prefers communication in the Bengali language, as per the case study. Therefore, professionals should adapt communication to their native linguistic needs. The Equality Act 2010 endorses fairness, along with prohibiting discrimination in the delivery of services (Mohammed </w:t>
      </w:r>
      <w:r>
        <w:rPr>
          <w:i/>
          <w:iCs/>
        </w:rPr>
        <w:t xml:space="preserve">et al., </w:t>
      </w:r>
      <w:r>
        <w:t xml:space="preserve">2025). It requires reasonable adjustments in favour of individuals with language or disability restrictions. Providing interpreter services supports comprehensive communication, along with reducing misunderstanding. </w:t>
      </w:r>
      <w:r w:rsidR="00863BA6">
        <w:t>Mr.</w:t>
      </w:r>
      <w:r>
        <w:t xml:space="preserve"> Ahmed's wife frequently communicates with the care team on his behalf. However, professionals should still respect individuality, as well as </w:t>
      </w:r>
      <w:r w:rsidR="00863BA6">
        <w:t>Mr.</w:t>
      </w:r>
      <w:r>
        <w:t xml:space="preserve"> Ahmed. Consent should be approved directly whenever he demonstrates capacity. The Mental Capacity Act 2005 safeguards the decision-making rights of individuals (Craigie </w:t>
      </w:r>
      <w:r>
        <w:rPr>
          <w:i/>
          <w:iCs/>
        </w:rPr>
        <w:t xml:space="preserve">et al., </w:t>
      </w:r>
      <w:r>
        <w:t xml:space="preserve">2025). Eventually, clear and simple language should be implemented throughout medication explanations. Visual aids may help his comprehension throughout speech therapy sessions. These would be helpful for Mr Ahmed to get rid of the issues regarding communication with the healthcare professionals. </w:t>
      </w:r>
    </w:p>
    <w:p w14:paraId="5E940165" w14:textId="77777777" w:rsidR="00BA2971" w:rsidRDefault="00000000">
      <w:pPr>
        <w:pStyle w:val="Normal1"/>
      </w:pPr>
      <w:r>
        <w:t xml:space="preserve">The speech and language therapist supports communication in addition to swallowing improvement. One relevant framework is identified as the </w:t>
      </w:r>
      <w:r>
        <w:rPr>
          <w:b/>
          <w:bCs/>
        </w:rPr>
        <w:t>Shannon-Weaver Model of communication</w:t>
      </w:r>
      <w:r>
        <w:t xml:space="preserve">. This model highlights the sender along with the message, channel, in addition to the receiver, as well as feedback components (Khadija and Omar, 2023). In </w:t>
      </w:r>
      <w:r w:rsidR="00863BA6">
        <w:t>Mr.</w:t>
      </w:r>
      <w:r>
        <w:t xml:space="preserve"> Ahmed’s care, professionals perform as message senders. Language mismatch can create noise within the communication channel [Referred to the Case Study]. Furthermore, noise can lead to </w:t>
      </w:r>
      <w:r>
        <w:lastRenderedPageBreak/>
        <w:t xml:space="preserve">misunderstanding regarding medication timing or dosage. Feedback from </w:t>
      </w:r>
      <w:r w:rsidR="00863BA6">
        <w:t>Mr.</w:t>
      </w:r>
      <w:r>
        <w:t xml:space="preserve"> Ahmed safeguards the message that has been understood. His missed medication demonstrates significant outcomes of a communication breakdown. Therefore, clear documentation along with verbal confirmation is an essential safeguard. Active listening contributes to building trust between professionals as well as family members (Heino </w:t>
      </w:r>
      <w:r>
        <w:rPr>
          <w:i/>
          <w:iCs/>
        </w:rPr>
        <w:t xml:space="preserve">et al., </w:t>
      </w:r>
      <w:r>
        <w:t xml:space="preserve">2025). In addition, empathy enhances several therapeutic relationships, along with improving compliance. Furthermore, culturally sensitive strategies respect </w:t>
      </w:r>
      <w:r w:rsidR="00863BA6">
        <w:t>Mr.</w:t>
      </w:r>
      <w:r>
        <w:t xml:space="preserve"> Ahmed's Bengali linguistic background [Referred to the Case Study]. Thus, effective communication ultimately decreases risk while promoting patient safety in global healthcare organisations.  </w:t>
      </w:r>
    </w:p>
    <w:p w14:paraId="6F0658B4" w14:textId="77777777" w:rsidR="00BA2971" w:rsidRDefault="00000000">
      <w:pPr>
        <w:pStyle w:val="Normal1"/>
      </w:pPr>
      <w:r>
        <w:t xml:space="preserve">Professionals should initially entertain </w:t>
      </w:r>
      <w:r w:rsidR="00863BA6">
        <w:t>Mr.</w:t>
      </w:r>
      <w:r>
        <w:t xml:space="preserve"> Ahmed's preferred language and individual communication capabilities with care. Under the Equality Act 2010, equal access to services remains necessary (Hussain </w:t>
      </w:r>
      <w:r>
        <w:rPr>
          <w:i/>
          <w:iCs/>
        </w:rPr>
        <w:t xml:space="preserve">et al., </w:t>
      </w:r>
      <w:r>
        <w:t xml:space="preserve">2022). The Act safeguards individuals from disparity based on protected characteristics. Language as well as ethnicity are relevant considerations within service delivery performances. In addition, reasonable adjustments should therefore address recognised linguistic communication limitations. Arranging an efficient Bengali interpreter demonstrates compliance with several statutory duties. Family members can support communication; however, this should not replace experts. Apart from these, confidentiality as well as autonomy should always be protected throughout discussions. Professionals should speak gradually, utilising simple as well as jargon-free vocabulary. Short sentences may enhance the understanding ability of a beginner in addition to reducing cognitive overload. Visual charts as well as written Bengali leaflets contribute to strengthening verbal explanations. Open-ended questions that are asked in the interview encourage participation from </w:t>
      </w:r>
      <w:r w:rsidR="00863BA6">
        <w:t>Mr.</w:t>
      </w:r>
      <w:r>
        <w:t xml:space="preserve"> Ahmed along with his relatives. According to the Shannon-Weaver model, feedback checks clarity in messages (LaValle </w:t>
      </w:r>
      <w:r>
        <w:rPr>
          <w:i/>
          <w:iCs/>
        </w:rPr>
        <w:t xml:space="preserve">et al., </w:t>
      </w:r>
      <w:r>
        <w:t>2023). Professionals should necessarily seek confirmation of shared understanding in an active way. Non-verbal cues like eye contact can promote relevance. In addition, respectful and active listening acknowledges cultural values in addition to family engagement. Furthermore, documentation of discussions safeguards responsibility and continuous care practices. Eventually, collaborative dialogue authorises both service users and family members in an effective way.</w:t>
      </w:r>
    </w:p>
    <w:p w14:paraId="6185E980" w14:textId="77777777" w:rsidR="00863BA6" w:rsidRDefault="00863BA6">
      <w:pPr>
        <w:pStyle w:val="Normal1"/>
      </w:pPr>
    </w:p>
    <w:p w14:paraId="695BB3EE" w14:textId="77777777" w:rsidR="00863BA6" w:rsidRDefault="00863BA6">
      <w:pPr>
        <w:pStyle w:val="Normal1"/>
      </w:pPr>
    </w:p>
    <w:p w14:paraId="7E12A8E5" w14:textId="77777777" w:rsidR="00BA2971" w:rsidRDefault="00000000">
      <w:pPr>
        <w:pStyle w:val="Titlu1"/>
        <w:spacing w:before="240" w:after="240"/>
        <w:rPr>
          <w:sz w:val="22"/>
          <w:szCs w:val="22"/>
          <w:highlight w:val="yellow"/>
        </w:rPr>
      </w:pPr>
      <w:bookmarkStart w:id="2" w:name="_Toc222761378"/>
      <w:r>
        <w:rPr>
          <w:sz w:val="22"/>
          <w:szCs w:val="22"/>
        </w:rPr>
        <w:lastRenderedPageBreak/>
        <w:t>3. Importance of good administrative skills</w:t>
      </w:r>
      <w:bookmarkEnd w:id="2"/>
      <w:r>
        <w:rPr>
          <w:sz w:val="22"/>
          <w:szCs w:val="22"/>
        </w:rPr>
        <w:t xml:space="preserve"> </w:t>
      </w:r>
    </w:p>
    <w:p w14:paraId="2CE64790" w14:textId="77777777" w:rsidR="00BA2971" w:rsidRDefault="00000000">
      <w:pPr>
        <w:pStyle w:val="Normal1"/>
        <w:spacing w:before="240" w:after="200"/>
      </w:pPr>
      <w:r>
        <w:t xml:space="preserve">Good administrative skills safeguard continuity as well as safety in </w:t>
      </w:r>
      <w:r w:rsidR="00863BA6">
        <w:t>Mr.</w:t>
      </w:r>
      <w:r>
        <w:t xml:space="preserve"> Ahmed's care. Accurate electronic health records contribute to documenting medication administration in addition to significant oversights. The missed home visit required formal reporting in addition to investigation [Referred to the Case Study]. Proper documentation supports responsibility within domiciliary care services. The Data Protection Act 2018 regulates individual data handling in healthcare (Chail </w:t>
      </w:r>
      <w:r>
        <w:rPr>
          <w:i/>
          <w:iCs/>
        </w:rPr>
        <w:t xml:space="preserve">et al., </w:t>
      </w:r>
      <w:r>
        <w:t xml:space="preserve">2026). It aligns with UK GDPR principles of lawfulness as well as transparency. </w:t>
      </w:r>
      <w:r w:rsidR="00863BA6">
        <w:t>Mr.</w:t>
      </w:r>
      <w:r>
        <w:t xml:space="preserve"> Ahmed's medical information must be processed fairly and securely. This will ensure the privacy of the sensitive medical data in the record without any chance of breach or leakage. Only relevant professionals should access his health records. Privacy must be upheld throughout communication with </w:t>
      </w:r>
      <w:r w:rsidR="00863BA6">
        <w:t>Mr.</w:t>
      </w:r>
      <w:r>
        <w:t xml:space="preserve"> Ahmed's wife. Eventually, safe electronic systems contribute to decreasing risks regarding severe data breaches (NHS, 2023). Timely record updates ensure district nurses monitor blood pressure effectively. Accurate care documentation for serious injury supports excellent clinical decision-making. On the other hand, the Care Act 2014 emphasises safeguarding as well as wellbeing principles for the patients. Safeguarding processes apply if neglected risks arise from missed visits for MR Ahmed’s treatment at the hospital. [Referred to the Case Study]. The Health and Social Care Act 2012 </w:t>
      </w:r>
      <w:r w:rsidR="00863BA6">
        <w:t>endorse</w:t>
      </w:r>
      <w:r>
        <w:t xml:space="preserve"> integrated service delivery with integrated records to develop coordination between GPs and therapists (Isaacs and Mitchell, 2024). The NHS and Community Care Act 1990 introduced community-based service planning. In the context of the case study, </w:t>
      </w:r>
      <w:r w:rsidR="00863BA6">
        <w:t>Mr.</w:t>
      </w:r>
      <w:r>
        <w:t xml:space="preserve"> Ahmed receives community-based domiciliary support at home [Referred to the Case Study]. This domiciliary support helps him to feel valued and respected while receiving care from the healthcare workers, regardless of communication issues. In addition, risk assessments must be documented to prevent medication errors. Incident reports enable organisational learning and service improvement. In addition, administrative competence reinforces professional responsibility as well as governance. Thus, accurate record-keeping confirms compliance with legal frameworks as well as policies. Good administration ultimately protects Mr Ahmed’s security along with wellbeing. </w:t>
      </w:r>
    </w:p>
    <w:p w14:paraId="19542838" w14:textId="77777777" w:rsidR="00BA2971" w:rsidRDefault="00000000">
      <w:pPr>
        <w:pStyle w:val="Normal1"/>
      </w:pPr>
      <w:r>
        <w:t xml:space="preserve">Record keeping ensures accurate, as well as contemporaneous and objective evidence of care delivery. The clear patient records promote accountability, clarity, and consistency across multidisciplinary teams. Eventually, the Data Protection Act 2018 governs the legal procedure of individual health information (Chail </w:t>
      </w:r>
      <w:r>
        <w:rPr>
          <w:i/>
          <w:iCs/>
        </w:rPr>
        <w:t xml:space="preserve">et al., </w:t>
      </w:r>
      <w:r>
        <w:t xml:space="preserve">2026). It includes principles of legal ethics, fairness, clearness, accuracy, in addition to storage insufficiencies. Furthermore, healthcare organisations must gather only essential, relevant, and proportionate data. In the context of Mr </w:t>
      </w:r>
      <w:r>
        <w:lastRenderedPageBreak/>
        <w:t xml:space="preserve">Ahmed's case, secure electronic systems should essentially avert unauthorised access, along with alteration, or accidental loss [Referred to the Case Study]. Healthcare workers should follow privacy policies aligned with UK GDPR requirements. Apart from these, the Care Act 2014 strengthens the duties as well as the wellbeing principles. Additionally, the Health and Social Care Act 2012 </w:t>
      </w:r>
      <w:r w:rsidR="00863BA6">
        <w:t>enhance</w:t>
      </w:r>
      <w:r>
        <w:t xml:space="preserve"> integrated governance along with crucial responsibility (Kosiol </w:t>
      </w:r>
      <w:r>
        <w:rPr>
          <w:i/>
          <w:iCs/>
        </w:rPr>
        <w:t xml:space="preserve">et al., </w:t>
      </w:r>
      <w:r>
        <w:t>2024). Moreover, the Equality Act 2010 safeguards equitable access towards different health-related services. Adhering to these frameworks, record-keeping contributes to reinforcing professional standards in addition to regulatory compliance.</w:t>
      </w:r>
    </w:p>
    <w:p w14:paraId="4C97BC11" w14:textId="77777777" w:rsidR="00BA2971" w:rsidRDefault="00000000">
      <w:pPr>
        <w:pStyle w:val="Titlu1"/>
        <w:spacing w:before="240" w:after="240"/>
        <w:rPr>
          <w:sz w:val="22"/>
          <w:szCs w:val="22"/>
          <w:highlight w:val="yellow"/>
        </w:rPr>
      </w:pPr>
      <w:bookmarkStart w:id="3" w:name="_Toc222761379"/>
      <w:r>
        <w:rPr>
          <w:sz w:val="22"/>
          <w:szCs w:val="22"/>
        </w:rPr>
        <w:t>4. Importance of working collaboratively with other professionals</w:t>
      </w:r>
      <w:bookmarkEnd w:id="3"/>
      <w:r>
        <w:rPr>
          <w:sz w:val="22"/>
          <w:szCs w:val="22"/>
        </w:rPr>
        <w:t xml:space="preserve"> </w:t>
      </w:r>
    </w:p>
    <w:p w14:paraId="7416BC34" w14:textId="77777777" w:rsidR="00BA2971" w:rsidRDefault="00000000">
      <w:pPr>
        <w:pStyle w:val="Normal1"/>
      </w:pPr>
      <w:r>
        <w:t xml:space="preserve">Collaborative working safeguards holistic care for </w:t>
      </w:r>
      <w:r w:rsidR="00863BA6">
        <w:t>Mr.</w:t>
      </w:r>
      <w:r>
        <w:t xml:space="preserve"> Ahmed. His multidisciplinary team incorporates GP along with district nurses in addition to therapists [Referred to the Case Study]. Eventually, domiciliary carers deliver daily personal as well as medical support. Furthermore, the UK system endorses integrated care through collaborative working. Interprofessional collaboration enhances patient responses while reducing duplication (Kaiser </w:t>
      </w:r>
      <w:r>
        <w:rPr>
          <w:i/>
          <w:iCs/>
        </w:rPr>
        <w:t xml:space="preserve">et al., </w:t>
      </w:r>
      <w:r>
        <w:t xml:space="preserve">2022). Case meetings on a regular basis enhance shared decision-making among healthcare experts. Clear clarification of the role averts confusion concerning medication accountability [Referred to the Case Study]. Shared care plans guide coordinated service delivery. Apart from these, </w:t>
      </w:r>
      <w:r w:rsidR="00863BA6">
        <w:t>electronic</w:t>
      </w:r>
      <w:r>
        <w:t xml:space="preserve"> record (EHR) systems allow timely information delivery (NHS, 2022). However, communication limitations may challenge multi-agency partnerships [Referred to the Case Study]. In addition, language differences along with workload burdens create misunderstandings. Organised communication tools enhance clarity across teams. This issue can be averted by strengthening collocation between the patients with communication barriers and the empathetic healthcare workers supported by expert compilers. This helps the patients to gain more mental support, which causes an enhancement of their recovery. Apart from these, conflict resolution approaches support respectful professional relationships. Eventually, leadership as well as mutual respect reinforce the effectiveness of collaborations (Ang'ana and Kilika, 2022). Thus, collaborative practices contribute to promoting security and competence, in addition to patient-centric care approaches.</w:t>
      </w:r>
    </w:p>
    <w:p w14:paraId="273F038A" w14:textId="77777777" w:rsidR="00BA2971" w:rsidRDefault="00000000">
      <w:pPr>
        <w:pStyle w:val="Normal1"/>
      </w:pPr>
      <w:r>
        <w:t xml:space="preserve">Organised discharge planning fosters structured communication between hospital and community professionals. For </w:t>
      </w:r>
      <w:r w:rsidR="00863BA6">
        <w:t>Mr.</w:t>
      </w:r>
      <w:r>
        <w:t xml:space="preserve"> Ahmed, care coordinators align with GP, nurse, and therapy schedules in an effective way. Community pharmacists review prescriptions by reducing polypharmacy and preventing harmful interactions. In addition, advanced care planning inspires culturally sensitive discussions by respecting the preferences of </w:t>
      </w:r>
      <w:r w:rsidR="00863BA6">
        <w:t>Mr.</w:t>
      </w:r>
      <w:r>
        <w:t xml:space="preserve"> Ahmed.  However, there </w:t>
      </w:r>
      <w:r>
        <w:lastRenderedPageBreak/>
        <w:t xml:space="preserve">are several challenges, such as multi-agency working that commonly faces communication breakdowns and non-transparent responsibility (Couturier </w:t>
      </w:r>
      <w:r>
        <w:rPr>
          <w:i/>
          <w:iCs/>
        </w:rPr>
        <w:t xml:space="preserve">et al., </w:t>
      </w:r>
      <w:r>
        <w:t xml:space="preserve">2023). In addition, language barriers complicate information exchange. This is evidenced particularly for Bengali-speaking patients such </w:t>
      </w:r>
      <w:r w:rsidR="00863BA6">
        <w:t>as Mr.</w:t>
      </w:r>
      <w:r>
        <w:t xml:space="preserve"> Ahmed. Furthermore, missed domiciliary visits illustrate coordination failures as well as fragmented service oversight. Apart from these, data sharing restrictions often cause delays in timely clinical updates between healthcare professionals.</w:t>
      </w:r>
    </w:p>
    <w:p w14:paraId="3777874C" w14:textId="77777777" w:rsidR="00BA2971" w:rsidRDefault="00000000">
      <w:pPr>
        <w:pStyle w:val="Normal1"/>
      </w:pPr>
      <w:r>
        <w:t xml:space="preserve">In order to overcome challenges, teams should implement shared digital patient care records (Youn </w:t>
      </w:r>
      <w:r>
        <w:rPr>
          <w:i/>
          <w:iCs/>
        </w:rPr>
        <w:t xml:space="preserve">et al., </w:t>
      </w:r>
      <w:r>
        <w:t>2022). Regular multidisciplinary meetings heighten clarity, responsibility, and collaborative problem-solving. Additionally, the use of professional interpreters safeguards comprehensive communication as well as informed consent. Finally, clear safeguarding protocols in addition to audit feedback reinforce reliability across healthcare agencies.</w:t>
      </w:r>
    </w:p>
    <w:p w14:paraId="7F8E30FE" w14:textId="77777777" w:rsidR="00BA2971" w:rsidRDefault="00790642">
      <w:pPr>
        <w:pStyle w:val="Titlu1"/>
        <w:rPr>
          <w:sz w:val="22"/>
          <w:szCs w:val="22"/>
          <w:highlight w:val="yellow"/>
        </w:rPr>
      </w:pPr>
      <w:bookmarkStart w:id="4" w:name="_Toc222761380"/>
      <w:r>
        <w:rPr>
          <w:sz w:val="22"/>
          <w:szCs w:val="22"/>
        </w:rPr>
        <w:t>5. Conclusion</w:t>
      </w:r>
      <w:bookmarkEnd w:id="4"/>
      <w:r>
        <w:rPr>
          <w:sz w:val="22"/>
          <w:szCs w:val="22"/>
        </w:rPr>
        <w:t xml:space="preserve"> </w:t>
      </w:r>
    </w:p>
    <w:p w14:paraId="0CFA7DEE" w14:textId="77777777" w:rsidR="00BA2971" w:rsidRDefault="00000000">
      <w:pPr>
        <w:pStyle w:val="Normal1"/>
        <w:rPr>
          <w:b/>
          <w:bCs/>
          <w:highlight w:val="yellow"/>
        </w:rPr>
      </w:pPr>
      <w:r>
        <w:t xml:space="preserve">This study explores the UK health and social care system, which aims to deliver several equitable services. However, increasing demand as well as workforce shortages challenge service sustainability. </w:t>
      </w:r>
      <w:r w:rsidR="00863BA6">
        <w:t>Mr.</w:t>
      </w:r>
      <w:r>
        <w:t xml:space="preserve"> Ahmed’s case highlights risks arising from communication breakdown. Additionally, language barriers necessitate several culturally sensitive issues along with inclusive approaches. Apart from these, the Equality Act 2010 safeguards essential reasonable adjustments related to language in healthcare service provision. Furthermore, the Data Protection Act 2018 plays a crucial role in ensuring the privacy of data regarding the health of an individual. In addition to this, accurate record-keeping heightens healthcare responsibility and patient safety. Collaborative practice reinforces incorporated community-based support. Missed visits demonstrate different consequences of poor health coordination. For this reason, collaborative working, along with effective communication, in addition to administration, becomes essential. Collectively, these elements ensure secure, legal, and person-centric delivery of caregiving services.</w:t>
      </w:r>
      <w:r>
        <w:rPr>
          <w:b/>
          <w:bCs/>
          <w:highlight w:val="yellow"/>
        </w:rPr>
        <w:t xml:space="preserve"> </w:t>
      </w:r>
    </w:p>
    <w:p w14:paraId="00BDDE78" w14:textId="77777777" w:rsidR="00BA2971" w:rsidRDefault="00BA2971">
      <w:pPr>
        <w:pStyle w:val="Normal1"/>
        <w:rPr>
          <w:b/>
          <w:bCs/>
          <w:highlight w:val="yellow"/>
        </w:rPr>
      </w:pPr>
    </w:p>
    <w:p w14:paraId="0F0C4E41" w14:textId="77777777" w:rsidR="00BA2971" w:rsidRDefault="00BA2971">
      <w:pPr>
        <w:pStyle w:val="Normal1"/>
        <w:rPr>
          <w:b/>
          <w:bCs/>
        </w:rPr>
      </w:pPr>
    </w:p>
    <w:p w14:paraId="6622D0FB" w14:textId="77777777" w:rsidR="00BA2971" w:rsidRDefault="00000000">
      <w:pPr>
        <w:pStyle w:val="Normal1"/>
        <w:rPr>
          <w:b/>
          <w:bCs/>
        </w:rPr>
      </w:pPr>
      <w:r>
        <w:br w:type="page"/>
      </w:r>
    </w:p>
    <w:p w14:paraId="60B80975" w14:textId="77777777" w:rsidR="006E3C94" w:rsidRPr="006E3C94" w:rsidRDefault="00000000" w:rsidP="006E3C94">
      <w:pPr>
        <w:pStyle w:val="Titlu1"/>
        <w:rPr>
          <w:sz w:val="22"/>
          <w:szCs w:val="22"/>
        </w:rPr>
      </w:pPr>
      <w:bookmarkStart w:id="5" w:name="_Toc222761381"/>
      <w:r>
        <w:rPr>
          <w:sz w:val="22"/>
          <w:szCs w:val="22"/>
        </w:rPr>
        <w:lastRenderedPageBreak/>
        <w:t>References</w:t>
      </w:r>
      <w:bookmarkEnd w:id="5"/>
      <w:r>
        <w:rPr>
          <w:sz w:val="22"/>
          <w:szCs w:val="22"/>
        </w:rPr>
        <w:t xml:space="preserve"> </w:t>
      </w:r>
    </w:p>
    <w:p w14:paraId="0F4FAE9D" w14:textId="77777777" w:rsidR="006E3C94" w:rsidRDefault="00000000">
      <w:pPr>
        <w:pStyle w:val="Normal1"/>
      </w:pPr>
      <w:r>
        <w:t>Ang’ana, G.A. and Kilika, J.M., (2022). Collaborative leadership in an organizational context: A research agenda. Journal of Human Resource &amp; Leadership, 6(1), pp.48-71. Available at:</w:t>
      </w:r>
      <w:hyperlink r:id="rId7">
        <w:r w:rsidR="006E3C94">
          <w:rPr>
            <w:color w:val="1155CC"/>
            <w:u w:val="single"/>
          </w:rPr>
          <w:t xml:space="preserve"> https://stratfordjournalpublishers.org/journals/index.php/journal-of-human-resource/article/download/1073/1347</w:t>
        </w:r>
      </w:hyperlink>
      <w:r>
        <w:t xml:space="preserve"> (Accessed: 22 February 2026).</w:t>
      </w:r>
    </w:p>
    <w:p w14:paraId="7EEA8018" w14:textId="77777777" w:rsidR="006E3C94" w:rsidRDefault="00000000">
      <w:pPr>
        <w:pStyle w:val="Normal1"/>
      </w:pPr>
      <w:r>
        <w:t>Chail, A., Kumar, S. and Lahel, R.S., (2026). The Digital Personal Data Protection Act and Rules: Implications for Health Care and Strengths, Weaknesses, Opportunities, and Challenges Analysis. Journal of Marine Medical Society, pp.10-4103. Available at:</w:t>
      </w:r>
      <w:hyperlink r:id="rId8">
        <w:r w:rsidR="006E3C94">
          <w:rPr>
            <w:color w:val="1155CC"/>
            <w:u w:val="single"/>
          </w:rPr>
          <w:t xml:space="preserve"> https://journals.lww.com/jmsc/_layouts/15/oaks.journals/downloadpdf.aspx?an=01487343-990000000-00224</w:t>
        </w:r>
      </w:hyperlink>
      <w:r>
        <w:t xml:space="preserve"> (Accessed: 20 February 2026).</w:t>
      </w:r>
    </w:p>
    <w:p w14:paraId="0541085E" w14:textId="77777777" w:rsidR="006E3C94" w:rsidRDefault="00000000">
      <w:pPr>
        <w:pStyle w:val="Normal1"/>
      </w:pPr>
      <w:r>
        <w:t>Chail, A., Kumar, S. and Lahel, R.S., (2026). The Digital Personal Data Protection Act and Rules: Implications for Health Care and Strengths, Weaknesses, Opportunities, and Challenges Analysis. Journal of Marine Medical Society, pp.10-4103. Available at:</w:t>
      </w:r>
      <w:hyperlink r:id="rId9">
        <w:r w:rsidR="006E3C94">
          <w:rPr>
            <w:color w:val="1155CC"/>
            <w:u w:val="single"/>
          </w:rPr>
          <w:t xml:space="preserve"> https://journals.lww.com/jmsc/_layouts/15/oaks.journals/downloadpdf.aspx?an=01487343-990000000-00224</w:t>
        </w:r>
      </w:hyperlink>
      <w:r>
        <w:t xml:space="preserve"> (Accessed: 20 February 2026).</w:t>
      </w:r>
    </w:p>
    <w:p w14:paraId="2AEAA424" w14:textId="77777777" w:rsidR="006E3C94" w:rsidRDefault="00000000">
      <w:pPr>
        <w:pStyle w:val="Normal1"/>
      </w:pPr>
      <w:r>
        <w:t>Couturier, Y., Lanoue, S., Karam, M., Guillette, M. and Hudon, C., (2023). Social workers coordination in primary healthcare for patients with complex needs: A scoping review. International Journal of Care Coordination, 26(1), pp.5-25. Available at:</w:t>
      </w:r>
      <w:hyperlink r:id="rId10">
        <w:r w:rsidR="006E3C94">
          <w:rPr>
            <w:color w:val="1155CC"/>
            <w:u w:val="single"/>
          </w:rPr>
          <w:t xml:space="preserve"> https://journals.sagepub.com/doi/pdf/10.1177/20534345221122952</w:t>
        </w:r>
      </w:hyperlink>
      <w:r>
        <w:t xml:space="preserve"> (Accessed: 22 February 2026).</w:t>
      </w:r>
    </w:p>
    <w:p w14:paraId="06A7B014" w14:textId="77777777" w:rsidR="006E3C94" w:rsidRDefault="00000000">
      <w:pPr>
        <w:pStyle w:val="Normal1"/>
      </w:pPr>
      <w:r>
        <w:t>Craigie, J., Alley, A., Cotrufo, M.T., Bach, M., Rawles, J., Clare, I.C., Matravers, M. and Happé, F., (2025). Support for decision-making guidance in England: a pragmatic review. Medical law review, 33(3), p.fwaf021. Available at:</w:t>
      </w:r>
      <w:hyperlink r:id="rId11">
        <w:r w:rsidR="006E3C94">
          <w:rPr>
            <w:color w:val="1155CC"/>
            <w:u w:val="single"/>
          </w:rPr>
          <w:t xml:space="preserve"> https://academic.oup.com/medlaw/article-pdf/33/3/fwaf021/63903301/fwaf021.pdf</w:t>
        </w:r>
      </w:hyperlink>
      <w:r>
        <w:t xml:space="preserve"> (Accessed: 21 February 2026).</w:t>
      </w:r>
    </w:p>
    <w:p w14:paraId="6A1AAF2D" w14:textId="77777777" w:rsidR="006E3C94" w:rsidRDefault="00000000">
      <w:pPr>
        <w:pStyle w:val="Normal1"/>
      </w:pPr>
      <w:r>
        <w:t>Heino, E., Kalm-Akubardia, M., Koskinen, T., Jaakola, A.M., Kangas-Kalinen, A., Lamponen, T. and Sarin, I., (2025). Building trust with children and parents in the social work context: A scoping review. The British Journal of Social Work, p.bcaf234. Available at:</w:t>
      </w:r>
      <w:hyperlink r:id="rId12">
        <w:r w:rsidR="006E3C94">
          <w:rPr>
            <w:color w:val="1155CC"/>
            <w:u w:val="single"/>
          </w:rPr>
          <w:t xml:space="preserve"> https://academic.oup.com/bjsw/advance-article-pdf/doi/10.1093/bjsw/bcaf234/65278301/bcaf234.pdf</w:t>
        </w:r>
      </w:hyperlink>
      <w:r>
        <w:t xml:space="preserve"> (Accessed: 21 February 2026).</w:t>
      </w:r>
    </w:p>
    <w:p w14:paraId="1CBF4F3B" w14:textId="77777777" w:rsidR="006E3C94" w:rsidRDefault="00000000">
      <w:pPr>
        <w:pStyle w:val="Normal1"/>
      </w:pPr>
      <w:r>
        <w:t>Hussain, Z., Rizvi, L.J. and Sheikh, H., (2022). The Equality Act (2010)-pre-and post-pandemic historic development on equality and discrimination issues for employers: review of literature. International Journal of Law and Management, 64(2), pp.168-183. Available at:</w:t>
      </w:r>
      <w:hyperlink r:id="rId13">
        <w:r w:rsidR="006E3C94">
          <w:rPr>
            <w:color w:val="1155CC"/>
            <w:u w:val="single"/>
          </w:rPr>
          <w:t xml:space="preserve"> https://www.emerald.com/ijlma/article-pdf/64/2/168/899966/ijlma-03-2021-0067.pdf</w:t>
        </w:r>
      </w:hyperlink>
      <w:r>
        <w:t xml:space="preserve"> (Accessed: 21 February 2026).</w:t>
      </w:r>
    </w:p>
    <w:p w14:paraId="724F43E7" w14:textId="77777777" w:rsidR="006E3C94" w:rsidRDefault="00000000">
      <w:pPr>
        <w:pStyle w:val="Normal1"/>
      </w:pPr>
      <w:r>
        <w:lastRenderedPageBreak/>
        <w:t>Isaacs, A.N. and Mitchell, E.K., (2024). Mental health integrated care models in primary care and factors that contribute to their effective implementation: a scoping review. International Journal of Mental Health Systems, 18(1), p.5. Available at:</w:t>
      </w:r>
      <w:hyperlink r:id="rId14">
        <w:r w:rsidR="006E3C94">
          <w:rPr>
            <w:color w:val="1155CC"/>
            <w:u w:val="single"/>
          </w:rPr>
          <w:t xml:space="preserve"> https://link.springer.com/content/pdf/10.1186/s13033-024-00625-x.pdf</w:t>
        </w:r>
      </w:hyperlink>
      <w:r>
        <w:t xml:space="preserve"> (Accessed: 20 February 2026).</w:t>
      </w:r>
    </w:p>
    <w:p w14:paraId="65ECDAF8" w14:textId="77777777" w:rsidR="006E3C94" w:rsidRDefault="00000000">
      <w:pPr>
        <w:pStyle w:val="Normal1"/>
      </w:pPr>
      <w:r>
        <w:t>Kaiser, L., Conrad, S., Neugebauer, E.A., Pietsch, B. and Pieper, D., (2022). Interprofessional collaboration and patient-reported outcomes in inpatient care: a systematic review. Systematic reviews, 11(1), p.169. Available at:</w:t>
      </w:r>
      <w:hyperlink r:id="rId15">
        <w:r w:rsidR="006E3C94">
          <w:rPr>
            <w:color w:val="1155CC"/>
            <w:u w:val="single"/>
          </w:rPr>
          <w:t xml:space="preserve"> https://link.springer.com/content/pdf/10.1186/s13643-022-02027-x.pdf</w:t>
        </w:r>
      </w:hyperlink>
      <w:r>
        <w:t xml:space="preserve"> (Accessed: 22 February 2026).</w:t>
      </w:r>
    </w:p>
    <w:p w14:paraId="4A994538" w14:textId="77777777" w:rsidR="006E3C94" w:rsidRDefault="00000000">
      <w:pPr>
        <w:pStyle w:val="Normal1"/>
      </w:pPr>
      <w:r>
        <w:t>Khadija, E.L.H.M.A.I.D.I. and Omar, T.I.J.A.N.I., (2023). Literature review on knowledge transfer models: From Shannon-Weaver (1949) to Kostova (1999). African Scientific Journal, 3(21), pp.548-548. Available at:</w:t>
      </w:r>
      <w:hyperlink r:id="rId16">
        <w:r w:rsidR="006E3C94">
          <w:rPr>
            <w:color w:val="1155CC"/>
            <w:u w:val="single"/>
          </w:rPr>
          <w:t xml:space="preserve"> http://afrsj.com/index.php/AfricanScientificJournal/article/download/610/554</w:t>
        </w:r>
      </w:hyperlink>
      <w:r>
        <w:t xml:space="preserve"> (Accessed: 21 February 2026).</w:t>
      </w:r>
    </w:p>
    <w:p w14:paraId="7501491C" w14:textId="77777777" w:rsidR="006E3C94" w:rsidRDefault="00000000">
      <w:pPr>
        <w:pStyle w:val="Normal1"/>
      </w:pPr>
      <w:r>
        <w:t>Kosiol, J., Silvester, T., Cooper, H., Alford, S. and Fraser, L., (2024). Revolutionising health and social care: innovative solutions for a brighter tomorrow–a systematic review of the literature. BMC health services research, 24(1), p.809. Available at:</w:t>
      </w:r>
      <w:hyperlink r:id="rId17">
        <w:r w:rsidR="006E3C94">
          <w:rPr>
            <w:color w:val="1155CC"/>
            <w:u w:val="single"/>
          </w:rPr>
          <w:t xml:space="preserve"> https://link.springer.com/content/pdf/10.1186/s12913-024-11099-5.pdf</w:t>
        </w:r>
      </w:hyperlink>
      <w:r>
        <w:t xml:space="preserve"> (Accessed: 20 February 2026).</w:t>
      </w:r>
    </w:p>
    <w:p w14:paraId="4D5EBA39" w14:textId="77777777" w:rsidR="006E3C94" w:rsidRDefault="00000000">
      <w:pPr>
        <w:pStyle w:val="Normal1"/>
      </w:pPr>
      <w:r>
        <w:t>LaValle, S.M., Center, E.G., Ojala, T., Pouke, M., Prencipe, N., Sakcak, B., Suomalainen, M., Timperi, K.G. and Weinstein, V., (2023). From virtual reality to the emerging discipline of perception engineering. Annual Review of Control, Robotics, and Autonomous Systems, 7. Available at:</w:t>
      </w:r>
      <w:hyperlink r:id="rId18">
        <w:r w:rsidR="006E3C94">
          <w:rPr>
            <w:color w:val="1155CC"/>
            <w:u w:val="single"/>
          </w:rPr>
          <w:t xml:space="preserve"> https://www.annualreviews.org/content/journals/10.1146/annurev-control-062323-102456?crawler=true&amp;mimetype=application/pdf</w:t>
        </w:r>
      </w:hyperlink>
      <w:r>
        <w:t xml:space="preserve"> (Accessed: 22 February 2026).</w:t>
      </w:r>
    </w:p>
    <w:p w14:paraId="461AEAB5" w14:textId="77777777" w:rsidR="006E3C94" w:rsidRDefault="00000000">
      <w:pPr>
        <w:pStyle w:val="Normal1"/>
      </w:pPr>
      <w:r>
        <w:t>Mohammed, O.O., Ayeni, V.O. and Fowowe, A.I., (2025). A Comparative Analysis of the Discrimination Against Persons with Disabilities (Prohibition) Act 2018, and The United Kingdom Equality Act 2010: Prospects and Challenges. East African Journal of Law, Policy and Globalization, 2(1), pp.24-43. Available at:</w:t>
      </w:r>
      <w:hyperlink r:id="rId19">
        <w:r w:rsidR="006E3C94">
          <w:rPr>
            <w:color w:val="1155CC"/>
            <w:u w:val="single"/>
          </w:rPr>
          <w:t xml:space="preserve"> https://journal.kiut.ac.tz/index.php/eajlpg/article/download/192/61</w:t>
        </w:r>
      </w:hyperlink>
      <w:r>
        <w:t xml:space="preserve"> (Accessed: 21 February 2026).</w:t>
      </w:r>
    </w:p>
    <w:p w14:paraId="11AAFEF8" w14:textId="77777777" w:rsidR="006E3C94" w:rsidRDefault="00000000">
      <w:pPr>
        <w:pStyle w:val="Normal1"/>
      </w:pPr>
      <w:r>
        <w:t>NHS (2022). NHS England - Purpose of the GP Electronic Health Record. www.england.nhs.uk. Available at:</w:t>
      </w:r>
      <w:hyperlink r:id="rId20">
        <w:r w:rsidR="006E3C94">
          <w:rPr>
            <w:color w:val="1155CC"/>
            <w:u w:val="single"/>
          </w:rPr>
          <w:t xml:space="preserve"> https://www.england.nhs.uk/long-read/purpose-of-the-gp-electronic-health-record/</w:t>
        </w:r>
      </w:hyperlink>
      <w:r>
        <w:t xml:space="preserve"> (Accessed: 23 February 2026).</w:t>
      </w:r>
    </w:p>
    <w:p w14:paraId="68042212" w14:textId="77777777" w:rsidR="006E3C94" w:rsidRDefault="00000000">
      <w:pPr>
        <w:pStyle w:val="Normal1"/>
      </w:pPr>
      <w:r>
        <w:lastRenderedPageBreak/>
        <w:t>NHS (2023). Cyber and data security. NHS Digital. Available at:</w:t>
      </w:r>
      <w:hyperlink r:id="rId21">
        <w:r w:rsidR="006E3C94">
          <w:rPr>
            <w:color w:val="1155CC"/>
            <w:u w:val="single"/>
          </w:rPr>
          <w:t xml:space="preserve"> https://digital.nhs.uk/cyber</w:t>
        </w:r>
      </w:hyperlink>
      <w:r>
        <w:t xml:space="preserve"> (Accessed: 23 February 2026).</w:t>
      </w:r>
    </w:p>
    <w:p w14:paraId="019BEC4D" w14:textId="77777777" w:rsidR="006E3C94" w:rsidRDefault="00000000">
      <w:pPr>
        <w:pStyle w:val="Normal1"/>
      </w:pPr>
      <w:r>
        <w:t>Nuffieldtrust (2022). The history of the NHS. Nuffield Trust. Available at:</w:t>
      </w:r>
      <w:hyperlink r:id="rId22">
        <w:r w:rsidR="006E3C94">
          <w:rPr>
            <w:color w:val="1155CC"/>
            <w:u w:val="single"/>
          </w:rPr>
          <w:t xml:space="preserve"> https://www.nuffieldtrust.org.uk/health-and-social-care-explained/the-history-of-the-nhs?gad_source=1&amp;gad_campaignid=9719632954&amp;gbraid=0AAAAADwbFHpXTEDZbJlmQ6wMiVMTxyZkA&amp;gclid=CjwKCAiAzOXMBhASEiwAe14Sabe_ymvaY6xeG4FXq7tKwLdCjW3CP4lOrkD4NFt6qxSYzab6PvyLABoCNHQQAvD_BwE</w:t>
        </w:r>
      </w:hyperlink>
      <w:r>
        <w:t xml:space="preserve"> (Accessed: 23 February 2026).</w:t>
      </w:r>
    </w:p>
    <w:p w14:paraId="55C4FEB1" w14:textId="77777777" w:rsidR="006E3C94" w:rsidRDefault="00000000">
      <w:pPr>
        <w:pStyle w:val="Normal1"/>
      </w:pPr>
      <w:r>
        <w:t>Youn, S., Geismar, H.N. and Pinedo, M., (2022). Planning and scheduling in healthcare for better care coordination: Current understanding, trending topics, and future opportunities. Production and Operations Management, 31(12), pp.4407-4423. Available at:</w:t>
      </w:r>
      <w:hyperlink r:id="rId23">
        <w:r w:rsidR="006E3C94">
          <w:rPr>
            <w:color w:val="1155CC"/>
            <w:u w:val="single"/>
          </w:rPr>
          <w:t xml:space="preserve"> https://repository.arizona.edu/bitstream/handle/10150/666407/POM_PSHC_2022_Youn-Pre-print%20Version.pdf?sequence=1</w:t>
        </w:r>
      </w:hyperlink>
      <w:r>
        <w:t xml:space="preserve"> (Accessed: 22 February 2026).</w:t>
      </w:r>
    </w:p>
    <w:p w14:paraId="016BB967" w14:textId="77777777" w:rsidR="00BA2971" w:rsidRDefault="00BA2971">
      <w:pPr>
        <w:pStyle w:val="Normal1"/>
      </w:pPr>
    </w:p>
    <w:sectPr w:rsidR="00BA2971" w:rsidSect="006E3C94">
      <w:footerReference w:type="default" r:id="rId24"/>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655CE" w14:textId="77777777" w:rsidR="00C95426" w:rsidRDefault="00C95426">
      <w:pPr>
        <w:spacing w:line="240" w:lineRule="auto"/>
      </w:pPr>
      <w:r>
        <w:separator/>
      </w:r>
    </w:p>
  </w:endnote>
  <w:endnote w:type="continuationSeparator" w:id="0">
    <w:p w14:paraId="74358628" w14:textId="77777777" w:rsidR="00C95426" w:rsidRDefault="00C954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1" w:fontKey="{A28CF25F-300C-4648-824A-8AD21E405E3F}"/>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embedRegular r:id="rId2" w:fontKey="{60D7007F-5385-4C91-B560-9AB831D0807A}"/>
  </w:font>
  <w:font w:name="Cambria">
    <w:panose1 w:val="02040503050406030204"/>
    <w:charset w:val="EE"/>
    <w:family w:val="roman"/>
    <w:pitch w:val="variable"/>
    <w:sig w:usb0="E00006FF" w:usb1="420024FF" w:usb2="02000000" w:usb3="00000000" w:csb0="0000019F" w:csb1="00000000"/>
    <w:embedRegular r:id="rId3" w:fontKey="{A138DFFA-BE8F-4B4C-9712-8BD066FC853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191001"/>
      <w:docPartObj>
        <w:docPartGallery w:val="Page Numbers (Bottom of Page)"/>
        <w:docPartUnique/>
      </w:docPartObj>
    </w:sdtPr>
    <w:sdtContent>
      <w:p w14:paraId="55C4D1E8" w14:textId="77777777" w:rsidR="006E3C94" w:rsidRDefault="00000000">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7AB58D71" w14:textId="77777777" w:rsidR="006E3C94" w:rsidRDefault="006E3C9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A144E" w14:textId="77777777" w:rsidR="00C95426" w:rsidRDefault="00C95426">
      <w:pPr>
        <w:spacing w:line="240" w:lineRule="auto"/>
      </w:pPr>
      <w:r>
        <w:separator/>
      </w:r>
    </w:p>
  </w:footnote>
  <w:footnote w:type="continuationSeparator" w:id="0">
    <w:p w14:paraId="3B07ECF4" w14:textId="77777777" w:rsidR="00C95426" w:rsidRDefault="00C9542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2971"/>
    <w:rsid w:val="00012F90"/>
    <w:rsid w:val="00142691"/>
    <w:rsid w:val="00344D21"/>
    <w:rsid w:val="0037076F"/>
    <w:rsid w:val="00620256"/>
    <w:rsid w:val="006E3C94"/>
    <w:rsid w:val="0077602D"/>
    <w:rsid w:val="00790642"/>
    <w:rsid w:val="00863BA6"/>
    <w:rsid w:val="00897D11"/>
    <w:rsid w:val="00A2416A"/>
    <w:rsid w:val="00BA2971"/>
    <w:rsid w:val="00BA62FD"/>
    <w:rsid w:val="00BC73C5"/>
    <w:rsid w:val="00C95426"/>
    <w:rsid w:val="00DE7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4DA55"/>
  <w15:docId w15:val="{38D44CD4-2BFD-4562-952B-55E8ED24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BA2971"/>
    <w:pPr>
      <w:keepNext/>
      <w:keepLines/>
      <w:outlineLvl w:val="0"/>
    </w:pPr>
    <w:rPr>
      <w:b/>
      <w:bCs/>
      <w:sz w:val="28"/>
      <w:szCs w:val="28"/>
    </w:rPr>
  </w:style>
  <w:style w:type="paragraph" w:styleId="Titlu2">
    <w:name w:val="heading 2"/>
    <w:basedOn w:val="Normal1"/>
    <w:next w:val="Normal1"/>
    <w:rsid w:val="00BA2971"/>
    <w:pPr>
      <w:keepNext/>
      <w:keepLines/>
      <w:spacing w:before="360" w:after="120"/>
      <w:outlineLvl w:val="1"/>
    </w:pPr>
    <w:rPr>
      <w:sz w:val="32"/>
      <w:szCs w:val="32"/>
    </w:rPr>
  </w:style>
  <w:style w:type="paragraph" w:styleId="Titlu3">
    <w:name w:val="heading 3"/>
    <w:basedOn w:val="Normal1"/>
    <w:next w:val="Normal1"/>
    <w:rsid w:val="00BA2971"/>
    <w:pPr>
      <w:keepNext/>
      <w:keepLines/>
      <w:spacing w:before="320" w:after="80"/>
      <w:outlineLvl w:val="2"/>
    </w:pPr>
    <w:rPr>
      <w:color w:val="434343"/>
      <w:sz w:val="28"/>
      <w:szCs w:val="28"/>
    </w:rPr>
  </w:style>
  <w:style w:type="paragraph" w:styleId="Titlu4">
    <w:name w:val="heading 4"/>
    <w:basedOn w:val="Normal1"/>
    <w:next w:val="Normal1"/>
    <w:rsid w:val="00BA2971"/>
    <w:pPr>
      <w:keepNext/>
      <w:keepLines/>
      <w:spacing w:before="280" w:after="80"/>
      <w:outlineLvl w:val="3"/>
    </w:pPr>
    <w:rPr>
      <w:color w:val="666666"/>
      <w:sz w:val="24"/>
      <w:szCs w:val="24"/>
    </w:rPr>
  </w:style>
  <w:style w:type="paragraph" w:styleId="Titlu5">
    <w:name w:val="heading 5"/>
    <w:basedOn w:val="Normal1"/>
    <w:next w:val="Normal1"/>
    <w:rsid w:val="00BA2971"/>
    <w:pPr>
      <w:keepNext/>
      <w:keepLines/>
      <w:spacing w:before="240" w:after="80"/>
      <w:outlineLvl w:val="4"/>
    </w:pPr>
    <w:rPr>
      <w:color w:val="666666"/>
    </w:rPr>
  </w:style>
  <w:style w:type="paragraph" w:styleId="Titlu6">
    <w:name w:val="heading 6"/>
    <w:basedOn w:val="Normal1"/>
    <w:next w:val="Normal1"/>
    <w:rsid w:val="00BA2971"/>
    <w:pPr>
      <w:keepNext/>
      <w:keepLines/>
      <w:spacing w:before="240" w:after="80"/>
      <w:outlineLvl w:val="5"/>
    </w:pPr>
    <w:rPr>
      <w:i/>
      <w:iCs/>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rsid w:val="00BA2971"/>
    <w:tblPr>
      <w:tblCellMar>
        <w:top w:w="100" w:type="dxa"/>
        <w:left w:w="100" w:type="dxa"/>
        <w:bottom w:w="100" w:type="dxa"/>
        <w:right w:w="100" w:type="dxa"/>
      </w:tblCellMar>
    </w:tblPr>
  </w:style>
  <w:style w:type="paragraph" w:customStyle="1" w:styleId="Normal1">
    <w:name w:val="Normal1"/>
    <w:rsid w:val="00BA2971"/>
  </w:style>
  <w:style w:type="paragraph" w:styleId="Titlu">
    <w:name w:val="Title"/>
    <w:basedOn w:val="Normal1"/>
    <w:next w:val="Normal1"/>
    <w:rsid w:val="00BA2971"/>
    <w:pPr>
      <w:keepNext/>
      <w:keepLines/>
      <w:spacing w:after="60"/>
    </w:pPr>
    <w:rPr>
      <w:sz w:val="52"/>
      <w:szCs w:val="52"/>
    </w:rPr>
  </w:style>
  <w:style w:type="paragraph" w:styleId="Subtitlu">
    <w:name w:val="Subtitle"/>
    <w:basedOn w:val="Normal1"/>
    <w:next w:val="Normal1"/>
    <w:rsid w:val="00BA2971"/>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rsid w:val="00BA2971"/>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BA2971"/>
    <w:rPr>
      <w:sz w:val="20"/>
      <w:szCs w:val="20"/>
    </w:rPr>
  </w:style>
  <w:style w:type="character" w:styleId="Referincomentariu">
    <w:name w:val="annotation reference"/>
    <w:basedOn w:val="Fontdeparagrafimplicit"/>
    <w:uiPriority w:val="99"/>
    <w:semiHidden/>
    <w:unhideWhenUsed/>
    <w:rsid w:val="00BA2971"/>
    <w:rPr>
      <w:sz w:val="16"/>
      <w:szCs w:val="16"/>
    </w:rPr>
  </w:style>
  <w:style w:type="paragraph" w:styleId="TextnBalon">
    <w:name w:val="Balloon Text"/>
    <w:basedOn w:val="Normal"/>
    <w:link w:val="TextnBalonCaracter"/>
    <w:uiPriority w:val="99"/>
    <w:semiHidden/>
    <w:unhideWhenUsed/>
    <w:rsid w:val="006E3C9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E3C94"/>
    <w:rPr>
      <w:rFonts w:ascii="Tahoma" w:hAnsi="Tahoma" w:cs="Tahoma"/>
      <w:sz w:val="16"/>
      <w:szCs w:val="16"/>
    </w:rPr>
  </w:style>
  <w:style w:type="paragraph" w:styleId="Antet">
    <w:name w:val="header"/>
    <w:basedOn w:val="Normal"/>
    <w:link w:val="AntetCaracter"/>
    <w:uiPriority w:val="99"/>
    <w:semiHidden/>
    <w:unhideWhenUsed/>
    <w:rsid w:val="006E3C94"/>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6E3C94"/>
  </w:style>
  <w:style w:type="paragraph" w:styleId="Subsol">
    <w:name w:val="footer"/>
    <w:basedOn w:val="Normal"/>
    <w:link w:val="SubsolCaracter"/>
    <w:uiPriority w:val="99"/>
    <w:unhideWhenUsed/>
    <w:rsid w:val="006E3C94"/>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6E3C94"/>
  </w:style>
  <w:style w:type="paragraph" w:styleId="Cuprins1">
    <w:name w:val="toc 1"/>
    <w:basedOn w:val="Normal"/>
    <w:next w:val="Normal"/>
    <w:autoRedefine/>
    <w:uiPriority w:val="39"/>
    <w:unhideWhenUsed/>
    <w:rsid w:val="006E3C94"/>
    <w:pPr>
      <w:spacing w:after="100"/>
    </w:pPr>
  </w:style>
  <w:style w:type="character" w:styleId="Hyperlink">
    <w:name w:val="Hyperlink"/>
    <w:basedOn w:val="Fontdeparagrafimplicit"/>
    <w:uiPriority w:val="99"/>
    <w:unhideWhenUsed/>
    <w:rsid w:val="006E3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lww.com/jmsc/_layouts/15/oaks.journals/downloadpdf.aspx?an=01487343-990000000-00224" TargetMode="External"/><Relationship Id="rId13" Type="http://schemas.openxmlformats.org/officeDocument/2006/relationships/hyperlink" Target="https://www.emerald.com/ijlma/article-pdf/64/2/168/899966/ijlma-03-2021-0067.pdf" TargetMode="External"/><Relationship Id="rId18" Type="http://schemas.openxmlformats.org/officeDocument/2006/relationships/hyperlink" Target="https://www.annualreviews.org/content/journals/10.1146/annurev-control-062323-102456?crawler=true&amp;mimetype=application/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igital.nhs.uk/cyber" TargetMode="External"/><Relationship Id="rId7" Type="http://schemas.openxmlformats.org/officeDocument/2006/relationships/hyperlink" Target="https://stratfordjournalpublishers.org/journals/index.php/journal-of-human-resource/article/download/1073/1347" TargetMode="External"/><Relationship Id="rId12" Type="http://schemas.openxmlformats.org/officeDocument/2006/relationships/hyperlink" Target="https://academic.oup.com/bjsw/advance-article-pdf/doi/10.1093/bjsw/bcaf234/65278301/bcaf234.pdf" TargetMode="External"/><Relationship Id="rId17" Type="http://schemas.openxmlformats.org/officeDocument/2006/relationships/hyperlink" Target="https://link.springer.com/content/pdf/10.1186/s12913-024-11099-5.pdf"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afrsj.com/index.php/AfricanScientificJournal/article/download/610/554" TargetMode="External"/><Relationship Id="rId20" Type="http://schemas.openxmlformats.org/officeDocument/2006/relationships/hyperlink" Target="https://www.england.nhs.uk/long-read/purpose-of-the-gp-electronic-health-recor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cademic.oup.com/medlaw/article-pdf/33/3/fwaf021/63903301/fwaf021.pdf"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link.springer.com/content/pdf/10.1186/s13643-022-02027-x.pdf" TargetMode="External"/><Relationship Id="rId23" Type="http://schemas.openxmlformats.org/officeDocument/2006/relationships/hyperlink" Target="https://repository.arizona.edu/bitstream/handle/10150/666407/POM_PSHC_2022_Youn-Pre-print%20Version.pdf?sequence=1" TargetMode="External"/><Relationship Id="rId10" Type="http://schemas.openxmlformats.org/officeDocument/2006/relationships/hyperlink" Target="https://journals.sagepub.com/doi/pdf/10.1177/20534345221122952" TargetMode="External"/><Relationship Id="rId19" Type="http://schemas.openxmlformats.org/officeDocument/2006/relationships/hyperlink" Target="https://journal.kiut.ac.tz/index.php/eajlpg/article/download/192/61" TargetMode="External"/><Relationship Id="rId4" Type="http://schemas.openxmlformats.org/officeDocument/2006/relationships/footnotes" Target="footnotes.xml"/><Relationship Id="rId9" Type="http://schemas.openxmlformats.org/officeDocument/2006/relationships/hyperlink" Target="https://journals.lww.com/jmsc/_layouts/15/oaks.journals/downloadpdf.aspx?an=01487343-990000000-00224" TargetMode="External"/><Relationship Id="rId14" Type="http://schemas.openxmlformats.org/officeDocument/2006/relationships/hyperlink" Target="https://link.springer.com/content/pdf/10.1186/s13033-024-00625-x.pdf" TargetMode="External"/><Relationship Id="rId22" Type="http://schemas.openxmlformats.org/officeDocument/2006/relationships/hyperlink" Target="https://www.nuffieldtrust.org.uk/health-and-social-care-explained/the-history-of-the-nhs?gad_source=1&amp;gad_campaignid=9719632954&amp;gbraid=0AAAAADwbFHpXTEDZbJlmQ6wMiVMTxyZkA&amp;gclid=CjwKCAiAzOXMBhASEiwAe14Sabe_ymvaY6xeG4FXq7tKwLdCjW3CP4lOrkD4NFt6qxSYzab6PvyLABoCNHQQAvD_Bw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Pages>
  <Words>3465</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George Priboi</cp:lastModifiedBy>
  <cp:revision>10</cp:revision>
  <dcterms:created xsi:type="dcterms:W3CDTF">2026-02-20T12:18:00Z</dcterms:created>
  <dcterms:modified xsi:type="dcterms:W3CDTF">2026-03-19T21:15:00Z</dcterms:modified>
</cp:coreProperties>
</file>