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51118" w14:textId="77777777" w:rsidR="007E1904" w:rsidRDefault="007E1904" w:rsidP="007E1904">
      <w:pPr>
        <w:jc w:val="center"/>
        <w:rPr>
          <w:b/>
          <w:bCs/>
          <w:sz w:val="36"/>
          <w:szCs w:val="32"/>
        </w:rPr>
      </w:pPr>
    </w:p>
    <w:p w14:paraId="6A9A6725" w14:textId="77777777" w:rsidR="007E1904" w:rsidRDefault="007E1904" w:rsidP="007E1904">
      <w:pPr>
        <w:jc w:val="center"/>
        <w:rPr>
          <w:b/>
          <w:bCs/>
          <w:sz w:val="36"/>
          <w:szCs w:val="32"/>
        </w:rPr>
      </w:pPr>
    </w:p>
    <w:p w14:paraId="3A571A4C" w14:textId="77777777" w:rsidR="007E1904" w:rsidRDefault="007E1904" w:rsidP="007E1904">
      <w:pPr>
        <w:jc w:val="center"/>
        <w:rPr>
          <w:b/>
          <w:bCs/>
          <w:sz w:val="36"/>
          <w:szCs w:val="32"/>
        </w:rPr>
      </w:pPr>
    </w:p>
    <w:p w14:paraId="0DAC8AAB" w14:textId="77777777" w:rsidR="007E1904" w:rsidRDefault="007E1904" w:rsidP="007E1904">
      <w:pPr>
        <w:jc w:val="center"/>
        <w:rPr>
          <w:b/>
          <w:bCs/>
          <w:sz w:val="36"/>
          <w:szCs w:val="32"/>
        </w:rPr>
      </w:pPr>
    </w:p>
    <w:p w14:paraId="3F76C0D4" w14:textId="77777777" w:rsidR="007E1904" w:rsidRDefault="007E1904" w:rsidP="007E1904">
      <w:pPr>
        <w:jc w:val="center"/>
        <w:rPr>
          <w:b/>
          <w:bCs/>
          <w:sz w:val="36"/>
          <w:szCs w:val="32"/>
        </w:rPr>
      </w:pPr>
    </w:p>
    <w:p w14:paraId="434F9D96" w14:textId="2F5087CE" w:rsidR="00A3314D" w:rsidRPr="007E1904" w:rsidRDefault="007E1904" w:rsidP="007E1904">
      <w:pPr>
        <w:jc w:val="center"/>
        <w:rPr>
          <w:b/>
          <w:bCs/>
          <w:sz w:val="36"/>
          <w:szCs w:val="32"/>
        </w:rPr>
      </w:pPr>
      <w:r w:rsidRPr="007E1904">
        <w:rPr>
          <w:b/>
          <w:bCs/>
          <w:sz w:val="36"/>
          <w:szCs w:val="32"/>
        </w:rPr>
        <w:t>Module: Legal Process</w:t>
      </w:r>
    </w:p>
    <w:p w14:paraId="18138DAA" w14:textId="4323ACEB" w:rsidR="007E1904" w:rsidRPr="007E1904" w:rsidRDefault="007E1904" w:rsidP="007E1904">
      <w:pPr>
        <w:jc w:val="center"/>
        <w:rPr>
          <w:b/>
          <w:bCs/>
          <w:sz w:val="36"/>
          <w:szCs w:val="32"/>
        </w:rPr>
      </w:pPr>
      <w:r w:rsidRPr="007E1904">
        <w:rPr>
          <w:b/>
          <w:bCs/>
          <w:sz w:val="36"/>
          <w:szCs w:val="32"/>
        </w:rPr>
        <w:t>Assignment: Essay</w:t>
      </w:r>
    </w:p>
    <w:p w14:paraId="7FDB391A" w14:textId="4A7777E9" w:rsidR="007E1904" w:rsidRPr="00CD3CE2" w:rsidRDefault="007E1904" w:rsidP="007E1904">
      <w:pPr>
        <w:jc w:val="center"/>
        <w:rPr>
          <w:b/>
          <w:bCs/>
          <w:sz w:val="36"/>
          <w:szCs w:val="32"/>
          <w:lang w:val="en-US"/>
        </w:rPr>
      </w:pPr>
      <w:r w:rsidRPr="00CD3CE2">
        <w:rPr>
          <w:b/>
          <w:bCs/>
          <w:sz w:val="36"/>
          <w:szCs w:val="32"/>
          <w:lang w:val="en-US"/>
        </w:rPr>
        <w:t>Student Name:</w:t>
      </w:r>
      <w:r w:rsidR="009E5040" w:rsidRPr="00CD3CE2">
        <w:rPr>
          <w:b/>
          <w:bCs/>
          <w:sz w:val="36"/>
          <w:szCs w:val="32"/>
          <w:lang w:val="en-US"/>
        </w:rPr>
        <w:t xml:space="preserve"> Alina Gabriela Chiosa</w:t>
      </w:r>
    </w:p>
    <w:p w14:paraId="465755EC" w14:textId="6D2FF2B7" w:rsidR="007E1904" w:rsidRPr="00CD3CE2" w:rsidRDefault="007E1904" w:rsidP="007E1904">
      <w:pPr>
        <w:jc w:val="center"/>
        <w:rPr>
          <w:b/>
          <w:bCs/>
          <w:sz w:val="36"/>
          <w:szCs w:val="32"/>
          <w:lang w:val="en-US"/>
        </w:rPr>
      </w:pPr>
      <w:r w:rsidRPr="00CD3CE2">
        <w:rPr>
          <w:b/>
          <w:bCs/>
          <w:sz w:val="36"/>
          <w:szCs w:val="32"/>
          <w:lang w:val="en-US"/>
        </w:rPr>
        <w:t>Student ID:</w:t>
      </w:r>
      <w:r w:rsidR="00DF5D18">
        <w:rPr>
          <w:b/>
          <w:bCs/>
          <w:sz w:val="36"/>
          <w:szCs w:val="32"/>
          <w:lang w:val="en-US"/>
        </w:rPr>
        <w:t xml:space="preserve"> </w:t>
      </w:r>
      <w:r w:rsidR="002A23CF">
        <w:rPr>
          <w:b/>
          <w:bCs/>
          <w:sz w:val="36"/>
          <w:szCs w:val="32"/>
          <w:lang w:val="en-US"/>
        </w:rPr>
        <w:t>2325692</w:t>
      </w:r>
    </w:p>
    <w:p w14:paraId="31731BE8" w14:textId="77777777" w:rsidR="007E1904" w:rsidRPr="00CD3CE2" w:rsidRDefault="007E1904">
      <w:pPr>
        <w:spacing w:before="0" w:after="160" w:line="259" w:lineRule="auto"/>
        <w:jc w:val="left"/>
        <w:rPr>
          <w:b/>
          <w:bCs/>
          <w:sz w:val="36"/>
          <w:szCs w:val="32"/>
          <w:lang w:val="en-US"/>
        </w:rPr>
      </w:pPr>
      <w:r w:rsidRPr="00CD3CE2">
        <w:rPr>
          <w:b/>
          <w:bCs/>
          <w:sz w:val="36"/>
          <w:szCs w:val="32"/>
          <w:lang w:val="en-US"/>
        </w:rPr>
        <w:br w:type="page"/>
      </w:r>
    </w:p>
    <w:p w14:paraId="0C3A118F" w14:textId="2F447242" w:rsidR="007E1904" w:rsidRDefault="007E1904" w:rsidP="007E1904">
      <w:pPr>
        <w:rPr>
          <w:b/>
          <w:bCs/>
        </w:rPr>
      </w:pPr>
      <w:r w:rsidRPr="007E1904">
        <w:rPr>
          <w:b/>
          <w:bCs/>
        </w:rPr>
        <w:lastRenderedPageBreak/>
        <w:t>Introduction</w:t>
      </w:r>
    </w:p>
    <w:p w14:paraId="6FE02437" w14:textId="51FAC71F" w:rsidR="007E1904" w:rsidRDefault="007E1904" w:rsidP="007E1904">
      <w:r>
        <w:t xml:space="preserve">In the world of government, scrutiny is an important part of making sure that people are held accountable and that things are clear. This, in turn, makes government work better. "Good scrutiny makes for good government," as White (2015) said, showing the strong link between the level of scrutiny and how well government organisations work. This essay will look at the ways that the UK Government is held responsible and judge how much monitoring helps with good government. It will elaborate about the UK executive's make-up, how the separation of powers theory is used, how the executive can be held accountable through things like parliamentary questions and select committees, the pros and cons of these methods, and finally, reform ideas to make governance and accountability better. </w:t>
      </w:r>
      <w:r>
        <w:br w:type="page"/>
      </w:r>
    </w:p>
    <w:p w14:paraId="5FD2A658" w14:textId="64F3E9AF" w:rsidR="007E1904" w:rsidRDefault="007E1904" w:rsidP="007E1904">
      <w:pPr>
        <w:rPr>
          <w:b/>
          <w:bCs/>
        </w:rPr>
      </w:pPr>
      <w:r w:rsidRPr="007E1904">
        <w:rPr>
          <w:b/>
          <w:bCs/>
        </w:rPr>
        <w:lastRenderedPageBreak/>
        <w:t>Discussion</w:t>
      </w:r>
    </w:p>
    <w:p w14:paraId="4A68A86E" w14:textId="22300EA6" w:rsidR="007E1904" w:rsidRDefault="007E1904" w:rsidP="007E1904">
      <w:r>
        <w:t>The Prime Minister, Cabinet officials, and government offices make up the UK executive. They are in charge of enforcing laws, making policies, and running public services. The UK does not have a written constitution; instead, its constitutional framework comes from statutes, case law, royal powers, constitutional norms, and international law. A big part of the UK's constitution is statute, which are the laws that are made by Parliament and set the rules for how the government works. Two examples are the Human Rights Act of 1998 and the Constitutional Reform Act of 2005. These laws spell out basic rights and make the split of powers stronger, respectively. Through judicial review, case law is very important. This is especially true since the Human Rights Act 1998 was passed, which lets judges check whether government acts are in line with human rights</w:t>
      </w:r>
      <w:r w:rsidR="003C7465">
        <w:t xml:space="preserve"> </w:t>
      </w:r>
      <w:sdt>
        <w:sdtPr>
          <w:id w:val="1781907011"/>
          <w:citation/>
        </w:sdtPr>
        <w:sdtEndPr/>
        <w:sdtContent>
          <w:r w:rsidR="003C7465">
            <w:fldChar w:fldCharType="begin"/>
          </w:r>
          <w:r w:rsidR="003C7465">
            <w:rPr>
              <w:lang w:val="en-US"/>
            </w:rPr>
            <w:instrText xml:space="preserve"> CITATION leg88 \l 1033 </w:instrText>
          </w:r>
          <w:r w:rsidR="003C7465">
            <w:fldChar w:fldCharType="separate"/>
          </w:r>
          <w:r w:rsidR="003C7465" w:rsidRPr="003C7465">
            <w:rPr>
              <w:noProof/>
              <w:lang w:val="en-US"/>
            </w:rPr>
            <w:t>(legislation, 1988)</w:t>
          </w:r>
          <w:r w:rsidR="003C7465">
            <w:fldChar w:fldCharType="end"/>
          </w:r>
        </w:sdtContent>
      </w:sdt>
      <w:r>
        <w:t>. Fundamental principles of common law that were set by important cases also help to shape legislative rules. The Crown has historically had the prerogative powers to declare war, make deals, send out the military, and give pardons. These powers have been reviewed by the courts to make sure they are used legally. The Case of Proclamations (1611) made it clear that new special powers can</w:t>
      </w:r>
      <w:r w:rsidR="003C7465">
        <w:t>not</w:t>
      </w:r>
      <w:r>
        <w:t xml:space="preserve"> be given out without the approval of parliament. This strengthened the idea of parliamentary authority</w:t>
      </w:r>
      <w:r w:rsidR="001A56B1">
        <w:t xml:space="preserve"> </w:t>
      </w:r>
      <w:sdt>
        <w:sdtPr>
          <w:id w:val="-1658146734"/>
          <w:citation/>
        </w:sdtPr>
        <w:sdtEndPr/>
        <w:sdtContent>
          <w:r w:rsidR="001A56B1">
            <w:fldChar w:fldCharType="begin"/>
          </w:r>
          <w:r w:rsidR="001A56B1">
            <w:rPr>
              <w:lang w:val="en-US"/>
            </w:rPr>
            <w:instrText xml:space="preserve"> CITATION Cas20 \l 1033 </w:instrText>
          </w:r>
          <w:r w:rsidR="001A56B1">
            <w:fldChar w:fldCharType="separate"/>
          </w:r>
          <w:r w:rsidR="001A56B1" w:rsidRPr="001A56B1">
            <w:rPr>
              <w:noProof/>
              <w:lang w:val="en-US"/>
            </w:rPr>
            <w:t>(Geisel, 2020)</w:t>
          </w:r>
          <w:r w:rsidR="001A56B1">
            <w:fldChar w:fldCharType="end"/>
          </w:r>
        </w:sdtContent>
      </w:sdt>
      <w:r>
        <w:t>. Even though constitutional agreements are not legally binding, they serve as basic rules for how the government should work. Some conventions, like ministerial duty and the Monarch's part in signing off on laws, set the rules for how the government works. The UK's constitution is also affected by international law, especially through treaties and deals. While monist states immediately include international law in their own laws, the UK takes a different method, and treaty provisions must be made official by parliament before they are legally binding</w:t>
      </w:r>
      <w:r w:rsidR="00D7094E">
        <w:t xml:space="preserve"> </w:t>
      </w:r>
      <w:r w:rsidR="00D7094E">
        <w:rPr>
          <w:shd w:val="clear" w:color="auto" w:fill="FFFFFF"/>
        </w:rPr>
        <w:t>(Rose et al., 2020)</w:t>
      </w:r>
      <w:r>
        <w:t xml:space="preserve">.  </w:t>
      </w:r>
    </w:p>
    <w:p w14:paraId="4F433339" w14:textId="143477D9" w:rsidR="00D17C5F" w:rsidRDefault="00D17C5F" w:rsidP="007E1904">
      <w:r>
        <w:t xml:space="preserve">The separation of powers theory, which comes from political thinkers like John Locke and Montesquieu, says that different parts of the government should do different things so that power </w:t>
      </w:r>
      <w:r>
        <w:lastRenderedPageBreak/>
        <w:t>doesn't get too concentrated and there are checks and balances. This idea describes how people in the UK hold the executive arm, which includes the Prime Minister, the Cabinet, and the government offices, responsible. Making rules is the job of Parliament, which is in the legislative part. Parliament keeps an eye on the executive's legislative plan through things like parliamentary questions, votes, and select panels</w:t>
      </w:r>
      <w:r w:rsidR="00D7094E">
        <w:t xml:space="preserve"> </w:t>
      </w:r>
      <w:r w:rsidR="00D7094E">
        <w:rPr>
          <w:shd w:val="clear" w:color="auto" w:fill="FFFFFF"/>
        </w:rPr>
        <w:t>(Hindmoor et al., 2020)</w:t>
      </w:r>
      <w:r>
        <w:t>. This makes sure that laws are based on what the people want and are looked over and discussed before they become law. Laws are carried out and enforced by the administrative body. Ministers are chosen by the Prime Minister to be in charge of different parts of the government. They are responsible to Parliament for what they do. However, the executive's use of prerogative powers, like starting war or making deals, can be reviewed by the courts to make sure they follow the law and the constitution. The judiciary's job is to understand and apply the law. They also decide if governmental acts are legal. Judicial review is a way for courts to check that government choices are in line with the Constitution and protect people's rights. For example, in R v A (2001), the House of Lords looked into why the government used letters instead of names in court cases, stressing how important it is to be open and follow the rules</w:t>
      </w:r>
      <w:r w:rsidR="00D7094E">
        <w:t xml:space="preserve"> </w:t>
      </w:r>
      <w:r w:rsidR="00D7094E">
        <w:rPr>
          <w:shd w:val="clear" w:color="auto" w:fill="FFFFFF"/>
        </w:rPr>
        <w:t>(Geddes, 2021)</w:t>
      </w:r>
      <w:r>
        <w:t>. There are several ways to hold the government accountable, such as judicial review, ministerial duty, and parliamentary scrutiny. Ministers must follow the Ministerial Code, which outlines expected behaviour. If they do</w:t>
      </w:r>
      <w:r w:rsidR="00D7094E">
        <w:t xml:space="preserve"> not</w:t>
      </w:r>
      <w:r>
        <w:t>, they can be held responsible through parliamentary hearings, ombudsman reviews, or even resigning. Finally, constitutional meetings are very important for making sure the split of powers, even though they are not legally binding. These unwritten rules tell government officials how to act and set a standard for responsibility. For example, the convention of joint ministerial responsibility makes sure that everyone in the Cabinet works together, while the convention of individual ministerial responsibility holds ministers responsible for what their departments do</w:t>
      </w:r>
      <w:r w:rsidR="009834A1">
        <w:t xml:space="preserve"> </w:t>
      </w:r>
      <w:r w:rsidR="009834A1">
        <w:rPr>
          <w:shd w:val="clear" w:color="auto" w:fill="FFFFFF"/>
        </w:rPr>
        <w:t>(Halligan, 2020)</w:t>
      </w:r>
      <w:r>
        <w:t xml:space="preserve">. </w:t>
      </w:r>
    </w:p>
    <w:p w14:paraId="474784C2" w14:textId="77777777" w:rsidR="00FC6C32" w:rsidRDefault="00D17C5F" w:rsidP="00AC5806">
      <w:r>
        <w:lastRenderedPageBreak/>
        <w:t>In the UK, Parliament has a number of ways to hold the executive body, which includes the Prime Minister, Cabinet, and the rest of the government, accountable. These systems make sure that the executive's actions and choices are closely watched, clear, and in line with the law and what</w:t>
      </w:r>
      <w:r w:rsidR="00151E5A">
        <w:t xml:space="preserve"> is</w:t>
      </w:r>
      <w:r>
        <w:t xml:space="preserve"> best for the public. </w:t>
      </w:r>
      <w:r w:rsidR="00CD3CE2">
        <w:t xml:space="preserve">A lot of these methods depend on things like questions, debates, and special groups in parliament. This is a way for MPs to directly question government ministers about decisions, policies, and how their offices are run. In government meetings, people are given set times to ask questions aloud. They can also write down their questions. This kind of direct questioning is a key part of government oversight because it lets MPs get answers and reasons right away. </w:t>
      </w:r>
      <w:r w:rsidR="00AC5806">
        <w:t xml:space="preserve">It helps people and other MPs understand how the government works and what issues it is facing at the moment. Besides that, it makes the government very responsible for everything they do. Talks in parliament are the best way to get the government to explain what it did. MPs and Lords get together to talk about and get a better look at the government's laws, plans, and policies. During discussions, everyone can get a good look at what the government wants to do. They also let MPs from the opposition and the backbench question and discuss what the government is doing and what plans it has. For openness' sake, this way makes sure that government rules are clear and that everyone can talk about them. These groups of experts in parliament take a close look at some parts of how the government makes choices, spends money, and runs. As of 2020, these groups can be found in both the House of Commons and the House of Lords. They look into different parts of how the government works and talk to experts, leaders in the government, and regular people to learn more. These groups write down what they have learned and what they think and send it to the government. After that, the government needs to do something. It is very important to find problems and make changes that chosen groups look into government choices and how well they work. </w:t>
      </w:r>
    </w:p>
    <w:p w14:paraId="46E0C4E2" w14:textId="15BD3E26" w:rsidR="00D17C5F" w:rsidRDefault="00AC5806" w:rsidP="00AC5806">
      <w:r>
        <w:t>Questions from the government, meetings, and select groups are all good ways to hold the president back</w:t>
      </w:r>
      <w:r w:rsidR="00D87C4C">
        <w:t xml:space="preserve"> and hold them accountable</w:t>
      </w:r>
      <w:r>
        <w:t xml:space="preserve">. </w:t>
      </w:r>
      <w:r w:rsidR="00CD3CE2">
        <w:t>They start by letting people directly question and look closely at what the government does and decides. This makes people more open and responsible.</w:t>
      </w:r>
      <w:r w:rsidR="00D17C5F">
        <w:t xml:space="preserve"> Second, these systems allow for strong discussion and criticism, which makes sure that policies are carefully looked over and different points of view are heard. In addition, select panels help with in-depth studies and come up with suggestions for how the government can do a better job</w:t>
      </w:r>
      <w:r w:rsidR="00365A74">
        <w:rPr>
          <w:shd w:val="clear" w:color="auto" w:fill="FFFFFF"/>
        </w:rPr>
        <w:t xml:space="preserve"> (McEwen, 2021)</w:t>
      </w:r>
      <w:r w:rsidR="00D17C5F">
        <w:t>. However, there are also bad things about these methods. Party politics can affect how closely parliamentarians look at things, which can lead to political bias and make transparency measures less effective. Also, the review process may take too long and be too complicated, which could slow down making quick decisions and responding to new problems, which would mean delaying actions or changes that need to be made. Holding the president accountable has some problems, but in the long run, it improves democracy and makes sure that the government acts in the public's best interests</w:t>
      </w:r>
      <w:r w:rsidR="00573D38">
        <w:t xml:space="preserve"> </w:t>
      </w:r>
      <w:r w:rsidR="00573D38">
        <w:rPr>
          <w:shd w:val="clear" w:color="auto" w:fill="FFFFFF"/>
        </w:rPr>
        <w:t>(Syrett and Alder, 2021)</w:t>
      </w:r>
      <w:r w:rsidR="00D17C5F">
        <w:t xml:space="preserve">. </w:t>
      </w:r>
    </w:p>
    <w:p w14:paraId="7C58CA18" w14:textId="5605B258" w:rsidR="007E1904" w:rsidRDefault="007262F6" w:rsidP="007E1904">
      <w:r>
        <w:t xml:space="preserve">Several change ideas can be thought about in order to make holding the president responsible more effective. Additionally, giving select committees more investigation and enforcement power would improve their capacity to closely examine government actions and hold officials accountable. Second, making things more open, like making government papers public by law and making it easier for people to get information, would make public control better. Public meetings and consultations could also help get more people involved in the scrutiny process. This would improve political involvement and </w:t>
      </w:r>
      <w:r w:rsidR="00365A74">
        <w:t xml:space="preserve">credibility </w:t>
      </w:r>
      <w:r w:rsidR="00365A74">
        <w:rPr>
          <w:shd w:val="clear" w:color="auto" w:fill="FFFFFF"/>
        </w:rPr>
        <w:t>(Farrell et al., 2020)</w:t>
      </w:r>
      <w:r>
        <w:t xml:space="preserve">. Overall, these changes are meant to strengthen ways of holding people accountable and make government work more open and responsive. </w:t>
      </w:r>
      <w:r w:rsidR="007E1904">
        <w:br w:type="page"/>
      </w:r>
    </w:p>
    <w:p w14:paraId="0B2D53C8" w14:textId="00418EC7" w:rsidR="007E1904" w:rsidRDefault="007E1904" w:rsidP="007E1904">
      <w:pPr>
        <w:rPr>
          <w:b/>
          <w:bCs/>
        </w:rPr>
      </w:pPr>
      <w:r w:rsidRPr="007E1904">
        <w:rPr>
          <w:b/>
          <w:bCs/>
        </w:rPr>
        <w:t>Conclusion</w:t>
      </w:r>
    </w:p>
    <w:p w14:paraId="6E0F0D01" w14:textId="71323E70" w:rsidR="007E1904" w:rsidRDefault="008F68BF" w:rsidP="008F68BF">
      <w:pPr>
        <w:rPr>
          <w:b/>
          <w:bCs/>
        </w:rPr>
      </w:pPr>
      <w:r>
        <w:t xml:space="preserve">The essay has helped in understanding the ways </w:t>
      </w:r>
      <w:r w:rsidR="007262F6">
        <w:t>that the UK holds the government accountable—such as through parliamentary questions, debates, and select committees—are very important for making sure that democracy works well and that people are held accountable. While each of these systems has pros and cons, change ideas like giving select committees more power and being more open can make government institutions more accountable and boost public trust in them. In the end, keeping up the ideals of democracy and good government in the UK requires constant work to tweak and improve accountability systems.</w:t>
      </w:r>
      <w:r w:rsidR="007262F6">
        <w:rPr>
          <w:b/>
          <w:bCs/>
        </w:rPr>
        <w:t xml:space="preserve"> </w:t>
      </w:r>
      <w:r w:rsidR="007E1904">
        <w:rPr>
          <w:b/>
          <w:bCs/>
        </w:rPr>
        <w:br w:type="page"/>
      </w:r>
    </w:p>
    <w:p w14:paraId="4847A995" w14:textId="68F11D25" w:rsidR="007E1904" w:rsidRDefault="007E1904" w:rsidP="007E1904">
      <w:pPr>
        <w:rPr>
          <w:b/>
          <w:bCs/>
        </w:rPr>
      </w:pPr>
      <w:r w:rsidRPr="007E1904">
        <w:rPr>
          <w:b/>
          <w:bCs/>
        </w:rPr>
        <w:t>References</w:t>
      </w:r>
    </w:p>
    <w:p w14:paraId="58DA8ED6" w14:textId="77777777" w:rsidR="00867BE3" w:rsidRDefault="00867BE3" w:rsidP="00D7094E">
      <w:pPr>
        <w:rPr>
          <w:shd w:val="clear" w:color="auto" w:fill="FFFFFF"/>
        </w:rPr>
      </w:pPr>
      <w:r>
        <w:rPr>
          <w:shd w:val="clear" w:color="auto" w:fill="FFFFFF"/>
        </w:rPr>
        <w:t>Ehren, M. and Baxter, J. eds., (2020). </w:t>
      </w:r>
      <w:r w:rsidRPr="00D7094E">
        <w:rPr>
          <w:i/>
          <w:iCs/>
          <w:shd w:val="clear" w:color="auto" w:fill="FFFFFF"/>
        </w:rPr>
        <w:t>Trust, accountability and capacity in education system reform: Global perspectives in comparative education</w:t>
      </w:r>
      <w:r>
        <w:rPr>
          <w:shd w:val="clear" w:color="auto" w:fill="FFFFFF"/>
        </w:rPr>
        <w:t xml:space="preserve">. Routledge. </w:t>
      </w:r>
    </w:p>
    <w:p w14:paraId="53A69549" w14:textId="77777777" w:rsidR="00867BE3" w:rsidRDefault="00867BE3" w:rsidP="00D7094E">
      <w:pPr>
        <w:rPr>
          <w:shd w:val="clear" w:color="auto" w:fill="FFFFFF"/>
        </w:rPr>
      </w:pPr>
      <w:r>
        <w:rPr>
          <w:shd w:val="clear" w:color="auto" w:fill="FFFFFF"/>
        </w:rPr>
        <w:t>Farrell, D.M., Suiter, J., Harris, C. and Cunningham, K., (2020). The effects of mixed membership in a deliberative forum: The Irish constitutional convention of 2012–2014. </w:t>
      </w:r>
      <w:r>
        <w:rPr>
          <w:i/>
          <w:iCs/>
          <w:shd w:val="clear" w:color="auto" w:fill="FFFFFF"/>
        </w:rPr>
        <w:t>Political Studies</w:t>
      </w:r>
      <w:r>
        <w:rPr>
          <w:shd w:val="clear" w:color="auto" w:fill="FFFFFF"/>
        </w:rPr>
        <w:t>, </w:t>
      </w:r>
      <w:r>
        <w:rPr>
          <w:i/>
          <w:iCs/>
          <w:shd w:val="clear" w:color="auto" w:fill="FFFFFF"/>
        </w:rPr>
        <w:t>68</w:t>
      </w:r>
      <w:r>
        <w:rPr>
          <w:shd w:val="clear" w:color="auto" w:fill="FFFFFF"/>
        </w:rPr>
        <w:t xml:space="preserve">(1), pp.54-73. </w:t>
      </w:r>
    </w:p>
    <w:p w14:paraId="38BA00CA" w14:textId="77777777" w:rsidR="00867BE3" w:rsidRDefault="00867BE3" w:rsidP="001A56B1">
      <w:pPr>
        <w:rPr>
          <w:shd w:val="clear" w:color="auto" w:fill="FFFFFF"/>
        </w:rPr>
      </w:pPr>
      <w:r>
        <w:rPr>
          <w:shd w:val="clear" w:color="auto" w:fill="FFFFFF"/>
        </w:rPr>
        <w:t>Geddes, M., (2021). The webs of belief around ‘evidence’in legislatures: The case of select committees in the UK House of Commons. </w:t>
      </w:r>
      <w:r>
        <w:rPr>
          <w:i/>
          <w:iCs/>
          <w:shd w:val="clear" w:color="auto" w:fill="FFFFFF"/>
        </w:rPr>
        <w:t>Public Administration</w:t>
      </w:r>
      <w:r>
        <w:rPr>
          <w:shd w:val="clear" w:color="auto" w:fill="FFFFFF"/>
        </w:rPr>
        <w:t>, </w:t>
      </w:r>
      <w:r>
        <w:rPr>
          <w:i/>
          <w:iCs/>
          <w:shd w:val="clear" w:color="auto" w:fill="FFFFFF"/>
        </w:rPr>
        <w:t>99</w:t>
      </w:r>
      <w:r>
        <w:rPr>
          <w:shd w:val="clear" w:color="auto" w:fill="FFFFFF"/>
        </w:rPr>
        <w:t xml:space="preserve">(1), pp.40-54. </w:t>
      </w:r>
    </w:p>
    <w:p w14:paraId="52BD151B" w14:textId="77777777" w:rsidR="00867BE3" w:rsidRDefault="00867BE3" w:rsidP="00867BE3">
      <w:r>
        <w:t xml:space="preserve">Geisel, C., (2020). </w:t>
      </w:r>
      <w:r w:rsidRPr="00867BE3">
        <w:rPr>
          <w:i/>
          <w:iCs/>
        </w:rPr>
        <w:t>The case of Proclamations (1611).</w:t>
      </w:r>
      <w:r>
        <w:t xml:space="preserve"> [Online] Available at: https://legalcases.co.uk/the-case-of-proclamations-1611/</w:t>
      </w:r>
    </w:p>
    <w:p w14:paraId="3ADF90D7" w14:textId="77777777" w:rsidR="00867BE3" w:rsidRDefault="00867BE3" w:rsidP="00D7094E">
      <w:pPr>
        <w:rPr>
          <w:shd w:val="clear" w:color="auto" w:fill="FFFFFF"/>
        </w:rPr>
      </w:pPr>
      <w:r>
        <w:rPr>
          <w:shd w:val="clear" w:color="auto" w:fill="FFFFFF"/>
        </w:rPr>
        <w:t>Halligan, J. ed., (2020). </w:t>
      </w:r>
      <w:r w:rsidRPr="00D7094E">
        <w:rPr>
          <w:i/>
          <w:iCs/>
          <w:shd w:val="clear" w:color="auto" w:fill="FFFFFF"/>
        </w:rPr>
        <w:t>Reforming public management and governance: Impact and lessons from Anglophone countries</w:t>
      </w:r>
      <w:r>
        <w:rPr>
          <w:shd w:val="clear" w:color="auto" w:fill="FFFFFF"/>
        </w:rPr>
        <w:t xml:space="preserve">. Edward Elgar Publishing. </w:t>
      </w:r>
    </w:p>
    <w:p w14:paraId="2DC44E64" w14:textId="77777777" w:rsidR="00867BE3" w:rsidRDefault="00867BE3" w:rsidP="001A56B1">
      <w:pPr>
        <w:rPr>
          <w:shd w:val="clear" w:color="auto" w:fill="FFFFFF"/>
        </w:rPr>
      </w:pPr>
      <w:r>
        <w:rPr>
          <w:shd w:val="clear" w:color="auto" w:fill="FFFFFF"/>
        </w:rPr>
        <w:t>Hindmoor, A., Larkin, P. and Kennon, A., (2020). Assessing the influence of select committees in the UK: The Education and Skills Committee, 1997–2005. In </w:t>
      </w:r>
      <w:r>
        <w:rPr>
          <w:i/>
          <w:iCs/>
          <w:shd w:val="clear" w:color="auto" w:fill="FFFFFF"/>
        </w:rPr>
        <w:t>The Impact of Legislatures</w:t>
      </w:r>
      <w:r>
        <w:rPr>
          <w:shd w:val="clear" w:color="auto" w:fill="FFFFFF"/>
        </w:rPr>
        <w:t xml:space="preserve"> (pp. 308-326). Routledge. </w:t>
      </w:r>
    </w:p>
    <w:p w14:paraId="5F001457" w14:textId="77777777" w:rsidR="00867BE3" w:rsidRDefault="00867BE3" w:rsidP="00867BE3">
      <w:r>
        <w:t xml:space="preserve">legislation, (1988). </w:t>
      </w:r>
      <w:r w:rsidRPr="00867BE3">
        <w:rPr>
          <w:i/>
          <w:iCs/>
        </w:rPr>
        <w:t>Human Rights Act 1998.</w:t>
      </w:r>
      <w:r>
        <w:t xml:space="preserve"> [Online] Available at: https://www.legislation.gov.uk/ukpga/1998/42/contents</w:t>
      </w:r>
    </w:p>
    <w:p w14:paraId="2119286C" w14:textId="77777777" w:rsidR="00867BE3" w:rsidRDefault="00867BE3" w:rsidP="00D7094E">
      <w:pPr>
        <w:rPr>
          <w:shd w:val="clear" w:color="auto" w:fill="FFFFFF"/>
        </w:rPr>
      </w:pPr>
      <w:r>
        <w:rPr>
          <w:shd w:val="clear" w:color="auto" w:fill="FFFFFF"/>
        </w:rPr>
        <w:t>McEwen, N., (2021). Negotiating Brexit: power dynamics in British intergovernmental relations. </w:t>
      </w:r>
      <w:r>
        <w:rPr>
          <w:i/>
          <w:iCs/>
          <w:shd w:val="clear" w:color="auto" w:fill="FFFFFF"/>
        </w:rPr>
        <w:t>Regional Studies</w:t>
      </w:r>
      <w:r>
        <w:rPr>
          <w:shd w:val="clear" w:color="auto" w:fill="FFFFFF"/>
        </w:rPr>
        <w:t>, </w:t>
      </w:r>
      <w:r>
        <w:rPr>
          <w:i/>
          <w:iCs/>
          <w:shd w:val="clear" w:color="auto" w:fill="FFFFFF"/>
        </w:rPr>
        <w:t>55</w:t>
      </w:r>
      <w:r>
        <w:rPr>
          <w:shd w:val="clear" w:color="auto" w:fill="FFFFFF"/>
        </w:rPr>
        <w:t>(9), pp.1538-1549.</w:t>
      </w:r>
    </w:p>
    <w:p w14:paraId="5D307067" w14:textId="77777777" w:rsidR="00867BE3" w:rsidRDefault="00867BE3" w:rsidP="001A56B1">
      <w:pPr>
        <w:rPr>
          <w:shd w:val="clear" w:color="auto" w:fill="FFFFFF"/>
        </w:rPr>
      </w:pPr>
      <w:r>
        <w:rPr>
          <w:shd w:val="clear" w:color="auto" w:fill="FFFFFF"/>
        </w:rPr>
        <w:t>Rose, D.C., Kenny, C., Hobbs, A. and Tyler, C., (2020). Improving the use of evidence in legislatures: the case of the UK Parliament. </w:t>
      </w:r>
      <w:r>
        <w:rPr>
          <w:i/>
          <w:iCs/>
          <w:shd w:val="clear" w:color="auto" w:fill="FFFFFF"/>
        </w:rPr>
        <w:t>Evidence &amp; Policy</w:t>
      </w:r>
      <w:r>
        <w:rPr>
          <w:shd w:val="clear" w:color="auto" w:fill="FFFFFF"/>
        </w:rPr>
        <w:t>, </w:t>
      </w:r>
      <w:r>
        <w:rPr>
          <w:i/>
          <w:iCs/>
          <w:shd w:val="clear" w:color="auto" w:fill="FFFFFF"/>
        </w:rPr>
        <w:t>16</w:t>
      </w:r>
      <w:r>
        <w:rPr>
          <w:shd w:val="clear" w:color="auto" w:fill="FFFFFF"/>
        </w:rPr>
        <w:t xml:space="preserve">(4), pp.619-638. </w:t>
      </w:r>
    </w:p>
    <w:p w14:paraId="26550FF6" w14:textId="77777777" w:rsidR="00867BE3" w:rsidRDefault="00867BE3" w:rsidP="00D7094E">
      <w:pPr>
        <w:rPr>
          <w:shd w:val="clear" w:color="auto" w:fill="FFFFFF"/>
        </w:rPr>
      </w:pPr>
      <w:r>
        <w:rPr>
          <w:shd w:val="clear" w:color="auto" w:fill="FFFFFF"/>
        </w:rPr>
        <w:t>Syrett, K. and Alder, J., (2021). </w:t>
      </w:r>
      <w:r>
        <w:rPr>
          <w:i/>
          <w:iCs/>
          <w:shd w:val="clear" w:color="auto" w:fill="FFFFFF"/>
        </w:rPr>
        <w:t>Constitutional and administrative law</w:t>
      </w:r>
      <w:r>
        <w:rPr>
          <w:shd w:val="clear" w:color="auto" w:fill="FFFFFF"/>
        </w:rPr>
        <w:t xml:space="preserve">. Bloomsbury Publishing. </w:t>
      </w:r>
    </w:p>
    <w:p w14:paraId="1722C238" w14:textId="77777777" w:rsidR="00D7094E" w:rsidRPr="007E1904" w:rsidRDefault="00D7094E" w:rsidP="00D7094E"/>
    <w:sectPr w:rsidR="00D7094E" w:rsidRPr="007E1904" w:rsidSect="00BE385A">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0DDEC" w14:textId="77777777" w:rsidR="00BE385A" w:rsidRDefault="00BE385A" w:rsidP="007E1904">
      <w:pPr>
        <w:spacing w:before="0" w:after="0" w:line="240" w:lineRule="auto"/>
      </w:pPr>
      <w:r>
        <w:separator/>
      </w:r>
    </w:p>
  </w:endnote>
  <w:endnote w:type="continuationSeparator" w:id="0">
    <w:p w14:paraId="5D067F86" w14:textId="77777777" w:rsidR="00BE385A" w:rsidRDefault="00BE385A" w:rsidP="007E19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6516583"/>
      <w:docPartObj>
        <w:docPartGallery w:val="Page Numbers (Bottom of Page)"/>
        <w:docPartUnique/>
      </w:docPartObj>
    </w:sdtPr>
    <w:sdtEndPr/>
    <w:sdtContent>
      <w:sdt>
        <w:sdtPr>
          <w:id w:val="-1769616900"/>
          <w:docPartObj>
            <w:docPartGallery w:val="Page Numbers (Top of Page)"/>
            <w:docPartUnique/>
          </w:docPartObj>
        </w:sdtPr>
        <w:sdtEndPr/>
        <w:sdtContent>
          <w:p w14:paraId="145966CC" w14:textId="7E360985" w:rsidR="007E1904" w:rsidRDefault="007E190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26660F" w14:textId="77777777" w:rsidR="007E1904" w:rsidRDefault="007E1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466EE" w14:textId="77777777" w:rsidR="00BE385A" w:rsidRDefault="00BE385A" w:rsidP="007E1904">
      <w:pPr>
        <w:spacing w:before="0" w:after="0" w:line="240" w:lineRule="auto"/>
      </w:pPr>
      <w:r>
        <w:separator/>
      </w:r>
    </w:p>
  </w:footnote>
  <w:footnote w:type="continuationSeparator" w:id="0">
    <w:p w14:paraId="6E6AFADA" w14:textId="77777777" w:rsidR="00BE385A" w:rsidRDefault="00BE385A" w:rsidP="007E190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80311" w14:textId="27DF07B5" w:rsidR="007E1904" w:rsidRDefault="007E1904" w:rsidP="007E1904">
    <w:pPr>
      <w:jc w:val="right"/>
    </w:pPr>
    <w:r w:rsidRPr="007E1904">
      <w:t>Legal Process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04"/>
    <w:rsid w:val="00092201"/>
    <w:rsid w:val="00113AA9"/>
    <w:rsid w:val="00151E5A"/>
    <w:rsid w:val="001A56B1"/>
    <w:rsid w:val="00227C9E"/>
    <w:rsid w:val="002A23CF"/>
    <w:rsid w:val="002D1482"/>
    <w:rsid w:val="00312DE1"/>
    <w:rsid w:val="00365A74"/>
    <w:rsid w:val="003A56A5"/>
    <w:rsid w:val="003C7465"/>
    <w:rsid w:val="003C7856"/>
    <w:rsid w:val="004009C8"/>
    <w:rsid w:val="00455D7A"/>
    <w:rsid w:val="004A3132"/>
    <w:rsid w:val="004C1DE6"/>
    <w:rsid w:val="00573D38"/>
    <w:rsid w:val="005F3C55"/>
    <w:rsid w:val="006B7B08"/>
    <w:rsid w:val="006D2D04"/>
    <w:rsid w:val="007262F6"/>
    <w:rsid w:val="00773744"/>
    <w:rsid w:val="007C7897"/>
    <w:rsid w:val="007E1904"/>
    <w:rsid w:val="00836B5A"/>
    <w:rsid w:val="00862D5E"/>
    <w:rsid w:val="00867BE3"/>
    <w:rsid w:val="008A3BD5"/>
    <w:rsid w:val="008F68BF"/>
    <w:rsid w:val="009033B6"/>
    <w:rsid w:val="0092513C"/>
    <w:rsid w:val="009834A1"/>
    <w:rsid w:val="009E5040"/>
    <w:rsid w:val="00A139ED"/>
    <w:rsid w:val="00A3314D"/>
    <w:rsid w:val="00A56964"/>
    <w:rsid w:val="00A705C9"/>
    <w:rsid w:val="00A833E4"/>
    <w:rsid w:val="00AC1F1E"/>
    <w:rsid w:val="00AC5806"/>
    <w:rsid w:val="00AD2E04"/>
    <w:rsid w:val="00AE3C9B"/>
    <w:rsid w:val="00AF3593"/>
    <w:rsid w:val="00B361DF"/>
    <w:rsid w:val="00B43E86"/>
    <w:rsid w:val="00B97B5F"/>
    <w:rsid w:val="00BB09DC"/>
    <w:rsid w:val="00BE385A"/>
    <w:rsid w:val="00C12373"/>
    <w:rsid w:val="00C579E9"/>
    <w:rsid w:val="00C622E5"/>
    <w:rsid w:val="00C873BB"/>
    <w:rsid w:val="00CD3CE2"/>
    <w:rsid w:val="00D17C5F"/>
    <w:rsid w:val="00D36DAF"/>
    <w:rsid w:val="00D7094E"/>
    <w:rsid w:val="00D87C4C"/>
    <w:rsid w:val="00D911D6"/>
    <w:rsid w:val="00DD4C5D"/>
    <w:rsid w:val="00DF5D18"/>
    <w:rsid w:val="00E64D21"/>
    <w:rsid w:val="00EC6272"/>
    <w:rsid w:val="00F1762A"/>
    <w:rsid w:val="00F67ECE"/>
    <w:rsid w:val="00FC6C32"/>
    <w:rsid w:val="00FC7771"/>
    <w:rsid w:val="00FD4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9E85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856"/>
    <w:pPr>
      <w:spacing w:before="120" w:after="12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227C9E"/>
    <w:pPr>
      <w:keepNext/>
      <w:keepLines/>
      <w:spacing w:before="40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autoRedefine/>
    <w:uiPriority w:val="9"/>
    <w:unhideWhenUsed/>
    <w:qFormat/>
    <w:rsid w:val="00227C9E"/>
    <w:pPr>
      <w:keepNext/>
      <w:keepLines/>
      <w:spacing w:before="360"/>
      <w:outlineLvl w:val="1"/>
    </w:pPr>
    <w:rPr>
      <w:b/>
      <w:kern w:val="2"/>
      <w:sz w:val="26"/>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C9E"/>
    <w:rPr>
      <w:rFonts w:ascii="Times New Roman" w:hAnsi="Times New Roman"/>
      <w:b/>
      <w:sz w:val="28"/>
      <w:szCs w:val="40"/>
    </w:rPr>
  </w:style>
  <w:style w:type="character" w:customStyle="1" w:styleId="Heading2Char">
    <w:name w:val="Heading 2 Char"/>
    <w:basedOn w:val="DefaultParagraphFont"/>
    <w:link w:val="Heading2"/>
    <w:uiPriority w:val="9"/>
    <w:rsid w:val="00227C9E"/>
    <w:rPr>
      <w:rFonts w:ascii="Times New Roman" w:hAnsi="Times New Roman" w:cs="Arial"/>
      <w:b/>
      <w:sz w:val="26"/>
      <w:szCs w:val="32"/>
      <w:lang w:val="en-GB"/>
    </w:rPr>
  </w:style>
  <w:style w:type="paragraph" w:styleId="Header">
    <w:name w:val="header"/>
    <w:basedOn w:val="Normal"/>
    <w:link w:val="HeaderChar"/>
    <w:uiPriority w:val="99"/>
    <w:unhideWhenUsed/>
    <w:rsid w:val="007E190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E1904"/>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7E190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E1904"/>
    <w:rPr>
      <w:rFonts w:ascii="Times New Roman" w:hAnsi="Times New Roman" w:cs="Arial"/>
      <w:kern w:val="0"/>
      <w:sz w:val="24"/>
      <w:lang w:val="en-GB"/>
      <w14:ligatures w14:val="none"/>
    </w:rPr>
  </w:style>
  <w:style w:type="paragraph" w:styleId="Bibliography">
    <w:name w:val="Bibliography"/>
    <w:basedOn w:val="Normal"/>
    <w:next w:val="Normal"/>
    <w:uiPriority w:val="37"/>
    <w:unhideWhenUsed/>
    <w:rsid w:val="00867B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79163">
      <w:bodyDiv w:val="1"/>
      <w:marLeft w:val="0"/>
      <w:marRight w:val="0"/>
      <w:marTop w:val="0"/>
      <w:marBottom w:val="0"/>
      <w:divBdr>
        <w:top w:val="none" w:sz="0" w:space="0" w:color="auto"/>
        <w:left w:val="none" w:sz="0" w:space="0" w:color="auto"/>
        <w:bottom w:val="none" w:sz="0" w:space="0" w:color="auto"/>
        <w:right w:val="none" w:sz="0" w:space="0" w:color="auto"/>
      </w:divBdr>
    </w:div>
    <w:div w:id="1060179546">
      <w:bodyDiv w:val="1"/>
      <w:marLeft w:val="0"/>
      <w:marRight w:val="0"/>
      <w:marTop w:val="0"/>
      <w:marBottom w:val="0"/>
      <w:divBdr>
        <w:top w:val="none" w:sz="0" w:space="0" w:color="auto"/>
        <w:left w:val="none" w:sz="0" w:space="0" w:color="auto"/>
        <w:bottom w:val="none" w:sz="0" w:space="0" w:color="auto"/>
        <w:right w:val="none" w:sz="0" w:space="0" w:color="auto"/>
      </w:divBdr>
    </w:div>
    <w:div w:id="1099563738">
      <w:bodyDiv w:val="1"/>
      <w:marLeft w:val="0"/>
      <w:marRight w:val="0"/>
      <w:marTop w:val="0"/>
      <w:marBottom w:val="0"/>
      <w:divBdr>
        <w:top w:val="none" w:sz="0" w:space="0" w:color="auto"/>
        <w:left w:val="none" w:sz="0" w:space="0" w:color="auto"/>
        <w:bottom w:val="none" w:sz="0" w:space="0" w:color="auto"/>
        <w:right w:val="none" w:sz="0" w:space="0" w:color="auto"/>
      </w:divBdr>
    </w:div>
    <w:div w:id="213138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leg88</b:Tag>
    <b:SourceType>InternetSite</b:SourceType>
    <b:Guid>{5B18BB44-B32F-4468-B8E6-ED14FCE6A08F}</b:Guid>
    <b:Author>
      <b:Author>
        <b:NameList>
          <b:Person>
            <b:Last>legislation</b:Last>
          </b:Person>
        </b:NameList>
      </b:Author>
    </b:Author>
    <b:Title>Human Rights Act 1998</b:Title>
    <b:Year>1988</b:Year>
    <b:URL>https://www.legislation.gov.uk/ukpga/1998/42/contents</b:URL>
    <b:RefOrder>1</b:RefOrder>
  </b:Source>
  <b:Source>
    <b:Tag>Cas20</b:Tag>
    <b:SourceType>InternetSite</b:SourceType>
    <b:Guid>{3DFBD5DB-42F9-455D-BB98-3742F2D03BFA}</b:Guid>
    <b:Author>
      <b:Author>
        <b:NameList>
          <b:Person>
            <b:Last>Geisel</b:Last>
            <b:First>Cassandra</b:First>
          </b:Person>
        </b:NameList>
      </b:Author>
    </b:Author>
    <b:Title>The case of Proclamations (1611)</b:Title>
    <b:Year>2020</b:Year>
    <b:URL>https://legalcases.co.uk/the-case-of-proclamations-1611/</b:URL>
    <b:RefOrder>2</b:RefOrder>
  </b:Source>
</b:Sources>
</file>

<file path=customXml/itemProps1.xml><?xml version="1.0" encoding="utf-8"?>
<ds:datastoreItem xmlns:ds="http://schemas.openxmlformats.org/officeDocument/2006/customXml" ds:itemID="{16709D72-D08A-4C6F-AF78-0EE367A053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1732</Words>
  <Characters>9878</Characters>
  <Application>Microsoft Office Word</Application>
  <DocSecurity>0</DocSecurity>
  <Lines>82</Lines>
  <Paragraphs>23</Paragraphs>
  <ScaleCrop>false</ScaleCrop>
  <Company/>
  <LinksUpToDate>false</LinksUpToDate>
  <CharactersWithSpaces>11587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2024-03-11T08:57:00Z</dcterms:created>
  <dcterms:modified xsi:type="dcterms:W3CDTF">2024-03-11T08:57:00Z</dcterms:modified>
</cp:coreProperties>
</file>