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54ABA4" w14:textId="77777777" w:rsidR="00291627" w:rsidRPr="00291627" w:rsidRDefault="00291627" w:rsidP="00291627">
      <w:pPr>
        <w:pStyle w:val="paragraph"/>
        <w:spacing w:before="0" w:beforeAutospacing="0" w:after="0" w:afterAutospacing="0"/>
        <w:ind w:left="360"/>
        <w:jc w:val="center"/>
        <w:textAlignment w:val="baseline"/>
        <w:rPr>
          <w:sz w:val="30"/>
          <w:szCs w:val="30"/>
        </w:rPr>
      </w:pPr>
      <w:r w:rsidRPr="00291627">
        <w:rPr>
          <w:rStyle w:val="normaltextrun"/>
          <w:u w:val="single"/>
        </w:rPr>
        <w:t>Worms</w:t>
      </w:r>
      <w:r w:rsidRPr="00291627">
        <w:rPr>
          <w:rStyle w:val="normaltextrun"/>
        </w:rPr>
        <w:t> </w:t>
      </w:r>
      <w:r w:rsidRPr="00291627">
        <w:rPr>
          <w:rStyle w:val="eop"/>
        </w:rPr>
        <w:t> </w:t>
      </w:r>
    </w:p>
    <w:p w14:paraId="324973FE" w14:textId="77777777" w:rsidR="00291627" w:rsidRPr="00291627" w:rsidRDefault="00291627" w:rsidP="00291627">
      <w:pPr>
        <w:pStyle w:val="paragraph"/>
        <w:spacing w:before="0" w:beforeAutospacing="0" w:after="0" w:afterAutospacing="0"/>
        <w:jc w:val="both"/>
        <w:textAlignment w:val="baseline"/>
        <w:rPr>
          <w:sz w:val="30"/>
          <w:szCs w:val="30"/>
        </w:rPr>
      </w:pPr>
      <w:r w:rsidRPr="00291627">
        <w:rPr>
          <w:rStyle w:val="normaltextrun"/>
        </w:rPr>
        <w:t xml:space="preserve">The worm, within art and literature focussed on death, in the Middle Ages was used to place an emphasis on the natural, of returning to the earth, with ‘graveyards sites of recycling, and their earth and worms participated in a sacred ecology’. </w:t>
      </w:r>
      <w:r w:rsidRPr="00291627">
        <w:rPr>
          <w:rStyle w:val="normaltextrun"/>
          <w:vertAlign w:val="superscript"/>
        </w:rPr>
        <w:t xml:space="preserve">1 </w:t>
      </w:r>
      <w:r w:rsidRPr="00291627">
        <w:rPr>
          <w:rStyle w:val="normaltextrun"/>
        </w:rPr>
        <w:t xml:space="preserve">The use of just worms is more often seen in Britain than anywhere else. </w:t>
      </w:r>
      <w:r w:rsidRPr="00291627">
        <w:rPr>
          <w:rStyle w:val="normaltextrun"/>
          <w:vertAlign w:val="superscript"/>
        </w:rPr>
        <w:t xml:space="preserve">2 </w:t>
      </w:r>
      <w:r w:rsidRPr="00291627">
        <w:rPr>
          <w:rStyle w:val="normaltextrun"/>
        </w:rPr>
        <w:t>Worms within the later Middle Ages material culture provided 'food for thought’</w:t>
      </w:r>
      <w:r w:rsidRPr="00291627">
        <w:rPr>
          <w:rStyle w:val="normaltextrun"/>
          <w:vertAlign w:val="superscript"/>
        </w:rPr>
        <w:t>3</w:t>
      </w:r>
      <w:r w:rsidRPr="00291627">
        <w:rPr>
          <w:rStyle w:val="normaltextrun"/>
        </w:rPr>
        <w:t>for the audience, as a reminder of mortality, and to think of their soul. The clerical and secular literature, and tomb monuments of the time, casually display the nature of decomposition. It encouraged a detachment to the transitory mortal world and to remember what is most important, the afterlife which follows and the resurrection. </w:t>
      </w:r>
      <w:r w:rsidRPr="00291627">
        <w:rPr>
          <w:rStyle w:val="eop"/>
        </w:rPr>
        <w:t> </w:t>
      </w:r>
    </w:p>
    <w:p w14:paraId="46F3A0B4" w14:textId="77777777" w:rsidR="00291627" w:rsidRPr="00291627" w:rsidRDefault="00291627" w:rsidP="00291627">
      <w:pPr>
        <w:pStyle w:val="paragraph"/>
        <w:spacing w:before="0" w:beforeAutospacing="0" w:after="0" w:afterAutospacing="0"/>
        <w:jc w:val="both"/>
        <w:textAlignment w:val="baseline"/>
        <w:rPr>
          <w:sz w:val="30"/>
          <w:szCs w:val="30"/>
        </w:rPr>
      </w:pPr>
      <w:r w:rsidRPr="00291627">
        <w:rPr>
          <w:rStyle w:val="eop"/>
        </w:rPr>
        <w:t> </w:t>
      </w:r>
    </w:p>
    <w:p w14:paraId="0B68F388" w14:textId="77777777" w:rsidR="00291627" w:rsidRPr="00291627" w:rsidRDefault="00291627" w:rsidP="00291627">
      <w:pPr>
        <w:pStyle w:val="paragraph"/>
        <w:spacing w:before="0" w:beforeAutospacing="0" w:after="0" w:afterAutospacing="0"/>
        <w:textAlignment w:val="baseline"/>
        <w:rPr>
          <w:rStyle w:val="normaltextrun"/>
        </w:rPr>
      </w:pPr>
      <w:r w:rsidRPr="00291627">
        <w:rPr>
          <w:rStyle w:val="normaltextrun"/>
        </w:rPr>
        <w:t xml:space="preserve">Paul Binski said ‘‘The transi tomb now revealed the skeleton in the cupboard of medieval funerary art, namely its denial of the facts of decomposition’ and discusses the view that the transi tomb, and subsequently the worm, did not in fact, like other funerary monuments, encourage prayer for the deceased, but rather personal reflection. </w:t>
      </w:r>
      <w:r w:rsidRPr="00291627">
        <w:rPr>
          <w:rStyle w:val="normaltextrun"/>
          <w:vertAlign w:val="superscript"/>
        </w:rPr>
        <w:t xml:space="preserve">4 </w:t>
      </w:r>
      <w:r w:rsidRPr="00291627">
        <w:rPr>
          <w:rStyle w:val="normaltextrun"/>
        </w:rPr>
        <w:t xml:space="preserve">The worm can be seen a great deal in medieval cadaver tombs. As Caroline Walker Bynum describes them, ‘the transi tombs that display carvings of the elite of Europe nude and gnawed by worms’ </w:t>
      </w:r>
      <w:r w:rsidRPr="00291627">
        <w:rPr>
          <w:rStyle w:val="normaltextrun"/>
          <w:vertAlign w:val="superscript"/>
        </w:rPr>
        <w:t xml:space="preserve">5 </w:t>
      </w:r>
      <w:r w:rsidRPr="00291627">
        <w:rPr>
          <w:rStyle w:val="normaltextrun"/>
        </w:rPr>
        <w:t>they were a </w:t>
      </w:r>
      <w:r w:rsidRPr="00291627">
        <w:rPr>
          <w:rStyle w:val="normaltextrun"/>
          <w:i/>
          <w:iCs/>
        </w:rPr>
        <w:t>memento mori</w:t>
      </w:r>
      <w:r w:rsidRPr="00291627">
        <w:rPr>
          <w:rStyle w:val="normaltextrun"/>
        </w:rPr>
        <w:t xml:space="preserve"> contrasting life and death, worms depicted on them would have been intelligible imagery. </w:t>
      </w:r>
      <w:r w:rsidRPr="00291627">
        <w:rPr>
          <w:rStyle w:val="normaltextrun"/>
          <w:vertAlign w:val="superscript"/>
        </w:rPr>
        <w:t>6</w:t>
      </w:r>
      <w:r w:rsidRPr="00291627">
        <w:rPr>
          <w:rStyle w:val="normaltextrun"/>
        </w:rPr>
        <w:t xml:space="preserve"> The emphasis on the rotting by using worms is often used, however not one that must be present, and could also include toads, snakes and lizards. </w:t>
      </w:r>
      <w:r w:rsidRPr="00291627">
        <w:rPr>
          <w:rStyle w:val="normaltextrun"/>
          <w:vertAlign w:val="superscript"/>
        </w:rPr>
        <w:t xml:space="preserve">7 </w:t>
      </w:r>
      <w:r w:rsidRPr="00291627">
        <w:rPr>
          <w:rStyle w:val="normaltextrun"/>
        </w:rPr>
        <w:t xml:space="preserve">They were a pointed, ‘open’ display of a decomposing body, which needed little interpretation. </w:t>
      </w:r>
      <w:r w:rsidRPr="00291627">
        <w:rPr>
          <w:rStyle w:val="normaltextrun"/>
          <w:vertAlign w:val="superscript"/>
        </w:rPr>
        <w:t>8</w:t>
      </w:r>
      <w:r w:rsidRPr="00291627">
        <w:rPr>
          <w:rStyle w:val="normaltextrun"/>
        </w:rPr>
        <w:t xml:space="preserve"> The medieval person would have been able to contemplate their mortality with the use of worms in the most basic form, regardless of religion or societal position, as ‘all must end in the grave as food for worms.’ </w:t>
      </w:r>
      <w:r w:rsidRPr="00291627">
        <w:rPr>
          <w:rStyle w:val="normaltextrun"/>
          <w:vertAlign w:val="superscript"/>
        </w:rPr>
        <w:t>9</w:t>
      </w:r>
      <w:r w:rsidRPr="00291627">
        <w:rPr>
          <w:rStyle w:val="normaltextrun"/>
        </w:rPr>
        <w:t xml:space="preserve"> The tombs provided the viewer with not only an opportunity for contemplation of their own mortality, but also encouraged humility and morality. </w:t>
      </w:r>
      <w:r w:rsidRPr="00291627">
        <w:rPr>
          <w:rStyle w:val="normaltextrun"/>
          <w:vertAlign w:val="superscript"/>
        </w:rPr>
        <w:t xml:space="preserve">10 </w:t>
      </w:r>
      <w:r w:rsidRPr="00291627">
        <w:rPr>
          <w:rStyle w:val="normaltextrun"/>
        </w:rPr>
        <w:t>This could then lead to thoughts of the afterlife, and their behaviour in this one, without explicitly talking about or depicting purgatory or hell. They were not just used in the tomb monument’s carvings, but in the epitaphs attached to them too. Henry </w:t>
      </w:r>
      <w:proofErr w:type="spellStart"/>
      <w:r w:rsidRPr="00291627">
        <w:rPr>
          <w:rStyle w:val="normaltextrun"/>
        </w:rPr>
        <w:t>Chichele</w:t>
      </w:r>
      <w:proofErr w:type="spellEnd"/>
      <w:r w:rsidRPr="00291627">
        <w:rPr>
          <w:rStyle w:val="normaltextrun"/>
        </w:rPr>
        <w:t>, one of the first men of England to have a transi tomb, in his epitaph said ‘</w:t>
      </w:r>
      <w:r w:rsidRPr="00291627">
        <w:rPr>
          <w:rStyle w:val="normaltextrun"/>
          <w:i/>
          <w:iCs/>
        </w:rPr>
        <w:t xml:space="preserve">omnibus </w:t>
      </w:r>
      <w:proofErr w:type="spellStart"/>
      <w:r w:rsidRPr="00291627">
        <w:rPr>
          <w:rStyle w:val="normaltextrun"/>
          <w:i/>
          <w:iCs/>
        </w:rPr>
        <w:t>horribilis</w:t>
      </w:r>
      <w:proofErr w:type="spellEnd"/>
      <w:r w:rsidRPr="00291627">
        <w:rPr>
          <w:rStyle w:val="normaltextrun"/>
          <w:i/>
          <w:iCs/>
        </w:rPr>
        <w:t>, </w:t>
      </w:r>
      <w:proofErr w:type="spellStart"/>
      <w:r w:rsidRPr="00291627">
        <w:rPr>
          <w:rStyle w:val="normaltextrun"/>
          <w:i/>
          <w:iCs/>
        </w:rPr>
        <w:t>pulvis</w:t>
      </w:r>
      <w:proofErr w:type="spellEnd"/>
      <w:r w:rsidRPr="00291627">
        <w:rPr>
          <w:rStyle w:val="normaltextrun"/>
          <w:i/>
          <w:iCs/>
        </w:rPr>
        <w:t>, vermis, </w:t>
      </w:r>
      <w:proofErr w:type="spellStart"/>
      <w:proofErr w:type="gramStart"/>
      <w:r w:rsidRPr="00291627">
        <w:rPr>
          <w:rStyle w:val="normaltextrun"/>
          <w:i/>
          <w:iCs/>
        </w:rPr>
        <w:t>caro</w:t>
      </w:r>
      <w:proofErr w:type="spellEnd"/>
      <w:proofErr w:type="gramEnd"/>
      <w:r w:rsidRPr="00291627">
        <w:rPr>
          <w:rStyle w:val="normaltextrun"/>
          <w:i/>
          <w:iCs/>
        </w:rPr>
        <w:t> </w:t>
      </w:r>
      <w:proofErr w:type="spellStart"/>
      <w:r w:rsidRPr="00291627">
        <w:rPr>
          <w:rStyle w:val="normaltextrun"/>
          <w:i/>
          <w:iCs/>
        </w:rPr>
        <w:t>vilis</w:t>
      </w:r>
      <w:proofErr w:type="spellEnd"/>
      <w:r w:rsidRPr="00291627">
        <w:rPr>
          <w:rStyle w:val="normaltextrun"/>
        </w:rPr>
        <w:t>’ (horrible to all, dust, worms, my worthless flesh). </w:t>
      </w:r>
      <w:r w:rsidRPr="00291627">
        <w:rPr>
          <w:rStyle w:val="normaltextrun"/>
          <w:vertAlign w:val="superscript"/>
        </w:rPr>
        <w:t>11</w:t>
      </w:r>
      <w:r w:rsidRPr="00291627">
        <w:rPr>
          <w:rStyle w:val="normaltextrun"/>
        </w:rPr>
        <w:t xml:space="preserve"> This depicts a casting away of his mortal remains, albeit in Latin, so with a reduced readability, but perhaps also emphasis, his status in life, that enabled him to have that tomb, and learn Latin, did not matter to the inevitable fate the visitor can see displayed before him. </w:t>
      </w:r>
      <w:r w:rsidRPr="00291627">
        <w:rPr>
          <w:rStyle w:val="eop"/>
        </w:rPr>
        <w:t> </w:t>
      </w:r>
      <w:r w:rsidRPr="00291627">
        <w:rPr>
          <w:rStyle w:val="normaltextrun"/>
        </w:rPr>
        <w:t xml:space="preserve">An acknowledgement of this within funerary texts can also be seen within wills of the time, especially in suspected Lollards. </w:t>
      </w:r>
    </w:p>
    <w:p w14:paraId="54536F96" w14:textId="77777777" w:rsidR="00291627" w:rsidRPr="00291627" w:rsidRDefault="00291627" w:rsidP="00291627">
      <w:pPr>
        <w:pStyle w:val="paragraph"/>
        <w:spacing w:before="0" w:beforeAutospacing="0" w:after="0" w:afterAutospacing="0"/>
        <w:textAlignment w:val="baseline"/>
        <w:rPr>
          <w:sz w:val="30"/>
          <w:szCs w:val="30"/>
        </w:rPr>
      </w:pPr>
    </w:p>
    <w:p w14:paraId="1FECBCC3"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eop"/>
          <w:sz w:val="18"/>
          <w:szCs w:val="18"/>
        </w:rPr>
        <w:t> </w:t>
      </w:r>
      <w:r w:rsidRPr="00291627">
        <w:rPr>
          <w:rStyle w:val="normaltextrun"/>
          <w:sz w:val="18"/>
          <w:szCs w:val="18"/>
        </w:rPr>
        <w:t>Paul Binski, </w:t>
      </w:r>
      <w:r w:rsidRPr="00291627">
        <w:rPr>
          <w:rStyle w:val="normaltextrun"/>
          <w:i/>
          <w:iCs/>
          <w:sz w:val="18"/>
          <w:szCs w:val="18"/>
        </w:rPr>
        <w:t>Medieval Death Ritual and Representation, </w:t>
      </w:r>
      <w:r w:rsidRPr="00291627">
        <w:rPr>
          <w:rStyle w:val="normaltextrun"/>
          <w:sz w:val="18"/>
          <w:szCs w:val="18"/>
        </w:rPr>
        <w:t>(British Museum Press: London, 1996). p. 55. </w:t>
      </w:r>
    </w:p>
    <w:p w14:paraId="58125490" w14:textId="77777777" w:rsidR="00291627" w:rsidRPr="00291627" w:rsidRDefault="00291627" w:rsidP="00291627">
      <w:pPr>
        <w:pStyle w:val="paragraph"/>
        <w:numPr>
          <w:ilvl w:val="0"/>
          <w:numId w:val="1"/>
        </w:numPr>
        <w:spacing w:before="0" w:beforeAutospacing="0" w:after="0" w:afterAutospacing="0"/>
        <w:textAlignment w:val="baseline"/>
        <w:rPr>
          <w:sz w:val="18"/>
          <w:szCs w:val="18"/>
        </w:rPr>
      </w:pPr>
      <w:r w:rsidRPr="00291627">
        <w:rPr>
          <w:rStyle w:val="normaltextrun"/>
          <w:sz w:val="18"/>
          <w:szCs w:val="18"/>
        </w:rPr>
        <w:t>Sophie Oosterwijk, </w:t>
      </w:r>
      <w:r w:rsidRPr="00291627">
        <w:rPr>
          <w:rStyle w:val="normaltextrun"/>
          <w:i/>
          <w:iCs/>
          <w:sz w:val="18"/>
          <w:szCs w:val="18"/>
        </w:rPr>
        <w:t>Food for Worms, Food for thought:</w:t>
      </w:r>
      <w:r w:rsidRPr="00291627">
        <w:rPr>
          <w:sz w:val="18"/>
          <w:szCs w:val="18"/>
          <w:shd w:val="clear" w:color="auto" w:fill="FFFFFF"/>
        </w:rPr>
        <w:t xml:space="preserve"> The Appearance and Interpretation of the ‘Verminous’ Cadaver in Britain and Europe’, </w:t>
      </w:r>
      <w:r w:rsidRPr="00291627">
        <w:rPr>
          <w:i/>
          <w:iCs/>
          <w:sz w:val="18"/>
          <w:szCs w:val="18"/>
          <w:shd w:val="clear" w:color="auto" w:fill="FFFFFF"/>
        </w:rPr>
        <w:t>Church Monuments</w:t>
      </w:r>
      <w:r w:rsidRPr="00291627">
        <w:rPr>
          <w:sz w:val="18"/>
          <w:szCs w:val="18"/>
          <w:shd w:val="clear" w:color="auto" w:fill="FFFFFF"/>
        </w:rPr>
        <w:t>, 20 (2005), 40-80, 133-140 [available on Moodle].</w:t>
      </w:r>
      <w:r w:rsidRPr="00291627">
        <w:rPr>
          <w:rStyle w:val="normaltextrun"/>
          <w:i/>
          <w:iCs/>
          <w:sz w:val="18"/>
          <w:szCs w:val="18"/>
        </w:rPr>
        <w:t> </w:t>
      </w:r>
      <w:r w:rsidRPr="00291627">
        <w:rPr>
          <w:rStyle w:val="eop"/>
          <w:sz w:val="18"/>
          <w:szCs w:val="18"/>
        </w:rPr>
        <w:t>p. 50.</w:t>
      </w:r>
    </w:p>
    <w:p w14:paraId="5242FC57"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Oosterwijk, </w:t>
      </w:r>
      <w:r w:rsidRPr="00291627">
        <w:rPr>
          <w:rStyle w:val="normaltextrun"/>
          <w:i/>
          <w:iCs/>
          <w:sz w:val="18"/>
          <w:szCs w:val="18"/>
        </w:rPr>
        <w:t>Food for Worms.</w:t>
      </w:r>
    </w:p>
    <w:p w14:paraId="6ED78240"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Binski, </w:t>
      </w:r>
      <w:r w:rsidRPr="00291627">
        <w:rPr>
          <w:rStyle w:val="normaltextrun"/>
          <w:i/>
          <w:iCs/>
          <w:sz w:val="18"/>
          <w:szCs w:val="18"/>
        </w:rPr>
        <w:t xml:space="preserve">Medieval Death Ritual and Representation, </w:t>
      </w:r>
      <w:r w:rsidRPr="00291627">
        <w:rPr>
          <w:rStyle w:val="normaltextrun"/>
          <w:iCs/>
          <w:sz w:val="18"/>
          <w:szCs w:val="18"/>
        </w:rPr>
        <w:t xml:space="preserve">p. 149. </w:t>
      </w:r>
    </w:p>
    <w:p w14:paraId="5CACB9A0" w14:textId="77777777" w:rsidR="00291627" w:rsidRPr="00291627" w:rsidRDefault="00291627" w:rsidP="00291627">
      <w:pPr>
        <w:pStyle w:val="paragraph"/>
        <w:numPr>
          <w:ilvl w:val="0"/>
          <w:numId w:val="1"/>
        </w:numPr>
        <w:spacing w:before="0" w:beforeAutospacing="0" w:after="0" w:afterAutospacing="0"/>
        <w:textAlignment w:val="baseline"/>
        <w:rPr>
          <w:sz w:val="18"/>
          <w:szCs w:val="18"/>
        </w:rPr>
      </w:pPr>
      <w:r w:rsidRPr="00291627">
        <w:rPr>
          <w:rStyle w:val="normaltextrun"/>
          <w:sz w:val="18"/>
          <w:szCs w:val="18"/>
        </w:rPr>
        <w:t>Caroline Walker Bynum, </w:t>
      </w:r>
      <w:r w:rsidRPr="00291627">
        <w:rPr>
          <w:rStyle w:val="normaltextrun"/>
          <w:i/>
          <w:iCs/>
          <w:sz w:val="18"/>
          <w:szCs w:val="18"/>
        </w:rPr>
        <w:t>Violent imagery in Late Medieval piety, </w:t>
      </w:r>
      <w:r w:rsidRPr="00291627">
        <w:rPr>
          <w:rStyle w:val="normaltextrun"/>
          <w:sz w:val="18"/>
          <w:szCs w:val="18"/>
        </w:rPr>
        <w:t>Fifteenth Annual Lecture of the GHI, November 8, 2001 </w:t>
      </w:r>
      <w:r w:rsidRPr="00291627">
        <w:rPr>
          <w:rStyle w:val="eop"/>
          <w:sz w:val="18"/>
          <w:szCs w:val="18"/>
        </w:rPr>
        <w:t> </w:t>
      </w:r>
    </w:p>
    <w:p w14:paraId="695A0A03"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eop"/>
          <w:sz w:val="18"/>
          <w:szCs w:val="18"/>
        </w:rPr>
      </w:pPr>
      <w:r w:rsidRPr="00291627">
        <w:rPr>
          <w:rStyle w:val="normaltextrun"/>
          <w:sz w:val="18"/>
          <w:szCs w:val="18"/>
        </w:rPr>
        <w:t>Christopher Daniels, </w:t>
      </w:r>
      <w:r w:rsidRPr="00291627">
        <w:rPr>
          <w:rStyle w:val="normaltextrun"/>
          <w:i/>
          <w:iCs/>
          <w:sz w:val="18"/>
          <w:szCs w:val="18"/>
        </w:rPr>
        <w:t>Death and Burial in. Medieval England 1066-1550</w:t>
      </w:r>
      <w:r w:rsidRPr="00291627">
        <w:rPr>
          <w:rStyle w:val="eop"/>
          <w:sz w:val="18"/>
          <w:szCs w:val="18"/>
        </w:rPr>
        <w:t xml:space="preserve">, (London, 1997) p. 69. </w:t>
      </w:r>
    </w:p>
    <w:p w14:paraId="3E3EFB98"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Daniels, </w:t>
      </w:r>
      <w:r w:rsidRPr="00291627">
        <w:rPr>
          <w:rStyle w:val="normaltextrun"/>
          <w:i/>
          <w:iCs/>
          <w:sz w:val="18"/>
          <w:szCs w:val="18"/>
        </w:rPr>
        <w:t xml:space="preserve">Death and Burial in. Medieval England, </w:t>
      </w:r>
      <w:r w:rsidRPr="00291627">
        <w:rPr>
          <w:rStyle w:val="normaltextrun"/>
          <w:iCs/>
          <w:sz w:val="18"/>
          <w:szCs w:val="18"/>
        </w:rPr>
        <w:t>pp. 184-5.</w:t>
      </w:r>
      <w:r w:rsidRPr="00291627">
        <w:rPr>
          <w:rStyle w:val="normaltextrun"/>
          <w:i/>
          <w:iCs/>
          <w:sz w:val="18"/>
          <w:szCs w:val="18"/>
        </w:rPr>
        <w:t xml:space="preserve"> </w:t>
      </w:r>
    </w:p>
    <w:p w14:paraId="1146BC48"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Binski, </w:t>
      </w:r>
      <w:r w:rsidRPr="00291627">
        <w:rPr>
          <w:rStyle w:val="normaltextrun"/>
          <w:i/>
          <w:iCs/>
          <w:sz w:val="18"/>
          <w:szCs w:val="18"/>
        </w:rPr>
        <w:t xml:space="preserve">Medieval Death Ritual and Representation, </w:t>
      </w:r>
      <w:r w:rsidRPr="00291627">
        <w:rPr>
          <w:rStyle w:val="normaltextrun"/>
          <w:iCs/>
          <w:sz w:val="18"/>
          <w:szCs w:val="18"/>
        </w:rPr>
        <w:t>p. 147.</w:t>
      </w:r>
    </w:p>
    <w:p w14:paraId="61B1C343" w14:textId="77777777" w:rsidR="00291627" w:rsidRPr="00291627" w:rsidRDefault="00291627" w:rsidP="00291627">
      <w:pPr>
        <w:pStyle w:val="paragraph"/>
        <w:numPr>
          <w:ilvl w:val="0"/>
          <w:numId w:val="1"/>
        </w:numPr>
        <w:spacing w:before="0" w:beforeAutospacing="0" w:after="0" w:afterAutospacing="0"/>
        <w:ind w:left="360" w:firstLine="0"/>
        <w:textAlignment w:val="baseline"/>
        <w:rPr>
          <w:sz w:val="18"/>
          <w:szCs w:val="18"/>
        </w:rPr>
      </w:pPr>
      <w:r w:rsidRPr="00291627">
        <w:rPr>
          <w:rStyle w:val="normaltextrun"/>
          <w:sz w:val="18"/>
          <w:szCs w:val="18"/>
        </w:rPr>
        <w:t>Kathleen Cohen, </w:t>
      </w:r>
      <w:r w:rsidRPr="00291627">
        <w:rPr>
          <w:rStyle w:val="normaltextrun"/>
          <w:i/>
          <w:iCs/>
          <w:sz w:val="18"/>
          <w:szCs w:val="18"/>
        </w:rPr>
        <w:t xml:space="preserve">Metamorphosis of a Death Symbol: The Transi Tomb in the Late Middle Ages and the Renaissance, </w:t>
      </w:r>
      <w:r w:rsidRPr="00291627">
        <w:rPr>
          <w:sz w:val="18"/>
          <w:szCs w:val="18"/>
          <w:shd w:val="clear" w:color="auto" w:fill="FFFFFF"/>
        </w:rPr>
        <w:t>(Berkeley, Los Angeles and London: The University of California Press, 1973</w:t>
      </w:r>
      <w:proofErr w:type="gramStart"/>
      <w:r w:rsidRPr="00291627">
        <w:rPr>
          <w:sz w:val="18"/>
          <w:szCs w:val="18"/>
          <w:shd w:val="clear" w:color="auto" w:fill="FFFFFF"/>
        </w:rPr>
        <w:t>)</w:t>
      </w:r>
      <w:r w:rsidRPr="00291627">
        <w:rPr>
          <w:rStyle w:val="normaltextrun"/>
          <w:i/>
          <w:iCs/>
          <w:sz w:val="18"/>
          <w:szCs w:val="18"/>
        </w:rPr>
        <w:t xml:space="preserve">  </w:t>
      </w:r>
      <w:r w:rsidRPr="00291627">
        <w:rPr>
          <w:rStyle w:val="normaltextrun"/>
          <w:iCs/>
          <w:sz w:val="18"/>
          <w:szCs w:val="18"/>
        </w:rPr>
        <w:t>p</w:t>
      </w:r>
      <w:proofErr w:type="gramEnd"/>
      <w:r w:rsidRPr="00291627">
        <w:rPr>
          <w:rStyle w:val="normaltextrun"/>
          <w:iCs/>
          <w:sz w:val="18"/>
          <w:szCs w:val="18"/>
        </w:rPr>
        <w:t>. 32.</w:t>
      </w:r>
      <w:r w:rsidRPr="00291627">
        <w:rPr>
          <w:rStyle w:val="normaltextrun"/>
          <w:i/>
          <w:iCs/>
          <w:sz w:val="18"/>
          <w:szCs w:val="18"/>
        </w:rPr>
        <w:t> </w:t>
      </w:r>
      <w:r w:rsidRPr="00291627">
        <w:rPr>
          <w:rStyle w:val="eop"/>
          <w:sz w:val="18"/>
          <w:szCs w:val="18"/>
        </w:rPr>
        <w:t> </w:t>
      </w:r>
    </w:p>
    <w:p w14:paraId="7B9CC883"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Daniels, </w:t>
      </w:r>
      <w:r w:rsidRPr="00291627">
        <w:rPr>
          <w:rStyle w:val="normaltextrun"/>
          <w:i/>
          <w:iCs/>
          <w:sz w:val="18"/>
          <w:szCs w:val="18"/>
        </w:rPr>
        <w:t xml:space="preserve">Death and Burial in. Medieval England, </w:t>
      </w:r>
      <w:r w:rsidRPr="00291627">
        <w:rPr>
          <w:rStyle w:val="normaltextrun"/>
          <w:iCs/>
          <w:sz w:val="18"/>
          <w:szCs w:val="18"/>
        </w:rPr>
        <w:t>p. 69. .</w:t>
      </w:r>
      <w:r w:rsidRPr="00291627">
        <w:rPr>
          <w:rStyle w:val="normaltextrun"/>
          <w:i/>
          <w:iCs/>
          <w:sz w:val="18"/>
          <w:szCs w:val="18"/>
        </w:rPr>
        <w:t xml:space="preserve"> </w:t>
      </w:r>
    </w:p>
    <w:p w14:paraId="48C54E5D"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Oosterwijk, </w:t>
      </w:r>
      <w:r w:rsidRPr="00291627">
        <w:rPr>
          <w:rStyle w:val="normaltextrun"/>
          <w:i/>
          <w:iCs/>
          <w:sz w:val="18"/>
          <w:szCs w:val="18"/>
        </w:rPr>
        <w:t xml:space="preserve">Food for Worms, </w:t>
      </w:r>
      <w:r w:rsidRPr="00291627">
        <w:rPr>
          <w:rStyle w:val="normaltextrun"/>
          <w:iCs/>
          <w:sz w:val="18"/>
          <w:szCs w:val="18"/>
        </w:rPr>
        <w:t>p. 44</w:t>
      </w:r>
    </w:p>
    <w:p w14:paraId="545C1A87" w14:textId="77777777" w:rsidR="00291627" w:rsidRPr="00291627" w:rsidRDefault="00291627" w:rsidP="00291627">
      <w:pPr>
        <w:pStyle w:val="paragraph"/>
        <w:spacing w:before="0" w:beforeAutospacing="0" w:after="0" w:afterAutospacing="0"/>
        <w:textAlignment w:val="baseline"/>
        <w:rPr>
          <w:sz w:val="30"/>
          <w:szCs w:val="30"/>
        </w:rPr>
      </w:pPr>
    </w:p>
    <w:p w14:paraId="6C729797" w14:textId="77777777" w:rsidR="00291627" w:rsidRPr="00291627" w:rsidRDefault="00291627" w:rsidP="00291627">
      <w:pPr>
        <w:pStyle w:val="paragraph"/>
        <w:spacing w:before="0" w:beforeAutospacing="0" w:after="0" w:afterAutospacing="0"/>
        <w:textAlignment w:val="baseline"/>
        <w:rPr>
          <w:sz w:val="30"/>
          <w:szCs w:val="30"/>
        </w:rPr>
      </w:pPr>
    </w:p>
    <w:p w14:paraId="032E60F0" w14:textId="77777777" w:rsidR="00291627" w:rsidRPr="00291627" w:rsidRDefault="00291627" w:rsidP="00291627">
      <w:pPr>
        <w:pStyle w:val="paragraph"/>
        <w:spacing w:before="0" w:beforeAutospacing="0" w:after="0" w:afterAutospacing="0"/>
        <w:textAlignment w:val="baseline"/>
        <w:rPr>
          <w:sz w:val="30"/>
          <w:szCs w:val="30"/>
        </w:rPr>
      </w:pPr>
    </w:p>
    <w:p w14:paraId="25498C04" w14:textId="77777777" w:rsidR="00291627" w:rsidRPr="00291627" w:rsidRDefault="00291627" w:rsidP="00291627">
      <w:pPr>
        <w:pStyle w:val="paragraph"/>
        <w:spacing w:before="0" w:beforeAutospacing="0" w:after="0" w:afterAutospacing="0"/>
        <w:textAlignment w:val="baseline"/>
      </w:pPr>
      <w:r w:rsidRPr="00291627">
        <w:rPr>
          <w:rStyle w:val="eop"/>
        </w:rPr>
        <w:lastRenderedPageBreak/>
        <w:t> </w:t>
      </w:r>
      <w:r w:rsidRPr="00291627">
        <w:rPr>
          <w:rStyle w:val="normaltextrun"/>
        </w:rPr>
        <w:t>They emphasised the same characteristics of the cadaver tombs, like Philip Repton, Lollard and Bishop of Lincoln, leaving his ‘putrid body to be food for worms.’  </w:t>
      </w:r>
      <w:r w:rsidRPr="00291627">
        <w:rPr>
          <w:rStyle w:val="normaltextrun"/>
          <w:vertAlign w:val="superscript"/>
        </w:rPr>
        <w:t>12</w:t>
      </w:r>
      <w:r w:rsidRPr="00291627">
        <w:rPr>
          <w:rStyle w:val="eop"/>
        </w:rPr>
        <w:t xml:space="preserve"> </w:t>
      </w:r>
      <w:r w:rsidRPr="00291627">
        <w:rPr>
          <w:rStyle w:val="normaltextrun"/>
        </w:rPr>
        <w:t>This interesting use allows for the imagery of the transi tomb to be depicted without an expensive, privileged position tomb, but still on a public spectrum, as wills were read publicly. It develops the behaviour of people leaving their souls to God within their wills. </w:t>
      </w:r>
      <w:r w:rsidRPr="00291627">
        <w:rPr>
          <w:rStyle w:val="eop"/>
        </w:rPr>
        <w:t> </w:t>
      </w:r>
    </w:p>
    <w:p w14:paraId="118D2B1B" w14:textId="77777777" w:rsidR="00291627" w:rsidRPr="00291627" w:rsidRDefault="00291627" w:rsidP="00291627">
      <w:pPr>
        <w:pStyle w:val="paragraph"/>
        <w:spacing w:before="0" w:beforeAutospacing="0" w:after="0" w:afterAutospacing="0"/>
        <w:textAlignment w:val="baseline"/>
        <w:rPr>
          <w:sz w:val="30"/>
          <w:szCs w:val="30"/>
        </w:rPr>
      </w:pPr>
      <w:r w:rsidRPr="00291627">
        <w:rPr>
          <w:rStyle w:val="eop"/>
        </w:rPr>
        <w:t> </w:t>
      </w:r>
    </w:p>
    <w:p w14:paraId="6FBB7762" w14:textId="77777777" w:rsidR="00291627" w:rsidRPr="00291627" w:rsidRDefault="00291627" w:rsidP="00291627">
      <w:pPr>
        <w:pStyle w:val="paragraph"/>
        <w:spacing w:before="0" w:beforeAutospacing="0" w:after="0" w:afterAutospacing="0"/>
        <w:textAlignment w:val="baseline"/>
        <w:rPr>
          <w:rStyle w:val="eop"/>
        </w:rPr>
      </w:pPr>
      <w:r w:rsidRPr="00291627">
        <w:rPr>
          <w:rStyle w:val="normaltextrun"/>
        </w:rPr>
        <w:t>There is a history within literature leading back to the 12</w:t>
      </w:r>
      <w:r w:rsidRPr="00291627">
        <w:rPr>
          <w:rStyle w:val="normaltextrun"/>
          <w:sz w:val="19"/>
          <w:szCs w:val="19"/>
          <w:vertAlign w:val="superscript"/>
        </w:rPr>
        <w:t>th</w:t>
      </w:r>
      <w:r w:rsidRPr="00291627">
        <w:rPr>
          <w:rStyle w:val="normaltextrun"/>
        </w:rPr>
        <w:t> century, before its popularity in the 14</w:t>
      </w:r>
      <w:r w:rsidRPr="00291627">
        <w:rPr>
          <w:rStyle w:val="normaltextrun"/>
          <w:sz w:val="19"/>
          <w:szCs w:val="19"/>
          <w:vertAlign w:val="superscript"/>
        </w:rPr>
        <w:t>th</w:t>
      </w:r>
      <w:r w:rsidRPr="00291627">
        <w:rPr>
          <w:rStyle w:val="normaltextrun"/>
        </w:rPr>
        <w:t> and 15</w:t>
      </w:r>
      <w:r w:rsidRPr="00291627">
        <w:rPr>
          <w:rStyle w:val="normaltextrun"/>
          <w:sz w:val="19"/>
          <w:szCs w:val="19"/>
          <w:vertAlign w:val="superscript"/>
        </w:rPr>
        <w:t>th</w:t>
      </w:r>
      <w:r w:rsidRPr="00291627">
        <w:rPr>
          <w:rStyle w:val="normaltextrun"/>
        </w:rPr>
        <w:t> centuries.</w:t>
      </w:r>
      <w:r w:rsidRPr="00291627">
        <w:rPr>
          <w:rStyle w:val="normaltextrun"/>
          <w:vertAlign w:val="superscript"/>
        </w:rPr>
        <w:t xml:space="preserve">13 </w:t>
      </w:r>
      <w:proofErr w:type="gramStart"/>
      <w:r w:rsidRPr="00291627">
        <w:rPr>
          <w:rStyle w:val="normaltextrun"/>
        </w:rPr>
        <w:t>This</w:t>
      </w:r>
      <w:proofErr w:type="gramEnd"/>
      <w:r w:rsidRPr="00291627">
        <w:rPr>
          <w:rStyle w:val="normaltextrun"/>
        </w:rPr>
        <w:t xml:space="preserve"> is both in debate poems and sermons. The debate poem between the body and soul amongst others, often mentioning worms and decomposition, and an emphasis on ‘the humble nature of man’s last abode, the signs of corruption, and worms feasting on the body.’</w:t>
      </w:r>
      <w:r w:rsidRPr="00291627">
        <w:rPr>
          <w:rStyle w:val="normaltextrun"/>
          <w:vertAlign w:val="superscript"/>
        </w:rPr>
        <w:t>14</w:t>
      </w:r>
      <w:r w:rsidRPr="00291627">
        <w:rPr>
          <w:rStyle w:val="normaltextrun"/>
        </w:rPr>
        <w:t> In preachers' sermons, it was encouraged to contemplate over remains to encourage humility. A sermon that the imagery of the transi tomb can be seen clearly in was by a 14</w:t>
      </w:r>
      <w:r w:rsidRPr="00291627">
        <w:rPr>
          <w:rStyle w:val="normaltextrun"/>
          <w:sz w:val="19"/>
          <w:szCs w:val="19"/>
          <w:vertAlign w:val="superscript"/>
        </w:rPr>
        <w:t>th</w:t>
      </w:r>
      <w:r w:rsidRPr="00291627">
        <w:rPr>
          <w:rStyle w:val="normaltextrun"/>
        </w:rPr>
        <w:t> century German monk at </w:t>
      </w:r>
      <w:proofErr w:type="spellStart"/>
      <w:r w:rsidRPr="00291627">
        <w:rPr>
          <w:rStyle w:val="normaltextrun"/>
        </w:rPr>
        <w:t>Regisnburg</w:t>
      </w:r>
      <w:proofErr w:type="spellEnd"/>
      <w:r w:rsidRPr="00291627">
        <w:rPr>
          <w:rStyle w:val="normaltextrun"/>
        </w:rPr>
        <w:t>, where he compared ‘the splendour of life ‘the horrible image of death, with diverse worms, with toads on the head and snakes in the ears, eyes and nose’</w:t>
      </w:r>
      <w:r w:rsidRPr="00291627">
        <w:rPr>
          <w:rStyle w:val="normaltextrun"/>
          <w:vertAlign w:val="superscript"/>
        </w:rPr>
        <w:t>15</w:t>
      </w:r>
      <w:r w:rsidRPr="00291627">
        <w:rPr>
          <w:rStyle w:val="normaltextrun"/>
        </w:rPr>
        <w:t>.</w:t>
      </w:r>
      <w:r w:rsidRPr="00291627">
        <w:rPr>
          <w:rStyle w:val="normaltextrun"/>
          <w:vertAlign w:val="superscript"/>
        </w:rPr>
        <w:t xml:space="preserve">  </w:t>
      </w:r>
      <w:r w:rsidRPr="00291627">
        <w:rPr>
          <w:rStyle w:val="normaltextrun"/>
        </w:rPr>
        <w:t>John Mirk gave advice to parish priests in the </w:t>
      </w:r>
      <w:proofErr w:type="spellStart"/>
      <w:r w:rsidRPr="00291627">
        <w:rPr>
          <w:rStyle w:val="normaltextrun"/>
          <w:i/>
          <w:iCs/>
        </w:rPr>
        <w:t>Festial</w:t>
      </w:r>
      <w:proofErr w:type="spellEnd"/>
      <w:r w:rsidRPr="00291627">
        <w:rPr>
          <w:rStyle w:val="normaltextrun"/>
        </w:rPr>
        <w:t xml:space="preserve">, to get people to contemplate over human bones for humility. </w:t>
      </w:r>
      <w:r w:rsidRPr="00291627">
        <w:rPr>
          <w:rStyle w:val="normaltextrun"/>
          <w:vertAlign w:val="superscript"/>
        </w:rPr>
        <w:t xml:space="preserve">16 </w:t>
      </w:r>
      <w:r w:rsidRPr="00291627">
        <w:rPr>
          <w:rStyle w:val="normaltextrun"/>
        </w:rPr>
        <w:t>A wonderful example of worms in secular literature is the poem of ‘A </w:t>
      </w:r>
      <w:proofErr w:type="spellStart"/>
      <w:r w:rsidRPr="00291627">
        <w:rPr>
          <w:rStyle w:val="normaltextrun"/>
        </w:rPr>
        <w:t>Disputacioun</w:t>
      </w:r>
      <w:proofErr w:type="spellEnd"/>
      <w:r w:rsidRPr="00291627">
        <w:rPr>
          <w:rStyle w:val="normaltextrun"/>
        </w:rPr>
        <w:t> </w:t>
      </w:r>
      <w:proofErr w:type="spellStart"/>
      <w:r w:rsidRPr="00291627">
        <w:rPr>
          <w:rStyle w:val="normaltextrun"/>
        </w:rPr>
        <w:t>Betwyx</w:t>
      </w:r>
      <w:proofErr w:type="spellEnd"/>
      <w:r w:rsidRPr="00291627">
        <w:rPr>
          <w:rStyle w:val="normaltextrun"/>
        </w:rPr>
        <w:t> </w:t>
      </w:r>
      <w:proofErr w:type="spellStart"/>
      <w:r w:rsidRPr="00291627">
        <w:rPr>
          <w:rStyle w:val="normaltextrun"/>
        </w:rPr>
        <w:t>þe</w:t>
      </w:r>
      <w:proofErr w:type="spellEnd"/>
      <w:r w:rsidRPr="00291627">
        <w:rPr>
          <w:rStyle w:val="normaltextrun"/>
        </w:rPr>
        <w:t> Body and </w:t>
      </w:r>
      <w:proofErr w:type="spellStart"/>
      <w:r w:rsidRPr="00291627">
        <w:rPr>
          <w:rStyle w:val="normaltextrun"/>
        </w:rPr>
        <w:t>Wormes</w:t>
      </w:r>
      <w:proofErr w:type="spellEnd"/>
      <w:r w:rsidRPr="00291627">
        <w:rPr>
          <w:rStyle w:val="normaltextrun"/>
        </w:rPr>
        <w:t xml:space="preserve">’ </w:t>
      </w:r>
      <w:r w:rsidRPr="00291627">
        <w:rPr>
          <w:rStyle w:val="normaltextrun"/>
          <w:vertAlign w:val="superscript"/>
        </w:rPr>
        <w:t>17</w:t>
      </w:r>
      <w:r w:rsidRPr="00291627">
        <w:rPr>
          <w:rStyle w:val="normaltextrun"/>
        </w:rPr>
        <w:t xml:space="preserve">It evolved from the style of body and soul debate, which concerned the decay of the body, the effects of sinning and the afterlife. The poet claims inspiration from visiting a tomb, so it is a combination of the physical and the unseen. </w:t>
      </w:r>
      <w:r w:rsidRPr="00291627">
        <w:rPr>
          <w:rStyle w:val="normaltextrun"/>
          <w:vertAlign w:val="superscript"/>
        </w:rPr>
        <w:t xml:space="preserve">19 </w:t>
      </w:r>
      <w:r w:rsidRPr="00291627">
        <w:rPr>
          <w:rStyle w:val="normaltextrun"/>
        </w:rPr>
        <w:t>A young woman refuses to accept she is dead, and therefore argues with the worms eating her. Eventually, she resolves herself to them, even calling them her friends, and ends with the promise of resurrection. </w:t>
      </w:r>
      <w:r w:rsidRPr="00291627">
        <w:rPr>
          <w:rStyle w:val="eop"/>
        </w:rPr>
        <w:t> </w:t>
      </w:r>
    </w:p>
    <w:p w14:paraId="05DFDCDF" w14:textId="77777777" w:rsidR="00291627" w:rsidRPr="00291627" w:rsidRDefault="00291627" w:rsidP="00291627">
      <w:pPr>
        <w:pStyle w:val="paragraph"/>
        <w:spacing w:before="0" w:beforeAutospacing="0" w:after="0" w:afterAutospacing="0"/>
        <w:textAlignment w:val="baseline"/>
        <w:rPr>
          <w:sz w:val="30"/>
          <w:szCs w:val="30"/>
        </w:rPr>
      </w:pPr>
    </w:p>
    <w:p w14:paraId="78290AA2" w14:textId="77777777" w:rsidR="00291627" w:rsidRPr="00291627" w:rsidRDefault="00291627" w:rsidP="00291627">
      <w:pPr>
        <w:pStyle w:val="paragraph"/>
        <w:spacing w:before="0" w:beforeAutospacing="0" w:after="0" w:afterAutospacing="0"/>
        <w:textAlignment w:val="baseline"/>
        <w:rPr>
          <w:sz w:val="30"/>
          <w:szCs w:val="30"/>
        </w:rPr>
      </w:pPr>
      <w:r w:rsidRPr="00291627">
        <w:rPr>
          <w:rStyle w:val="normaltextrun"/>
        </w:rPr>
        <w:t>Whether in literature, funerary monuments, wills, or sermons, the worm was often a key component of </w:t>
      </w:r>
      <w:r w:rsidRPr="00291627">
        <w:rPr>
          <w:rStyle w:val="normaltextrun"/>
          <w:i/>
          <w:iCs/>
        </w:rPr>
        <w:t>memento mori</w:t>
      </w:r>
      <w:r w:rsidRPr="00291627">
        <w:rPr>
          <w:rStyle w:val="normaltextrun"/>
        </w:rPr>
        <w:t>. They portrayed a clear image of decomposition, posing thoughts to the viewer of their eventual death, and developing into thoughts of mortality, the condition of the soul, and the afterlife. As Paul Binski said of transi- tombs, ‘by its means, time is reinserted into the order of the dead’.</w:t>
      </w:r>
      <w:r w:rsidRPr="00291627">
        <w:rPr>
          <w:rStyle w:val="normaltextrun"/>
          <w:vertAlign w:val="superscript"/>
        </w:rPr>
        <w:t xml:space="preserve">20 </w:t>
      </w:r>
      <w:r w:rsidRPr="00291627">
        <w:rPr>
          <w:rStyle w:val="normaltextrun"/>
        </w:rPr>
        <w:t xml:space="preserve"> Worms were a huge part of this, never allowing the audience to forget their inevitable presence, and forcing them to think of their fate, as food for worms. </w:t>
      </w:r>
      <w:r w:rsidRPr="00291627">
        <w:rPr>
          <w:rStyle w:val="eop"/>
        </w:rPr>
        <w:t> </w:t>
      </w:r>
    </w:p>
    <w:p w14:paraId="5989EED2" w14:textId="77777777" w:rsidR="00291627" w:rsidRPr="00291627" w:rsidRDefault="00291627" w:rsidP="00291627">
      <w:pPr>
        <w:pStyle w:val="paragraph"/>
        <w:spacing w:before="0" w:beforeAutospacing="0" w:after="0" w:afterAutospacing="0"/>
        <w:jc w:val="both"/>
        <w:textAlignment w:val="baseline"/>
        <w:rPr>
          <w:sz w:val="30"/>
          <w:szCs w:val="30"/>
        </w:rPr>
      </w:pPr>
      <w:r w:rsidRPr="00291627">
        <w:rPr>
          <w:rStyle w:val="eop"/>
        </w:rPr>
        <w:t> </w:t>
      </w:r>
    </w:p>
    <w:p w14:paraId="1B9BE5CD" w14:textId="77777777" w:rsidR="00291627" w:rsidRPr="00291627" w:rsidRDefault="00291627" w:rsidP="00291627">
      <w:pPr>
        <w:pStyle w:val="paragraph"/>
        <w:spacing w:before="0" w:beforeAutospacing="0" w:after="0" w:afterAutospacing="0"/>
        <w:jc w:val="both"/>
        <w:textAlignment w:val="baseline"/>
        <w:rPr>
          <w:sz w:val="30"/>
          <w:szCs w:val="30"/>
        </w:rPr>
      </w:pPr>
      <w:r w:rsidRPr="00291627">
        <w:rPr>
          <w:rStyle w:val="eop"/>
        </w:rPr>
        <w:t> </w:t>
      </w:r>
    </w:p>
    <w:p w14:paraId="46CBB872" w14:textId="77777777" w:rsidR="00291627" w:rsidRPr="00291627" w:rsidRDefault="00291627" w:rsidP="00291627">
      <w:pPr>
        <w:pStyle w:val="paragraph"/>
        <w:spacing w:before="0" w:beforeAutospacing="0" w:after="0" w:afterAutospacing="0"/>
        <w:jc w:val="center"/>
        <w:textAlignment w:val="baseline"/>
        <w:rPr>
          <w:sz w:val="18"/>
          <w:szCs w:val="18"/>
        </w:rPr>
      </w:pPr>
      <w:r w:rsidRPr="00291627">
        <w:rPr>
          <w:rStyle w:val="eop"/>
          <w:sz w:val="18"/>
          <w:szCs w:val="18"/>
        </w:rPr>
        <w:t> </w:t>
      </w:r>
    </w:p>
    <w:p w14:paraId="106FD87D"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Oosterwijk, </w:t>
      </w:r>
      <w:r w:rsidRPr="00291627">
        <w:rPr>
          <w:rStyle w:val="normaltextrun"/>
          <w:i/>
          <w:iCs/>
          <w:sz w:val="18"/>
          <w:szCs w:val="18"/>
        </w:rPr>
        <w:t xml:space="preserve">Food for Worms, </w:t>
      </w:r>
      <w:r w:rsidRPr="00291627">
        <w:rPr>
          <w:rStyle w:val="normaltextrun"/>
          <w:iCs/>
          <w:sz w:val="18"/>
          <w:szCs w:val="18"/>
        </w:rPr>
        <w:t>p. 46</w:t>
      </w:r>
    </w:p>
    <w:p w14:paraId="2DD0FC8B"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Binski, </w:t>
      </w:r>
      <w:r w:rsidRPr="00291627">
        <w:rPr>
          <w:rStyle w:val="normaltextrun"/>
          <w:i/>
          <w:iCs/>
          <w:sz w:val="18"/>
          <w:szCs w:val="18"/>
        </w:rPr>
        <w:t xml:space="preserve">Medieval Death Ritual and Representation, </w:t>
      </w:r>
      <w:r w:rsidRPr="00291627">
        <w:rPr>
          <w:rStyle w:val="normaltextrun"/>
          <w:iCs/>
          <w:sz w:val="18"/>
          <w:szCs w:val="18"/>
        </w:rPr>
        <w:t>p. 146.</w:t>
      </w:r>
    </w:p>
    <w:p w14:paraId="45751EC3"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Cohen, </w:t>
      </w:r>
      <w:r w:rsidRPr="00291627">
        <w:rPr>
          <w:rStyle w:val="normaltextrun"/>
          <w:i/>
          <w:iCs/>
          <w:sz w:val="18"/>
          <w:szCs w:val="18"/>
        </w:rPr>
        <w:t xml:space="preserve">Metamorphosis of a Death Symbol, p. 26 </w:t>
      </w:r>
      <w:r w:rsidRPr="00291627">
        <w:rPr>
          <w:rStyle w:val="normaltextrun"/>
          <w:iCs/>
          <w:sz w:val="18"/>
          <w:szCs w:val="18"/>
        </w:rPr>
        <w:t xml:space="preserve">and </w:t>
      </w:r>
      <w:r w:rsidRPr="00291627">
        <w:rPr>
          <w:rStyle w:val="normaltextrun"/>
          <w:sz w:val="18"/>
          <w:szCs w:val="18"/>
        </w:rPr>
        <w:t>Oosterwijk, </w:t>
      </w:r>
      <w:r w:rsidRPr="00291627">
        <w:rPr>
          <w:rStyle w:val="normaltextrun"/>
          <w:i/>
          <w:iCs/>
          <w:sz w:val="18"/>
          <w:szCs w:val="18"/>
        </w:rPr>
        <w:t>Food for Worms,</w:t>
      </w:r>
      <w:r w:rsidRPr="00291627">
        <w:rPr>
          <w:rStyle w:val="normaltextrun"/>
          <w:iCs/>
          <w:sz w:val="18"/>
          <w:szCs w:val="18"/>
        </w:rPr>
        <w:t xml:space="preserve"> p. 44</w:t>
      </w:r>
    </w:p>
    <w:p w14:paraId="3929F682"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Cohen, </w:t>
      </w:r>
      <w:r w:rsidRPr="00291627">
        <w:rPr>
          <w:rStyle w:val="normaltextrun"/>
          <w:i/>
          <w:iCs/>
          <w:sz w:val="18"/>
          <w:szCs w:val="18"/>
        </w:rPr>
        <w:t>Metamorphosis of a Death Symbol,</w:t>
      </w:r>
      <w:r w:rsidRPr="00291627">
        <w:rPr>
          <w:rStyle w:val="normaltextrun"/>
          <w:iCs/>
          <w:sz w:val="18"/>
          <w:szCs w:val="18"/>
        </w:rPr>
        <w:t xml:space="preserve"> p. 31.</w:t>
      </w:r>
    </w:p>
    <w:p w14:paraId="19E2A0A3" w14:textId="77777777" w:rsidR="00291627" w:rsidRPr="00291627" w:rsidRDefault="00291627" w:rsidP="00291627">
      <w:pPr>
        <w:pStyle w:val="paragraph"/>
        <w:numPr>
          <w:ilvl w:val="0"/>
          <w:numId w:val="1"/>
        </w:numPr>
        <w:spacing w:before="0" w:beforeAutospacing="0" w:after="0" w:afterAutospacing="0"/>
        <w:ind w:left="360" w:firstLine="0"/>
        <w:textAlignment w:val="baseline"/>
        <w:rPr>
          <w:rStyle w:val="normaltextrun"/>
          <w:sz w:val="18"/>
          <w:szCs w:val="18"/>
        </w:rPr>
      </w:pPr>
      <w:r w:rsidRPr="00291627">
        <w:rPr>
          <w:rStyle w:val="normaltextrun"/>
          <w:sz w:val="18"/>
          <w:szCs w:val="18"/>
        </w:rPr>
        <w:t>Binski, </w:t>
      </w:r>
      <w:r w:rsidRPr="00291627">
        <w:rPr>
          <w:rStyle w:val="normaltextrun"/>
          <w:i/>
          <w:iCs/>
          <w:sz w:val="18"/>
          <w:szCs w:val="18"/>
        </w:rPr>
        <w:t xml:space="preserve">Medieval Death Ritual and Representation, </w:t>
      </w:r>
      <w:r w:rsidRPr="00291627">
        <w:rPr>
          <w:rStyle w:val="normaltextrun"/>
          <w:iCs/>
          <w:sz w:val="18"/>
          <w:szCs w:val="18"/>
        </w:rPr>
        <w:t>p. 146.</w:t>
      </w:r>
    </w:p>
    <w:p w14:paraId="263944AA" w14:textId="77777777" w:rsidR="00291627" w:rsidRPr="00291627" w:rsidRDefault="00291627" w:rsidP="00291627">
      <w:pPr>
        <w:pStyle w:val="paragraph"/>
        <w:numPr>
          <w:ilvl w:val="0"/>
          <w:numId w:val="1"/>
        </w:numPr>
        <w:spacing w:before="0" w:beforeAutospacing="0" w:after="0" w:afterAutospacing="0"/>
        <w:textAlignment w:val="baseline"/>
        <w:rPr>
          <w:sz w:val="18"/>
          <w:szCs w:val="18"/>
        </w:rPr>
      </w:pPr>
      <w:r w:rsidRPr="00291627">
        <w:rPr>
          <w:rStyle w:val="normaltextrun"/>
          <w:sz w:val="18"/>
          <w:szCs w:val="18"/>
        </w:rPr>
        <w:t>Jenny Rebecca </w:t>
      </w:r>
      <w:proofErr w:type="spellStart"/>
      <w:r w:rsidRPr="00291627">
        <w:rPr>
          <w:rStyle w:val="normaltextrun"/>
          <w:sz w:val="18"/>
          <w:szCs w:val="18"/>
        </w:rPr>
        <w:t>Rytting</w:t>
      </w:r>
      <w:proofErr w:type="spellEnd"/>
      <w:r w:rsidRPr="00291627">
        <w:rPr>
          <w:rStyle w:val="normaltextrun"/>
          <w:sz w:val="18"/>
          <w:szCs w:val="18"/>
        </w:rPr>
        <w:t>, </w:t>
      </w:r>
      <w:r w:rsidRPr="00291627">
        <w:rPr>
          <w:rStyle w:val="normaltextrun"/>
          <w:i/>
          <w:iCs/>
          <w:sz w:val="18"/>
          <w:szCs w:val="18"/>
        </w:rPr>
        <w:t>A </w:t>
      </w:r>
      <w:proofErr w:type="spellStart"/>
      <w:r w:rsidRPr="00291627">
        <w:rPr>
          <w:rStyle w:val="normaltextrun"/>
          <w:i/>
          <w:iCs/>
          <w:sz w:val="18"/>
          <w:szCs w:val="18"/>
        </w:rPr>
        <w:t>Disputacioun</w:t>
      </w:r>
      <w:proofErr w:type="spellEnd"/>
      <w:r w:rsidRPr="00291627">
        <w:rPr>
          <w:rStyle w:val="normaltextrun"/>
          <w:i/>
          <w:iCs/>
          <w:sz w:val="18"/>
          <w:szCs w:val="18"/>
        </w:rPr>
        <w:t> </w:t>
      </w:r>
      <w:proofErr w:type="spellStart"/>
      <w:r w:rsidRPr="00291627">
        <w:rPr>
          <w:rStyle w:val="normaltextrun"/>
          <w:i/>
          <w:iCs/>
          <w:sz w:val="18"/>
          <w:szCs w:val="18"/>
        </w:rPr>
        <w:t>Betwyx</w:t>
      </w:r>
      <w:proofErr w:type="spellEnd"/>
      <w:r w:rsidRPr="00291627">
        <w:rPr>
          <w:rStyle w:val="normaltextrun"/>
          <w:i/>
          <w:iCs/>
          <w:sz w:val="18"/>
          <w:szCs w:val="18"/>
        </w:rPr>
        <w:t> </w:t>
      </w:r>
      <w:proofErr w:type="spellStart"/>
      <w:r w:rsidRPr="00291627">
        <w:rPr>
          <w:rStyle w:val="normaltextrun"/>
          <w:i/>
          <w:iCs/>
          <w:sz w:val="18"/>
          <w:szCs w:val="18"/>
        </w:rPr>
        <w:t>þe</w:t>
      </w:r>
      <w:proofErr w:type="spellEnd"/>
      <w:r w:rsidRPr="00291627">
        <w:rPr>
          <w:rStyle w:val="normaltextrun"/>
          <w:i/>
          <w:iCs/>
          <w:sz w:val="18"/>
          <w:szCs w:val="18"/>
        </w:rPr>
        <w:t> Body and </w:t>
      </w:r>
      <w:proofErr w:type="spellStart"/>
      <w:r w:rsidRPr="00291627">
        <w:rPr>
          <w:rStyle w:val="normaltextrun"/>
          <w:i/>
          <w:iCs/>
          <w:sz w:val="18"/>
          <w:szCs w:val="18"/>
        </w:rPr>
        <w:t>Wormes</w:t>
      </w:r>
      <w:proofErr w:type="spellEnd"/>
      <w:r w:rsidRPr="00291627">
        <w:rPr>
          <w:rStyle w:val="normaltextrun"/>
          <w:i/>
          <w:iCs/>
          <w:sz w:val="18"/>
          <w:szCs w:val="18"/>
        </w:rPr>
        <w:t>: A Translation</w:t>
      </w:r>
      <w:r w:rsidRPr="00291627">
        <w:rPr>
          <w:rStyle w:val="normaltextrun"/>
          <w:sz w:val="18"/>
          <w:szCs w:val="18"/>
        </w:rPr>
        <w:t>, 2000, [available at: </w:t>
      </w:r>
      <w:hyperlink r:id="rId5" w:tgtFrame="_blank" w:history="1">
        <w:r w:rsidRPr="00291627">
          <w:rPr>
            <w:rStyle w:val="normaltextrun"/>
            <w:sz w:val="18"/>
            <w:szCs w:val="18"/>
            <w:u w:val="single"/>
          </w:rPr>
          <w:t>https://escholarship.org/uc/item/0c04p0xq</w:t>
        </w:r>
      </w:hyperlink>
      <w:r w:rsidRPr="00291627">
        <w:rPr>
          <w:rStyle w:val="eop"/>
          <w:sz w:val="18"/>
          <w:szCs w:val="18"/>
        </w:rPr>
        <w:t>]</w:t>
      </w:r>
    </w:p>
    <w:p w14:paraId="7E0BF11D" w14:textId="77777777" w:rsidR="00291627" w:rsidRPr="00291627" w:rsidRDefault="00291627" w:rsidP="00291627">
      <w:pPr>
        <w:pStyle w:val="paragraph"/>
        <w:numPr>
          <w:ilvl w:val="0"/>
          <w:numId w:val="1"/>
        </w:numPr>
        <w:spacing w:before="0" w:beforeAutospacing="0" w:after="0" w:afterAutospacing="0"/>
        <w:textAlignment w:val="baseline"/>
        <w:rPr>
          <w:rStyle w:val="normaltextrun"/>
          <w:sz w:val="18"/>
          <w:szCs w:val="18"/>
        </w:rPr>
      </w:pPr>
      <w:proofErr w:type="spellStart"/>
      <w:r w:rsidRPr="00291627">
        <w:rPr>
          <w:rStyle w:val="normaltextrun"/>
          <w:sz w:val="18"/>
          <w:szCs w:val="18"/>
        </w:rPr>
        <w:t>Rytting</w:t>
      </w:r>
      <w:proofErr w:type="spellEnd"/>
      <w:r w:rsidRPr="00291627">
        <w:rPr>
          <w:rStyle w:val="normaltextrun"/>
          <w:sz w:val="18"/>
          <w:szCs w:val="18"/>
        </w:rPr>
        <w:t xml:space="preserve">, </w:t>
      </w:r>
      <w:r w:rsidRPr="00291627">
        <w:rPr>
          <w:rStyle w:val="normaltextrun"/>
          <w:i/>
          <w:sz w:val="18"/>
          <w:szCs w:val="18"/>
        </w:rPr>
        <w:t xml:space="preserve">A </w:t>
      </w:r>
      <w:proofErr w:type="spellStart"/>
      <w:r w:rsidRPr="00291627">
        <w:rPr>
          <w:rStyle w:val="normaltextrun"/>
          <w:i/>
          <w:sz w:val="18"/>
          <w:szCs w:val="18"/>
        </w:rPr>
        <w:t>Disputacioun</w:t>
      </w:r>
      <w:proofErr w:type="spellEnd"/>
      <w:r w:rsidRPr="00291627">
        <w:rPr>
          <w:rStyle w:val="normaltextrun"/>
          <w:i/>
          <w:sz w:val="18"/>
          <w:szCs w:val="18"/>
        </w:rPr>
        <w:t xml:space="preserve">: A Translation, </w:t>
      </w:r>
      <w:proofErr w:type="spellStart"/>
      <w:r w:rsidRPr="00291627">
        <w:rPr>
          <w:rStyle w:val="normaltextrun"/>
          <w:sz w:val="18"/>
          <w:szCs w:val="18"/>
        </w:rPr>
        <w:t>pg</w:t>
      </w:r>
      <w:proofErr w:type="spellEnd"/>
      <w:r w:rsidRPr="00291627">
        <w:rPr>
          <w:rStyle w:val="normaltextrun"/>
          <w:sz w:val="18"/>
          <w:szCs w:val="18"/>
        </w:rPr>
        <w:t xml:space="preserve"> 1. </w:t>
      </w:r>
    </w:p>
    <w:p w14:paraId="2B2DF10E" w14:textId="77777777" w:rsidR="00291627" w:rsidRPr="00291627" w:rsidRDefault="00291627" w:rsidP="00291627">
      <w:pPr>
        <w:pStyle w:val="paragraph"/>
        <w:numPr>
          <w:ilvl w:val="0"/>
          <w:numId w:val="1"/>
        </w:numPr>
        <w:spacing w:before="0" w:beforeAutospacing="0" w:after="0" w:afterAutospacing="0"/>
        <w:textAlignment w:val="baseline"/>
        <w:rPr>
          <w:sz w:val="18"/>
          <w:szCs w:val="18"/>
        </w:rPr>
      </w:pPr>
      <w:r w:rsidRPr="00291627">
        <w:rPr>
          <w:rStyle w:val="normaltextrun"/>
          <w:sz w:val="18"/>
          <w:szCs w:val="18"/>
        </w:rPr>
        <w:t>Jessica Barker, </w:t>
      </w:r>
      <w:r w:rsidRPr="00291627">
        <w:rPr>
          <w:rStyle w:val="normaltextrun"/>
          <w:i/>
          <w:iCs/>
          <w:sz w:val="18"/>
          <w:szCs w:val="18"/>
        </w:rPr>
        <w:t>Stone and Bone: The Corpse, the Effigy and the Viewer in Late-Medieval Tomb Sculpture</w:t>
      </w:r>
      <w:r w:rsidRPr="00291627">
        <w:rPr>
          <w:rStyle w:val="eop"/>
          <w:sz w:val="18"/>
          <w:szCs w:val="18"/>
        </w:rPr>
        <w:t>, p. 116. [available at: https://courtauld.ac.uk/wp-content/uploads/2016/11/6.-Barker-Revisiting-The-Monument-CBO.pdf]</w:t>
      </w:r>
    </w:p>
    <w:p w14:paraId="1C8561F5" w14:textId="77777777" w:rsidR="00291627" w:rsidRPr="00291627" w:rsidRDefault="00291627" w:rsidP="00291627">
      <w:pPr>
        <w:pStyle w:val="paragraph"/>
        <w:spacing w:before="0" w:beforeAutospacing="0" w:after="0" w:afterAutospacing="0"/>
        <w:ind w:left="360"/>
        <w:textAlignment w:val="baseline"/>
        <w:rPr>
          <w:rStyle w:val="normaltextrun"/>
          <w:sz w:val="18"/>
          <w:szCs w:val="18"/>
        </w:rPr>
      </w:pPr>
    </w:p>
    <w:p w14:paraId="440BAC80" w14:textId="77777777" w:rsidR="00291627" w:rsidRPr="00291627" w:rsidRDefault="00291627" w:rsidP="00291627">
      <w:pPr>
        <w:pStyle w:val="paragraph"/>
        <w:spacing w:before="0" w:beforeAutospacing="0" w:after="0" w:afterAutospacing="0"/>
        <w:ind w:left="360"/>
        <w:textAlignment w:val="baseline"/>
        <w:rPr>
          <w:rStyle w:val="normaltextrun"/>
          <w:sz w:val="20"/>
          <w:szCs w:val="20"/>
        </w:rPr>
      </w:pPr>
    </w:p>
    <w:p w14:paraId="0EE582B2" w14:textId="77777777" w:rsidR="00291627" w:rsidRPr="00291627" w:rsidRDefault="00291627" w:rsidP="00291627">
      <w:pPr>
        <w:pStyle w:val="paragraph"/>
        <w:spacing w:before="0" w:beforeAutospacing="0" w:after="0" w:afterAutospacing="0"/>
        <w:textAlignment w:val="baseline"/>
        <w:rPr>
          <w:rStyle w:val="normaltextrun"/>
          <w:sz w:val="20"/>
          <w:szCs w:val="20"/>
        </w:rPr>
      </w:pPr>
      <w:r w:rsidRPr="00291627">
        <w:rPr>
          <w:rStyle w:val="normaltextrun"/>
          <w:sz w:val="20"/>
          <w:szCs w:val="20"/>
        </w:rPr>
        <w:t xml:space="preserve">. </w:t>
      </w:r>
    </w:p>
    <w:p w14:paraId="15D39220" w14:textId="77777777" w:rsidR="00291627" w:rsidRPr="00291627" w:rsidRDefault="00291627" w:rsidP="00291627">
      <w:pPr>
        <w:pStyle w:val="paragraph"/>
        <w:spacing w:before="0" w:beforeAutospacing="0" w:after="0" w:afterAutospacing="0"/>
        <w:textAlignment w:val="baseline"/>
        <w:rPr>
          <w:rStyle w:val="normaltextrun"/>
          <w:sz w:val="20"/>
          <w:szCs w:val="20"/>
        </w:rPr>
      </w:pPr>
    </w:p>
    <w:p w14:paraId="70999696" w14:textId="77777777" w:rsidR="00291627" w:rsidRPr="00291627" w:rsidRDefault="00291627" w:rsidP="00291627">
      <w:pPr>
        <w:pStyle w:val="paragraph"/>
        <w:spacing w:before="0" w:beforeAutospacing="0" w:after="0" w:afterAutospacing="0"/>
        <w:textAlignment w:val="baseline"/>
        <w:rPr>
          <w:rStyle w:val="normaltextrun"/>
          <w:sz w:val="20"/>
          <w:szCs w:val="20"/>
        </w:rPr>
      </w:pPr>
    </w:p>
    <w:p w14:paraId="4F32E4D7" w14:textId="77777777" w:rsidR="00291627" w:rsidRPr="00291627" w:rsidRDefault="00291627" w:rsidP="00291627">
      <w:pPr>
        <w:pStyle w:val="paragraph"/>
        <w:spacing w:before="0" w:beforeAutospacing="0" w:after="0" w:afterAutospacing="0"/>
        <w:textAlignment w:val="baseline"/>
        <w:rPr>
          <w:rStyle w:val="normaltextrun"/>
          <w:sz w:val="20"/>
          <w:szCs w:val="20"/>
        </w:rPr>
      </w:pPr>
    </w:p>
    <w:p w14:paraId="6E81D8C1" w14:textId="77777777" w:rsidR="00291627" w:rsidRPr="00291627" w:rsidRDefault="00291627" w:rsidP="00291627">
      <w:pPr>
        <w:pStyle w:val="paragraph"/>
        <w:spacing w:before="0" w:beforeAutospacing="0" w:after="0" w:afterAutospacing="0"/>
        <w:textAlignment w:val="baseline"/>
        <w:rPr>
          <w:rStyle w:val="normaltextrun"/>
          <w:sz w:val="20"/>
          <w:szCs w:val="20"/>
        </w:rPr>
      </w:pPr>
    </w:p>
    <w:p w14:paraId="06655D5A" w14:textId="77777777" w:rsidR="00291627" w:rsidRPr="00291627" w:rsidRDefault="00291627" w:rsidP="00291627">
      <w:pPr>
        <w:pStyle w:val="paragraph"/>
        <w:spacing w:before="0" w:beforeAutospacing="0" w:after="0" w:afterAutospacing="0"/>
        <w:textAlignment w:val="baseline"/>
        <w:rPr>
          <w:rStyle w:val="normaltextrun"/>
          <w:sz w:val="20"/>
          <w:szCs w:val="20"/>
        </w:rPr>
      </w:pPr>
    </w:p>
    <w:p w14:paraId="79BAF546" w14:textId="77777777" w:rsidR="00291627" w:rsidRPr="00291627" w:rsidRDefault="00291627" w:rsidP="00291627">
      <w:pPr>
        <w:pStyle w:val="paragraph"/>
        <w:spacing w:before="0" w:beforeAutospacing="0" w:after="0" w:afterAutospacing="0"/>
        <w:textAlignment w:val="baseline"/>
        <w:rPr>
          <w:rStyle w:val="normaltextrun"/>
          <w:sz w:val="20"/>
          <w:szCs w:val="20"/>
        </w:rPr>
      </w:pPr>
    </w:p>
    <w:p w14:paraId="14606562" w14:textId="77777777" w:rsidR="00291627" w:rsidRPr="00291627" w:rsidRDefault="00291627" w:rsidP="00291627">
      <w:pPr>
        <w:pStyle w:val="paragraph"/>
        <w:spacing w:before="0" w:beforeAutospacing="0" w:after="0" w:afterAutospacing="0"/>
        <w:ind w:firstLine="45"/>
        <w:textAlignment w:val="baseline"/>
        <w:rPr>
          <w:sz w:val="20"/>
          <w:szCs w:val="20"/>
        </w:rPr>
      </w:pPr>
    </w:p>
    <w:p w14:paraId="511E2A41" w14:textId="77777777" w:rsidR="00291627" w:rsidRPr="00291627" w:rsidRDefault="00291627" w:rsidP="00291627">
      <w:pPr>
        <w:pStyle w:val="paragraph"/>
        <w:spacing w:before="0" w:beforeAutospacing="0" w:after="0" w:afterAutospacing="0"/>
        <w:ind w:firstLine="45"/>
        <w:textAlignment w:val="baseline"/>
        <w:rPr>
          <w:sz w:val="20"/>
          <w:szCs w:val="20"/>
        </w:rPr>
      </w:pPr>
    </w:p>
    <w:p w14:paraId="0D47EEA9" w14:textId="77777777" w:rsidR="00291627" w:rsidRPr="00291627" w:rsidRDefault="00291627" w:rsidP="00291627">
      <w:pPr>
        <w:pStyle w:val="paragraph"/>
        <w:spacing w:before="0" w:beforeAutospacing="0" w:after="0" w:afterAutospacing="0"/>
        <w:ind w:firstLine="45"/>
        <w:textAlignment w:val="baseline"/>
        <w:rPr>
          <w:sz w:val="20"/>
          <w:szCs w:val="20"/>
        </w:rPr>
      </w:pPr>
    </w:p>
    <w:p w14:paraId="1B9B8437" w14:textId="77777777" w:rsidR="00291627" w:rsidRPr="00291627" w:rsidRDefault="00291627" w:rsidP="00291627">
      <w:pPr>
        <w:pStyle w:val="paragraph"/>
        <w:spacing w:before="0" w:beforeAutospacing="0" w:after="0" w:afterAutospacing="0"/>
        <w:jc w:val="center"/>
        <w:textAlignment w:val="baseline"/>
        <w:rPr>
          <w:rStyle w:val="normaltextrun"/>
          <w:u w:val="single"/>
        </w:rPr>
      </w:pPr>
      <w:r w:rsidRPr="00291627">
        <w:rPr>
          <w:rStyle w:val="normaltextrun"/>
          <w:u w:val="single"/>
        </w:rPr>
        <w:lastRenderedPageBreak/>
        <w:t>The tomb of John FitzAlan.</w:t>
      </w:r>
    </w:p>
    <w:p w14:paraId="382BFC03" w14:textId="77777777" w:rsidR="00291627" w:rsidRPr="00291627" w:rsidRDefault="00291627" w:rsidP="00291627">
      <w:pPr>
        <w:pStyle w:val="paragraph"/>
        <w:spacing w:before="0" w:beforeAutospacing="0" w:after="0" w:afterAutospacing="0"/>
        <w:textAlignment w:val="baseline"/>
        <w:rPr>
          <w:rStyle w:val="normaltextrun"/>
        </w:rPr>
      </w:pPr>
    </w:p>
    <w:p w14:paraId="0A6FC441" w14:textId="77777777" w:rsidR="00291627" w:rsidRPr="00291627" w:rsidRDefault="00291627" w:rsidP="00291627">
      <w:pPr>
        <w:pStyle w:val="paragraph"/>
        <w:spacing w:before="0" w:beforeAutospacing="0" w:after="0" w:afterAutospacing="0"/>
        <w:textAlignment w:val="baseline"/>
      </w:pPr>
      <w:r w:rsidRPr="00291627">
        <w:rPr>
          <w:rStyle w:val="normaltextrun"/>
        </w:rPr>
        <w:t>The tomb of John FitzAlan is a wonderful example of the ‘double decker’ transi or cadaver tomb. The portrayal of the cadaver tomb provides a source of commentary for the uncommon practice of depicting oneself as a rotting corpse on a tomb, which had the purpose of encouraging thoughts of mortality. FitzAlan, however, can also be considered within Pamela M. King’s theory of a connection between Lancastrian affiliation and the trend of this style of tomb</w:t>
      </w:r>
      <w:r w:rsidRPr="00291627">
        <w:rPr>
          <w:rStyle w:val="normaltextrun"/>
          <w:vertAlign w:val="superscript"/>
        </w:rPr>
        <w:t>1</w:t>
      </w:r>
      <w:r w:rsidRPr="00291627">
        <w:rPr>
          <w:rStyle w:val="normaltextrun"/>
        </w:rPr>
        <w:t xml:space="preserve"> despite his death being earlier than covered within her piece. And Jessica Barker </w:t>
      </w:r>
      <w:r w:rsidRPr="00291627">
        <w:rPr>
          <w:rStyle w:val="normaltextrun"/>
          <w:vertAlign w:val="superscript"/>
        </w:rPr>
        <w:t>2</w:t>
      </w:r>
      <w:r w:rsidRPr="00291627">
        <w:rPr>
          <w:rStyle w:val="normaltextrun"/>
        </w:rPr>
        <w:t xml:space="preserve"> considers that perhaps its commission was a reaction from his family to the body of John being back in France.</w:t>
      </w:r>
    </w:p>
    <w:p w14:paraId="7CC897D3" w14:textId="77777777" w:rsidR="00291627" w:rsidRPr="00291627" w:rsidRDefault="00291627" w:rsidP="00291627">
      <w:pPr>
        <w:pStyle w:val="paragraph"/>
        <w:spacing w:before="0" w:beforeAutospacing="0" w:after="0" w:afterAutospacing="0"/>
        <w:textAlignment w:val="baseline"/>
      </w:pPr>
      <w:r w:rsidRPr="00291627">
        <w:rPr>
          <w:rStyle w:val="eop"/>
        </w:rPr>
        <w:t> </w:t>
      </w:r>
    </w:p>
    <w:p w14:paraId="36756BEB" w14:textId="77777777" w:rsidR="00291627" w:rsidRPr="00291627" w:rsidRDefault="00291627" w:rsidP="00291627">
      <w:pPr>
        <w:pStyle w:val="paragraph"/>
        <w:spacing w:before="0" w:beforeAutospacing="0" w:after="0" w:afterAutospacing="0"/>
        <w:textAlignment w:val="baseline"/>
        <w:rPr>
          <w:rStyle w:val="eop"/>
          <w:vertAlign w:val="superscript"/>
        </w:rPr>
      </w:pPr>
      <w:r w:rsidRPr="00291627">
        <w:rPr>
          <w:rStyle w:val="normaltextrun"/>
        </w:rPr>
        <w:t>Whilst considering with the humility and mortality thoughts that transi tombs were meant to create, you can see the personal reminder for his family in John FitzAlan’s tomb too. John FitzAlan died in France in 1435, and so his tomb at home in the family chapel at Arundel Castle was a late interment</w:t>
      </w:r>
      <w:r w:rsidRPr="00291627">
        <w:rPr>
          <w:rStyle w:val="normaltextrun"/>
          <w:vertAlign w:val="superscript"/>
        </w:rPr>
        <w:t xml:space="preserve">. 3 </w:t>
      </w:r>
      <w:r w:rsidRPr="00291627">
        <w:rPr>
          <w:rStyle w:val="normaltextrun"/>
        </w:rPr>
        <w:t xml:space="preserve">His family even had to ransom him body, just to get it removed and brought back. In his will he expressed the desire to be buried with his family, and eventually he was brought home. </w:t>
      </w:r>
      <w:r w:rsidRPr="00291627">
        <w:rPr>
          <w:rStyle w:val="normaltextrun"/>
          <w:vertAlign w:val="superscript"/>
        </w:rPr>
        <w:t xml:space="preserve"> </w:t>
      </w:r>
      <w:r w:rsidRPr="00291627">
        <w:rPr>
          <w:rStyle w:val="normaltextrun"/>
        </w:rPr>
        <w:t xml:space="preserve">He died young though, and so it is thought he was unlikely to have picked this style of tomb himself. </w:t>
      </w:r>
      <w:r w:rsidRPr="00291627">
        <w:rPr>
          <w:rStyle w:val="normaltextrun"/>
          <w:vertAlign w:val="superscript"/>
        </w:rPr>
        <w:t xml:space="preserve">4 </w:t>
      </w:r>
      <w:r w:rsidRPr="00291627">
        <w:rPr>
          <w:rStyle w:val="normaltextrun"/>
        </w:rPr>
        <w:t>It could be said that his family, wishing to commemorate his achievements, and being affiliated themselves, followed suit in a tradition within certain circles. However, it should also be interpreted, as many things, with dual or multiple purposes. The transi-tomb, designed to evoke thoughts of mortality, is an apt choice for someone who died in their prime. When he was wounded, he lost a leg, so it is suggested that it is an attempt to represent him whole, as in his stone depiction, his leg is restored. It is possible that the family did not know the details of his injury.</w:t>
      </w:r>
      <w:r w:rsidRPr="00291627">
        <w:rPr>
          <w:rStyle w:val="normaltextrun"/>
          <w:vertAlign w:val="superscript"/>
        </w:rPr>
        <w:t xml:space="preserve"> 5 </w:t>
      </w:r>
      <w:r w:rsidRPr="00291627">
        <w:rPr>
          <w:rStyle w:val="normaltextrun"/>
        </w:rPr>
        <w:t xml:space="preserve">Barker poses that by representing him twice, they were reacting to not having his remains to inter, as previously mentioned John was buried in France for a while. This action cost them a great deal of money, £933, far more than the tomb itself was worth. Clearly his remains being brought back to England was very important. </w:t>
      </w:r>
      <w:r w:rsidRPr="00291627">
        <w:rPr>
          <w:rStyle w:val="normaltextrun"/>
          <w:vertAlign w:val="superscript"/>
        </w:rPr>
        <w:t xml:space="preserve">6 </w:t>
      </w:r>
      <w:r w:rsidRPr="00291627">
        <w:rPr>
          <w:rStyle w:val="normaltextrun"/>
        </w:rPr>
        <w:t>If they thought that was not possible, a recreation of his physical self would perhaps, in some way, fill that emptiness within the vault. The tomb itself is in the private chapel of Arundel Castle, so it is far less viewed than in a Cathedral, however more personally viewed too.</w:t>
      </w:r>
      <w:r w:rsidRPr="00291627">
        <w:rPr>
          <w:rStyle w:val="normaltextrun"/>
          <w:vertAlign w:val="superscript"/>
        </w:rPr>
        <w:t xml:space="preserve">7 </w:t>
      </w:r>
      <w:proofErr w:type="gramStart"/>
      <w:r w:rsidRPr="00291627">
        <w:rPr>
          <w:rStyle w:val="normaltextrun"/>
        </w:rPr>
        <w:t>Everyone</w:t>
      </w:r>
      <w:proofErr w:type="gramEnd"/>
      <w:r w:rsidRPr="00291627">
        <w:rPr>
          <w:rStyle w:val="normaltextrun"/>
        </w:rPr>
        <w:t xml:space="preserve"> in the castle would have known him, and could have contemplated on his fate when viewing the cadaver tomb. The style of grave monument was one that encouraged thoughts of mortality, and what better reminder than a young, strong soldier, being snatched from life. Paul Binski </w:t>
      </w:r>
      <w:r w:rsidRPr="00291627">
        <w:rPr>
          <w:rStyle w:val="normaltextrun"/>
          <w:vertAlign w:val="superscript"/>
        </w:rPr>
        <w:t xml:space="preserve">8 </w:t>
      </w:r>
      <w:r w:rsidRPr="00291627">
        <w:rPr>
          <w:rStyle w:val="normaltextrun"/>
        </w:rPr>
        <w:t xml:space="preserve">says that tombs were dual purpose in memory, not just for the dead to not be forgotten, but for the living too, to visit and recall them. </w:t>
      </w:r>
      <w:r w:rsidRPr="00291627">
        <w:rPr>
          <w:rStyle w:val="eop"/>
        </w:rPr>
        <w:t xml:space="preserve">As Hadley suggests, the transi tombs, and John’s is no exception, can be seen as a dual purpose, both towards display a social status, but also humility. </w:t>
      </w:r>
      <w:r w:rsidRPr="00291627">
        <w:rPr>
          <w:rStyle w:val="eop"/>
          <w:vertAlign w:val="superscript"/>
        </w:rPr>
        <w:t>9</w:t>
      </w:r>
    </w:p>
    <w:p w14:paraId="51B9F05C" w14:textId="77777777" w:rsidR="00291627" w:rsidRPr="00291627" w:rsidRDefault="00291627" w:rsidP="00291627">
      <w:pPr>
        <w:pStyle w:val="paragraph"/>
        <w:spacing w:before="0" w:beforeAutospacing="0" w:after="0" w:afterAutospacing="0"/>
        <w:textAlignment w:val="baseline"/>
        <w:rPr>
          <w:rStyle w:val="eop"/>
          <w:vertAlign w:val="superscript"/>
        </w:rPr>
      </w:pPr>
    </w:p>
    <w:p w14:paraId="6546D907" w14:textId="77777777" w:rsidR="00291627" w:rsidRPr="00291627" w:rsidRDefault="00291627" w:rsidP="00291627">
      <w:pPr>
        <w:pStyle w:val="paragraph"/>
        <w:spacing w:before="0" w:beforeAutospacing="0" w:after="0" w:afterAutospacing="0"/>
        <w:textAlignment w:val="baseline"/>
        <w:rPr>
          <w:rStyle w:val="eop"/>
          <w:vertAlign w:val="superscript"/>
        </w:rPr>
      </w:pPr>
    </w:p>
    <w:p w14:paraId="3CB98800" w14:textId="789D4D23" w:rsidR="00386355" w:rsidRPr="00386355" w:rsidRDefault="00386355" w:rsidP="00386355">
      <w:pPr>
        <w:pStyle w:val="paragraph"/>
        <w:numPr>
          <w:ilvl w:val="0"/>
          <w:numId w:val="2"/>
        </w:numPr>
        <w:spacing w:before="0" w:beforeAutospacing="0" w:after="0" w:afterAutospacing="0"/>
        <w:textAlignment w:val="baseline"/>
        <w:rPr>
          <w:sz w:val="18"/>
          <w:szCs w:val="18"/>
        </w:rPr>
      </w:pPr>
      <w:r w:rsidRPr="00386355">
        <w:rPr>
          <w:sz w:val="18"/>
          <w:szCs w:val="18"/>
        </w:rPr>
        <w:t xml:space="preserve">Pamela M, </w:t>
      </w:r>
      <w:r w:rsidRPr="00386355">
        <w:rPr>
          <w:sz w:val="18"/>
          <w:szCs w:val="18"/>
        </w:rPr>
        <w:t>King</w:t>
      </w:r>
      <w:r>
        <w:rPr>
          <w:sz w:val="18"/>
          <w:szCs w:val="18"/>
        </w:rPr>
        <w:t xml:space="preserve">, </w:t>
      </w:r>
      <w:r w:rsidRPr="00386355">
        <w:rPr>
          <w:i/>
          <w:sz w:val="18"/>
          <w:szCs w:val="18"/>
        </w:rPr>
        <w:t>the English cadaver tomb in the late fifteenth century: some indications of a Lancastrian connection</w:t>
      </w:r>
      <w:r w:rsidRPr="00386355">
        <w:rPr>
          <w:sz w:val="18"/>
          <w:szCs w:val="18"/>
        </w:rPr>
        <w:t xml:space="preserve"> in </w:t>
      </w:r>
      <w:r w:rsidRPr="00386355">
        <w:rPr>
          <w:i/>
          <w:sz w:val="18"/>
          <w:szCs w:val="18"/>
        </w:rPr>
        <w:t xml:space="preserve">Dies </w:t>
      </w:r>
      <w:proofErr w:type="spellStart"/>
      <w:r w:rsidRPr="00386355">
        <w:rPr>
          <w:i/>
          <w:sz w:val="18"/>
          <w:szCs w:val="18"/>
        </w:rPr>
        <w:t>Illa</w:t>
      </w:r>
      <w:proofErr w:type="spellEnd"/>
      <w:r w:rsidRPr="00386355">
        <w:rPr>
          <w:i/>
          <w:sz w:val="18"/>
          <w:szCs w:val="18"/>
        </w:rPr>
        <w:t xml:space="preserve">: Death in the Middle Ages, proceedings of the 1983 Manchester </w:t>
      </w:r>
      <w:r w:rsidRPr="00386355">
        <w:rPr>
          <w:i/>
          <w:sz w:val="18"/>
          <w:szCs w:val="18"/>
        </w:rPr>
        <w:t>Colloquium</w:t>
      </w:r>
      <w:r w:rsidRPr="00386355">
        <w:rPr>
          <w:i/>
          <w:sz w:val="18"/>
          <w:szCs w:val="18"/>
        </w:rPr>
        <w:t xml:space="preserve">. </w:t>
      </w:r>
      <w:r w:rsidRPr="00386355">
        <w:rPr>
          <w:sz w:val="18"/>
          <w:szCs w:val="18"/>
        </w:rPr>
        <w:t>(F</w:t>
      </w:r>
      <w:r w:rsidRPr="00386355">
        <w:rPr>
          <w:sz w:val="18"/>
          <w:szCs w:val="18"/>
        </w:rPr>
        <w:t>rancis Cairns: Trowbridge, 1984), pg. 45</w:t>
      </w:r>
      <w:r w:rsidRPr="00386355">
        <w:rPr>
          <w:sz w:val="18"/>
          <w:szCs w:val="18"/>
        </w:rPr>
        <w:t xml:space="preserve"> </w:t>
      </w:r>
    </w:p>
    <w:p w14:paraId="3D93BD10" w14:textId="77777777" w:rsidR="00291627" w:rsidRPr="00386355" w:rsidRDefault="00291627" w:rsidP="00291627">
      <w:pPr>
        <w:pStyle w:val="paragraph"/>
        <w:numPr>
          <w:ilvl w:val="0"/>
          <w:numId w:val="2"/>
        </w:numPr>
        <w:spacing w:before="0" w:beforeAutospacing="0" w:after="0" w:afterAutospacing="0"/>
        <w:textAlignment w:val="baseline"/>
        <w:rPr>
          <w:sz w:val="18"/>
          <w:szCs w:val="18"/>
        </w:rPr>
      </w:pPr>
      <w:r w:rsidRPr="00386355">
        <w:rPr>
          <w:sz w:val="18"/>
          <w:szCs w:val="18"/>
        </w:rPr>
        <w:t xml:space="preserve">Jessica Barker, p. 129. </w:t>
      </w:r>
    </w:p>
    <w:p w14:paraId="67C8D385" w14:textId="379158D0" w:rsidR="00291627" w:rsidRPr="00386355" w:rsidRDefault="004E4DC4" w:rsidP="00291627">
      <w:pPr>
        <w:pStyle w:val="paragraph"/>
        <w:numPr>
          <w:ilvl w:val="0"/>
          <w:numId w:val="2"/>
        </w:numPr>
        <w:spacing w:before="0" w:beforeAutospacing="0" w:after="0" w:afterAutospacing="0"/>
        <w:textAlignment w:val="baseline"/>
        <w:rPr>
          <w:sz w:val="18"/>
          <w:szCs w:val="18"/>
        </w:rPr>
      </w:pPr>
      <w:r>
        <w:rPr>
          <w:sz w:val="18"/>
          <w:szCs w:val="18"/>
        </w:rPr>
        <w:t xml:space="preserve">Douglas Richardson, </w:t>
      </w:r>
      <w:r w:rsidR="00291627" w:rsidRPr="00386355">
        <w:rPr>
          <w:i/>
          <w:sz w:val="18"/>
          <w:szCs w:val="18"/>
        </w:rPr>
        <w:t>Magna Carta Ancestry</w:t>
      </w:r>
      <w:r w:rsidR="00291627" w:rsidRPr="00386355">
        <w:rPr>
          <w:sz w:val="18"/>
          <w:szCs w:val="18"/>
        </w:rPr>
        <w:t xml:space="preserve">, </w:t>
      </w:r>
      <w:r w:rsidRPr="004E4DC4">
        <w:rPr>
          <w:sz w:val="18"/>
          <w:szCs w:val="18"/>
        </w:rPr>
        <w:t>(</w:t>
      </w:r>
      <w:r w:rsidRPr="004E4DC4">
        <w:rPr>
          <w:sz w:val="18"/>
          <w:szCs w:val="18"/>
          <w:shd w:val="clear" w:color="auto" w:fill="FFFFFF"/>
        </w:rPr>
        <w:t>Genealogical Pub Co, 2005)</w:t>
      </w:r>
      <w:r>
        <w:rPr>
          <w:sz w:val="18"/>
          <w:szCs w:val="18"/>
          <w:shd w:val="clear" w:color="auto" w:fill="FFFFFF"/>
        </w:rPr>
        <w:t xml:space="preserve">, </w:t>
      </w:r>
      <w:r w:rsidR="00291627" w:rsidRPr="00386355">
        <w:rPr>
          <w:sz w:val="18"/>
          <w:szCs w:val="18"/>
        </w:rPr>
        <w:t>pg. 35.</w:t>
      </w:r>
    </w:p>
    <w:p w14:paraId="1E6784D0" w14:textId="77777777" w:rsidR="00291627" w:rsidRPr="00386355" w:rsidRDefault="00291627" w:rsidP="00291627">
      <w:pPr>
        <w:pStyle w:val="paragraph"/>
        <w:numPr>
          <w:ilvl w:val="0"/>
          <w:numId w:val="2"/>
        </w:numPr>
        <w:spacing w:before="0" w:beforeAutospacing="0" w:after="0" w:afterAutospacing="0"/>
        <w:textAlignment w:val="baseline"/>
        <w:rPr>
          <w:sz w:val="18"/>
          <w:szCs w:val="18"/>
        </w:rPr>
      </w:pPr>
      <w:r w:rsidRPr="00386355">
        <w:rPr>
          <w:sz w:val="18"/>
          <w:szCs w:val="18"/>
        </w:rPr>
        <w:t>Barker, p. 129.</w:t>
      </w:r>
    </w:p>
    <w:p w14:paraId="045EDDD5" w14:textId="77777777" w:rsidR="00291627" w:rsidRPr="00386355" w:rsidRDefault="00291627" w:rsidP="00291627">
      <w:pPr>
        <w:pStyle w:val="paragraph"/>
        <w:numPr>
          <w:ilvl w:val="0"/>
          <w:numId w:val="2"/>
        </w:numPr>
        <w:spacing w:before="0" w:beforeAutospacing="0" w:after="0" w:afterAutospacing="0"/>
        <w:textAlignment w:val="baseline"/>
        <w:rPr>
          <w:sz w:val="18"/>
          <w:szCs w:val="18"/>
        </w:rPr>
      </w:pPr>
      <w:r w:rsidRPr="00386355">
        <w:rPr>
          <w:sz w:val="18"/>
          <w:szCs w:val="18"/>
        </w:rPr>
        <w:t xml:space="preserve">John Aberth, </w:t>
      </w:r>
      <w:r w:rsidRPr="00386355">
        <w:rPr>
          <w:i/>
          <w:sz w:val="18"/>
          <w:szCs w:val="18"/>
        </w:rPr>
        <w:t xml:space="preserve">From the Brink of the Apocalypse: Confronting Famine, War, Plague and Death. </w:t>
      </w:r>
      <w:r w:rsidRPr="00386355">
        <w:rPr>
          <w:sz w:val="18"/>
          <w:szCs w:val="18"/>
        </w:rPr>
        <w:t xml:space="preserve">(Routledge, 2009). p. 255. </w:t>
      </w:r>
    </w:p>
    <w:p w14:paraId="4670E5AF" w14:textId="77777777" w:rsidR="00291627" w:rsidRPr="00386355" w:rsidRDefault="00291627" w:rsidP="00291627">
      <w:pPr>
        <w:pStyle w:val="paragraph"/>
        <w:numPr>
          <w:ilvl w:val="0"/>
          <w:numId w:val="2"/>
        </w:numPr>
        <w:spacing w:before="0" w:beforeAutospacing="0" w:after="0" w:afterAutospacing="0"/>
        <w:textAlignment w:val="baseline"/>
        <w:rPr>
          <w:sz w:val="18"/>
          <w:szCs w:val="18"/>
        </w:rPr>
      </w:pPr>
      <w:r w:rsidRPr="00386355">
        <w:rPr>
          <w:sz w:val="18"/>
          <w:szCs w:val="18"/>
        </w:rPr>
        <w:t>Barker</w:t>
      </w:r>
    </w:p>
    <w:p w14:paraId="742831FA" w14:textId="77777777" w:rsidR="00291627" w:rsidRPr="00386355" w:rsidRDefault="00291627" w:rsidP="00291627">
      <w:pPr>
        <w:pStyle w:val="paragraph"/>
        <w:numPr>
          <w:ilvl w:val="0"/>
          <w:numId w:val="2"/>
        </w:numPr>
        <w:spacing w:before="0" w:beforeAutospacing="0" w:after="0" w:afterAutospacing="0"/>
        <w:textAlignment w:val="baseline"/>
        <w:rPr>
          <w:sz w:val="18"/>
          <w:szCs w:val="18"/>
        </w:rPr>
      </w:pPr>
      <w:r w:rsidRPr="00386355">
        <w:rPr>
          <w:sz w:val="18"/>
          <w:szCs w:val="18"/>
        </w:rPr>
        <w:t>Hadley, p. 144.</w:t>
      </w:r>
    </w:p>
    <w:p w14:paraId="451247FE" w14:textId="77777777" w:rsidR="00291627" w:rsidRPr="00386355" w:rsidRDefault="00291627" w:rsidP="00291627">
      <w:pPr>
        <w:pStyle w:val="paragraph"/>
        <w:numPr>
          <w:ilvl w:val="0"/>
          <w:numId w:val="2"/>
        </w:numPr>
        <w:spacing w:before="0" w:beforeAutospacing="0" w:after="0" w:afterAutospacing="0"/>
        <w:textAlignment w:val="baseline"/>
        <w:rPr>
          <w:sz w:val="18"/>
          <w:szCs w:val="18"/>
        </w:rPr>
      </w:pPr>
      <w:r w:rsidRPr="00386355">
        <w:rPr>
          <w:sz w:val="18"/>
          <w:szCs w:val="18"/>
        </w:rPr>
        <w:t>Binski, p. 71.</w:t>
      </w:r>
    </w:p>
    <w:p w14:paraId="6960C4FF" w14:textId="77777777" w:rsidR="00291627" w:rsidRPr="00386355" w:rsidRDefault="00291627" w:rsidP="00291627">
      <w:pPr>
        <w:pStyle w:val="paragraph"/>
        <w:numPr>
          <w:ilvl w:val="0"/>
          <w:numId w:val="2"/>
        </w:numPr>
        <w:spacing w:before="0" w:beforeAutospacing="0" w:after="0" w:afterAutospacing="0"/>
        <w:textAlignment w:val="baseline"/>
        <w:rPr>
          <w:sz w:val="18"/>
          <w:szCs w:val="18"/>
        </w:rPr>
      </w:pPr>
      <w:r w:rsidRPr="00386355">
        <w:rPr>
          <w:sz w:val="18"/>
          <w:szCs w:val="18"/>
        </w:rPr>
        <w:t>Hadley, p. 153-4.</w:t>
      </w:r>
    </w:p>
    <w:p w14:paraId="40724FCA" w14:textId="77777777" w:rsidR="00291627" w:rsidRPr="00291627" w:rsidRDefault="00291627" w:rsidP="00291627">
      <w:pPr>
        <w:pStyle w:val="paragraph"/>
        <w:spacing w:before="0" w:beforeAutospacing="0" w:after="0" w:afterAutospacing="0"/>
        <w:ind w:left="360"/>
        <w:textAlignment w:val="baseline"/>
        <w:rPr>
          <w:rStyle w:val="eop"/>
        </w:rPr>
      </w:pPr>
    </w:p>
    <w:p w14:paraId="7C6BDA76" w14:textId="77777777" w:rsidR="00291627" w:rsidRPr="00291627" w:rsidRDefault="00291627" w:rsidP="00291627">
      <w:pPr>
        <w:pStyle w:val="paragraph"/>
        <w:spacing w:before="0" w:beforeAutospacing="0" w:after="0" w:afterAutospacing="0"/>
        <w:textAlignment w:val="baseline"/>
        <w:rPr>
          <w:rStyle w:val="normaltextrun"/>
        </w:rPr>
      </w:pPr>
    </w:p>
    <w:p w14:paraId="50A8D827" w14:textId="77777777" w:rsidR="00291627" w:rsidRPr="00291627" w:rsidRDefault="00291627" w:rsidP="00291627">
      <w:pPr>
        <w:pStyle w:val="paragraph"/>
        <w:spacing w:before="0" w:beforeAutospacing="0" w:after="0" w:afterAutospacing="0"/>
        <w:ind w:left="360"/>
        <w:textAlignment w:val="baseline"/>
        <w:rPr>
          <w:rStyle w:val="normaltextrun"/>
          <w:shd w:val="clear" w:color="auto" w:fill="00FF00"/>
        </w:rPr>
      </w:pPr>
    </w:p>
    <w:p w14:paraId="78793099" w14:textId="77777777" w:rsidR="00291627" w:rsidRPr="00291627" w:rsidRDefault="00291627" w:rsidP="00291627">
      <w:pPr>
        <w:pStyle w:val="paragraph"/>
        <w:spacing w:before="0" w:beforeAutospacing="0" w:after="0" w:afterAutospacing="0"/>
        <w:ind w:left="360"/>
        <w:textAlignment w:val="baseline"/>
      </w:pPr>
    </w:p>
    <w:p w14:paraId="5C4A5504" w14:textId="77777777" w:rsidR="00291627" w:rsidRPr="00291627" w:rsidRDefault="00291627" w:rsidP="00291627">
      <w:pPr>
        <w:pStyle w:val="paragraph"/>
        <w:spacing w:before="0" w:beforeAutospacing="0" w:after="0" w:afterAutospacing="0"/>
        <w:textAlignment w:val="baseline"/>
        <w:rPr>
          <w:rStyle w:val="normaltextrun"/>
          <w:bCs/>
          <w:vertAlign w:val="superscript"/>
        </w:rPr>
      </w:pPr>
      <w:r w:rsidRPr="00291627">
        <w:rPr>
          <w:rStyle w:val="normaltextrun"/>
          <w:bCs/>
        </w:rPr>
        <w:t xml:space="preserve">John FitzAlan’s social status prior to death was an accomplished one for his age. His family were of importance too, and this would concur with Pamela M. King’s </w:t>
      </w:r>
      <w:r w:rsidRPr="00291627">
        <w:rPr>
          <w:rStyle w:val="normaltextrun"/>
          <w:bCs/>
          <w:vertAlign w:val="superscript"/>
        </w:rPr>
        <w:t xml:space="preserve">10 </w:t>
      </w:r>
      <w:r w:rsidRPr="00291627">
        <w:rPr>
          <w:rStyle w:val="normaltextrun"/>
          <w:bCs/>
        </w:rPr>
        <w:t>research into the connections between certain families and the use of transi tombs as funerary monuments. John was a member of the Order of the Garter</w:t>
      </w:r>
      <w:r w:rsidRPr="00291627">
        <w:rPr>
          <w:rStyle w:val="normaltextrun"/>
          <w:bCs/>
          <w:vertAlign w:val="superscript"/>
        </w:rPr>
        <w:t>11</w:t>
      </w:r>
      <w:r w:rsidRPr="00291627">
        <w:rPr>
          <w:rStyle w:val="normaltextrun"/>
          <w:bCs/>
        </w:rPr>
        <w:t xml:space="preserve">, and very loyal to the King. The Lancastrians are a focus of King’s, a large percentage of which favoured transi tombs, and she stresses his attachment to other transi tomb builders. She also speculates that the tradition in England came from people travelling abroad, and John, being stationed in France, where the style was popular, could have picked it up there. </w:t>
      </w:r>
      <w:r w:rsidRPr="00291627">
        <w:rPr>
          <w:rStyle w:val="normaltextrun"/>
          <w:bCs/>
          <w:vertAlign w:val="superscript"/>
        </w:rPr>
        <w:t xml:space="preserve">12 </w:t>
      </w:r>
      <w:r w:rsidRPr="00291627">
        <w:rPr>
          <w:rStyle w:val="normaltextrun"/>
          <w:bCs/>
        </w:rPr>
        <w:t xml:space="preserve">The style was being used by many high class people within his social grouping, and some past cataloguers have even ignored the cadaver part of the tomb. </w:t>
      </w:r>
      <w:r w:rsidRPr="00291627">
        <w:rPr>
          <w:rStyle w:val="normaltextrun"/>
          <w:bCs/>
          <w:vertAlign w:val="superscript"/>
        </w:rPr>
        <w:t xml:space="preserve">13 </w:t>
      </w:r>
      <w:r w:rsidRPr="00291627">
        <w:rPr>
          <w:rStyle w:val="normaltextrun"/>
          <w:bCs/>
        </w:rPr>
        <w:t xml:space="preserve">Daniels discusses the group identity within tombs, claiming cadaver tombs are a ‘case in point’ concerning worldly allegiance in their design. </w:t>
      </w:r>
      <w:r w:rsidRPr="00291627">
        <w:rPr>
          <w:rStyle w:val="normaltextrun"/>
          <w:bCs/>
          <w:vertAlign w:val="superscript"/>
        </w:rPr>
        <w:t xml:space="preserve">14 </w:t>
      </w:r>
    </w:p>
    <w:p w14:paraId="2AAC68F9" w14:textId="77777777" w:rsidR="00291627" w:rsidRPr="00291627" w:rsidRDefault="00291627" w:rsidP="00291627">
      <w:pPr>
        <w:pStyle w:val="paragraph"/>
        <w:spacing w:before="0" w:beforeAutospacing="0" w:after="0" w:afterAutospacing="0"/>
        <w:textAlignment w:val="baseline"/>
        <w:rPr>
          <w:rStyle w:val="normaltextrun"/>
          <w:bCs/>
          <w:vertAlign w:val="superscript"/>
        </w:rPr>
      </w:pPr>
    </w:p>
    <w:p w14:paraId="3343EF3A" w14:textId="77777777" w:rsidR="00291627" w:rsidRPr="00291627" w:rsidRDefault="00291627" w:rsidP="00291627">
      <w:pPr>
        <w:pStyle w:val="paragraph"/>
        <w:spacing w:before="0" w:beforeAutospacing="0" w:after="0" w:afterAutospacing="0"/>
        <w:textAlignment w:val="baseline"/>
        <w:rPr>
          <w:rStyle w:val="normaltextrun"/>
          <w:bCs/>
        </w:rPr>
      </w:pPr>
      <w:r w:rsidRPr="00291627">
        <w:rPr>
          <w:rStyle w:val="normaltextrun"/>
          <w:bCs/>
        </w:rPr>
        <w:t xml:space="preserve">Cadaver tombs seem to be multi-faceted monuments, with many dualistic purposes, inspiring morality, humility, and awareness of oneself whilst incurring remembrance of the deceased, but also creating an emotional, family memorial whilst displaying and stating political allegiances. John FitzAlan’s tomb, and his death, is a true sample of this, and further, of how layered and interwoven the representation of death in the Middle Ages truly was.  </w:t>
      </w:r>
    </w:p>
    <w:p w14:paraId="503D4495" w14:textId="77777777" w:rsidR="00291627" w:rsidRPr="00291627" w:rsidRDefault="00291627" w:rsidP="00291627">
      <w:pPr>
        <w:pStyle w:val="paragraph"/>
        <w:spacing w:before="0" w:beforeAutospacing="0" w:after="0" w:afterAutospacing="0"/>
        <w:textAlignment w:val="baseline"/>
        <w:rPr>
          <w:rStyle w:val="normaltextrun"/>
          <w:bCs/>
          <w:sz w:val="18"/>
          <w:szCs w:val="18"/>
        </w:rPr>
      </w:pPr>
    </w:p>
    <w:p w14:paraId="597CF107" w14:textId="77777777" w:rsidR="00291627" w:rsidRPr="00291627" w:rsidRDefault="00291627" w:rsidP="00291627">
      <w:pPr>
        <w:pStyle w:val="paragraph"/>
        <w:spacing w:before="0" w:beforeAutospacing="0" w:after="0" w:afterAutospacing="0"/>
        <w:textAlignment w:val="baseline"/>
        <w:rPr>
          <w:rStyle w:val="normaltextrun"/>
          <w:bCs/>
          <w:sz w:val="18"/>
          <w:szCs w:val="18"/>
        </w:rPr>
      </w:pPr>
      <w:r w:rsidRPr="00291627">
        <w:rPr>
          <w:rStyle w:val="normaltextrun"/>
          <w:bCs/>
          <w:sz w:val="18"/>
          <w:szCs w:val="18"/>
        </w:rPr>
        <w:t xml:space="preserve">10. King’s Lancastrian, p. 45. </w:t>
      </w:r>
    </w:p>
    <w:p w14:paraId="29377EC6" w14:textId="77777777" w:rsidR="00291627" w:rsidRPr="00291627" w:rsidRDefault="00291627" w:rsidP="00291627">
      <w:pPr>
        <w:pStyle w:val="paragraph"/>
        <w:spacing w:before="0" w:beforeAutospacing="0" w:after="0" w:afterAutospacing="0"/>
        <w:textAlignment w:val="baseline"/>
        <w:rPr>
          <w:rStyle w:val="normaltextrun"/>
          <w:bCs/>
          <w:sz w:val="18"/>
          <w:szCs w:val="18"/>
        </w:rPr>
      </w:pPr>
      <w:r w:rsidRPr="00291627">
        <w:rPr>
          <w:rStyle w:val="normaltextrun"/>
          <w:bCs/>
          <w:sz w:val="18"/>
          <w:szCs w:val="18"/>
        </w:rPr>
        <w:t xml:space="preserve">11. Hugh E. L. Collins, </w:t>
      </w:r>
      <w:proofErr w:type="gramStart"/>
      <w:r w:rsidRPr="00291627">
        <w:rPr>
          <w:i/>
          <w:sz w:val="18"/>
          <w:szCs w:val="18"/>
        </w:rPr>
        <w:t>The</w:t>
      </w:r>
      <w:proofErr w:type="gramEnd"/>
      <w:r w:rsidRPr="00291627">
        <w:rPr>
          <w:i/>
          <w:sz w:val="18"/>
          <w:szCs w:val="18"/>
        </w:rPr>
        <w:t xml:space="preserve"> Order of the Garter, 1348-1461: Chivalry and Politics in Late Medieval England, </w:t>
      </w:r>
      <w:r w:rsidRPr="00291627">
        <w:rPr>
          <w:sz w:val="18"/>
          <w:szCs w:val="18"/>
        </w:rPr>
        <w:t>(</w:t>
      </w:r>
      <w:r w:rsidRPr="00291627">
        <w:rPr>
          <w:sz w:val="18"/>
          <w:szCs w:val="18"/>
          <w:shd w:val="clear" w:color="auto" w:fill="FFFFFF"/>
        </w:rPr>
        <w:t xml:space="preserve">Oxford: Clarendon Press, 2000), p. 128. </w:t>
      </w:r>
      <w:r w:rsidRPr="00291627">
        <w:rPr>
          <w:rStyle w:val="normaltextrun"/>
          <w:i/>
          <w:sz w:val="18"/>
          <w:szCs w:val="18"/>
          <w:shd w:val="clear" w:color="auto" w:fill="00FF00"/>
        </w:rPr>
        <w:t xml:space="preserve"> </w:t>
      </w:r>
    </w:p>
    <w:p w14:paraId="5107349D" w14:textId="77777777" w:rsidR="00291627" w:rsidRPr="00291627" w:rsidRDefault="00291627" w:rsidP="00291627">
      <w:pPr>
        <w:pStyle w:val="paragraph"/>
        <w:spacing w:before="0" w:beforeAutospacing="0" w:after="0" w:afterAutospacing="0"/>
        <w:textAlignment w:val="baseline"/>
        <w:rPr>
          <w:rStyle w:val="normaltextrun"/>
          <w:bCs/>
          <w:sz w:val="18"/>
          <w:szCs w:val="18"/>
        </w:rPr>
      </w:pPr>
      <w:r w:rsidRPr="00291627">
        <w:rPr>
          <w:rStyle w:val="normaltextrun"/>
          <w:bCs/>
          <w:sz w:val="18"/>
          <w:szCs w:val="18"/>
        </w:rPr>
        <w:t xml:space="preserve">12. King, Lancastrian, p. 45. </w:t>
      </w:r>
    </w:p>
    <w:p w14:paraId="1C7A5E34" w14:textId="77777777" w:rsidR="00291627" w:rsidRPr="00291627" w:rsidRDefault="00291627" w:rsidP="00291627">
      <w:pPr>
        <w:pStyle w:val="paragraph"/>
        <w:spacing w:before="0" w:beforeAutospacing="0" w:after="0" w:afterAutospacing="0"/>
        <w:textAlignment w:val="baseline"/>
        <w:rPr>
          <w:rStyle w:val="normaltextrun"/>
          <w:bCs/>
          <w:sz w:val="18"/>
          <w:szCs w:val="18"/>
        </w:rPr>
      </w:pPr>
      <w:r w:rsidRPr="00291627">
        <w:rPr>
          <w:rStyle w:val="normaltextrun"/>
          <w:bCs/>
          <w:sz w:val="18"/>
          <w:szCs w:val="18"/>
        </w:rPr>
        <w:t>13</w:t>
      </w:r>
      <w:proofErr w:type="gramStart"/>
      <w:r w:rsidRPr="00291627">
        <w:rPr>
          <w:rStyle w:val="normaltextrun"/>
          <w:bCs/>
          <w:sz w:val="18"/>
          <w:szCs w:val="18"/>
        </w:rPr>
        <w:t>.King</w:t>
      </w:r>
      <w:proofErr w:type="gramEnd"/>
      <w:r w:rsidRPr="00291627">
        <w:rPr>
          <w:rStyle w:val="normaltextrun"/>
          <w:bCs/>
          <w:sz w:val="18"/>
          <w:szCs w:val="18"/>
        </w:rPr>
        <w:t xml:space="preserve">, </w:t>
      </w:r>
      <w:r w:rsidRPr="00291627">
        <w:rPr>
          <w:rStyle w:val="normaltextrun"/>
          <w:bCs/>
          <w:i/>
          <w:sz w:val="18"/>
          <w:szCs w:val="18"/>
        </w:rPr>
        <w:t xml:space="preserve">Contexts of the Cadaver </w:t>
      </w:r>
      <w:r w:rsidRPr="00291627">
        <w:rPr>
          <w:i/>
          <w:sz w:val="18"/>
          <w:szCs w:val="18"/>
        </w:rPr>
        <w:t>tomb in Fifteenth Century England</w:t>
      </w:r>
      <w:r w:rsidRPr="00291627">
        <w:rPr>
          <w:sz w:val="18"/>
          <w:szCs w:val="18"/>
        </w:rPr>
        <w:t>, (University of York Centre for Medieval Studies, 1987), [available at: </w:t>
      </w:r>
      <w:hyperlink r:id="rId6" w:history="1">
        <w:r w:rsidRPr="00291627">
          <w:rPr>
            <w:sz w:val="18"/>
            <w:szCs w:val="18"/>
          </w:rPr>
          <w:t>http://etheses.whiterose.ac.uk/4274/2/DX082064_1.pdf</w:t>
        </w:r>
      </w:hyperlink>
      <w:r w:rsidRPr="00291627">
        <w:rPr>
          <w:sz w:val="18"/>
          <w:szCs w:val="18"/>
        </w:rPr>
        <w:t>], p. 10.  </w:t>
      </w:r>
    </w:p>
    <w:p w14:paraId="1D7CAB56" w14:textId="77777777" w:rsidR="00291627" w:rsidRPr="00291627" w:rsidRDefault="00291627" w:rsidP="00291627">
      <w:pPr>
        <w:pStyle w:val="paragraph"/>
        <w:spacing w:before="0" w:beforeAutospacing="0" w:after="0" w:afterAutospacing="0"/>
        <w:textAlignment w:val="baseline"/>
        <w:rPr>
          <w:rStyle w:val="normaltextrun"/>
          <w:bCs/>
          <w:sz w:val="18"/>
          <w:szCs w:val="18"/>
        </w:rPr>
      </w:pPr>
      <w:r w:rsidRPr="00291627">
        <w:rPr>
          <w:rStyle w:val="normaltextrun"/>
          <w:bCs/>
          <w:sz w:val="18"/>
          <w:szCs w:val="18"/>
        </w:rPr>
        <w:t>14. Daniels, p. 184-5.</w:t>
      </w:r>
    </w:p>
    <w:p w14:paraId="52C5CFCB" w14:textId="77777777" w:rsidR="00291627" w:rsidRPr="00291627" w:rsidRDefault="00291627" w:rsidP="00291627">
      <w:pPr>
        <w:pStyle w:val="paragraph"/>
        <w:spacing w:before="0" w:beforeAutospacing="0" w:after="0" w:afterAutospacing="0"/>
        <w:textAlignment w:val="baseline"/>
        <w:rPr>
          <w:rStyle w:val="normaltextrun"/>
          <w:bCs/>
          <w:vertAlign w:val="superscript"/>
        </w:rPr>
      </w:pPr>
    </w:p>
    <w:p w14:paraId="09C17884" w14:textId="77777777" w:rsidR="00291627" w:rsidRPr="00291627" w:rsidRDefault="00291627" w:rsidP="00291627">
      <w:pPr>
        <w:pStyle w:val="paragraph"/>
        <w:spacing w:before="0" w:beforeAutospacing="0" w:after="0" w:afterAutospacing="0"/>
        <w:textAlignment w:val="baseline"/>
      </w:pPr>
    </w:p>
    <w:p w14:paraId="5E39044B" w14:textId="77777777" w:rsidR="00291627" w:rsidRPr="00291627" w:rsidRDefault="00291627" w:rsidP="00291627">
      <w:pPr>
        <w:pStyle w:val="paragraph"/>
        <w:spacing w:before="0" w:beforeAutospacing="0" w:after="0" w:afterAutospacing="0"/>
        <w:textAlignment w:val="baseline"/>
      </w:pPr>
    </w:p>
    <w:p w14:paraId="4C668EC2" w14:textId="77777777" w:rsidR="00291627" w:rsidRPr="00291627" w:rsidRDefault="00291627" w:rsidP="00291627">
      <w:pPr>
        <w:pStyle w:val="paragraph"/>
        <w:spacing w:before="0" w:beforeAutospacing="0" w:after="0" w:afterAutospacing="0"/>
        <w:textAlignment w:val="baseline"/>
      </w:pPr>
      <w:r w:rsidRPr="00291627">
        <w:rPr>
          <w:rStyle w:val="eop"/>
        </w:rPr>
        <w:t> </w:t>
      </w:r>
    </w:p>
    <w:p w14:paraId="157F7654" w14:textId="77777777" w:rsidR="00291627" w:rsidRPr="00291627" w:rsidRDefault="00291627" w:rsidP="00291627">
      <w:pPr>
        <w:pStyle w:val="paragraph"/>
        <w:spacing w:before="0" w:beforeAutospacing="0" w:after="0" w:afterAutospacing="0"/>
        <w:ind w:left="720"/>
        <w:textAlignment w:val="baseline"/>
        <w:rPr>
          <w:rStyle w:val="normaltextrun"/>
          <w:sz w:val="20"/>
          <w:szCs w:val="20"/>
        </w:rPr>
      </w:pPr>
    </w:p>
    <w:p w14:paraId="55EB43CA" w14:textId="77777777" w:rsidR="00291627" w:rsidRPr="00291627" w:rsidRDefault="00291627">
      <w:pPr>
        <w:rPr>
          <w:rStyle w:val="normaltextrun"/>
          <w:rFonts w:ascii="Times New Roman" w:eastAsia="Times New Roman" w:hAnsi="Times New Roman" w:cs="Times New Roman"/>
          <w:sz w:val="20"/>
          <w:szCs w:val="20"/>
          <w:lang w:eastAsia="en-GB"/>
        </w:rPr>
      </w:pPr>
      <w:r w:rsidRPr="00291627">
        <w:rPr>
          <w:rStyle w:val="normaltextrun"/>
          <w:rFonts w:ascii="Times New Roman" w:hAnsi="Times New Roman" w:cs="Times New Roman"/>
          <w:sz w:val="20"/>
          <w:szCs w:val="20"/>
        </w:rPr>
        <w:br w:type="page"/>
      </w:r>
    </w:p>
    <w:p w14:paraId="3D947CF7" w14:textId="77777777" w:rsidR="00291627" w:rsidRDefault="00291627" w:rsidP="00291627">
      <w:pPr>
        <w:pStyle w:val="paragraph"/>
        <w:spacing w:before="0" w:beforeAutospacing="0" w:after="0" w:afterAutospacing="0"/>
        <w:ind w:left="720"/>
        <w:textAlignment w:val="baseline"/>
        <w:rPr>
          <w:rStyle w:val="normaltextrun"/>
          <w:sz w:val="20"/>
          <w:szCs w:val="20"/>
        </w:rPr>
      </w:pPr>
    </w:p>
    <w:p w14:paraId="048AEEBE" w14:textId="77777777" w:rsidR="00291627" w:rsidRPr="00A22070" w:rsidRDefault="00291627" w:rsidP="00291627">
      <w:pPr>
        <w:jc w:val="center"/>
        <w:rPr>
          <w:rFonts w:ascii="Times New Roman" w:hAnsi="Times New Roman" w:cs="Times New Roman"/>
          <w:noProof/>
          <w:u w:val="single"/>
        </w:rPr>
      </w:pPr>
      <w:r>
        <w:rPr>
          <w:rStyle w:val="normaltextrun"/>
          <w:sz w:val="20"/>
          <w:szCs w:val="20"/>
        </w:rPr>
        <w:br w:type="page"/>
      </w:r>
      <w:r w:rsidRPr="00A22070">
        <w:rPr>
          <w:rFonts w:ascii="Times New Roman" w:hAnsi="Times New Roman" w:cs="Times New Roman"/>
          <w:noProof/>
          <w:u w:val="single"/>
        </w:rPr>
        <w:lastRenderedPageBreak/>
        <w:t xml:space="preserve">Chapter V of </w:t>
      </w:r>
      <w:r w:rsidRPr="00A22070">
        <w:rPr>
          <w:rFonts w:ascii="Times New Roman" w:hAnsi="Times New Roman" w:cs="Times New Roman"/>
          <w:i/>
          <w:iCs/>
          <w:noProof/>
          <w:u w:val="single"/>
        </w:rPr>
        <w:t>The Art and Craft to Know Well to Die</w:t>
      </w:r>
      <w:r w:rsidRPr="00A22070">
        <w:rPr>
          <w:rFonts w:ascii="Times New Roman" w:hAnsi="Times New Roman" w:cs="Times New Roman"/>
          <w:noProof/>
          <w:u w:val="single"/>
        </w:rPr>
        <w:t xml:space="preserve"> by William Caxton</w:t>
      </w:r>
    </w:p>
    <w:p w14:paraId="60F5AEC9" w14:textId="77777777" w:rsidR="00291627" w:rsidRPr="00A22070" w:rsidRDefault="00291627" w:rsidP="00291627">
      <w:pPr>
        <w:rPr>
          <w:rFonts w:ascii="Times New Roman" w:eastAsia="Times New Roman" w:hAnsi="Times New Roman" w:cs="Times New Roman"/>
          <w:color w:val="222222"/>
          <w:sz w:val="21"/>
          <w:szCs w:val="21"/>
          <w:vertAlign w:val="superscript"/>
          <w:lang w:eastAsia="en-GB"/>
        </w:rPr>
      </w:pPr>
      <w:r w:rsidRPr="00A22070">
        <w:rPr>
          <w:rFonts w:ascii="Times New Roman" w:hAnsi="Times New Roman" w:cs="Times New Roman"/>
        </w:rPr>
        <w:t xml:space="preserve">This is from book from a fascinating genre, that of the </w:t>
      </w:r>
      <w:r w:rsidRPr="00A22070">
        <w:rPr>
          <w:rFonts w:ascii="Times New Roman" w:hAnsi="Times New Roman" w:cs="Times New Roman"/>
          <w:i/>
        </w:rPr>
        <w:t>Ars Moriendi</w:t>
      </w:r>
      <w:r w:rsidRPr="00A22070">
        <w:rPr>
          <w:rFonts w:ascii="Times New Roman" w:hAnsi="Times New Roman" w:cs="Times New Roman"/>
        </w:rPr>
        <w:t xml:space="preserve"> </w:t>
      </w:r>
      <w:r w:rsidRPr="00A22070">
        <w:rPr>
          <w:rFonts w:ascii="Times New Roman" w:hAnsi="Times New Roman" w:cs="Times New Roman"/>
          <w:color w:val="000000"/>
        </w:rPr>
        <w:t>(or </w:t>
      </w:r>
      <w:r w:rsidRPr="00A22070">
        <w:rPr>
          <w:rStyle w:val="Emphasis"/>
          <w:rFonts w:ascii="Times New Roman" w:hAnsi="Times New Roman" w:cs="Times New Roman"/>
          <w:color w:val="000000"/>
        </w:rPr>
        <w:t>The Art of Dying</w:t>
      </w:r>
      <w:r w:rsidRPr="00A22070">
        <w:rPr>
          <w:rFonts w:ascii="Times New Roman" w:hAnsi="Times New Roman" w:cs="Times New Roman"/>
          <w:color w:val="000000"/>
        </w:rPr>
        <w:t xml:space="preserve">). </w:t>
      </w:r>
      <w:r w:rsidRPr="00A22070">
        <w:rPr>
          <w:rFonts w:ascii="Times New Roman" w:eastAsia="Times New Roman" w:hAnsi="Times New Roman" w:cs="Times New Roman"/>
          <w:color w:val="222222"/>
          <w:sz w:val="21"/>
          <w:szCs w:val="21"/>
          <w:lang w:eastAsia="en-GB"/>
        </w:rPr>
        <w:t xml:space="preserve">They were created to ensure a ‘good death’ in the late medieval period and they contained advice for domestic death, a ‘how-to-do-it of death.’ </w:t>
      </w:r>
      <w:r w:rsidRPr="00A22070">
        <w:rPr>
          <w:rFonts w:ascii="Times New Roman" w:eastAsia="Times New Roman" w:hAnsi="Times New Roman" w:cs="Times New Roman"/>
          <w:color w:val="222222"/>
          <w:sz w:val="21"/>
          <w:szCs w:val="21"/>
          <w:vertAlign w:val="superscript"/>
          <w:lang w:eastAsia="en-GB"/>
        </w:rPr>
        <w:t xml:space="preserve">1 </w:t>
      </w:r>
      <w:r w:rsidRPr="00A22070">
        <w:rPr>
          <w:rFonts w:ascii="Times New Roman" w:eastAsia="Times New Roman" w:hAnsi="Times New Roman" w:cs="Times New Roman"/>
          <w:color w:val="222222"/>
          <w:sz w:val="21"/>
          <w:szCs w:val="21"/>
          <w:lang w:eastAsia="en-GB"/>
        </w:rPr>
        <w:t xml:space="preserve">The text emphasised that death could be detached from one’s life, and that you could change your ways even at the last minute, much better than dying without attempting penance or piety, even if it was brief. They have a history in writings from the Church, and ancient ways of comforting the sick </w:t>
      </w:r>
      <w:r w:rsidRPr="00A22070">
        <w:rPr>
          <w:rFonts w:ascii="Times New Roman" w:eastAsia="Times New Roman" w:hAnsi="Times New Roman" w:cs="Times New Roman"/>
          <w:color w:val="222222"/>
          <w:sz w:val="21"/>
          <w:szCs w:val="21"/>
          <w:vertAlign w:val="superscript"/>
          <w:lang w:eastAsia="en-GB"/>
        </w:rPr>
        <w:t>2</w:t>
      </w:r>
      <w:r w:rsidRPr="00A22070">
        <w:rPr>
          <w:rFonts w:ascii="Times New Roman" w:eastAsia="Times New Roman" w:hAnsi="Times New Roman" w:cs="Times New Roman"/>
          <w:color w:val="222222"/>
          <w:sz w:val="21"/>
          <w:szCs w:val="21"/>
          <w:lang w:eastAsia="en-GB"/>
        </w:rPr>
        <w:t xml:space="preserve"> and it resembles the </w:t>
      </w:r>
      <w:r w:rsidRPr="00A22070">
        <w:rPr>
          <w:rFonts w:ascii="Times New Roman" w:eastAsia="Times New Roman" w:hAnsi="Times New Roman" w:cs="Times New Roman"/>
          <w:i/>
          <w:color w:val="222222"/>
          <w:sz w:val="21"/>
          <w:szCs w:val="21"/>
          <w:lang w:eastAsia="en-GB"/>
        </w:rPr>
        <w:t xml:space="preserve">Ordo </w:t>
      </w:r>
      <w:proofErr w:type="spellStart"/>
      <w:r w:rsidRPr="00A22070">
        <w:rPr>
          <w:rFonts w:ascii="Times New Roman" w:eastAsia="Times New Roman" w:hAnsi="Times New Roman" w:cs="Times New Roman"/>
          <w:i/>
          <w:color w:val="222222"/>
          <w:sz w:val="21"/>
          <w:szCs w:val="21"/>
          <w:lang w:eastAsia="en-GB"/>
        </w:rPr>
        <w:t>visitandi</w:t>
      </w:r>
      <w:proofErr w:type="spellEnd"/>
      <w:r w:rsidRPr="00A22070">
        <w:rPr>
          <w:rFonts w:ascii="Times New Roman" w:eastAsia="Times New Roman" w:hAnsi="Times New Roman" w:cs="Times New Roman"/>
          <w:i/>
          <w:color w:val="222222"/>
          <w:sz w:val="21"/>
          <w:szCs w:val="21"/>
          <w:lang w:eastAsia="en-GB"/>
        </w:rPr>
        <w:t xml:space="preserve"> </w:t>
      </w:r>
      <w:r w:rsidRPr="00A22070">
        <w:rPr>
          <w:rFonts w:ascii="Times New Roman" w:eastAsia="Times New Roman" w:hAnsi="Times New Roman" w:cs="Times New Roman"/>
          <w:color w:val="222222"/>
          <w:sz w:val="21"/>
          <w:szCs w:val="21"/>
          <w:lang w:eastAsia="en-GB"/>
        </w:rPr>
        <w:t>of the priests, so resembled book of hours in that it is a layperson’s version of a clerical text.</w:t>
      </w:r>
      <w:r w:rsidRPr="00A22070">
        <w:rPr>
          <w:rFonts w:ascii="Times New Roman" w:eastAsia="Times New Roman" w:hAnsi="Times New Roman" w:cs="Times New Roman"/>
          <w:color w:val="222222"/>
          <w:sz w:val="21"/>
          <w:szCs w:val="21"/>
          <w:vertAlign w:val="superscript"/>
          <w:lang w:eastAsia="en-GB"/>
        </w:rPr>
        <w:t xml:space="preserve"> </w:t>
      </w:r>
      <w:r w:rsidRPr="00A22070">
        <w:rPr>
          <w:rFonts w:ascii="Times New Roman" w:eastAsia="Times New Roman" w:hAnsi="Times New Roman" w:cs="Times New Roman"/>
          <w:color w:val="222222"/>
          <w:sz w:val="21"/>
          <w:szCs w:val="21"/>
          <w:lang w:eastAsia="en-GB"/>
        </w:rPr>
        <w:t xml:space="preserve">There was a shift in making death more about the individual soul, and so the </w:t>
      </w:r>
      <w:r w:rsidRPr="00A22070">
        <w:rPr>
          <w:rFonts w:ascii="Times New Roman" w:eastAsia="Times New Roman" w:hAnsi="Times New Roman" w:cs="Times New Roman"/>
          <w:i/>
          <w:color w:val="222222"/>
          <w:sz w:val="21"/>
          <w:szCs w:val="21"/>
          <w:lang w:eastAsia="en-GB"/>
        </w:rPr>
        <w:t xml:space="preserve">Ars moriendi </w:t>
      </w:r>
      <w:r w:rsidRPr="00A22070">
        <w:rPr>
          <w:rFonts w:ascii="Times New Roman" w:eastAsia="Times New Roman" w:hAnsi="Times New Roman" w:cs="Times New Roman"/>
          <w:color w:val="222222"/>
          <w:sz w:val="21"/>
          <w:szCs w:val="21"/>
          <w:lang w:eastAsia="en-GB"/>
        </w:rPr>
        <w:t>became necessary.</w:t>
      </w:r>
      <w:r w:rsidRPr="00A22070">
        <w:rPr>
          <w:rFonts w:ascii="Times New Roman" w:eastAsia="Times New Roman" w:hAnsi="Times New Roman" w:cs="Times New Roman"/>
          <w:color w:val="222222"/>
          <w:sz w:val="21"/>
          <w:szCs w:val="21"/>
          <w:vertAlign w:val="superscript"/>
          <w:lang w:eastAsia="en-GB"/>
        </w:rPr>
        <w:t>3</w:t>
      </w:r>
      <w:r w:rsidRPr="00A22070">
        <w:rPr>
          <w:rFonts w:ascii="Times New Roman" w:eastAsia="Times New Roman" w:hAnsi="Times New Roman" w:cs="Times New Roman"/>
          <w:color w:val="222222"/>
          <w:sz w:val="21"/>
          <w:szCs w:val="21"/>
          <w:lang w:eastAsia="en-GB"/>
        </w:rPr>
        <w:t xml:space="preserve"> Hundreds of copies survive, and eventually it was printed, so it was incredibly popular. Deathbed scene, as angels and demons fight over the soul of the dying </w:t>
      </w:r>
      <w:r w:rsidRPr="00A22070">
        <w:rPr>
          <w:rFonts w:ascii="Times New Roman" w:eastAsia="Times New Roman" w:hAnsi="Times New Roman" w:cs="Times New Roman"/>
          <w:i/>
          <w:color w:val="222222"/>
          <w:sz w:val="21"/>
          <w:szCs w:val="21"/>
          <w:lang w:eastAsia="en-GB"/>
        </w:rPr>
        <w:t>moriens</w:t>
      </w:r>
      <w:r w:rsidRPr="00A22070">
        <w:rPr>
          <w:rFonts w:ascii="Times New Roman" w:eastAsia="Times New Roman" w:hAnsi="Times New Roman" w:cs="Times New Roman"/>
          <w:color w:val="222222"/>
          <w:sz w:val="21"/>
          <w:szCs w:val="21"/>
          <w:lang w:eastAsia="en-GB"/>
        </w:rPr>
        <w:t>. They must resist the final temptations, and control his death, and thus his soul’s destiny.</w:t>
      </w:r>
    </w:p>
    <w:p w14:paraId="4C3F44F6" w14:textId="77777777" w:rsidR="00291627" w:rsidRPr="00A22070" w:rsidRDefault="00291627" w:rsidP="00291627">
      <w:pPr>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r w:rsidRPr="00A22070">
        <w:rPr>
          <w:rFonts w:ascii="Times New Roman" w:eastAsia="Times New Roman" w:hAnsi="Times New Roman" w:cs="Times New Roman"/>
          <w:color w:val="222222"/>
          <w:sz w:val="21"/>
          <w:szCs w:val="21"/>
          <w:lang w:eastAsia="en-GB"/>
        </w:rPr>
        <w:t>The dying person expected to play an active part but t</w:t>
      </w:r>
      <w:r w:rsidRPr="006E6138">
        <w:rPr>
          <w:rFonts w:ascii="Times New Roman" w:eastAsia="Times New Roman" w:hAnsi="Times New Roman" w:cs="Times New Roman"/>
          <w:color w:val="222222"/>
          <w:sz w:val="21"/>
          <w:szCs w:val="21"/>
          <w:lang w:eastAsia="en-GB"/>
        </w:rPr>
        <w:t>he fifth chapter addresses th</w:t>
      </w:r>
      <w:r w:rsidRPr="00A22070">
        <w:rPr>
          <w:rFonts w:ascii="Times New Roman" w:eastAsia="Times New Roman" w:hAnsi="Times New Roman" w:cs="Times New Roman"/>
          <w:color w:val="222222"/>
          <w:sz w:val="21"/>
          <w:szCs w:val="21"/>
          <w:lang w:eastAsia="en-GB"/>
        </w:rPr>
        <w:t>ose attending the dying</w:t>
      </w:r>
      <w:r w:rsidRPr="006E6138">
        <w:rPr>
          <w:rFonts w:ascii="Times New Roman" w:eastAsia="Times New Roman" w:hAnsi="Times New Roman" w:cs="Times New Roman"/>
          <w:color w:val="222222"/>
          <w:sz w:val="21"/>
          <w:szCs w:val="21"/>
          <w:lang w:eastAsia="en-GB"/>
        </w:rPr>
        <w:t xml:space="preserve">, outlining </w:t>
      </w:r>
      <w:r w:rsidRPr="00A22070">
        <w:rPr>
          <w:rFonts w:ascii="Times New Roman" w:eastAsia="Times New Roman" w:hAnsi="Times New Roman" w:cs="Times New Roman"/>
          <w:color w:val="222222"/>
          <w:sz w:val="21"/>
          <w:szCs w:val="21"/>
          <w:lang w:eastAsia="en-GB"/>
        </w:rPr>
        <w:t xml:space="preserve">what they need to do </w:t>
      </w:r>
      <w:r w:rsidRPr="006E6138">
        <w:rPr>
          <w:rFonts w:ascii="Times New Roman" w:eastAsia="Times New Roman" w:hAnsi="Times New Roman" w:cs="Times New Roman"/>
          <w:color w:val="222222"/>
          <w:sz w:val="21"/>
          <w:szCs w:val="21"/>
          <w:lang w:eastAsia="en-GB"/>
        </w:rPr>
        <w:t>at the deathbed.</w:t>
      </w:r>
      <w:r w:rsidRPr="00A22070">
        <w:rPr>
          <w:rFonts w:ascii="Times New Roman" w:eastAsia="Times New Roman" w:hAnsi="Times New Roman" w:cs="Times New Roman"/>
          <w:color w:val="222222"/>
          <w:sz w:val="21"/>
          <w:szCs w:val="21"/>
          <w:lang w:eastAsia="en-GB"/>
        </w:rPr>
        <w:t xml:space="preserve"> </w:t>
      </w:r>
      <w:r w:rsidRPr="00A22070">
        <w:rPr>
          <w:rFonts w:ascii="Times New Roman" w:eastAsia="Times New Roman" w:hAnsi="Times New Roman" w:cs="Times New Roman"/>
          <w:color w:val="222222"/>
          <w:sz w:val="21"/>
          <w:szCs w:val="21"/>
          <w:vertAlign w:val="superscript"/>
          <w:lang w:eastAsia="en-GB"/>
        </w:rPr>
        <w:t xml:space="preserve">4 </w:t>
      </w:r>
      <w:r w:rsidRPr="00A22070">
        <w:rPr>
          <w:rFonts w:ascii="Times New Roman" w:eastAsia="Times New Roman" w:hAnsi="Times New Roman" w:cs="Times New Roman"/>
          <w:color w:val="222222"/>
          <w:sz w:val="21"/>
          <w:szCs w:val="21"/>
          <w:lang w:eastAsia="en-GB"/>
        </w:rPr>
        <w:t xml:space="preserve">The deathbed was commonly attended by a great number of people, including family, friends, priests, physicians and members of the household. </w:t>
      </w:r>
      <w:r w:rsidRPr="00A22070">
        <w:rPr>
          <w:rFonts w:ascii="Times New Roman" w:eastAsia="Times New Roman" w:hAnsi="Times New Roman" w:cs="Times New Roman"/>
          <w:color w:val="222222"/>
          <w:sz w:val="21"/>
          <w:szCs w:val="21"/>
          <w:vertAlign w:val="superscript"/>
          <w:lang w:eastAsia="en-GB"/>
        </w:rPr>
        <w:t xml:space="preserve">5 </w:t>
      </w:r>
      <w:r w:rsidRPr="00A22070">
        <w:rPr>
          <w:rFonts w:ascii="Times New Roman" w:eastAsia="Times New Roman" w:hAnsi="Times New Roman" w:cs="Times New Roman"/>
          <w:color w:val="222222"/>
          <w:sz w:val="21"/>
          <w:szCs w:val="21"/>
          <w:lang w:eastAsia="en-GB"/>
        </w:rPr>
        <w:t xml:space="preserve">Ideally death is an involved affair, with many people helping them in their final hours, where their soul is at peril. </w:t>
      </w:r>
    </w:p>
    <w:p w14:paraId="32457972" w14:textId="77777777" w:rsidR="00291627" w:rsidRPr="00A22070" w:rsidRDefault="00291627" w:rsidP="00291627">
      <w:pPr>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r w:rsidRPr="00A22070">
        <w:rPr>
          <w:rFonts w:ascii="Times New Roman" w:eastAsia="Times New Roman" w:hAnsi="Times New Roman" w:cs="Times New Roman"/>
          <w:color w:val="222222"/>
          <w:sz w:val="21"/>
          <w:szCs w:val="21"/>
          <w:lang w:eastAsia="en-GB"/>
        </w:rPr>
        <w:t xml:space="preserve">Binski says that the </w:t>
      </w:r>
      <w:r w:rsidRPr="00A22070">
        <w:rPr>
          <w:rFonts w:ascii="Times New Roman" w:eastAsia="Times New Roman" w:hAnsi="Times New Roman" w:cs="Times New Roman"/>
          <w:i/>
          <w:color w:val="222222"/>
          <w:sz w:val="21"/>
          <w:szCs w:val="21"/>
          <w:lang w:eastAsia="en-GB"/>
        </w:rPr>
        <w:t xml:space="preserve">Ars moriendi </w:t>
      </w:r>
      <w:r w:rsidRPr="00A22070">
        <w:rPr>
          <w:rFonts w:ascii="Times New Roman" w:eastAsia="Times New Roman" w:hAnsi="Times New Roman" w:cs="Times New Roman"/>
          <w:color w:val="222222"/>
          <w:sz w:val="21"/>
          <w:szCs w:val="21"/>
          <w:lang w:eastAsia="en-GB"/>
        </w:rPr>
        <w:t xml:space="preserve">does not fit with the rest of the late-medieval genres of macabre, because it was created to ‘regulate anxiety’, however this chapter literally says to create fear in them. </w:t>
      </w:r>
    </w:p>
    <w:p w14:paraId="2E50C95B" w14:textId="77777777" w:rsidR="00291627" w:rsidRPr="00A22070" w:rsidRDefault="00291627" w:rsidP="00291627">
      <w:pPr>
        <w:ind w:left="720"/>
        <w:rPr>
          <w:rFonts w:ascii="Times New Roman" w:hAnsi="Times New Roman" w:cs="Times New Roman"/>
          <w:b/>
          <w:noProof/>
        </w:rPr>
      </w:pPr>
      <w:r w:rsidRPr="00A22070">
        <w:rPr>
          <w:rFonts w:ascii="Times New Roman" w:hAnsi="Times New Roman" w:cs="Times New Roman"/>
          <w:b/>
          <w:noProof/>
        </w:rPr>
        <w:t>‘And also [it] ought to be showed to the sick person the great peril that might fall and come to him, notwithstanding though he thereby should be afeared. For better it is that by fear and wholesome dread he have compunciton and be saved, than by blandishing dissolution, or by noyous comfort, he be damned. In truth this thing is much strange and over periolous, and contrary to the faith and Christian religion, but it is a thing diabolical, that to a Christian man, being in the article of death, for to hide from him the perol of the death of his soul, and that by human dread men dare not trouble him…’</w:t>
      </w:r>
    </w:p>
    <w:p w14:paraId="6C4971B6" w14:textId="77777777" w:rsidR="00291627" w:rsidRPr="00A22070" w:rsidRDefault="00291627" w:rsidP="00291627">
      <w:pPr>
        <w:rPr>
          <w:rFonts w:ascii="Times New Roman" w:hAnsi="Times New Roman" w:cs="Times New Roman"/>
          <w:noProof/>
        </w:rPr>
      </w:pPr>
      <w:r w:rsidRPr="00A22070">
        <w:rPr>
          <w:rFonts w:ascii="Times New Roman" w:hAnsi="Times New Roman" w:cs="Times New Roman"/>
          <w:noProof/>
        </w:rPr>
        <w:t xml:space="preserve">It is for their spiritual safety, and they justify it, but still, it creates an unpleasant death scene, but the person dying would have, hopefully, read an </w:t>
      </w:r>
      <w:r w:rsidRPr="00A22070">
        <w:rPr>
          <w:rFonts w:ascii="Times New Roman" w:hAnsi="Times New Roman" w:cs="Times New Roman"/>
          <w:i/>
          <w:noProof/>
        </w:rPr>
        <w:t xml:space="preserve">Ars moriendi </w:t>
      </w:r>
      <w:r w:rsidRPr="00A22070">
        <w:rPr>
          <w:rFonts w:ascii="Times New Roman" w:hAnsi="Times New Roman" w:cs="Times New Roman"/>
          <w:noProof/>
        </w:rPr>
        <w:t xml:space="preserve">themselves, and would fully understand what was required of themselves, and those around them. </w:t>
      </w:r>
      <w:r w:rsidRPr="00A22070">
        <w:rPr>
          <w:rFonts w:ascii="Times New Roman" w:eastAsia="Times New Roman" w:hAnsi="Times New Roman" w:cs="Times New Roman"/>
          <w:color w:val="222222"/>
          <w:sz w:val="21"/>
          <w:szCs w:val="21"/>
          <w:lang w:eastAsia="en-GB"/>
        </w:rPr>
        <w:t xml:space="preserve">The behaviour at time of death crucial to the destination of the soul, so you can see why they say they need to think about it, instead of being relaxed. </w:t>
      </w:r>
    </w:p>
    <w:p w14:paraId="589C4229" w14:textId="77777777" w:rsidR="00291627" w:rsidRDefault="00291627" w:rsidP="00291627">
      <w:pPr>
        <w:shd w:val="clear" w:color="auto" w:fill="FFFFFF"/>
        <w:spacing w:before="100" w:beforeAutospacing="1" w:after="24" w:line="240" w:lineRule="auto"/>
        <w:ind w:left="720"/>
        <w:rPr>
          <w:rFonts w:ascii="Times New Roman" w:hAnsi="Times New Roman" w:cs="Times New Roman"/>
          <w:b/>
          <w:noProof/>
        </w:rPr>
      </w:pPr>
      <w:r w:rsidRPr="00A22070">
        <w:rPr>
          <w:rFonts w:ascii="Times New Roman" w:hAnsi="Times New Roman" w:cs="Times New Roman"/>
          <w:b/>
          <w:noProof/>
        </w:rPr>
        <w:t>‘Always ought [it] to be taken heed that the interrogations be made before or that the sick man lose the usage of speech; and if the answers of the sick person appear not sound nor sufficient to his salvation, let there be put thereto remedy—by necessary information—by the best manner that may be.’</w:t>
      </w:r>
    </w:p>
    <w:p w14:paraId="7DA30039" w14:textId="77777777" w:rsidR="00291627" w:rsidRPr="00A22070" w:rsidRDefault="00291627" w:rsidP="00291627">
      <w:pPr>
        <w:shd w:val="clear" w:color="auto" w:fill="FFFFFF"/>
        <w:spacing w:before="100" w:beforeAutospacing="1" w:after="24" w:line="240" w:lineRule="auto"/>
        <w:ind w:left="720"/>
        <w:rPr>
          <w:rFonts w:ascii="Times New Roman" w:eastAsia="Times New Roman" w:hAnsi="Times New Roman" w:cs="Times New Roman"/>
          <w:color w:val="222222"/>
          <w:sz w:val="21"/>
          <w:szCs w:val="21"/>
          <w:lang w:eastAsia="en-GB"/>
        </w:rPr>
      </w:pPr>
      <w:r w:rsidRPr="00A22070">
        <w:rPr>
          <w:rFonts w:ascii="Times New Roman" w:eastAsia="Times New Roman" w:hAnsi="Times New Roman" w:cs="Times New Roman"/>
          <w:color w:val="222222"/>
          <w:sz w:val="21"/>
          <w:szCs w:val="21"/>
          <w:lang w:eastAsia="en-GB"/>
        </w:rPr>
        <w:t xml:space="preserve">There were standard or formulaic questions to answer about their life and real emotion was expected to be shown, especially reverence and humility. ‘The dying person was not a spectator, but a key player’. </w:t>
      </w:r>
      <w:r w:rsidRPr="00A22070">
        <w:rPr>
          <w:rFonts w:ascii="Times New Roman" w:eastAsia="Times New Roman" w:hAnsi="Times New Roman" w:cs="Times New Roman"/>
          <w:color w:val="222222"/>
          <w:sz w:val="21"/>
          <w:szCs w:val="21"/>
          <w:vertAlign w:val="superscript"/>
          <w:lang w:eastAsia="en-GB"/>
        </w:rPr>
        <w:t xml:space="preserve">8 </w:t>
      </w:r>
      <w:r w:rsidRPr="00A22070">
        <w:rPr>
          <w:rFonts w:ascii="Times New Roman" w:eastAsia="Times New Roman" w:hAnsi="Times New Roman" w:cs="Times New Roman"/>
          <w:color w:val="222222"/>
          <w:sz w:val="21"/>
          <w:szCs w:val="21"/>
          <w:lang w:eastAsia="en-GB"/>
        </w:rPr>
        <w:t xml:space="preserve">The previous four chapters depict what the </w:t>
      </w:r>
      <w:r w:rsidRPr="00A22070">
        <w:rPr>
          <w:rFonts w:ascii="Times New Roman" w:eastAsia="Times New Roman" w:hAnsi="Times New Roman" w:cs="Times New Roman"/>
          <w:i/>
          <w:color w:val="222222"/>
          <w:sz w:val="21"/>
          <w:szCs w:val="21"/>
          <w:lang w:eastAsia="en-GB"/>
        </w:rPr>
        <w:t xml:space="preserve">moriens </w:t>
      </w:r>
      <w:r w:rsidRPr="00A22070">
        <w:rPr>
          <w:rFonts w:ascii="Times New Roman" w:eastAsia="Times New Roman" w:hAnsi="Times New Roman" w:cs="Times New Roman"/>
          <w:color w:val="222222"/>
          <w:sz w:val="21"/>
          <w:szCs w:val="21"/>
          <w:lang w:eastAsia="en-GB"/>
        </w:rPr>
        <w:t xml:space="preserve">needs to do, but it is nice to see that it was a group affair, and that no one was expected to die alone. </w:t>
      </w:r>
    </w:p>
    <w:p w14:paraId="714C8909" w14:textId="77777777" w:rsidR="00291627" w:rsidRPr="00A22070" w:rsidRDefault="00291627" w:rsidP="00291627">
      <w:pPr>
        <w:shd w:val="clear" w:color="auto" w:fill="FFFFFF"/>
        <w:spacing w:before="100" w:beforeAutospacing="1" w:after="24" w:line="240" w:lineRule="auto"/>
        <w:ind w:left="720"/>
        <w:rPr>
          <w:rFonts w:ascii="Times New Roman" w:eastAsia="Times New Roman" w:hAnsi="Times New Roman" w:cs="Times New Roman"/>
          <w:color w:val="222222"/>
          <w:sz w:val="21"/>
          <w:szCs w:val="21"/>
          <w:lang w:eastAsia="en-GB"/>
        </w:rPr>
      </w:pPr>
    </w:p>
    <w:p w14:paraId="203201B4" w14:textId="77777777" w:rsidR="00291627" w:rsidRPr="00A22070" w:rsidRDefault="00291627" w:rsidP="00291627">
      <w:pPr>
        <w:pStyle w:val="ListParagraph"/>
        <w:numPr>
          <w:ilvl w:val="0"/>
          <w:numId w:val="3"/>
        </w:numPr>
        <w:shd w:val="clear" w:color="auto" w:fill="FFFFFF"/>
        <w:spacing w:before="100" w:beforeAutospacing="1" w:after="24" w:line="240" w:lineRule="auto"/>
        <w:rPr>
          <w:rFonts w:ascii="Times New Roman" w:eastAsia="Times New Roman" w:hAnsi="Times New Roman" w:cs="Times New Roman"/>
          <w:color w:val="222222"/>
          <w:sz w:val="18"/>
          <w:szCs w:val="18"/>
          <w:lang w:eastAsia="en-GB"/>
        </w:rPr>
      </w:pPr>
      <w:r w:rsidRPr="00A22070">
        <w:rPr>
          <w:rFonts w:ascii="Times New Roman" w:eastAsia="Times New Roman" w:hAnsi="Times New Roman" w:cs="Times New Roman"/>
          <w:color w:val="222222"/>
          <w:sz w:val="18"/>
          <w:szCs w:val="18"/>
          <w:lang w:eastAsia="en-GB"/>
        </w:rPr>
        <w:t>Daniell, pg. 38</w:t>
      </w:r>
    </w:p>
    <w:p w14:paraId="39780B5E" w14:textId="77777777" w:rsidR="00291627" w:rsidRPr="00A22070" w:rsidRDefault="00291627" w:rsidP="00291627">
      <w:pPr>
        <w:pStyle w:val="ListParagraph"/>
        <w:numPr>
          <w:ilvl w:val="0"/>
          <w:numId w:val="3"/>
        </w:numPr>
        <w:shd w:val="clear" w:color="auto" w:fill="FFFFFF"/>
        <w:spacing w:before="100" w:beforeAutospacing="1" w:after="24" w:line="240" w:lineRule="auto"/>
        <w:rPr>
          <w:rFonts w:ascii="Times New Roman" w:hAnsi="Times New Roman" w:cs="Times New Roman"/>
          <w:color w:val="373A3C"/>
          <w:sz w:val="18"/>
          <w:szCs w:val="18"/>
          <w:shd w:val="clear" w:color="auto" w:fill="FFFFFF"/>
        </w:rPr>
      </w:pPr>
      <w:r w:rsidRPr="00A22070">
        <w:rPr>
          <w:rFonts w:ascii="Times New Roman" w:hAnsi="Times New Roman" w:cs="Times New Roman"/>
          <w:color w:val="373A3C"/>
          <w:sz w:val="18"/>
          <w:szCs w:val="18"/>
          <w:shd w:val="clear" w:color="auto" w:fill="FFFFFF"/>
        </w:rPr>
        <w:t xml:space="preserve">D. F. </w:t>
      </w:r>
      <w:proofErr w:type="spellStart"/>
      <w:r w:rsidRPr="00A22070">
        <w:rPr>
          <w:rFonts w:ascii="Times New Roman" w:hAnsi="Times New Roman" w:cs="Times New Roman"/>
          <w:color w:val="373A3C"/>
          <w:sz w:val="18"/>
          <w:szCs w:val="18"/>
          <w:shd w:val="clear" w:color="auto" w:fill="FFFFFF"/>
        </w:rPr>
        <w:t>Duclow</w:t>
      </w:r>
      <w:proofErr w:type="spellEnd"/>
      <w:r w:rsidRPr="00A22070">
        <w:rPr>
          <w:rFonts w:ascii="Times New Roman" w:hAnsi="Times New Roman" w:cs="Times New Roman"/>
          <w:color w:val="373A3C"/>
          <w:sz w:val="18"/>
          <w:szCs w:val="18"/>
          <w:shd w:val="clear" w:color="auto" w:fill="FFFFFF"/>
        </w:rPr>
        <w:t>, 'Dying Well: The </w:t>
      </w:r>
      <w:r w:rsidRPr="00A22070">
        <w:rPr>
          <w:rStyle w:val="Emphasis"/>
          <w:rFonts w:ascii="Times New Roman" w:hAnsi="Times New Roman" w:cs="Times New Roman"/>
          <w:color w:val="373A3C"/>
          <w:sz w:val="18"/>
          <w:szCs w:val="18"/>
          <w:shd w:val="clear" w:color="auto" w:fill="FFFFFF"/>
        </w:rPr>
        <w:t>Ars Moriendi</w:t>
      </w:r>
      <w:r w:rsidRPr="00A22070">
        <w:rPr>
          <w:rFonts w:ascii="Times New Roman" w:hAnsi="Times New Roman" w:cs="Times New Roman"/>
          <w:color w:val="373A3C"/>
          <w:sz w:val="18"/>
          <w:szCs w:val="18"/>
          <w:shd w:val="clear" w:color="auto" w:fill="FFFFFF"/>
        </w:rPr>
        <w:t xml:space="preserve"> and the </w:t>
      </w:r>
      <w:proofErr w:type="spellStart"/>
      <w:r w:rsidRPr="00A22070">
        <w:rPr>
          <w:rFonts w:ascii="Times New Roman" w:hAnsi="Times New Roman" w:cs="Times New Roman"/>
          <w:color w:val="373A3C"/>
          <w:sz w:val="18"/>
          <w:szCs w:val="18"/>
          <w:shd w:val="clear" w:color="auto" w:fill="FFFFFF"/>
        </w:rPr>
        <w:t>Dormition</w:t>
      </w:r>
      <w:proofErr w:type="spellEnd"/>
      <w:r w:rsidRPr="00A22070">
        <w:rPr>
          <w:rFonts w:ascii="Times New Roman" w:hAnsi="Times New Roman" w:cs="Times New Roman"/>
          <w:color w:val="373A3C"/>
          <w:sz w:val="18"/>
          <w:szCs w:val="18"/>
          <w:shd w:val="clear" w:color="auto" w:fill="FFFFFF"/>
        </w:rPr>
        <w:t xml:space="preserve"> of the Virgin,' in </w:t>
      </w:r>
      <w:r w:rsidRPr="00A22070">
        <w:rPr>
          <w:rStyle w:val="Emphasis"/>
          <w:rFonts w:ascii="Times New Roman" w:hAnsi="Times New Roman" w:cs="Times New Roman"/>
          <w:color w:val="373A3C"/>
          <w:sz w:val="18"/>
          <w:szCs w:val="18"/>
          <w:shd w:val="clear" w:color="auto" w:fill="FFFFFF"/>
        </w:rPr>
        <w:t>Death and Dying in the Middle Ages</w:t>
      </w:r>
      <w:r w:rsidRPr="00A22070">
        <w:rPr>
          <w:rFonts w:ascii="Times New Roman" w:hAnsi="Times New Roman" w:cs="Times New Roman"/>
          <w:color w:val="373A3C"/>
          <w:sz w:val="18"/>
          <w:szCs w:val="18"/>
          <w:shd w:val="clear" w:color="auto" w:fill="FFFFFF"/>
        </w:rPr>
        <w:t xml:space="preserve">, ed. by E. E. </w:t>
      </w:r>
      <w:proofErr w:type="spellStart"/>
      <w:r w:rsidRPr="00A22070">
        <w:rPr>
          <w:rFonts w:ascii="Times New Roman" w:hAnsi="Times New Roman" w:cs="Times New Roman"/>
          <w:color w:val="373A3C"/>
          <w:sz w:val="18"/>
          <w:szCs w:val="18"/>
          <w:shd w:val="clear" w:color="auto" w:fill="FFFFFF"/>
        </w:rPr>
        <w:t>DuBruck</w:t>
      </w:r>
      <w:proofErr w:type="spellEnd"/>
      <w:r w:rsidRPr="00A22070">
        <w:rPr>
          <w:rFonts w:ascii="Times New Roman" w:hAnsi="Times New Roman" w:cs="Times New Roman"/>
          <w:color w:val="373A3C"/>
          <w:sz w:val="18"/>
          <w:szCs w:val="18"/>
          <w:shd w:val="clear" w:color="auto" w:fill="FFFFFF"/>
        </w:rPr>
        <w:t xml:space="preserve"> and B. J. </w:t>
      </w:r>
      <w:proofErr w:type="spellStart"/>
      <w:r w:rsidRPr="00A22070">
        <w:rPr>
          <w:rFonts w:ascii="Times New Roman" w:hAnsi="Times New Roman" w:cs="Times New Roman"/>
          <w:color w:val="373A3C"/>
          <w:sz w:val="18"/>
          <w:szCs w:val="18"/>
          <w:shd w:val="clear" w:color="auto" w:fill="FFFFFF"/>
        </w:rPr>
        <w:t>Gusick</w:t>
      </w:r>
      <w:proofErr w:type="spellEnd"/>
      <w:r w:rsidRPr="00A22070">
        <w:rPr>
          <w:rFonts w:ascii="Times New Roman" w:hAnsi="Times New Roman" w:cs="Times New Roman"/>
          <w:color w:val="373A3C"/>
          <w:sz w:val="18"/>
          <w:szCs w:val="18"/>
          <w:shd w:val="clear" w:color="auto" w:fill="FFFFFF"/>
        </w:rPr>
        <w:t xml:space="preserve"> (New York, 1999), pp. 379</w:t>
      </w:r>
    </w:p>
    <w:p w14:paraId="4D58D8BC" w14:textId="77777777" w:rsidR="00291627" w:rsidRPr="00A22070" w:rsidRDefault="00291627" w:rsidP="00291627">
      <w:pPr>
        <w:pStyle w:val="ListParagraph"/>
        <w:numPr>
          <w:ilvl w:val="0"/>
          <w:numId w:val="3"/>
        </w:numPr>
        <w:shd w:val="clear" w:color="auto" w:fill="FFFFFF"/>
        <w:spacing w:before="100" w:beforeAutospacing="1" w:after="24" w:line="240" w:lineRule="auto"/>
        <w:rPr>
          <w:rFonts w:ascii="Times New Roman" w:hAnsi="Times New Roman" w:cs="Times New Roman"/>
          <w:color w:val="373A3C"/>
          <w:sz w:val="18"/>
          <w:szCs w:val="18"/>
          <w:shd w:val="clear" w:color="auto" w:fill="FFFFFF"/>
        </w:rPr>
      </w:pPr>
      <w:proofErr w:type="spellStart"/>
      <w:r w:rsidRPr="00A22070">
        <w:rPr>
          <w:rFonts w:ascii="Times New Roman" w:hAnsi="Times New Roman" w:cs="Times New Roman"/>
          <w:color w:val="373A3C"/>
          <w:sz w:val="18"/>
          <w:szCs w:val="18"/>
          <w:shd w:val="clear" w:color="auto" w:fill="FFFFFF"/>
        </w:rPr>
        <w:t>Duclow</w:t>
      </w:r>
      <w:proofErr w:type="spellEnd"/>
      <w:r w:rsidRPr="00A22070">
        <w:rPr>
          <w:rFonts w:ascii="Times New Roman" w:hAnsi="Times New Roman" w:cs="Times New Roman"/>
          <w:color w:val="373A3C"/>
          <w:sz w:val="18"/>
          <w:szCs w:val="18"/>
          <w:shd w:val="clear" w:color="auto" w:fill="FFFFFF"/>
        </w:rPr>
        <w:t>, pg. 379.</w:t>
      </w:r>
    </w:p>
    <w:p w14:paraId="647F77FD" w14:textId="77777777" w:rsidR="00291627" w:rsidRPr="00AC592E" w:rsidRDefault="00291627" w:rsidP="00291627">
      <w:pPr>
        <w:pStyle w:val="ListParagraph"/>
        <w:numPr>
          <w:ilvl w:val="0"/>
          <w:numId w:val="3"/>
        </w:numPr>
        <w:shd w:val="clear" w:color="auto" w:fill="FFFFFF"/>
        <w:spacing w:before="100" w:beforeAutospacing="1" w:after="24" w:line="240" w:lineRule="auto"/>
        <w:rPr>
          <w:rFonts w:ascii="Times New Roman" w:eastAsia="Times New Roman" w:hAnsi="Times New Roman" w:cs="Times New Roman"/>
          <w:color w:val="222222"/>
          <w:sz w:val="18"/>
          <w:szCs w:val="18"/>
          <w:lang w:eastAsia="en-GB"/>
        </w:rPr>
      </w:pPr>
      <w:proofErr w:type="spellStart"/>
      <w:r w:rsidRPr="00AC592E">
        <w:rPr>
          <w:rFonts w:ascii="Times New Roman" w:eastAsia="Times New Roman" w:hAnsi="Times New Roman" w:cs="Times New Roman"/>
          <w:color w:val="222222"/>
          <w:sz w:val="18"/>
          <w:szCs w:val="18"/>
          <w:lang w:eastAsia="en-GB"/>
        </w:rPr>
        <w:t>Duclow</w:t>
      </w:r>
      <w:proofErr w:type="spellEnd"/>
      <w:r w:rsidRPr="00AC592E">
        <w:rPr>
          <w:rFonts w:ascii="Times New Roman" w:eastAsia="Times New Roman" w:hAnsi="Times New Roman" w:cs="Times New Roman"/>
          <w:color w:val="222222"/>
          <w:sz w:val="18"/>
          <w:szCs w:val="18"/>
          <w:lang w:eastAsia="en-GB"/>
        </w:rPr>
        <w:t xml:space="preserve">, pg. 385. </w:t>
      </w:r>
    </w:p>
    <w:p w14:paraId="092B20FF" w14:textId="77777777" w:rsidR="00291627" w:rsidRPr="00AC592E" w:rsidRDefault="00291627" w:rsidP="00291627">
      <w:pPr>
        <w:pStyle w:val="ListParagraph"/>
        <w:numPr>
          <w:ilvl w:val="0"/>
          <w:numId w:val="3"/>
        </w:numPr>
        <w:jc w:val="both"/>
        <w:rPr>
          <w:rFonts w:ascii="Times New Roman" w:hAnsi="Times New Roman" w:cs="Times New Roman"/>
          <w:noProof/>
          <w:sz w:val="18"/>
          <w:szCs w:val="18"/>
        </w:rPr>
      </w:pPr>
      <w:r w:rsidRPr="00AC592E">
        <w:rPr>
          <w:rFonts w:ascii="Times New Roman" w:hAnsi="Times New Roman" w:cs="Times New Roman"/>
          <w:noProof/>
          <w:sz w:val="18"/>
          <w:szCs w:val="18"/>
        </w:rPr>
        <w:t xml:space="preserve">Hadley, pg. 73. </w:t>
      </w:r>
    </w:p>
    <w:p w14:paraId="569D8252" w14:textId="77777777" w:rsidR="00291627" w:rsidRPr="00AC592E" w:rsidRDefault="00291627" w:rsidP="00291627">
      <w:pPr>
        <w:pStyle w:val="ListParagraph"/>
        <w:numPr>
          <w:ilvl w:val="0"/>
          <w:numId w:val="3"/>
        </w:numPr>
        <w:jc w:val="both"/>
        <w:rPr>
          <w:rFonts w:ascii="Times New Roman" w:hAnsi="Times New Roman" w:cs="Times New Roman"/>
          <w:noProof/>
          <w:sz w:val="18"/>
          <w:szCs w:val="18"/>
        </w:rPr>
      </w:pPr>
      <w:r w:rsidRPr="00AC592E">
        <w:rPr>
          <w:rFonts w:ascii="Times New Roman" w:hAnsi="Times New Roman" w:cs="Times New Roman"/>
          <w:noProof/>
          <w:sz w:val="18"/>
          <w:szCs w:val="18"/>
        </w:rPr>
        <w:t xml:space="preserve">Binski, pg. 37. </w:t>
      </w:r>
    </w:p>
    <w:p w14:paraId="739D59A7" w14:textId="77777777" w:rsidR="00291627" w:rsidRPr="00AC592E" w:rsidRDefault="00291627" w:rsidP="00291627">
      <w:pPr>
        <w:pStyle w:val="ListParagraph"/>
        <w:numPr>
          <w:ilvl w:val="0"/>
          <w:numId w:val="3"/>
        </w:numPr>
        <w:jc w:val="both"/>
        <w:rPr>
          <w:rFonts w:ascii="Times New Roman" w:hAnsi="Times New Roman" w:cs="Times New Roman"/>
          <w:noProof/>
          <w:sz w:val="18"/>
          <w:szCs w:val="18"/>
        </w:rPr>
      </w:pPr>
      <w:r w:rsidRPr="00AC592E">
        <w:rPr>
          <w:rFonts w:ascii="Times New Roman" w:hAnsi="Times New Roman" w:cs="Times New Roman"/>
          <w:noProof/>
          <w:sz w:val="18"/>
          <w:szCs w:val="18"/>
        </w:rPr>
        <w:t>Binski, pg. 37.</w:t>
      </w:r>
    </w:p>
    <w:p w14:paraId="76856203" w14:textId="77777777" w:rsidR="00291627" w:rsidRPr="00AC592E" w:rsidRDefault="00291627" w:rsidP="00291627">
      <w:pPr>
        <w:pStyle w:val="ListParagraph"/>
        <w:numPr>
          <w:ilvl w:val="0"/>
          <w:numId w:val="3"/>
        </w:numPr>
        <w:jc w:val="both"/>
        <w:rPr>
          <w:rFonts w:ascii="Times New Roman" w:hAnsi="Times New Roman" w:cs="Times New Roman"/>
          <w:noProof/>
          <w:sz w:val="18"/>
          <w:szCs w:val="18"/>
        </w:rPr>
      </w:pPr>
      <w:r w:rsidRPr="00AC592E">
        <w:rPr>
          <w:rFonts w:ascii="Times New Roman" w:hAnsi="Times New Roman" w:cs="Times New Roman"/>
          <w:noProof/>
          <w:sz w:val="18"/>
          <w:szCs w:val="18"/>
        </w:rPr>
        <w:t xml:space="preserve">Binski, pg. 37. </w:t>
      </w:r>
    </w:p>
    <w:p w14:paraId="760E0127" w14:textId="77777777" w:rsidR="00291627" w:rsidRPr="00A22070" w:rsidRDefault="00291627" w:rsidP="00291627">
      <w:pPr>
        <w:pStyle w:val="ListParagraph"/>
        <w:ind w:left="1128"/>
        <w:jc w:val="both"/>
        <w:rPr>
          <w:rFonts w:ascii="Times New Roman" w:hAnsi="Times New Roman" w:cs="Times New Roman"/>
          <w:b/>
          <w:noProof/>
          <w:sz w:val="18"/>
          <w:szCs w:val="18"/>
        </w:rPr>
      </w:pPr>
    </w:p>
    <w:p w14:paraId="124F1CF2" w14:textId="77777777" w:rsidR="00291627"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0016396C" w14:textId="77777777" w:rsidR="00291627" w:rsidRPr="00AC592E"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6FA59EFA" w14:textId="77777777" w:rsidR="00291627" w:rsidRPr="00A22070" w:rsidRDefault="00291627" w:rsidP="00291627">
      <w:pPr>
        <w:jc w:val="both"/>
        <w:rPr>
          <w:rFonts w:ascii="Times New Roman" w:hAnsi="Times New Roman" w:cs="Times New Roman"/>
          <w:b/>
          <w:noProof/>
        </w:rPr>
      </w:pPr>
      <w:r w:rsidRPr="00A22070">
        <w:rPr>
          <w:rFonts w:ascii="Times New Roman" w:hAnsi="Times New Roman" w:cs="Times New Roman"/>
          <w:b/>
          <w:noProof/>
        </w:rPr>
        <w:t>‘Item if the sick man have long space of time, and that he be not oppressed of hasty death, the assistants ought to read before him histories and devout orisons, which before he delighted and took pleasure in; and men ought to remember him of God’s commandments, to the end that he think the more profoundly if he could find anything in himself that he hath against the said commandments commised and trespassed. And if he be so sick that he hath lost the usage of speech, and hath his knowledge whole and entire, he ought to answer to these things by some sign outward, or by whole consenting of heart, for that sufficeth to his salvation.’</w:t>
      </w:r>
    </w:p>
    <w:p w14:paraId="3FD0C63F"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r w:rsidRPr="00A22070">
        <w:rPr>
          <w:rFonts w:ascii="Times New Roman" w:eastAsia="Times New Roman" w:hAnsi="Times New Roman" w:cs="Times New Roman"/>
          <w:color w:val="222222"/>
          <w:sz w:val="21"/>
          <w:szCs w:val="21"/>
          <w:lang w:eastAsia="en-GB"/>
        </w:rPr>
        <w:t xml:space="preserve">It was advised to have a special friend who prayed for their soul as dying, or read some of the stories of the saints, the Passion, </w:t>
      </w:r>
      <w:proofErr w:type="spellStart"/>
      <w:r w:rsidRPr="00A22070">
        <w:rPr>
          <w:rFonts w:ascii="Times New Roman" w:eastAsia="Times New Roman" w:hAnsi="Times New Roman" w:cs="Times New Roman"/>
          <w:color w:val="222222"/>
          <w:sz w:val="21"/>
          <w:szCs w:val="21"/>
          <w:lang w:eastAsia="en-GB"/>
        </w:rPr>
        <w:t>etc</w:t>
      </w:r>
      <w:proofErr w:type="spellEnd"/>
      <w:r w:rsidRPr="00A22070">
        <w:rPr>
          <w:rFonts w:ascii="Times New Roman" w:eastAsia="Times New Roman" w:hAnsi="Times New Roman" w:cs="Times New Roman"/>
          <w:color w:val="222222"/>
          <w:sz w:val="21"/>
          <w:szCs w:val="21"/>
          <w:lang w:eastAsia="en-GB"/>
        </w:rPr>
        <w:t xml:space="preserve"> to deter the evil spirits and to inspire holy thoughts with the </w:t>
      </w:r>
      <w:r w:rsidRPr="00A22070">
        <w:rPr>
          <w:rFonts w:ascii="Times New Roman" w:eastAsia="Times New Roman" w:hAnsi="Times New Roman" w:cs="Times New Roman"/>
          <w:i/>
          <w:color w:val="222222"/>
          <w:sz w:val="21"/>
          <w:szCs w:val="21"/>
          <w:lang w:eastAsia="en-GB"/>
        </w:rPr>
        <w:t>moriens</w:t>
      </w:r>
      <w:r w:rsidRPr="00A22070">
        <w:rPr>
          <w:rFonts w:ascii="Times New Roman" w:eastAsia="Times New Roman" w:hAnsi="Times New Roman" w:cs="Times New Roman"/>
          <w:color w:val="222222"/>
          <w:sz w:val="21"/>
          <w:szCs w:val="21"/>
          <w:lang w:eastAsia="en-GB"/>
        </w:rPr>
        <w:t xml:space="preserve">. </w:t>
      </w:r>
    </w:p>
    <w:p w14:paraId="475235E1" w14:textId="77777777" w:rsidR="00291627" w:rsidRPr="00A22070" w:rsidRDefault="00291627" w:rsidP="00291627">
      <w:pPr>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r w:rsidRPr="00A22070">
        <w:rPr>
          <w:rFonts w:ascii="Times New Roman" w:hAnsi="Times New Roman" w:cs="Times New Roman"/>
          <w:b/>
          <w:noProof/>
        </w:rPr>
        <w:t>‘Item [there] ought to be presented to the sick person the image of the crucifix, which always should be among the sick people, and also the image of our Blessed Lady, and of other saints which the sick man hath most loved and honoured in his life. Also (there) ought to be about them holy water, and oft cast upon them and about them to the end that the devils be put a-back from them.’</w:t>
      </w:r>
    </w:p>
    <w:p w14:paraId="37E9CE28" w14:textId="77777777" w:rsidR="00291627" w:rsidRPr="00A22070" w:rsidRDefault="00291627" w:rsidP="00291627">
      <w:pPr>
        <w:pStyle w:val="ListParagraph"/>
        <w:rPr>
          <w:rFonts w:ascii="Times New Roman" w:eastAsia="Times New Roman" w:hAnsi="Times New Roman" w:cs="Times New Roman"/>
          <w:color w:val="222222"/>
          <w:sz w:val="21"/>
          <w:szCs w:val="21"/>
          <w:lang w:eastAsia="en-GB"/>
        </w:rPr>
      </w:pPr>
    </w:p>
    <w:p w14:paraId="1F96B112"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r w:rsidRPr="00A22070">
        <w:rPr>
          <w:rFonts w:ascii="Times New Roman" w:eastAsia="Times New Roman" w:hAnsi="Times New Roman" w:cs="Times New Roman"/>
          <w:color w:val="222222"/>
          <w:sz w:val="21"/>
          <w:szCs w:val="21"/>
          <w:lang w:eastAsia="en-GB"/>
        </w:rPr>
        <w:t xml:space="preserve">The surrounding family and friends were important in many aspects, assisting them with their Final Moment, a chance for salvation for all Christians. They just needed to resist the demons around them, and the people aiding them could help by sprinkling the body with holy water and presenting them with a crucifix. Also could sprinkle holy water. </w:t>
      </w:r>
    </w:p>
    <w:p w14:paraId="7313BF86"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57A77C87" w14:textId="77777777" w:rsidR="00291627" w:rsidRPr="00A22070" w:rsidRDefault="00291627" w:rsidP="00291627">
      <w:pPr>
        <w:jc w:val="center"/>
        <w:rPr>
          <w:rFonts w:ascii="Times New Roman" w:hAnsi="Times New Roman" w:cs="Times New Roman"/>
          <w:noProof/>
          <w:u w:val="single"/>
        </w:rPr>
      </w:pPr>
      <w:r w:rsidRPr="00A22070">
        <w:rPr>
          <w:rFonts w:ascii="Times New Roman" w:eastAsia="Times New Roman" w:hAnsi="Times New Roman" w:cs="Times New Roman"/>
          <w:color w:val="222222"/>
          <w:sz w:val="21"/>
          <w:szCs w:val="21"/>
          <w:lang w:eastAsia="en-GB"/>
        </w:rPr>
        <w:t xml:space="preserve">The final hours of a person’s life in the Late Middle Ages could be understand, and to an extent, prepared for, by reading an </w:t>
      </w:r>
      <w:r w:rsidRPr="00A22070">
        <w:rPr>
          <w:rFonts w:ascii="Times New Roman" w:eastAsia="Times New Roman" w:hAnsi="Times New Roman" w:cs="Times New Roman"/>
          <w:i/>
          <w:color w:val="222222"/>
          <w:sz w:val="21"/>
          <w:szCs w:val="21"/>
          <w:lang w:eastAsia="en-GB"/>
        </w:rPr>
        <w:t>Ars Moriendi</w:t>
      </w:r>
      <w:r w:rsidRPr="00A22070">
        <w:rPr>
          <w:rFonts w:ascii="Times New Roman" w:eastAsia="Times New Roman" w:hAnsi="Times New Roman" w:cs="Times New Roman"/>
          <w:color w:val="222222"/>
          <w:sz w:val="21"/>
          <w:szCs w:val="21"/>
          <w:lang w:eastAsia="en-GB"/>
        </w:rPr>
        <w:t>, benefitting those around them, and eventually in turn themselves, by aiding the soul to the best destination. The medieval notion of a good death was very important, and whilst perhaps unrealistic for many, is portrayed in ‘Chapter V of the Art and Craft to know well to die’ by Wi</w:t>
      </w:r>
      <w:r>
        <w:rPr>
          <w:rFonts w:ascii="Times New Roman" w:eastAsia="Times New Roman" w:hAnsi="Times New Roman" w:cs="Times New Roman"/>
          <w:color w:val="222222"/>
          <w:sz w:val="21"/>
          <w:szCs w:val="21"/>
          <w:lang w:eastAsia="en-GB"/>
        </w:rPr>
        <w:t>l</w:t>
      </w:r>
      <w:r w:rsidRPr="00A22070">
        <w:rPr>
          <w:rFonts w:ascii="Times New Roman" w:eastAsia="Times New Roman" w:hAnsi="Times New Roman" w:cs="Times New Roman"/>
          <w:color w:val="222222"/>
          <w:sz w:val="21"/>
          <w:szCs w:val="21"/>
          <w:lang w:eastAsia="en-GB"/>
        </w:rPr>
        <w:t>liam Caxton.</w:t>
      </w:r>
    </w:p>
    <w:p w14:paraId="4F6122D4"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5C820C69"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0422F97B"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4CC99549"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6C70F4CC"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446C29CC"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048C6256"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21"/>
          <w:szCs w:val="21"/>
          <w:lang w:eastAsia="en-GB"/>
        </w:rPr>
      </w:pPr>
    </w:p>
    <w:p w14:paraId="18A52DF3" w14:textId="77777777" w:rsidR="00291627" w:rsidRPr="00AC592E"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sz w:val="18"/>
          <w:szCs w:val="18"/>
          <w:lang w:eastAsia="en-GB"/>
        </w:rPr>
      </w:pPr>
    </w:p>
    <w:p w14:paraId="13E0794E" w14:textId="77777777" w:rsidR="00291627" w:rsidRPr="00AC592E" w:rsidRDefault="00291627" w:rsidP="00291627">
      <w:pPr>
        <w:pStyle w:val="ListParagraph"/>
        <w:numPr>
          <w:ilvl w:val="0"/>
          <w:numId w:val="3"/>
        </w:numPr>
        <w:shd w:val="clear" w:color="auto" w:fill="FFFFFF"/>
        <w:spacing w:before="100" w:beforeAutospacing="1" w:after="24" w:line="240" w:lineRule="auto"/>
        <w:rPr>
          <w:rFonts w:ascii="Times New Roman" w:eastAsia="Times New Roman" w:hAnsi="Times New Roman" w:cs="Times New Roman"/>
          <w:sz w:val="18"/>
          <w:szCs w:val="18"/>
          <w:lang w:eastAsia="en-GB"/>
        </w:rPr>
      </w:pPr>
      <w:r w:rsidRPr="00AC592E">
        <w:rPr>
          <w:rFonts w:ascii="Times New Roman" w:eastAsia="Times New Roman" w:hAnsi="Times New Roman" w:cs="Times New Roman"/>
          <w:sz w:val="18"/>
          <w:szCs w:val="18"/>
          <w:lang w:eastAsia="en-GB"/>
        </w:rPr>
        <w:t xml:space="preserve">Binski, </w:t>
      </w:r>
      <w:proofErr w:type="spellStart"/>
      <w:r w:rsidRPr="00AC592E">
        <w:rPr>
          <w:rFonts w:ascii="Times New Roman" w:eastAsia="Times New Roman" w:hAnsi="Times New Roman" w:cs="Times New Roman"/>
          <w:sz w:val="18"/>
          <w:szCs w:val="18"/>
          <w:lang w:eastAsia="en-GB"/>
        </w:rPr>
        <w:t>pg</w:t>
      </w:r>
      <w:proofErr w:type="spellEnd"/>
      <w:r w:rsidRPr="00AC592E">
        <w:rPr>
          <w:rFonts w:ascii="Times New Roman" w:eastAsia="Times New Roman" w:hAnsi="Times New Roman" w:cs="Times New Roman"/>
          <w:sz w:val="18"/>
          <w:szCs w:val="18"/>
          <w:lang w:eastAsia="en-GB"/>
        </w:rPr>
        <w:t xml:space="preserve"> 40. </w:t>
      </w:r>
    </w:p>
    <w:p w14:paraId="259A5764" w14:textId="77777777" w:rsidR="00291627" w:rsidRPr="00A22070" w:rsidRDefault="00291627" w:rsidP="00291627">
      <w:pPr>
        <w:pStyle w:val="ListParagraph"/>
        <w:shd w:val="clear" w:color="auto" w:fill="FFFFFF"/>
        <w:spacing w:before="100" w:beforeAutospacing="1" w:after="24" w:line="240" w:lineRule="auto"/>
        <w:rPr>
          <w:rFonts w:ascii="Times New Roman" w:eastAsia="Times New Roman" w:hAnsi="Times New Roman" w:cs="Times New Roman"/>
          <w:color w:val="222222"/>
          <w:sz w:val="18"/>
          <w:szCs w:val="18"/>
          <w:lang w:eastAsia="en-GB"/>
        </w:rPr>
      </w:pPr>
    </w:p>
    <w:p w14:paraId="2D1757B1" w14:textId="77777777" w:rsidR="00291627" w:rsidRPr="00A22070" w:rsidRDefault="00291627" w:rsidP="00291627">
      <w:pPr>
        <w:shd w:val="clear" w:color="auto" w:fill="FFFFFF"/>
        <w:spacing w:before="100" w:beforeAutospacing="1" w:after="24" w:line="240" w:lineRule="auto"/>
        <w:ind w:left="768"/>
        <w:rPr>
          <w:rFonts w:ascii="Times New Roman" w:eastAsia="Times New Roman" w:hAnsi="Times New Roman" w:cs="Times New Roman"/>
          <w:color w:val="222222"/>
          <w:sz w:val="18"/>
          <w:szCs w:val="18"/>
          <w:lang w:eastAsia="en-GB"/>
        </w:rPr>
      </w:pPr>
    </w:p>
    <w:p w14:paraId="738BFC43" w14:textId="77777777" w:rsidR="00291627" w:rsidRDefault="00291627">
      <w:pPr>
        <w:rPr>
          <w:rStyle w:val="normaltextrun"/>
          <w:rFonts w:ascii="Times New Roman" w:eastAsia="Times New Roman" w:hAnsi="Times New Roman" w:cs="Times New Roman"/>
          <w:sz w:val="20"/>
          <w:szCs w:val="20"/>
          <w:lang w:eastAsia="en-GB"/>
        </w:rPr>
      </w:pPr>
    </w:p>
    <w:p w14:paraId="5C5983CF" w14:textId="77777777" w:rsidR="00291627" w:rsidRDefault="00291627">
      <w:pPr>
        <w:rPr>
          <w:rStyle w:val="normaltextrun"/>
          <w:rFonts w:ascii="Times New Roman" w:eastAsia="Times New Roman" w:hAnsi="Times New Roman" w:cs="Times New Roman"/>
          <w:sz w:val="20"/>
          <w:szCs w:val="20"/>
          <w:lang w:eastAsia="en-GB"/>
        </w:rPr>
      </w:pPr>
    </w:p>
    <w:p w14:paraId="71228492" w14:textId="77777777" w:rsidR="00291627" w:rsidRDefault="00291627">
      <w:pPr>
        <w:rPr>
          <w:rStyle w:val="normaltextrun"/>
          <w:rFonts w:ascii="Times New Roman" w:eastAsia="Times New Roman" w:hAnsi="Times New Roman" w:cs="Times New Roman"/>
          <w:sz w:val="20"/>
          <w:szCs w:val="20"/>
          <w:lang w:eastAsia="en-GB"/>
        </w:rPr>
      </w:pPr>
    </w:p>
    <w:p w14:paraId="5444D637" w14:textId="77777777" w:rsidR="00291627" w:rsidRDefault="00291627">
      <w:pPr>
        <w:rPr>
          <w:rStyle w:val="normaltextrun"/>
          <w:rFonts w:ascii="Times New Roman" w:eastAsia="Times New Roman" w:hAnsi="Times New Roman" w:cs="Times New Roman"/>
          <w:sz w:val="20"/>
          <w:szCs w:val="20"/>
          <w:lang w:eastAsia="en-GB"/>
        </w:rPr>
      </w:pPr>
    </w:p>
    <w:p w14:paraId="6FDADB83" w14:textId="77777777" w:rsidR="00291627" w:rsidRDefault="00291627">
      <w:pPr>
        <w:rPr>
          <w:rStyle w:val="normaltextrun"/>
          <w:rFonts w:ascii="Times New Roman" w:eastAsia="Times New Roman" w:hAnsi="Times New Roman" w:cs="Times New Roman"/>
          <w:sz w:val="20"/>
          <w:szCs w:val="20"/>
          <w:lang w:eastAsia="en-GB"/>
        </w:rPr>
      </w:pPr>
    </w:p>
    <w:p w14:paraId="3A242122" w14:textId="77777777" w:rsidR="00291627" w:rsidRDefault="00291627">
      <w:pPr>
        <w:rPr>
          <w:rStyle w:val="normaltextrun"/>
          <w:rFonts w:ascii="Times New Roman" w:eastAsia="Times New Roman" w:hAnsi="Times New Roman" w:cs="Times New Roman"/>
          <w:sz w:val="20"/>
          <w:szCs w:val="20"/>
          <w:lang w:eastAsia="en-GB"/>
        </w:rPr>
      </w:pPr>
    </w:p>
    <w:p w14:paraId="1717E89A" w14:textId="77777777" w:rsidR="00291627" w:rsidRDefault="00291627">
      <w:pPr>
        <w:rPr>
          <w:rStyle w:val="normaltextrun"/>
          <w:rFonts w:ascii="Times New Roman" w:eastAsia="Times New Roman" w:hAnsi="Times New Roman" w:cs="Times New Roman"/>
          <w:sz w:val="20"/>
          <w:szCs w:val="20"/>
          <w:lang w:eastAsia="en-GB"/>
        </w:rPr>
      </w:pPr>
    </w:p>
    <w:p w14:paraId="0B4307DB" w14:textId="77777777" w:rsidR="00291627" w:rsidRPr="00D2061A" w:rsidRDefault="00291627" w:rsidP="00291627">
      <w:pPr>
        <w:spacing w:line="240" w:lineRule="auto"/>
        <w:rPr>
          <w:rFonts w:ascii="Times New Roman" w:hAnsi="Times New Roman" w:cs="Times New Roman"/>
          <w:sz w:val="24"/>
          <w:szCs w:val="24"/>
        </w:rPr>
      </w:pPr>
      <w:r w:rsidRPr="00D2061A">
        <w:rPr>
          <w:rFonts w:ascii="Times New Roman" w:eastAsia="Calibri" w:hAnsi="Times New Roman" w:cs="Times New Roman"/>
          <w:sz w:val="24"/>
          <w:szCs w:val="24"/>
        </w:rPr>
        <w:lastRenderedPageBreak/>
        <w:t xml:space="preserve">J. Huizinga, </w:t>
      </w:r>
      <w:proofErr w:type="gramStart"/>
      <w:r w:rsidRPr="00D2061A">
        <w:rPr>
          <w:rFonts w:ascii="Times New Roman" w:eastAsia="Calibri" w:hAnsi="Times New Roman" w:cs="Times New Roman"/>
          <w:i/>
          <w:iCs/>
          <w:sz w:val="24"/>
          <w:szCs w:val="24"/>
        </w:rPr>
        <w:t>The</w:t>
      </w:r>
      <w:proofErr w:type="gramEnd"/>
      <w:r w:rsidRPr="00D2061A">
        <w:rPr>
          <w:rFonts w:ascii="Times New Roman" w:eastAsia="Calibri" w:hAnsi="Times New Roman" w:cs="Times New Roman"/>
          <w:i/>
          <w:iCs/>
          <w:sz w:val="24"/>
          <w:szCs w:val="24"/>
        </w:rPr>
        <w:t xml:space="preserve"> Waning of the Middle Ages: a study of the forms of life, thought and art in France and Netherlands in the fourteenth and fifteenth centuries </w:t>
      </w:r>
      <w:r w:rsidRPr="00D2061A">
        <w:rPr>
          <w:rFonts w:ascii="Times New Roman" w:eastAsia="Calibri" w:hAnsi="Times New Roman" w:cs="Times New Roman"/>
          <w:sz w:val="24"/>
          <w:szCs w:val="24"/>
        </w:rPr>
        <w:t>(London: Edward Arnold, 1924), Chapter 11 – ‘The Vision of Death.’</w:t>
      </w:r>
    </w:p>
    <w:p w14:paraId="259120F8" w14:textId="77777777" w:rsidR="00291627" w:rsidRPr="00D2061A" w:rsidRDefault="00291627" w:rsidP="00291627">
      <w:pPr>
        <w:spacing w:line="240" w:lineRule="auto"/>
        <w:rPr>
          <w:rFonts w:ascii="Times New Roman" w:hAnsi="Times New Roman" w:cs="Times New Roman"/>
          <w:sz w:val="24"/>
          <w:szCs w:val="24"/>
        </w:rPr>
      </w:pPr>
      <w:r w:rsidRPr="00D2061A">
        <w:rPr>
          <w:rFonts w:ascii="Times New Roman" w:hAnsi="Times New Roman" w:cs="Times New Roman"/>
          <w:sz w:val="24"/>
          <w:szCs w:val="24"/>
        </w:rPr>
        <w:t xml:space="preserve">In J. Huizinga’s ‘The Vision of Death’, the people of the Middle Ages are reduced to morbid, death obsessed humans, with a disgust for the physical life on earth. Huizinga describes a world where all they thought about was death, both in fear and in jubilation.  Examples of material and literary culture that emphasised death were not aiming to disgust people with being alive, but rather push the mind forward, to think of that eternal life of the soul. Huizinga thinks their use of decomposition and skeletons make them materialistic, but rather the opposite, they were using the transitory corpse to distinguish life on earth with the afterlife. He also disregards their need for such material, such as </w:t>
      </w:r>
      <w:r w:rsidRPr="00D2061A">
        <w:rPr>
          <w:rFonts w:ascii="Times New Roman" w:hAnsi="Times New Roman" w:cs="Times New Roman"/>
          <w:i/>
          <w:sz w:val="24"/>
          <w:szCs w:val="24"/>
        </w:rPr>
        <w:t xml:space="preserve">Ars Moriendi </w:t>
      </w:r>
      <w:r w:rsidRPr="00D2061A">
        <w:rPr>
          <w:rFonts w:ascii="Times New Roman" w:hAnsi="Times New Roman" w:cs="Times New Roman"/>
          <w:sz w:val="24"/>
          <w:szCs w:val="24"/>
        </w:rPr>
        <w:t>and funerary monuments, and places his own ideals of piety on to their religious practices.</w:t>
      </w:r>
    </w:p>
    <w:p w14:paraId="4BAA9DB7" w14:textId="77777777" w:rsidR="00291627" w:rsidRPr="00D2061A" w:rsidRDefault="00291627" w:rsidP="00291627">
      <w:pPr>
        <w:spacing w:line="240" w:lineRule="auto"/>
        <w:rPr>
          <w:rFonts w:ascii="Times New Roman" w:hAnsi="Times New Roman" w:cs="Times New Roman"/>
          <w:sz w:val="24"/>
          <w:szCs w:val="24"/>
        </w:rPr>
      </w:pPr>
      <w:r w:rsidRPr="00D2061A">
        <w:rPr>
          <w:rFonts w:ascii="Times New Roman" w:hAnsi="Times New Roman" w:cs="Times New Roman"/>
          <w:sz w:val="24"/>
          <w:szCs w:val="24"/>
        </w:rPr>
        <w:t xml:space="preserve">‘The dominant thought, as express in the literature, both ecclesiastical and lay, of that period, hardly knew anything with regard to death but these two extremes: lamentation about the briefness of all earthly glory, and jubilation over the salvation of the soul,’ says Huizinga, but rather, the jubilation is the prime goal, and the lamentation is discouraged, fear not, says the literature, your soul will live on. The medieval people really start to become thoughtful and contemplative over the nature of death and there is a notably significant increase of preparatory literature such as </w:t>
      </w:r>
      <w:r w:rsidRPr="00D2061A">
        <w:rPr>
          <w:rFonts w:ascii="Times New Roman" w:hAnsi="Times New Roman" w:cs="Times New Roman"/>
          <w:i/>
          <w:sz w:val="24"/>
          <w:szCs w:val="24"/>
        </w:rPr>
        <w:t xml:space="preserve">Ars Moriendi </w:t>
      </w:r>
      <w:r w:rsidRPr="00D2061A">
        <w:rPr>
          <w:rFonts w:ascii="Times New Roman" w:hAnsi="Times New Roman" w:cs="Times New Roman"/>
          <w:sz w:val="24"/>
          <w:szCs w:val="24"/>
        </w:rPr>
        <w:t xml:space="preserve">and </w:t>
      </w:r>
      <w:r w:rsidRPr="00D2061A">
        <w:rPr>
          <w:rFonts w:ascii="Times New Roman" w:hAnsi="Times New Roman" w:cs="Times New Roman"/>
          <w:i/>
          <w:sz w:val="24"/>
          <w:szCs w:val="24"/>
        </w:rPr>
        <w:t>Danse Macabre</w:t>
      </w:r>
      <w:r w:rsidRPr="00D2061A">
        <w:rPr>
          <w:rFonts w:ascii="Times New Roman" w:hAnsi="Times New Roman" w:cs="Times New Roman"/>
          <w:sz w:val="24"/>
          <w:szCs w:val="24"/>
        </w:rPr>
        <w:t xml:space="preserve"> as ideas of purgatory grow. </w:t>
      </w:r>
      <w:r w:rsidRPr="00D2061A">
        <w:rPr>
          <w:rFonts w:ascii="Times New Roman" w:hAnsi="Times New Roman" w:cs="Times New Roman"/>
          <w:sz w:val="24"/>
          <w:szCs w:val="24"/>
          <w:vertAlign w:val="superscript"/>
        </w:rPr>
        <w:t xml:space="preserve">1 </w:t>
      </w:r>
      <w:r w:rsidRPr="00D2061A">
        <w:rPr>
          <w:rFonts w:ascii="Times New Roman" w:hAnsi="Times New Roman" w:cs="Times New Roman"/>
          <w:sz w:val="24"/>
          <w:szCs w:val="24"/>
        </w:rPr>
        <w:t xml:space="preserve">Sermons, grave monuments, wall-paintings and manuscripts all deliberately depicted aspects of death and living with it was a common experience for all. </w:t>
      </w:r>
      <w:r w:rsidRPr="00D2061A">
        <w:rPr>
          <w:rFonts w:ascii="Times New Roman" w:hAnsi="Times New Roman" w:cs="Times New Roman"/>
          <w:sz w:val="24"/>
          <w:szCs w:val="24"/>
          <w:vertAlign w:val="superscript"/>
        </w:rPr>
        <w:t xml:space="preserve">2 </w:t>
      </w:r>
      <w:r w:rsidRPr="00D2061A">
        <w:rPr>
          <w:rFonts w:ascii="Times New Roman" w:hAnsi="Times New Roman" w:cs="Times New Roman"/>
          <w:sz w:val="24"/>
          <w:szCs w:val="24"/>
        </w:rPr>
        <w:t xml:space="preserve">Some like labourers or the old welcomed death, whilst others feared it. Primary sources that show relief of death coming are old, tired, or sick people, such as the old woman in the </w:t>
      </w:r>
      <w:r w:rsidRPr="00D2061A">
        <w:rPr>
          <w:rFonts w:ascii="Times New Roman" w:hAnsi="Times New Roman" w:cs="Times New Roman"/>
          <w:i/>
          <w:sz w:val="24"/>
          <w:szCs w:val="24"/>
        </w:rPr>
        <w:t>Danse Macabre of Women</w:t>
      </w:r>
      <w:r w:rsidRPr="00D2061A">
        <w:rPr>
          <w:rFonts w:ascii="Times New Roman" w:hAnsi="Times New Roman" w:cs="Times New Roman"/>
          <w:sz w:val="24"/>
          <w:szCs w:val="24"/>
        </w:rPr>
        <w:t xml:space="preserve"> </w:t>
      </w:r>
      <w:r w:rsidRPr="00D2061A">
        <w:rPr>
          <w:rFonts w:ascii="Times New Roman" w:eastAsia="Times New Roman" w:hAnsi="Times New Roman" w:cs="Times New Roman"/>
          <w:sz w:val="24"/>
          <w:szCs w:val="24"/>
          <w:shd w:val="clear" w:color="auto" w:fill="FFFFFF"/>
          <w:lang w:eastAsia="en-GB"/>
        </w:rPr>
        <w:t xml:space="preserve">who, when death comes for her, says ‘I see nothing good in old age, therefore I am not afraid of Death’ or a poor woman who exclaims ‘I take death for what it’s worth, willingly and patiently.’ </w:t>
      </w:r>
      <w:r w:rsidRPr="00D2061A">
        <w:rPr>
          <w:rFonts w:ascii="Times New Roman" w:eastAsia="Times New Roman" w:hAnsi="Times New Roman" w:cs="Times New Roman"/>
          <w:sz w:val="24"/>
          <w:szCs w:val="24"/>
          <w:shd w:val="clear" w:color="auto" w:fill="FFFFFF"/>
          <w:vertAlign w:val="superscript"/>
          <w:lang w:eastAsia="en-GB"/>
        </w:rPr>
        <w:t>3</w:t>
      </w:r>
      <w:r w:rsidRPr="00D2061A">
        <w:rPr>
          <w:rFonts w:ascii="Times New Roman" w:eastAsia="Times New Roman" w:hAnsi="Times New Roman" w:cs="Times New Roman"/>
          <w:sz w:val="24"/>
          <w:szCs w:val="24"/>
          <w:shd w:val="clear" w:color="auto" w:fill="FFFFFF"/>
          <w:lang w:eastAsia="en-GB"/>
        </w:rPr>
        <w:t xml:space="preserve"> Both are downcast in society, and tired of life, so it is not unexpected for them to feel jubilation over death. </w:t>
      </w:r>
      <w:r w:rsidRPr="00D2061A">
        <w:rPr>
          <w:rFonts w:ascii="Times New Roman" w:eastAsia="Calibri" w:hAnsi="Times New Roman" w:cs="Times New Roman"/>
          <w:sz w:val="24"/>
          <w:szCs w:val="24"/>
        </w:rPr>
        <w:t xml:space="preserve">The people of the </w:t>
      </w:r>
      <w:proofErr w:type="gramStart"/>
      <w:r w:rsidRPr="00D2061A">
        <w:rPr>
          <w:rFonts w:ascii="Times New Roman" w:eastAsia="Calibri" w:hAnsi="Times New Roman" w:cs="Times New Roman"/>
          <w:sz w:val="24"/>
          <w:szCs w:val="24"/>
        </w:rPr>
        <w:t>Middle</w:t>
      </w:r>
      <w:proofErr w:type="gramEnd"/>
      <w:r w:rsidRPr="00D2061A">
        <w:rPr>
          <w:rFonts w:ascii="Times New Roman" w:eastAsia="Calibri" w:hAnsi="Times New Roman" w:cs="Times New Roman"/>
          <w:sz w:val="24"/>
          <w:szCs w:val="24"/>
        </w:rPr>
        <w:t xml:space="preserve"> Ages could have experienced a life of famine, plague, war, and other horrors, filling their lives with death or the worry of trouble constant.  </w:t>
      </w:r>
      <w:r w:rsidRPr="00D2061A">
        <w:rPr>
          <w:rFonts w:ascii="Times New Roman" w:eastAsia="Calibri" w:hAnsi="Times New Roman" w:cs="Times New Roman"/>
          <w:sz w:val="24"/>
          <w:szCs w:val="24"/>
          <w:vertAlign w:val="superscript"/>
        </w:rPr>
        <w:t>4</w:t>
      </w:r>
    </w:p>
    <w:p w14:paraId="6B71443A" w14:textId="77777777" w:rsidR="00291627" w:rsidRDefault="00291627" w:rsidP="00291627">
      <w:pPr>
        <w:spacing w:line="240" w:lineRule="auto"/>
        <w:rPr>
          <w:rFonts w:ascii="Times New Roman" w:hAnsi="Times New Roman" w:cs="Times New Roman"/>
          <w:sz w:val="24"/>
          <w:szCs w:val="24"/>
          <w:vertAlign w:val="superscript"/>
        </w:rPr>
      </w:pPr>
      <w:r w:rsidRPr="00D2061A">
        <w:rPr>
          <w:rFonts w:ascii="Times New Roman" w:hAnsi="Times New Roman" w:cs="Times New Roman"/>
          <w:sz w:val="24"/>
          <w:szCs w:val="24"/>
        </w:rPr>
        <w:t xml:space="preserve">The primary sources that the dead can be seen in include but are not limited to the </w:t>
      </w:r>
      <w:r w:rsidRPr="00D2061A">
        <w:rPr>
          <w:rFonts w:ascii="Times New Roman" w:hAnsi="Times New Roman" w:cs="Times New Roman"/>
          <w:i/>
          <w:sz w:val="24"/>
          <w:szCs w:val="24"/>
        </w:rPr>
        <w:t xml:space="preserve">Ars Moriendi, </w:t>
      </w:r>
      <w:r w:rsidRPr="00D2061A">
        <w:rPr>
          <w:rFonts w:ascii="Times New Roman" w:hAnsi="Times New Roman" w:cs="Times New Roman"/>
          <w:sz w:val="24"/>
          <w:szCs w:val="24"/>
        </w:rPr>
        <w:t xml:space="preserve">displays of saints relics, funerary monuments, death in art, stained glass, Books of Hours, and many more. </w:t>
      </w:r>
      <w:r w:rsidRPr="00D2061A">
        <w:rPr>
          <w:rFonts w:ascii="Times New Roman" w:hAnsi="Times New Roman" w:cs="Times New Roman"/>
          <w:sz w:val="24"/>
          <w:szCs w:val="24"/>
          <w:vertAlign w:val="superscript"/>
        </w:rPr>
        <w:t xml:space="preserve">5 </w:t>
      </w:r>
      <w:r w:rsidRPr="00D2061A">
        <w:rPr>
          <w:rFonts w:ascii="Times New Roman" w:hAnsi="Times New Roman" w:cs="Times New Roman"/>
          <w:sz w:val="24"/>
          <w:szCs w:val="24"/>
        </w:rPr>
        <w:t>Examples of material and literary culture that emphasis death were not aiming to disgust people with being alive as he claims, but rather push the mind forward, to think of that eternal life of the soul.</w:t>
      </w:r>
      <w:r w:rsidRPr="00D2061A">
        <w:rPr>
          <w:rFonts w:ascii="Times New Roman" w:hAnsi="Times New Roman" w:cs="Times New Roman"/>
          <w:sz w:val="24"/>
          <w:szCs w:val="24"/>
          <w:vertAlign w:val="superscript"/>
        </w:rPr>
        <w:t>6</w:t>
      </w:r>
      <w:r w:rsidRPr="00D2061A">
        <w:rPr>
          <w:rFonts w:ascii="Times New Roman" w:hAnsi="Times New Roman" w:cs="Times New Roman"/>
          <w:sz w:val="24"/>
          <w:szCs w:val="24"/>
        </w:rPr>
        <w:t xml:space="preserve"> He also disregards the need for such material, such as </w:t>
      </w:r>
      <w:r w:rsidRPr="00D2061A">
        <w:rPr>
          <w:rFonts w:ascii="Times New Roman" w:hAnsi="Times New Roman" w:cs="Times New Roman"/>
          <w:i/>
          <w:sz w:val="24"/>
          <w:szCs w:val="24"/>
        </w:rPr>
        <w:t xml:space="preserve">Ars Moriendi </w:t>
      </w:r>
      <w:r w:rsidRPr="00D2061A">
        <w:rPr>
          <w:rFonts w:ascii="Times New Roman" w:hAnsi="Times New Roman" w:cs="Times New Roman"/>
          <w:sz w:val="24"/>
          <w:szCs w:val="24"/>
        </w:rPr>
        <w:t xml:space="preserve">and funerary monuments, these portrayals of death are not just for morbidity or a contempt of life. Huizinga claims that the </w:t>
      </w:r>
      <w:r w:rsidRPr="00D2061A">
        <w:rPr>
          <w:rFonts w:ascii="Times New Roman" w:hAnsi="Times New Roman" w:cs="Times New Roman"/>
          <w:i/>
          <w:sz w:val="24"/>
          <w:szCs w:val="24"/>
        </w:rPr>
        <w:t xml:space="preserve">Ars Moriendi </w:t>
      </w:r>
      <w:r w:rsidRPr="00D2061A">
        <w:rPr>
          <w:rFonts w:ascii="Times New Roman" w:hAnsi="Times New Roman" w:cs="Times New Roman"/>
          <w:sz w:val="24"/>
          <w:szCs w:val="24"/>
        </w:rPr>
        <w:t xml:space="preserve">‘depicts agony of death’, but the </w:t>
      </w:r>
      <w:r w:rsidRPr="00D2061A">
        <w:rPr>
          <w:rFonts w:ascii="Times New Roman" w:hAnsi="Times New Roman" w:cs="Times New Roman"/>
          <w:i/>
          <w:sz w:val="24"/>
          <w:szCs w:val="24"/>
        </w:rPr>
        <w:t xml:space="preserve">Ars moriendi </w:t>
      </w:r>
      <w:r w:rsidRPr="00D2061A">
        <w:rPr>
          <w:rFonts w:ascii="Times New Roman" w:hAnsi="Times New Roman" w:cs="Times New Roman"/>
          <w:sz w:val="24"/>
          <w:szCs w:val="24"/>
        </w:rPr>
        <w:t xml:space="preserve">was a personal way of understanding death and supporting the dying, whilst ensuring the soul got the treatment it needed for a good death. </w:t>
      </w:r>
      <w:r w:rsidRPr="00D2061A">
        <w:rPr>
          <w:rFonts w:ascii="Times New Roman" w:hAnsi="Times New Roman" w:cs="Times New Roman"/>
          <w:sz w:val="24"/>
          <w:szCs w:val="24"/>
          <w:vertAlign w:val="superscript"/>
        </w:rPr>
        <w:t>7</w:t>
      </w:r>
    </w:p>
    <w:p w14:paraId="73536199" w14:textId="77777777" w:rsidR="00291627" w:rsidRPr="00D2061A" w:rsidRDefault="00291627" w:rsidP="00291627">
      <w:pPr>
        <w:spacing w:line="240" w:lineRule="auto"/>
        <w:rPr>
          <w:rFonts w:ascii="Times New Roman" w:hAnsi="Times New Roman" w:cs="Times New Roman"/>
          <w:sz w:val="24"/>
          <w:szCs w:val="24"/>
          <w:vertAlign w:val="superscript"/>
        </w:rPr>
      </w:pPr>
    </w:p>
    <w:p w14:paraId="60D42696"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Dubruck, pg. 39. </w:t>
      </w:r>
    </w:p>
    <w:p w14:paraId="45D93A02"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Daniell, pg. 2.</w:t>
      </w:r>
    </w:p>
    <w:p w14:paraId="39933FAF"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the Danse Macabre of Women: Ms. Fr. 995 of the </w:t>
      </w:r>
      <w:proofErr w:type="spellStart"/>
      <w:r w:rsidRPr="00D2061A">
        <w:rPr>
          <w:rFonts w:ascii="Times New Roman" w:hAnsi="Times New Roman" w:cs="Times New Roman"/>
          <w:sz w:val="18"/>
          <w:szCs w:val="18"/>
        </w:rPr>
        <w:t>Bibliothèque</w:t>
      </w:r>
      <w:proofErr w:type="spellEnd"/>
      <w:r w:rsidRPr="00D2061A">
        <w:rPr>
          <w:rFonts w:ascii="Times New Roman" w:hAnsi="Times New Roman" w:cs="Times New Roman"/>
          <w:sz w:val="18"/>
          <w:szCs w:val="18"/>
        </w:rPr>
        <w:t xml:space="preserve"> </w:t>
      </w:r>
      <w:proofErr w:type="spellStart"/>
      <w:r w:rsidRPr="00D2061A">
        <w:rPr>
          <w:rFonts w:ascii="Times New Roman" w:hAnsi="Times New Roman" w:cs="Times New Roman"/>
          <w:sz w:val="18"/>
          <w:szCs w:val="18"/>
        </w:rPr>
        <w:t>Nationale</w:t>
      </w:r>
      <w:proofErr w:type="spellEnd"/>
      <w:r w:rsidRPr="00D2061A">
        <w:rPr>
          <w:rFonts w:ascii="Times New Roman" w:hAnsi="Times New Roman" w:cs="Times New Roman"/>
          <w:sz w:val="18"/>
          <w:szCs w:val="18"/>
        </w:rPr>
        <w:t xml:space="preserve"> </w:t>
      </w:r>
      <w:r w:rsidRPr="00D2061A">
        <w:rPr>
          <w:rFonts w:ascii="Times New Roman" w:eastAsia="Times New Roman" w:hAnsi="Times New Roman" w:cs="Times New Roman"/>
          <w:sz w:val="18"/>
          <w:szCs w:val="18"/>
          <w:shd w:val="clear" w:color="auto" w:fill="FFFFFF"/>
          <w:lang w:eastAsia="en-GB"/>
        </w:rPr>
        <w:t xml:space="preserve">edited by Ann Tukey Harrison, Sandra </w:t>
      </w:r>
      <w:proofErr w:type="spellStart"/>
      <w:r w:rsidRPr="00D2061A">
        <w:rPr>
          <w:rFonts w:ascii="Times New Roman" w:eastAsia="Times New Roman" w:hAnsi="Times New Roman" w:cs="Times New Roman"/>
          <w:sz w:val="18"/>
          <w:szCs w:val="18"/>
          <w:shd w:val="clear" w:color="auto" w:fill="FFFFFF"/>
          <w:lang w:eastAsia="en-GB"/>
        </w:rPr>
        <w:t>Hindman</w:t>
      </w:r>
      <w:proofErr w:type="spellEnd"/>
      <w:r w:rsidRPr="00D2061A">
        <w:rPr>
          <w:rFonts w:ascii="Times New Roman" w:eastAsia="Times New Roman" w:hAnsi="Times New Roman" w:cs="Times New Roman"/>
          <w:sz w:val="18"/>
          <w:szCs w:val="18"/>
          <w:shd w:val="clear" w:color="auto" w:fill="FFFFFF"/>
          <w:lang w:eastAsia="en-GB"/>
        </w:rPr>
        <w:t>, pg. 94.</w:t>
      </w:r>
    </w:p>
    <w:p w14:paraId="60FEF80F"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Daniell, pg. 2. </w:t>
      </w:r>
    </w:p>
    <w:p w14:paraId="307F4F56" w14:textId="77777777" w:rsidR="00291627" w:rsidRPr="00D2061A" w:rsidRDefault="00291627" w:rsidP="00291627">
      <w:pPr>
        <w:pStyle w:val="ListParagraph"/>
        <w:numPr>
          <w:ilvl w:val="0"/>
          <w:numId w:val="4"/>
        </w:numPr>
        <w:rPr>
          <w:rFonts w:ascii="Times New Roman" w:hAnsi="Times New Roman" w:cs="Times New Roman"/>
          <w:sz w:val="18"/>
          <w:szCs w:val="18"/>
        </w:rPr>
      </w:pPr>
      <w:r w:rsidRPr="00D2061A">
        <w:rPr>
          <w:rFonts w:ascii="Times New Roman" w:hAnsi="Times New Roman" w:cs="Times New Roman"/>
          <w:sz w:val="18"/>
          <w:szCs w:val="18"/>
        </w:rPr>
        <w:t xml:space="preserve">D. M. Hadley, </w:t>
      </w:r>
      <w:r w:rsidRPr="00D2061A">
        <w:rPr>
          <w:rFonts w:ascii="Times New Roman" w:hAnsi="Times New Roman" w:cs="Times New Roman"/>
          <w:i/>
          <w:sz w:val="18"/>
          <w:szCs w:val="18"/>
        </w:rPr>
        <w:t xml:space="preserve">Death in Medieval England, pg. 125. </w:t>
      </w:r>
    </w:p>
    <w:p w14:paraId="1F1361B3"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Daniell, pg. 1 &amp; 2. </w:t>
      </w:r>
    </w:p>
    <w:p w14:paraId="4597C022"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Binski, pg. 33.</w:t>
      </w:r>
    </w:p>
    <w:p w14:paraId="69B2A35A" w14:textId="77777777" w:rsidR="00291627" w:rsidRPr="00D2061A" w:rsidRDefault="00291627" w:rsidP="00291627">
      <w:pPr>
        <w:pStyle w:val="ListParagraph"/>
        <w:spacing w:line="240" w:lineRule="auto"/>
        <w:rPr>
          <w:rFonts w:ascii="Times New Roman" w:hAnsi="Times New Roman" w:cs="Times New Roman"/>
          <w:sz w:val="18"/>
          <w:szCs w:val="18"/>
        </w:rPr>
      </w:pPr>
    </w:p>
    <w:p w14:paraId="0531AD15" w14:textId="77777777" w:rsidR="00291627" w:rsidRPr="00D2061A" w:rsidRDefault="00291627" w:rsidP="00291627">
      <w:pPr>
        <w:spacing w:line="240" w:lineRule="auto"/>
        <w:rPr>
          <w:rFonts w:ascii="Times New Roman" w:hAnsi="Times New Roman" w:cs="Times New Roman"/>
          <w:sz w:val="18"/>
          <w:szCs w:val="18"/>
        </w:rPr>
      </w:pPr>
      <w:r w:rsidRPr="00D2061A">
        <w:rPr>
          <w:rFonts w:ascii="Times New Roman" w:hAnsi="Times New Roman" w:cs="Times New Roman"/>
          <w:sz w:val="24"/>
          <w:szCs w:val="24"/>
        </w:rPr>
        <w:lastRenderedPageBreak/>
        <w:t xml:space="preserve">This can be seen in ‘The Book of Dying’, which tells the reader ‘that is of the Craft of Dying, is drawn and contained a short manner of exhortation, for teaching and comforting them that be in point of death’. </w:t>
      </w:r>
      <w:r w:rsidRPr="00D2061A">
        <w:rPr>
          <w:rFonts w:ascii="Times New Roman" w:hAnsi="Times New Roman" w:cs="Times New Roman"/>
          <w:sz w:val="24"/>
          <w:szCs w:val="24"/>
          <w:vertAlign w:val="superscript"/>
        </w:rPr>
        <w:t>8</w:t>
      </w:r>
    </w:p>
    <w:p w14:paraId="5DC9BBFE" w14:textId="77777777" w:rsidR="00291627" w:rsidRPr="00D2061A" w:rsidRDefault="00291627" w:rsidP="00291627">
      <w:pPr>
        <w:spacing w:line="240" w:lineRule="auto"/>
        <w:rPr>
          <w:rFonts w:ascii="Times New Roman" w:hAnsi="Times New Roman" w:cs="Times New Roman"/>
          <w:vertAlign w:val="superscript"/>
        </w:rPr>
      </w:pPr>
      <w:r w:rsidRPr="00D2061A">
        <w:rPr>
          <w:rFonts w:ascii="Times New Roman" w:hAnsi="Times New Roman" w:cs="Times New Roman"/>
          <w:sz w:val="24"/>
          <w:szCs w:val="24"/>
        </w:rPr>
        <w:t>Huizinga thinks their use of decomposition and skeletons make them materialistic, but rather the opposite, they were using the transitory corpse to distinguish life on earth with the afterlife. In poems such as ‘A Disputation between a body and a worm’</w:t>
      </w:r>
      <w:proofErr w:type="gramStart"/>
      <w:r w:rsidRPr="00D2061A">
        <w:rPr>
          <w:rFonts w:ascii="Times New Roman" w:hAnsi="Times New Roman" w:cs="Times New Roman"/>
          <w:sz w:val="24"/>
          <w:szCs w:val="24"/>
        </w:rPr>
        <w:t>,</w:t>
      </w:r>
      <w:r w:rsidRPr="00D2061A">
        <w:rPr>
          <w:rFonts w:ascii="Times New Roman" w:hAnsi="Times New Roman" w:cs="Times New Roman"/>
          <w:sz w:val="24"/>
          <w:szCs w:val="24"/>
          <w:vertAlign w:val="superscript"/>
        </w:rPr>
        <w:t>9</w:t>
      </w:r>
      <w:proofErr w:type="gramEnd"/>
      <w:r w:rsidRPr="00D2061A">
        <w:rPr>
          <w:rFonts w:ascii="Times New Roman" w:hAnsi="Times New Roman" w:cs="Times New Roman"/>
          <w:sz w:val="24"/>
          <w:szCs w:val="24"/>
          <w:vertAlign w:val="superscript"/>
        </w:rPr>
        <w:t xml:space="preserve"> </w:t>
      </w:r>
      <w:r w:rsidRPr="00D2061A">
        <w:rPr>
          <w:rFonts w:ascii="Times New Roman" w:hAnsi="Times New Roman" w:cs="Times New Roman"/>
          <w:sz w:val="24"/>
          <w:szCs w:val="24"/>
        </w:rPr>
        <w:t xml:space="preserve"> the message is clear, this body will rot, but your soul make it to Purgatory, and eventually, to the resurrection. The ultimate goal, was to be resurrected and judged fit for Heaven. But rather Huizinga sees this as ‘these preachers of contempt for the world express, indeed, a very materialistic sentiment, namely that all beauty and all happiness are worthless </w:t>
      </w:r>
      <w:r w:rsidRPr="00D2061A">
        <w:rPr>
          <w:rFonts w:ascii="Times New Roman" w:hAnsi="Times New Roman" w:cs="Times New Roman"/>
          <w:i/>
          <w:sz w:val="24"/>
          <w:szCs w:val="24"/>
        </w:rPr>
        <w:t xml:space="preserve">because </w:t>
      </w:r>
      <w:r w:rsidRPr="00D2061A">
        <w:rPr>
          <w:rFonts w:ascii="Times New Roman" w:hAnsi="Times New Roman" w:cs="Times New Roman"/>
          <w:sz w:val="24"/>
          <w:szCs w:val="24"/>
        </w:rPr>
        <w:t xml:space="preserve">they are bound to end soon. The point to them was to not attach much to wealth, looks, earthly goods, or a lack of, because they will die and have to leave it all behind. </w:t>
      </w:r>
      <w:r w:rsidRPr="00D2061A">
        <w:rPr>
          <w:rFonts w:ascii="Times New Roman" w:hAnsi="Times New Roman" w:cs="Times New Roman"/>
          <w:sz w:val="24"/>
          <w:szCs w:val="24"/>
          <w:vertAlign w:val="superscript"/>
        </w:rPr>
        <w:t xml:space="preserve"> </w:t>
      </w:r>
      <w:r w:rsidRPr="00D2061A">
        <w:rPr>
          <w:rFonts w:ascii="Times New Roman" w:hAnsi="Times New Roman" w:cs="Times New Roman"/>
        </w:rPr>
        <w:t xml:space="preserve">They weren’t disgusted with the body, there were merely </w:t>
      </w:r>
      <w:proofErr w:type="spellStart"/>
      <w:r w:rsidRPr="00D2061A">
        <w:rPr>
          <w:rFonts w:ascii="Times New Roman" w:hAnsi="Times New Roman" w:cs="Times New Roman"/>
        </w:rPr>
        <w:t>commited</w:t>
      </w:r>
      <w:proofErr w:type="spellEnd"/>
      <w:r w:rsidRPr="00D2061A">
        <w:rPr>
          <w:rFonts w:ascii="Times New Roman" w:hAnsi="Times New Roman" w:cs="Times New Roman"/>
        </w:rPr>
        <w:t xml:space="preserve"> to a ‘metaphysical view of the person, the soul the finer part’. </w:t>
      </w:r>
      <w:r w:rsidRPr="00D2061A">
        <w:rPr>
          <w:rFonts w:ascii="Times New Roman" w:hAnsi="Times New Roman" w:cs="Times New Roman"/>
          <w:vertAlign w:val="superscript"/>
        </w:rPr>
        <w:t>10</w:t>
      </w:r>
    </w:p>
    <w:p w14:paraId="1F3DF669" w14:textId="77777777" w:rsidR="00291627" w:rsidRPr="00D2061A" w:rsidRDefault="00291627" w:rsidP="00291627">
      <w:pPr>
        <w:spacing w:line="240" w:lineRule="auto"/>
        <w:rPr>
          <w:rFonts w:ascii="Times New Roman" w:hAnsi="Times New Roman" w:cs="Times New Roman"/>
          <w:sz w:val="24"/>
          <w:szCs w:val="24"/>
          <w:vertAlign w:val="superscript"/>
        </w:rPr>
      </w:pPr>
      <w:r w:rsidRPr="00D2061A">
        <w:rPr>
          <w:rFonts w:ascii="Times New Roman" w:eastAsia="Calibri" w:hAnsi="Times New Roman" w:cs="Times New Roman"/>
          <w:sz w:val="24"/>
          <w:szCs w:val="24"/>
        </w:rPr>
        <w:t xml:space="preserve">Their time on earth was transitory, such a short period of time compared to the eternal salvation of Heaven, but in the instant someone looking at a manuscript of the </w:t>
      </w:r>
      <w:r w:rsidRPr="00D2061A">
        <w:rPr>
          <w:rFonts w:ascii="Times New Roman" w:eastAsia="Calibri" w:hAnsi="Times New Roman" w:cs="Times New Roman"/>
          <w:i/>
          <w:sz w:val="24"/>
          <w:szCs w:val="24"/>
        </w:rPr>
        <w:t>Danse Macabre</w:t>
      </w:r>
      <w:r w:rsidRPr="00D2061A">
        <w:rPr>
          <w:rFonts w:ascii="Times New Roman" w:eastAsia="Calibri" w:hAnsi="Times New Roman" w:cs="Times New Roman"/>
          <w:sz w:val="24"/>
          <w:szCs w:val="24"/>
        </w:rPr>
        <w:t xml:space="preserve">, they are alive, and it is not odd to see that they needed something physical to contemplate over. After all, how do you depict death, an event, without the use of corpses or </w:t>
      </w:r>
      <w:proofErr w:type="gramStart"/>
      <w:r w:rsidRPr="00D2061A">
        <w:rPr>
          <w:rFonts w:ascii="Times New Roman" w:eastAsia="Calibri" w:hAnsi="Times New Roman" w:cs="Times New Roman"/>
          <w:sz w:val="24"/>
          <w:szCs w:val="24"/>
        </w:rPr>
        <w:t>skeletons.</w:t>
      </w:r>
      <w:proofErr w:type="gramEnd"/>
      <w:r w:rsidRPr="00D2061A">
        <w:rPr>
          <w:rFonts w:ascii="Times New Roman" w:eastAsia="Calibri" w:hAnsi="Times New Roman" w:cs="Times New Roman"/>
          <w:sz w:val="24"/>
          <w:szCs w:val="24"/>
        </w:rPr>
        <w:t xml:space="preserve"> Huizinga comments on this, saying ‘</w:t>
      </w:r>
      <w:r w:rsidRPr="00D2061A">
        <w:rPr>
          <w:rFonts w:ascii="Times New Roman" w:hAnsi="Times New Roman" w:cs="Times New Roman"/>
          <w:sz w:val="24"/>
          <w:szCs w:val="24"/>
        </w:rPr>
        <w:t>The desire to invent a visible image of all that appertained to death entailed the neglecting of all those aspects of it which were not suited to direct representation.</w:t>
      </w:r>
      <w:r w:rsidRPr="00D2061A">
        <w:rPr>
          <w:rFonts w:ascii="Times New Roman" w:hAnsi="Times New Roman" w:cs="Times New Roman"/>
          <w:sz w:val="24"/>
          <w:szCs w:val="24"/>
          <w:vertAlign w:val="superscript"/>
        </w:rPr>
        <w:t xml:space="preserve"> </w:t>
      </w:r>
      <w:r w:rsidRPr="00D2061A">
        <w:rPr>
          <w:rFonts w:ascii="Times New Roman" w:hAnsi="Times New Roman" w:cs="Times New Roman"/>
          <w:sz w:val="24"/>
          <w:szCs w:val="24"/>
        </w:rPr>
        <w:t xml:space="preserve">Thus the cruder conceptions of death, and these only, impressed themselves continually on the minds’, but even in Heavenly images, surely something recognisable as a person or soul must be drawn. </w:t>
      </w:r>
      <w:r w:rsidRPr="00D2061A">
        <w:rPr>
          <w:rFonts w:ascii="Times New Roman" w:hAnsi="Times New Roman" w:cs="Times New Roman"/>
          <w:sz w:val="24"/>
          <w:szCs w:val="24"/>
          <w:vertAlign w:val="superscript"/>
        </w:rPr>
        <w:t xml:space="preserve">11 </w:t>
      </w:r>
      <w:r w:rsidRPr="00D2061A">
        <w:rPr>
          <w:rFonts w:ascii="Times New Roman" w:hAnsi="Times New Roman" w:cs="Times New Roman"/>
          <w:sz w:val="24"/>
          <w:szCs w:val="24"/>
        </w:rPr>
        <w:t>Even saints, whose remains were treated as relics and thus prayed to for intercession with God, Huizinga proposes is materialistic, and that saints never decaying is a sign of this attachment, however it wasn’t a requirement for sainthood at all, and often they decayed, or rotted quickly. He claims ‘the macabre vision arose from deep psychological strata of fear; religious thought at once reduced it to a means of moral exhortation’, however the church did not see it that way, they saw talking about it as a way of processing it, and inspiring humility, and helping someone’s soul. There is a history of using corpses or remains to contemplate the eventual fate of your soul and your mortality and their purpose is wrongfully interpreted. The creation of the supposed macabre was aiming towards ‘the right outcome achieved, a perfect world and the perfect love of God that awaited the soul. The cost of righteousness during the soul’s brief and transitory time on earth was well worth paying for eternal future bliss’.</w:t>
      </w:r>
      <w:r w:rsidRPr="00D2061A">
        <w:rPr>
          <w:rFonts w:ascii="Times New Roman" w:hAnsi="Times New Roman" w:cs="Times New Roman"/>
          <w:sz w:val="24"/>
          <w:szCs w:val="24"/>
          <w:vertAlign w:val="superscript"/>
        </w:rPr>
        <w:t xml:space="preserve"> 12</w:t>
      </w:r>
    </w:p>
    <w:p w14:paraId="2722ECA4" w14:textId="77777777" w:rsidR="00291627" w:rsidRPr="00D2061A" w:rsidRDefault="00291627" w:rsidP="00291627">
      <w:pPr>
        <w:spacing w:line="240" w:lineRule="auto"/>
        <w:ind w:left="720" w:hanging="720"/>
        <w:rPr>
          <w:rFonts w:ascii="Times New Roman" w:hAnsi="Times New Roman" w:cs="Times New Roman"/>
          <w:sz w:val="24"/>
          <w:szCs w:val="24"/>
        </w:rPr>
      </w:pPr>
      <w:r w:rsidRPr="00D2061A">
        <w:rPr>
          <w:rFonts w:ascii="Times New Roman" w:hAnsi="Times New Roman" w:cs="Times New Roman"/>
          <w:sz w:val="24"/>
          <w:szCs w:val="24"/>
        </w:rPr>
        <w:t>He strongly criticises the depiction of human decay. The Transi, or cadaver, tombs are rare,</w:t>
      </w:r>
    </w:p>
    <w:p w14:paraId="01DD28E6" w14:textId="77777777" w:rsidR="00291627" w:rsidRPr="00D2061A" w:rsidRDefault="00291627" w:rsidP="00291627">
      <w:pPr>
        <w:spacing w:line="240" w:lineRule="auto"/>
        <w:rPr>
          <w:rFonts w:ascii="Times New Roman" w:hAnsi="Times New Roman" w:cs="Times New Roman"/>
          <w:sz w:val="24"/>
          <w:szCs w:val="24"/>
        </w:rPr>
      </w:pPr>
      <w:proofErr w:type="gramStart"/>
      <w:r w:rsidRPr="00D2061A">
        <w:rPr>
          <w:rFonts w:ascii="Times New Roman" w:hAnsi="Times New Roman" w:cs="Times New Roman"/>
          <w:sz w:val="24"/>
          <w:szCs w:val="24"/>
        </w:rPr>
        <w:t>only</w:t>
      </w:r>
      <w:proofErr w:type="gramEnd"/>
      <w:r w:rsidRPr="00D2061A">
        <w:rPr>
          <w:rFonts w:ascii="Times New Roman" w:hAnsi="Times New Roman" w:cs="Times New Roman"/>
          <w:sz w:val="24"/>
          <w:szCs w:val="24"/>
        </w:rPr>
        <w:t xml:space="preserve"> 270 in Northern Europe survive today. Most people are depicted in grave</w:t>
      </w:r>
      <w:r w:rsidRPr="00D2061A">
        <w:rPr>
          <w:rFonts w:ascii="Times New Roman" w:eastAsia="Calibri" w:hAnsi="Times New Roman" w:cs="Times New Roman"/>
          <w:sz w:val="24"/>
          <w:szCs w:val="24"/>
        </w:rPr>
        <w:t xml:space="preserve"> monuments chose to be depicted as they were in life. By portraying decay, they reminded the viewer of how transitory this life was. Whilst this can be seen as solely to strike fear into</w:t>
      </w:r>
      <w:r w:rsidRPr="00D2061A">
        <w:rPr>
          <w:rFonts w:ascii="Times New Roman" w:hAnsi="Times New Roman" w:cs="Times New Roman"/>
          <w:sz w:val="24"/>
          <w:szCs w:val="24"/>
        </w:rPr>
        <w:t xml:space="preserve"> </w:t>
      </w:r>
      <w:r w:rsidRPr="00D2061A">
        <w:rPr>
          <w:rFonts w:ascii="Times New Roman" w:eastAsia="Calibri" w:hAnsi="Times New Roman" w:cs="Times New Roman"/>
          <w:sz w:val="24"/>
          <w:szCs w:val="24"/>
        </w:rPr>
        <w:t xml:space="preserve">people, the message was intended more to be encouraged into thoughts of morality, inspiring humility, charity, prayers for the deceased and penance for one’s own sins. </w:t>
      </w:r>
      <w:r w:rsidRPr="00D2061A">
        <w:rPr>
          <w:rFonts w:ascii="Times New Roman" w:eastAsia="Calibri" w:hAnsi="Times New Roman" w:cs="Times New Roman"/>
          <w:sz w:val="24"/>
          <w:szCs w:val="24"/>
          <w:vertAlign w:val="superscript"/>
        </w:rPr>
        <w:t>13</w:t>
      </w:r>
    </w:p>
    <w:p w14:paraId="1C76A073" w14:textId="77777777" w:rsidR="00291627" w:rsidRPr="00D2061A" w:rsidRDefault="00291627" w:rsidP="00291627">
      <w:pPr>
        <w:spacing w:line="240" w:lineRule="auto"/>
        <w:rPr>
          <w:rFonts w:ascii="Times New Roman" w:hAnsi="Times New Roman" w:cs="Times New Roman"/>
          <w:sz w:val="24"/>
          <w:szCs w:val="24"/>
          <w:vertAlign w:val="superscript"/>
        </w:rPr>
      </w:pPr>
    </w:p>
    <w:p w14:paraId="0DF62BA8"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Caxton, </w:t>
      </w:r>
      <w:r w:rsidRPr="00D2061A">
        <w:rPr>
          <w:rFonts w:ascii="Times New Roman" w:hAnsi="Times New Roman" w:cs="Times New Roman"/>
          <w:i/>
          <w:sz w:val="18"/>
          <w:szCs w:val="18"/>
        </w:rPr>
        <w:t xml:space="preserve">The Book of the Art of Dying, </w:t>
      </w:r>
      <w:r w:rsidRPr="00D2061A">
        <w:rPr>
          <w:rFonts w:ascii="Times New Roman" w:hAnsi="Times New Roman" w:cs="Times New Roman"/>
          <w:sz w:val="18"/>
          <w:szCs w:val="18"/>
        </w:rPr>
        <w:t xml:space="preserve">available at: </w:t>
      </w:r>
      <w:r w:rsidRPr="008E492B">
        <w:rPr>
          <w:rStyle w:val="Hyperlink"/>
          <w:rFonts w:ascii="Times New Roman" w:hAnsi="Times New Roman" w:cs="Times New Roman"/>
          <w:color w:val="auto"/>
          <w:sz w:val="18"/>
          <w:szCs w:val="18"/>
          <w:u w:val="none"/>
        </w:rPr>
        <w:t>https://archive.org/details/bookofcraftofdyi00caxtiala/page/2</w:t>
      </w:r>
    </w:p>
    <w:p w14:paraId="37F58846" w14:textId="77777777" w:rsidR="00291627" w:rsidRPr="00D2061A" w:rsidRDefault="00291627" w:rsidP="00291627">
      <w:pPr>
        <w:pStyle w:val="ListParagraph"/>
        <w:numPr>
          <w:ilvl w:val="0"/>
          <w:numId w:val="4"/>
        </w:numPr>
        <w:spacing w:line="240" w:lineRule="auto"/>
        <w:rPr>
          <w:rFonts w:ascii="Times New Roman" w:hAnsi="Times New Roman" w:cs="Times New Roman"/>
          <w:i/>
          <w:sz w:val="18"/>
          <w:szCs w:val="18"/>
        </w:rPr>
      </w:pPr>
      <w:r w:rsidRPr="00D2061A">
        <w:rPr>
          <w:rFonts w:ascii="Times New Roman" w:hAnsi="Times New Roman" w:cs="Times New Roman"/>
          <w:i/>
          <w:sz w:val="18"/>
          <w:szCs w:val="18"/>
        </w:rPr>
        <w:t>Disputation</w:t>
      </w:r>
    </w:p>
    <w:p w14:paraId="6179C0C4"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Binski, pg. 33.</w:t>
      </w:r>
    </w:p>
    <w:p w14:paraId="16E50928"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Binski, pg. 131. </w:t>
      </w:r>
    </w:p>
    <w:p w14:paraId="6B9CF0DC"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Daniell, pg. 28. </w:t>
      </w:r>
    </w:p>
    <w:p w14:paraId="7ED12400" w14:textId="77777777" w:rsidR="00291627" w:rsidRPr="00D2061A" w:rsidRDefault="00291627" w:rsidP="00291627">
      <w:pPr>
        <w:pStyle w:val="ListParagraph"/>
        <w:numPr>
          <w:ilvl w:val="0"/>
          <w:numId w:val="4"/>
        </w:num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Daniell, pg. 2. </w:t>
      </w:r>
    </w:p>
    <w:p w14:paraId="385F0C69" w14:textId="77777777" w:rsidR="00291627" w:rsidRPr="00D2061A" w:rsidRDefault="00291627" w:rsidP="00291627">
      <w:pPr>
        <w:spacing w:line="240" w:lineRule="auto"/>
        <w:rPr>
          <w:rFonts w:ascii="Times New Roman" w:hAnsi="Times New Roman" w:cs="Times New Roman"/>
          <w:sz w:val="24"/>
          <w:szCs w:val="24"/>
          <w:vertAlign w:val="superscript"/>
        </w:rPr>
      </w:pPr>
    </w:p>
    <w:p w14:paraId="316BEE17" w14:textId="77777777" w:rsidR="00291627" w:rsidRPr="00D2061A" w:rsidRDefault="00291627" w:rsidP="00291627">
      <w:pPr>
        <w:spacing w:line="240" w:lineRule="auto"/>
        <w:rPr>
          <w:rFonts w:ascii="Times New Roman" w:eastAsia="Calibri" w:hAnsi="Times New Roman" w:cs="Times New Roman"/>
          <w:sz w:val="24"/>
          <w:szCs w:val="24"/>
        </w:rPr>
      </w:pPr>
      <w:r w:rsidRPr="00D2061A">
        <w:rPr>
          <w:rFonts w:ascii="Times New Roman" w:eastAsia="Calibri" w:hAnsi="Times New Roman" w:cs="Times New Roman"/>
          <w:sz w:val="24"/>
          <w:szCs w:val="24"/>
        </w:rPr>
        <w:lastRenderedPageBreak/>
        <w:t xml:space="preserve">This was a creation of the church, to save peoples souls, which they considered the </w:t>
      </w:r>
      <w:proofErr w:type="gramStart"/>
      <w:r w:rsidRPr="00D2061A">
        <w:rPr>
          <w:rFonts w:ascii="Times New Roman" w:eastAsia="Calibri" w:hAnsi="Times New Roman" w:cs="Times New Roman"/>
          <w:sz w:val="24"/>
          <w:szCs w:val="24"/>
        </w:rPr>
        <w:t>most</w:t>
      </w:r>
      <w:proofErr w:type="gramEnd"/>
      <w:r w:rsidRPr="00D2061A">
        <w:rPr>
          <w:rFonts w:ascii="Times New Roman" w:eastAsia="Calibri" w:hAnsi="Times New Roman" w:cs="Times New Roman"/>
          <w:sz w:val="24"/>
          <w:szCs w:val="24"/>
        </w:rPr>
        <w:t xml:space="preserve"> important of the two. The physical body was temporary, the soul was eternal.  Transi tombs also had affiliations with power and politics. </w:t>
      </w:r>
      <w:r w:rsidRPr="00D2061A">
        <w:rPr>
          <w:rFonts w:ascii="Times New Roman" w:eastAsia="Calibri" w:hAnsi="Times New Roman" w:cs="Times New Roman"/>
          <w:sz w:val="24"/>
          <w:szCs w:val="24"/>
          <w:vertAlign w:val="superscript"/>
        </w:rPr>
        <w:t>14</w:t>
      </w:r>
      <w:r w:rsidRPr="00D2061A">
        <w:rPr>
          <w:rFonts w:ascii="Times New Roman" w:eastAsia="Calibri" w:hAnsi="Times New Roman" w:cs="Times New Roman"/>
          <w:sz w:val="24"/>
          <w:szCs w:val="24"/>
        </w:rPr>
        <w:t xml:space="preserve"> Effigies had greater emphasis on remembrance of the person who they were in life. Huizinga picks out the gory stuff, and has an ‘accepted’ view of what can be depicted about death, ignoring less morbid things such as the peaceful, loving effigies in Chichester Cathedral of Richard FitzAlan and his wife. Phillip Larkin clearly did not feel fear or jubilation whilst viewing them but rather ‘what will survive of us is love’.</w:t>
      </w:r>
      <w:r w:rsidRPr="00D2061A">
        <w:rPr>
          <w:rFonts w:ascii="Times New Roman" w:eastAsia="Calibri" w:hAnsi="Times New Roman" w:cs="Times New Roman"/>
          <w:sz w:val="24"/>
          <w:szCs w:val="24"/>
          <w:vertAlign w:val="superscript"/>
        </w:rPr>
        <w:t>15</w:t>
      </w:r>
      <w:r w:rsidRPr="00D2061A">
        <w:rPr>
          <w:rFonts w:ascii="Times New Roman" w:eastAsia="Calibri" w:hAnsi="Times New Roman" w:cs="Times New Roman"/>
          <w:sz w:val="24"/>
          <w:szCs w:val="24"/>
        </w:rPr>
        <w:t xml:space="preserve"> Effigies are far more popular than transi tombs. Huizinga seems to dismiss entirely that they processed, used and saw the ‘morbid’ material culture differently.  All tombs or grave monuments had a communal purpose, of binding the living and the dead.</w:t>
      </w:r>
      <w:r w:rsidRPr="00D2061A">
        <w:rPr>
          <w:rFonts w:ascii="Times New Roman" w:eastAsia="Calibri" w:hAnsi="Times New Roman" w:cs="Times New Roman"/>
          <w:sz w:val="24"/>
          <w:szCs w:val="24"/>
          <w:vertAlign w:val="superscript"/>
        </w:rPr>
        <w:t xml:space="preserve">16 </w:t>
      </w:r>
      <w:proofErr w:type="gramStart"/>
      <w:r w:rsidRPr="00D2061A">
        <w:rPr>
          <w:rFonts w:ascii="Times New Roman" w:eastAsia="Calibri" w:hAnsi="Times New Roman" w:cs="Times New Roman"/>
          <w:sz w:val="24"/>
          <w:szCs w:val="24"/>
        </w:rPr>
        <w:t>Like</w:t>
      </w:r>
      <w:proofErr w:type="gramEnd"/>
      <w:r w:rsidRPr="00D2061A">
        <w:rPr>
          <w:rFonts w:ascii="Times New Roman" w:eastAsia="Calibri" w:hAnsi="Times New Roman" w:cs="Times New Roman"/>
          <w:sz w:val="24"/>
          <w:szCs w:val="24"/>
        </w:rPr>
        <w:t xml:space="preserve"> the tomb of John FitzAlan, whose family purposefully brought him back to England, although Huizinga dismisses the practice of being brought home after death as ‘strange’.</w:t>
      </w:r>
    </w:p>
    <w:p w14:paraId="1499A8F2" w14:textId="77777777" w:rsidR="00291627" w:rsidRPr="00D2061A" w:rsidRDefault="00291627" w:rsidP="00291627">
      <w:pPr>
        <w:spacing w:line="240" w:lineRule="auto"/>
        <w:rPr>
          <w:rFonts w:ascii="Times New Roman" w:hAnsi="Times New Roman" w:cs="Times New Roman"/>
          <w:sz w:val="24"/>
          <w:szCs w:val="24"/>
        </w:rPr>
      </w:pPr>
      <w:r w:rsidRPr="00D2061A">
        <w:rPr>
          <w:rFonts w:ascii="Times New Roman" w:eastAsia="Calibri" w:hAnsi="Times New Roman" w:cs="Times New Roman"/>
          <w:sz w:val="24"/>
          <w:szCs w:val="24"/>
        </w:rPr>
        <w:t xml:space="preserve"> ‘An everlasting call of </w:t>
      </w:r>
      <w:r w:rsidRPr="00D2061A">
        <w:rPr>
          <w:rFonts w:ascii="Times New Roman" w:eastAsia="Calibri" w:hAnsi="Times New Roman" w:cs="Times New Roman"/>
          <w:i/>
          <w:sz w:val="24"/>
          <w:szCs w:val="24"/>
        </w:rPr>
        <w:t>memento mori</w:t>
      </w:r>
      <w:r w:rsidRPr="00D2061A">
        <w:rPr>
          <w:rFonts w:ascii="Times New Roman" w:hAnsi="Times New Roman" w:cs="Times New Roman"/>
          <w:i/>
          <w:sz w:val="24"/>
          <w:szCs w:val="24"/>
        </w:rPr>
        <w:t xml:space="preserve"> </w:t>
      </w:r>
      <w:r w:rsidRPr="00D2061A">
        <w:rPr>
          <w:rFonts w:ascii="Times New Roman" w:hAnsi="Times New Roman" w:cs="Times New Roman"/>
          <w:sz w:val="24"/>
          <w:szCs w:val="24"/>
        </w:rPr>
        <w:t>resounds through life’</w:t>
      </w:r>
      <w:r w:rsidRPr="00D2061A">
        <w:rPr>
          <w:rFonts w:ascii="Times New Roman" w:hAnsi="Times New Roman" w:cs="Times New Roman"/>
          <w:i/>
          <w:sz w:val="24"/>
          <w:szCs w:val="24"/>
        </w:rPr>
        <w:t xml:space="preserve"> </w:t>
      </w:r>
      <w:r w:rsidRPr="00D2061A">
        <w:rPr>
          <w:rFonts w:ascii="Times New Roman" w:hAnsi="Times New Roman" w:cs="Times New Roman"/>
          <w:sz w:val="24"/>
          <w:szCs w:val="24"/>
        </w:rPr>
        <w:t xml:space="preserve">says Huizinga. Whilst this could be true for personal reflection in a Book of Hours, if one did not enter a church that month, which was not uncommon, you would not hear or see many of the examples of death portrayals. There is no way to know how often they actually thought about death, especially the poor without access to personal literature. And if one did see a macabre image, would that was really be all occupied their thoughts daily, constantly, as though they were incapable of having multiple emotions or thoughts. The macabre vision created by Huizinga does not represent the emotions of tenderness or of consolation, or continuation, and is completely ignorant of contemplation. </w:t>
      </w:r>
      <w:r w:rsidRPr="00D2061A">
        <w:rPr>
          <w:rFonts w:ascii="Times New Roman" w:hAnsi="Times New Roman" w:cs="Times New Roman"/>
          <w:sz w:val="24"/>
          <w:szCs w:val="24"/>
          <w:vertAlign w:val="superscript"/>
        </w:rPr>
        <w:t xml:space="preserve">17 </w:t>
      </w:r>
      <w:r w:rsidRPr="00D2061A">
        <w:rPr>
          <w:rFonts w:ascii="Times New Roman" w:hAnsi="Times New Roman" w:cs="Times New Roman"/>
          <w:sz w:val="24"/>
          <w:szCs w:val="24"/>
        </w:rPr>
        <w:t>The tombs left behind were as much for the family as the deceased and the literature created had motives more important than whether someone found them morbid or not.</w:t>
      </w:r>
      <w:r w:rsidRPr="00D2061A">
        <w:rPr>
          <w:rFonts w:ascii="Times New Roman" w:hAnsi="Times New Roman" w:cs="Times New Roman"/>
          <w:sz w:val="24"/>
          <w:szCs w:val="24"/>
          <w:vertAlign w:val="superscript"/>
        </w:rPr>
        <w:t xml:space="preserve"> </w:t>
      </w:r>
      <w:r w:rsidRPr="00D2061A">
        <w:rPr>
          <w:rFonts w:ascii="Times New Roman" w:hAnsi="Times New Roman" w:cs="Times New Roman"/>
          <w:sz w:val="24"/>
          <w:szCs w:val="24"/>
        </w:rPr>
        <w:t xml:space="preserve">This ignores too all the artwork depicting Heaven, Hell and Purgatory, seeing the fate of the soul after death, perhaps being tortured in Hell, is far more frightening than a dancing corpse. The </w:t>
      </w:r>
      <w:r w:rsidRPr="00D2061A">
        <w:rPr>
          <w:rFonts w:ascii="Times New Roman" w:hAnsi="Times New Roman" w:cs="Times New Roman"/>
          <w:i/>
          <w:sz w:val="24"/>
          <w:szCs w:val="24"/>
        </w:rPr>
        <w:t xml:space="preserve">Danse Macabre </w:t>
      </w:r>
      <w:r w:rsidRPr="00D2061A">
        <w:rPr>
          <w:rFonts w:ascii="Times New Roman" w:hAnsi="Times New Roman" w:cs="Times New Roman"/>
          <w:sz w:val="24"/>
          <w:szCs w:val="24"/>
        </w:rPr>
        <w:t>and</w:t>
      </w:r>
      <w:r w:rsidRPr="00D2061A">
        <w:rPr>
          <w:rFonts w:ascii="Times New Roman" w:hAnsi="Times New Roman" w:cs="Times New Roman"/>
          <w:i/>
          <w:sz w:val="24"/>
          <w:szCs w:val="24"/>
        </w:rPr>
        <w:t xml:space="preserve"> </w:t>
      </w:r>
      <w:r w:rsidRPr="00D2061A">
        <w:rPr>
          <w:rFonts w:ascii="Times New Roman" w:hAnsi="Times New Roman" w:cs="Times New Roman"/>
          <w:sz w:val="24"/>
          <w:szCs w:val="24"/>
        </w:rPr>
        <w:t xml:space="preserve">The Three Living and the Three Dead, ways of depicting reminders of humility, of transitoriness, without showing purgatory can be seen as an attachment, or disgust, equally, to the physical body. But again, they are simply imploring the audience to remember their mortality, and to choose their actions wisely.  </w:t>
      </w:r>
    </w:p>
    <w:p w14:paraId="65F3156B" w14:textId="77777777" w:rsidR="00291627" w:rsidRPr="00D2061A" w:rsidRDefault="00291627" w:rsidP="00291627">
      <w:pPr>
        <w:spacing w:line="240" w:lineRule="auto"/>
        <w:rPr>
          <w:rFonts w:ascii="Times New Roman" w:hAnsi="Times New Roman" w:cs="Times New Roman"/>
          <w:sz w:val="24"/>
          <w:szCs w:val="24"/>
        </w:rPr>
      </w:pPr>
      <w:r w:rsidRPr="00D2061A">
        <w:rPr>
          <w:rFonts w:ascii="Times New Roman" w:hAnsi="Times New Roman" w:cs="Times New Roman"/>
          <w:sz w:val="24"/>
          <w:szCs w:val="24"/>
        </w:rPr>
        <w:t>Huizinga explains the medieval experience of death in a way that misinterprets and misrepresentations their experiences and creations. Whilst they did create a varied lot of primary material, in art, literature and architecture, surrounding death, they did so not with a morbid purpose but rather one of necessity. Their world needed understanding and meaning, which was achieved through the belief in the soul and the afterlife. The materiality of death they made was to aid them through this life, with the hopes of the best possible one in the next stage of their soul’s existence.</w:t>
      </w:r>
    </w:p>
    <w:p w14:paraId="39898AFB" w14:textId="77777777" w:rsidR="00291627" w:rsidRPr="00D2061A" w:rsidRDefault="00291627" w:rsidP="00291627">
      <w:pPr>
        <w:spacing w:line="240" w:lineRule="auto"/>
        <w:rPr>
          <w:rFonts w:ascii="Times New Roman" w:hAnsi="Times New Roman" w:cs="Times New Roman"/>
          <w:sz w:val="18"/>
          <w:szCs w:val="18"/>
        </w:rPr>
      </w:pPr>
    </w:p>
    <w:p w14:paraId="6CA5823E" w14:textId="77777777" w:rsidR="00291627" w:rsidRPr="00D2061A" w:rsidRDefault="00291627" w:rsidP="00291627">
      <w:p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14.  Pamela M. King &amp; Daniell, pg. 185. </w:t>
      </w:r>
    </w:p>
    <w:p w14:paraId="2482742B" w14:textId="77777777" w:rsidR="00291627" w:rsidRPr="00D2061A" w:rsidRDefault="00291627" w:rsidP="00291627">
      <w:p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15. Philip Larkin, </w:t>
      </w:r>
      <w:r w:rsidRPr="00D2061A">
        <w:rPr>
          <w:rFonts w:ascii="Times New Roman" w:hAnsi="Times New Roman" w:cs="Times New Roman"/>
          <w:i/>
          <w:sz w:val="18"/>
          <w:szCs w:val="18"/>
        </w:rPr>
        <w:t xml:space="preserve">An Arundel Tomb, </w:t>
      </w:r>
      <w:r w:rsidRPr="00D2061A">
        <w:rPr>
          <w:rFonts w:ascii="Times New Roman" w:hAnsi="Times New Roman" w:cs="Times New Roman"/>
          <w:sz w:val="18"/>
          <w:szCs w:val="18"/>
        </w:rPr>
        <w:t>available at: https://www.poetryfoundation.org/poems/47594/an-arundel-tomb</w:t>
      </w:r>
    </w:p>
    <w:p w14:paraId="3BAF61F9" w14:textId="77777777" w:rsidR="00291627" w:rsidRPr="00D2061A" w:rsidRDefault="00291627" w:rsidP="00291627">
      <w:pPr>
        <w:spacing w:line="240" w:lineRule="auto"/>
        <w:rPr>
          <w:rFonts w:ascii="Times New Roman" w:hAnsi="Times New Roman" w:cs="Times New Roman"/>
          <w:sz w:val="18"/>
          <w:szCs w:val="18"/>
        </w:rPr>
      </w:pPr>
      <w:r w:rsidRPr="00D2061A">
        <w:rPr>
          <w:rFonts w:ascii="Times New Roman" w:hAnsi="Times New Roman" w:cs="Times New Roman"/>
          <w:sz w:val="18"/>
          <w:szCs w:val="18"/>
        </w:rPr>
        <w:t xml:space="preserve">16. Daniell, pg. 192. </w:t>
      </w:r>
    </w:p>
    <w:p w14:paraId="524E6AD1" w14:textId="77777777" w:rsidR="00291627" w:rsidRPr="00D2061A" w:rsidRDefault="00291627" w:rsidP="00291627">
      <w:pPr>
        <w:rPr>
          <w:rFonts w:ascii="Times New Roman" w:hAnsi="Times New Roman" w:cs="Times New Roman"/>
          <w:sz w:val="18"/>
          <w:szCs w:val="18"/>
        </w:rPr>
      </w:pPr>
      <w:r w:rsidRPr="00D2061A">
        <w:rPr>
          <w:rFonts w:ascii="Times New Roman" w:hAnsi="Times New Roman" w:cs="Times New Roman"/>
          <w:sz w:val="18"/>
          <w:szCs w:val="18"/>
        </w:rPr>
        <w:t xml:space="preserve">17. Edelgard Dubruck, </w:t>
      </w:r>
      <w:r>
        <w:rPr>
          <w:rFonts w:ascii="Times New Roman" w:hAnsi="Times New Roman" w:cs="Times New Roman"/>
          <w:sz w:val="18"/>
          <w:szCs w:val="18"/>
        </w:rPr>
        <w:t>‘</w:t>
      </w:r>
      <w:r w:rsidRPr="00D2061A">
        <w:rPr>
          <w:rFonts w:ascii="Times New Roman" w:hAnsi="Times New Roman" w:cs="Times New Roman"/>
          <w:i/>
          <w:sz w:val="18"/>
          <w:szCs w:val="18"/>
        </w:rPr>
        <w:t>The Theme of Death in French Poetry of the Middle Ages and the Renaissance</w:t>
      </w:r>
      <w:r>
        <w:rPr>
          <w:rFonts w:ascii="Times New Roman" w:hAnsi="Times New Roman" w:cs="Times New Roman"/>
          <w:i/>
          <w:sz w:val="18"/>
          <w:szCs w:val="18"/>
        </w:rPr>
        <w:t>’</w:t>
      </w:r>
      <w:r w:rsidRPr="00D2061A">
        <w:rPr>
          <w:rFonts w:ascii="Times New Roman" w:hAnsi="Times New Roman" w:cs="Times New Roman"/>
          <w:i/>
          <w:sz w:val="18"/>
          <w:szCs w:val="18"/>
        </w:rPr>
        <w:t xml:space="preserve">, </w:t>
      </w:r>
      <w:r w:rsidRPr="00D2061A">
        <w:rPr>
          <w:rFonts w:ascii="Times New Roman" w:hAnsi="Times New Roman" w:cs="Times New Roman"/>
          <w:sz w:val="18"/>
          <w:szCs w:val="18"/>
        </w:rPr>
        <w:t xml:space="preserve">(Mouton &amp; Co: London, 1964), pg. 39. </w:t>
      </w:r>
    </w:p>
    <w:p w14:paraId="2564BA34" w14:textId="77777777" w:rsidR="00291627" w:rsidRPr="00AD0B30" w:rsidRDefault="00291627" w:rsidP="00291627">
      <w:pPr>
        <w:spacing w:line="240" w:lineRule="auto"/>
        <w:rPr>
          <w:sz w:val="18"/>
          <w:szCs w:val="18"/>
        </w:rPr>
      </w:pPr>
    </w:p>
    <w:p w14:paraId="24483469" w14:textId="77777777" w:rsidR="00291627" w:rsidRDefault="00291627" w:rsidP="00291627">
      <w:pPr>
        <w:spacing w:line="240" w:lineRule="auto"/>
      </w:pPr>
    </w:p>
    <w:p w14:paraId="010F599E" w14:textId="77777777" w:rsidR="00291627" w:rsidRDefault="00291627">
      <w:pPr>
        <w:rPr>
          <w:rStyle w:val="normaltextrun"/>
          <w:rFonts w:ascii="Times New Roman" w:eastAsia="Times New Roman" w:hAnsi="Times New Roman" w:cs="Times New Roman"/>
          <w:sz w:val="20"/>
          <w:szCs w:val="20"/>
          <w:lang w:eastAsia="en-GB"/>
        </w:rPr>
      </w:pPr>
    </w:p>
    <w:p w14:paraId="44EDC216" w14:textId="77777777" w:rsidR="00291627" w:rsidRDefault="00291627" w:rsidP="00291627">
      <w:pPr>
        <w:pStyle w:val="paragraph"/>
        <w:spacing w:before="0" w:beforeAutospacing="0" w:after="0" w:afterAutospacing="0"/>
        <w:ind w:left="720"/>
        <w:textAlignment w:val="baseline"/>
        <w:rPr>
          <w:rStyle w:val="normaltextrun"/>
          <w:sz w:val="20"/>
          <w:szCs w:val="20"/>
        </w:rPr>
      </w:pPr>
    </w:p>
    <w:p w14:paraId="0ED291E3" w14:textId="7461A27C" w:rsidR="00291627" w:rsidRPr="00386355" w:rsidRDefault="00291627" w:rsidP="00386355">
      <w:pPr>
        <w:rPr>
          <w:rStyle w:val="normaltextrun"/>
          <w:rFonts w:ascii="Times New Roman" w:eastAsia="Times New Roman" w:hAnsi="Times New Roman" w:cs="Times New Roman"/>
          <w:sz w:val="20"/>
          <w:szCs w:val="20"/>
          <w:lang w:eastAsia="en-GB"/>
        </w:rPr>
      </w:pPr>
      <w:r>
        <w:rPr>
          <w:rStyle w:val="normaltextrun"/>
          <w:sz w:val="20"/>
          <w:szCs w:val="20"/>
        </w:rPr>
        <w:br w:type="page"/>
      </w:r>
    </w:p>
    <w:p w14:paraId="0C0AB059" w14:textId="3CEABF4A" w:rsidR="00291627" w:rsidRPr="004E4DC4" w:rsidRDefault="00291627" w:rsidP="004E4DC4">
      <w:pPr>
        <w:pStyle w:val="paragraph"/>
        <w:spacing w:before="0" w:beforeAutospacing="0" w:after="0" w:afterAutospacing="0"/>
        <w:jc w:val="center"/>
        <w:textAlignment w:val="baseline"/>
        <w:rPr>
          <w:rStyle w:val="normaltextrun"/>
          <w:sz w:val="20"/>
          <w:szCs w:val="20"/>
          <w:u w:val="single"/>
        </w:rPr>
      </w:pPr>
      <w:r w:rsidRPr="004E4DC4">
        <w:rPr>
          <w:rStyle w:val="normaltextrun"/>
          <w:sz w:val="20"/>
          <w:szCs w:val="20"/>
          <w:u w:val="single"/>
        </w:rPr>
        <w:lastRenderedPageBreak/>
        <w:t>Bibliography</w:t>
      </w:r>
    </w:p>
    <w:p w14:paraId="3989BC55" w14:textId="0CD20E8C" w:rsidR="004E4DC4" w:rsidRPr="004E4DC4" w:rsidRDefault="004E4DC4" w:rsidP="004E4DC4">
      <w:pPr>
        <w:jc w:val="center"/>
        <w:rPr>
          <w:rFonts w:ascii="Times New Roman" w:hAnsi="Times New Roman" w:cs="Times New Roman"/>
          <w:i/>
          <w:sz w:val="20"/>
          <w:szCs w:val="20"/>
          <w:u w:val="single"/>
        </w:rPr>
      </w:pPr>
      <w:r w:rsidRPr="004E4DC4">
        <w:rPr>
          <w:rFonts w:ascii="Times New Roman" w:hAnsi="Times New Roman" w:cs="Times New Roman"/>
          <w:i/>
          <w:sz w:val="20"/>
          <w:szCs w:val="20"/>
          <w:u w:val="single"/>
        </w:rPr>
        <w:t>Primary</w:t>
      </w:r>
    </w:p>
    <w:p w14:paraId="740AE231" w14:textId="77777777" w:rsidR="004E4DC4" w:rsidRPr="004E4DC4" w:rsidRDefault="004E4DC4" w:rsidP="004E4DC4">
      <w:pPr>
        <w:spacing w:line="240" w:lineRule="auto"/>
        <w:rPr>
          <w:rFonts w:ascii="Times New Roman" w:hAnsi="Times New Roman" w:cs="Times New Roman"/>
          <w:sz w:val="20"/>
          <w:szCs w:val="20"/>
        </w:rPr>
      </w:pPr>
      <w:r w:rsidRPr="004E4DC4">
        <w:rPr>
          <w:rFonts w:ascii="Times New Roman" w:hAnsi="Times New Roman" w:cs="Times New Roman"/>
          <w:sz w:val="20"/>
          <w:szCs w:val="20"/>
        </w:rPr>
        <w:t xml:space="preserve">Caxton, </w:t>
      </w:r>
      <w:r w:rsidRPr="004E4DC4">
        <w:rPr>
          <w:rFonts w:ascii="Times New Roman" w:hAnsi="Times New Roman" w:cs="Times New Roman"/>
          <w:i/>
          <w:sz w:val="20"/>
          <w:szCs w:val="20"/>
        </w:rPr>
        <w:t xml:space="preserve">The Book of the Art of Dying, </w:t>
      </w:r>
      <w:r w:rsidRPr="004E4DC4">
        <w:rPr>
          <w:rFonts w:ascii="Times New Roman" w:hAnsi="Times New Roman" w:cs="Times New Roman"/>
          <w:sz w:val="20"/>
          <w:szCs w:val="20"/>
        </w:rPr>
        <w:t xml:space="preserve">available at: </w:t>
      </w:r>
      <w:r w:rsidRPr="004E4DC4">
        <w:rPr>
          <w:rStyle w:val="Hyperlink"/>
          <w:rFonts w:ascii="Times New Roman" w:hAnsi="Times New Roman" w:cs="Times New Roman"/>
          <w:color w:val="auto"/>
          <w:sz w:val="20"/>
          <w:szCs w:val="20"/>
          <w:u w:val="none"/>
        </w:rPr>
        <w:t>https://archive.org/details/bookofcraftofdyi00caxtiala/page/2</w:t>
      </w:r>
    </w:p>
    <w:p w14:paraId="60945F6B" w14:textId="77777777" w:rsidR="004E4DC4" w:rsidRPr="004E4DC4" w:rsidRDefault="004E4DC4" w:rsidP="004E4DC4">
      <w:pPr>
        <w:pStyle w:val="paragraph"/>
        <w:spacing w:before="0" w:beforeAutospacing="0" w:after="0" w:afterAutospacing="0"/>
        <w:textAlignment w:val="baseline"/>
        <w:rPr>
          <w:sz w:val="20"/>
          <w:szCs w:val="20"/>
        </w:rPr>
      </w:pPr>
      <w:r w:rsidRPr="004E4DC4">
        <w:rPr>
          <w:sz w:val="20"/>
          <w:szCs w:val="20"/>
        </w:rPr>
        <w:t xml:space="preserve">Larkin, Philip, </w:t>
      </w:r>
      <w:r w:rsidRPr="004E4DC4">
        <w:rPr>
          <w:i/>
          <w:sz w:val="20"/>
          <w:szCs w:val="20"/>
        </w:rPr>
        <w:t xml:space="preserve">An Arundel Tomb, </w:t>
      </w:r>
      <w:r w:rsidRPr="004E4DC4">
        <w:rPr>
          <w:sz w:val="20"/>
          <w:szCs w:val="20"/>
        </w:rPr>
        <w:t>available at: https://www.poetryfoundation.org/poems/47594/an-arundel-tomb</w:t>
      </w:r>
    </w:p>
    <w:p w14:paraId="371D822F" w14:textId="77777777" w:rsidR="004E4DC4" w:rsidRPr="004E4DC4" w:rsidRDefault="004E4DC4" w:rsidP="004E4DC4">
      <w:pPr>
        <w:spacing w:line="240" w:lineRule="auto"/>
        <w:rPr>
          <w:rFonts w:ascii="Times New Roman" w:hAnsi="Times New Roman" w:cs="Times New Roman"/>
          <w:sz w:val="20"/>
          <w:szCs w:val="20"/>
        </w:rPr>
      </w:pPr>
      <w:proofErr w:type="gramStart"/>
      <w:r w:rsidRPr="004E4DC4">
        <w:rPr>
          <w:rFonts w:ascii="Times New Roman" w:hAnsi="Times New Roman" w:cs="Times New Roman"/>
          <w:sz w:val="20"/>
          <w:szCs w:val="20"/>
        </w:rPr>
        <w:t>the</w:t>
      </w:r>
      <w:proofErr w:type="gramEnd"/>
      <w:r w:rsidRPr="004E4DC4">
        <w:rPr>
          <w:rFonts w:ascii="Times New Roman" w:hAnsi="Times New Roman" w:cs="Times New Roman"/>
          <w:sz w:val="20"/>
          <w:szCs w:val="20"/>
        </w:rPr>
        <w:t xml:space="preserve"> Danse Macabre of Women: Ms. Fr. 995 of the </w:t>
      </w:r>
      <w:proofErr w:type="spellStart"/>
      <w:r w:rsidRPr="004E4DC4">
        <w:rPr>
          <w:rFonts w:ascii="Times New Roman" w:hAnsi="Times New Roman" w:cs="Times New Roman"/>
          <w:sz w:val="20"/>
          <w:szCs w:val="20"/>
        </w:rPr>
        <w:t>Bibliothèque</w:t>
      </w:r>
      <w:proofErr w:type="spellEnd"/>
      <w:r w:rsidRPr="004E4DC4">
        <w:rPr>
          <w:rFonts w:ascii="Times New Roman" w:hAnsi="Times New Roman" w:cs="Times New Roman"/>
          <w:sz w:val="20"/>
          <w:szCs w:val="20"/>
        </w:rPr>
        <w:t xml:space="preserve"> </w:t>
      </w:r>
      <w:proofErr w:type="spellStart"/>
      <w:r w:rsidRPr="004E4DC4">
        <w:rPr>
          <w:rFonts w:ascii="Times New Roman" w:hAnsi="Times New Roman" w:cs="Times New Roman"/>
          <w:sz w:val="20"/>
          <w:szCs w:val="20"/>
        </w:rPr>
        <w:t>Nationale</w:t>
      </w:r>
      <w:proofErr w:type="spellEnd"/>
      <w:r w:rsidRPr="004E4DC4">
        <w:rPr>
          <w:rFonts w:ascii="Times New Roman" w:hAnsi="Times New Roman" w:cs="Times New Roman"/>
          <w:sz w:val="20"/>
          <w:szCs w:val="20"/>
        </w:rPr>
        <w:t xml:space="preserve"> </w:t>
      </w:r>
      <w:r w:rsidRPr="004E4DC4">
        <w:rPr>
          <w:rFonts w:ascii="Times New Roman" w:eastAsia="Times New Roman" w:hAnsi="Times New Roman" w:cs="Times New Roman"/>
          <w:sz w:val="20"/>
          <w:szCs w:val="20"/>
          <w:shd w:val="clear" w:color="auto" w:fill="FFFFFF"/>
          <w:lang w:eastAsia="en-GB"/>
        </w:rPr>
        <w:t xml:space="preserve">edited by Ann Tukey Harrison, Sandra </w:t>
      </w:r>
      <w:proofErr w:type="spellStart"/>
      <w:r w:rsidRPr="004E4DC4">
        <w:rPr>
          <w:rFonts w:ascii="Times New Roman" w:eastAsia="Times New Roman" w:hAnsi="Times New Roman" w:cs="Times New Roman"/>
          <w:sz w:val="20"/>
          <w:szCs w:val="20"/>
          <w:shd w:val="clear" w:color="auto" w:fill="FFFFFF"/>
          <w:lang w:eastAsia="en-GB"/>
        </w:rPr>
        <w:t>Hindman</w:t>
      </w:r>
      <w:proofErr w:type="spellEnd"/>
    </w:p>
    <w:p w14:paraId="05548978" w14:textId="77777777" w:rsidR="004E4DC4" w:rsidRPr="004E4DC4" w:rsidRDefault="004E4DC4" w:rsidP="00386355">
      <w:pPr>
        <w:pStyle w:val="paragraph"/>
        <w:spacing w:before="0" w:beforeAutospacing="0" w:after="0" w:afterAutospacing="0"/>
        <w:textAlignment w:val="baseline"/>
        <w:rPr>
          <w:rStyle w:val="normaltextrun"/>
          <w:sz w:val="20"/>
          <w:szCs w:val="20"/>
          <w:u w:val="single"/>
        </w:rPr>
      </w:pPr>
    </w:p>
    <w:p w14:paraId="111BF0D2" w14:textId="4E28C31D" w:rsidR="00291627" w:rsidRPr="004E4DC4" w:rsidRDefault="004E4DC4" w:rsidP="00291627">
      <w:pPr>
        <w:pStyle w:val="paragraph"/>
        <w:spacing w:before="0" w:beforeAutospacing="0" w:after="0" w:afterAutospacing="0"/>
        <w:jc w:val="center"/>
        <w:textAlignment w:val="baseline"/>
        <w:rPr>
          <w:rStyle w:val="normaltextrun"/>
          <w:sz w:val="20"/>
          <w:szCs w:val="20"/>
          <w:u w:val="single"/>
        </w:rPr>
      </w:pPr>
      <w:r w:rsidRPr="004E4DC4">
        <w:rPr>
          <w:rStyle w:val="normaltextrun"/>
          <w:sz w:val="20"/>
          <w:szCs w:val="20"/>
          <w:u w:val="single"/>
        </w:rPr>
        <w:t xml:space="preserve">Secondary </w:t>
      </w:r>
    </w:p>
    <w:p w14:paraId="34E19977" w14:textId="77777777" w:rsidR="004E4DC4" w:rsidRPr="004E4DC4" w:rsidRDefault="004E4DC4" w:rsidP="004E4DC4">
      <w:pPr>
        <w:pStyle w:val="paragraph"/>
        <w:spacing w:before="0" w:beforeAutospacing="0" w:after="0" w:afterAutospacing="0"/>
        <w:textAlignment w:val="baseline"/>
        <w:rPr>
          <w:sz w:val="20"/>
          <w:szCs w:val="20"/>
        </w:rPr>
      </w:pPr>
      <w:r w:rsidRPr="004E4DC4">
        <w:rPr>
          <w:sz w:val="20"/>
          <w:szCs w:val="20"/>
        </w:rPr>
        <w:t xml:space="preserve">Aberth, John, </w:t>
      </w:r>
      <w:r w:rsidRPr="004E4DC4">
        <w:rPr>
          <w:i/>
          <w:sz w:val="20"/>
          <w:szCs w:val="20"/>
        </w:rPr>
        <w:t xml:space="preserve">From the Brink of the Apocalypse: Confronting Famine, War, Plague and Death. </w:t>
      </w:r>
      <w:r w:rsidRPr="004E4DC4">
        <w:rPr>
          <w:sz w:val="20"/>
          <w:szCs w:val="20"/>
        </w:rPr>
        <w:t>(Routledge, 2009).</w:t>
      </w:r>
    </w:p>
    <w:p w14:paraId="5F0469A1" w14:textId="77777777" w:rsidR="004E4DC4" w:rsidRPr="004E4DC4" w:rsidRDefault="004E4DC4" w:rsidP="00291627">
      <w:pPr>
        <w:pStyle w:val="paragraph"/>
        <w:spacing w:before="0" w:beforeAutospacing="0" w:after="0" w:afterAutospacing="0"/>
        <w:jc w:val="center"/>
        <w:textAlignment w:val="baseline"/>
        <w:rPr>
          <w:rStyle w:val="normaltextrun"/>
          <w:sz w:val="20"/>
          <w:szCs w:val="20"/>
          <w:u w:val="single"/>
        </w:rPr>
      </w:pPr>
    </w:p>
    <w:p w14:paraId="77F25B63" w14:textId="08CED87E" w:rsidR="00291627" w:rsidRDefault="00291627" w:rsidP="00291627">
      <w:pPr>
        <w:pStyle w:val="paragraph"/>
        <w:spacing w:before="0" w:beforeAutospacing="0" w:after="0" w:afterAutospacing="0"/>
        <w:jc w:val="both"/>
        <w:textAlignment w:val="baseline"/>
        <w:rPr>
          <w:rStyle w:val="eop"/>
          <w:sz w:val="20"/>
          <w:szCs w:val="20"/>
        </w:rPr>
      </w:pPr>
      <w:r w:rsidRPr="004E4DC4">
        <w:rPr>
          <w:rStyle w:val="normaltextrun"/>
          <w:sz w:val="20"/>
          <w:szCs w:val="20"/>
        </w:rPr>
        <w:t>Barker, Barker, </w:t>
      </w:r>
      <w:r w:rsidRPr="004E4DC4">
        <w:rPr>
          <w:rStyle w:val="normaltextrun"/>
          <w:i/>
          <w:iCs/>
          <w:sz w:val="20"/>
          <w:szCs w:val="20"/>
        </w:rPr>
        <w:t>Stone and Bone: The Corpse, the Effigy and the Viewer in Late-Medieval Tomb Sculpture</w:t>
      </w:r>
      <w:r w:rsidRPr="004E4DC4">
        <w:rPr>
          <w:rStyle w:val="eop"/>
          <w:sz w:val="20"/>
          <w:szCs w:val="20"/>
        </w:rPr>
        <w:t> </w:t>
      </w:r>
    </w:p>
    <w:p w14:paraId="0253FF64" w14:textId="77777777" w:rsidR="004E4DC4" w:rsidRPr="004E4DC4" w:rsidRDefault="004E4DC4" w:rsidP="00291627">
      <w:pPr>
        <w:pStyle w:val="paragraph"/>
        <w:spacing w:before="0" w:beforeAutospacing="0" w:after="0" w:afterAutospacing="0"/>
        <w:jc w:val="both"/>
        <w:textAlignment w:val="baseline"/>
        <w:rPr>
          <w:rStyle w:val="eop"/>
          <w:sz w:val="20"/>
          <w:szCs w:val="20"/>
        </w:rPr>
      </w:pPr>
    </w:p>
    <w:p w14:paraId="27A8E086" w14:textId="77777777" w:rsidR="00291627" w:rsidRPr="004E4DC4" w:rsidRDefault="00291627" w:rsidP="00291627">
      <w:pPr>
        <w:jc w:val="both"/>
        <w:rPr>
          <w:rStyle w:val="normaltextrun"/>
          <w:rFonts w:ascii="Times New Roman" w:hAnsi="Times New Roman" w:cs="Times New Roman"/>
          <w:sz w:val="20"/>
          <w:szCs w:val="20"/>
        </w:rPr>
      </w:pPr>
      <w:r w:rsidRPr="004E4DC4">
        <w:rPr>
          <w:rStyle w:val="eop"/>
          <w:rFonts w:ascii="Times New Roman" w:hAnsi="Times New Roman" w:cs="Times New Roman"/>
          <w:sz w:val="20"/>
          <w:szCs w:val="20"/>
        </w:rPr>
        <w:t xml:space="preserve"> Binski, </w:t>
      </w:r>
      <w:r w:rsidRPr="004E4DC4">
        <w:rPr>
          <w:rStyle w:val="normaltextrun"/>
          <w:rFonts w:ascii="Times New Roman" w:hAnsi="Times New Roman" w:cs="Times New Roman"/>
          <w:sz w:val="20"/>
          <w:szCs w:val="20"/>
        </w:rPr>
        <w:t>Paul, </w:t>
      </w:r>
      <w:r w:rsidRPr="004E4DC4">
        <w:rPr>
          <w:rStyle w:val="normaltextrun"/>
          <w:rFonts w:ascii="Times New Roman" w:hAnsi="Times New Roman" w:cs="Times New Roman"/>
          <w:i/>
          <w:iCs/>
          <w:sz w:val="20"/>
          <w:szCs w:val="20"/>
        </w:rPr>
        <w:t>Medieval Death Ritual and Representation, </w:t>
      </w:r>
      <w:r w:rsidRPr="004E4DC4">
        <w:rPr>
          <w:rStyle w:val="normaltextrun"/>
          <w:rFonts w:ascii="Times New Roman" w:hAnsi="Times New Roman" w:cs="Times New Roman"/>
          <w:sz w:val="20"/>
          <w:szCs w:val="20"/>
        </w:rPr>
        <w:t>(British Museum Press: London, 1996).</w:t>
      </w:r>
    </w:p>
    <w:p w14:paraId="14BA3C64" w14:textId="5905935F" w:rsidR="00291627" w:rsidRPr="004E4DC4" w:rsidRDefault="00291627" w:rsidP="00291627">
      <w:pPr>
        <w:pStyle w:val="paragraph"/>
        <w:spacing w:before="0" w:beforeAutospacing="0" w:after="0" w:afterAutospacing="0"/>
        <w:jc w:val="both"/>
        <w:textAlignment w:val="baseline"/>
        <w:rPr>
          <w:rStyle w:val="eop"/>
          <w:sz w:val="20"/>
          <w:szCs w:val="20"/>
        </w:rPr>
      </w:pPr>
      <w:r w:rsidRPr="004E4DC4">
        <w:rPr>
          <w:rStyle w:val="normaltextrun"/>
          <w:sz w:val="20"/>
          <w:szCs w:val="20"/>
        </w:rPr>
        <w:t xml:space="preserve">Cohen, Kathleen. </w:t>
      </w:r>
      <w:r w:rsidRPr="004E4DC4">
        <w:rPr>
          <w:rStyle w:val="normaltextrun"/>
          <w:i/>
          <w:iCs/>
          <w:sz w:val="20"/>
          <w:szCs w:val="20"/>
        </w:rPr>
        <w:t xml:space="preserve">Metamorphosis of a Death Symbol: The Transi Tomb in the Late </w:t>
      </w:r>
      <w:proofErr w:type="gramStart"/>
      <w:r w:rsidRPr="004E4DC4">
        <w:rPr>
          <w:rStyle w:val="normaltextrun"/>
          <w:i/>
          <w:iCs/>
          <w:sz w:val="20"/>
          <w:szCs w:val="20"/>
        </w:rPr>
        <w:t>Middle</w:t>
      </w:r>
      <w:proofErr w:type="gramEnd"/>
      <w:r w:rsidRPr="004E4DC4">
        <w:rPr>
          <w:rStyle w:val="normaltextrun"/>
          <w:i/>
          <w:iCs/>
          <w:sz w:val="20"/>
          <w:szCs w:val="20"/>
        </w:rPr>
        <w:t xml:space="preserve"> Ages and the Renaissance. </w:t>
      </w:r>
      <w:r w:rsidRPr="004E4DC4">
        <w:rPr>
          <w:sz w:val="20"/>
          <w:szCs w:val="20"/>
          <w:shd w:val="clear" w:color="auto" w:fill="FFFFFF"/>
        </w:rPr>
        <w:t>(Berkeley, Los Angeles and London: The University of California Press, 1973)</w:t>
      </w:r>
      <w:r w:rsidR="004E4DC4" w:rsidRPr="004E4DC4">
        <w:rPr>
          <w:sz w:val="20"/>
          <w:szCs w:val="20"/>
          <w:shd w:val="clear" w:color="auto" w:fill="FFFFFF"/>
        </w:rPr>
        <w:t>.</w:t>
      </w:r>
      <w:r w:rsidRPr="004E4DC4">
        <w:rPr>
          <w:rStyle w:val="normaltextrun"/>
          <w:i/>
          <w:iCs/>
          <w:sz w:val="20"/>
          <w:szCs w:val="20"/>
        </w:rPr>
        <w:t xml:space="preserve">  </w:t>
      </w:r>
      <w:r w:rsidRPr="004E4DC4">
        <w:rPr>
          <w:rStyle w:val="eop"/>
          <w:sz w:val="20"/>
          <w:szCs w:val="20"/>
        </w:rPr>
        <w:t> </w:t>
      </w:r>
    </w:p>
    <w:p w14:paraId="77B0DEB8" w14:textId="77777777" w:rsidR="004E4DC4" w:rsidRPr="004E4DC4" w:rsidRDefault="004E4DC4" w:rsidP="00291627">
      <w:pPr>
        <w:pStyle w:val="paragraph"/>
        <w:spacing w:before="0" w:beforeAutospacing="0" w:after="0" w:afterAutospacing="0"/>
        <w:jc w:val="both"/>
        <w:textAlignment w:val="baseline"/>
        <w:rPr>
          <w:rStyle w:val="eop"/>
          <w:sz w:val="20"/>
          <w:szCs w:val="20"/>
        </w:rPr>
      </w:pPr>
    </w:p>
    <w:p w14:paraId="64152C44" w14:textId="77777777" w:rsidR="004E4DC4" w:rsidRPr="004E4DC4" w:rsidRDefault="004E4DC4" w:rsidP="004E4DC4">
      <w:pPr>
        <w:pStyle w:val="paragraph"/>
        <w:spacing w:before="0" w:beforeAutospacing="0" w:after="0" w:afterAutospacing="0"/>
        <w:textAlignment w:val="baseline"/>
        <w:rPr>
          <w:sz w:val="20"/>
          <w:szCs w:val="20"/>
        </w:rPr>
      </w:pPr>
      <w:r w:rsidRPr="004E4DC4">
        <w:rPr>
          <w:sz w:val="20"/>
          <w:szCs w:val="20"/>
        </w:rPr>
        <w:t xml:space="preserve">Collins, Hugh. E. L, </w:t>
      </w:r>
      <w:proofErr w:type="gramStart"/>
      <w:r w:rsidRPr="004E4DC4">
        <w:rPr>
          <w:i/>
          <w:sz w:val="20"/>
          <w:szCs w:val="20"/>
        </w:rPr>
        <w:t>The</w:t>
      </w:r>
      <w:proofErr w:type="gramEnd"/>
      <w:r w:rsidRPr="004E4DC4">
        <w:rPr>
          <w:i/>
          <w:sz w:val="20"/>
          <w:szCs w:val="20"/>
        </w:rPr>
        <w:t xml:space="preserve"> Order of the Garter, 1348-1461: Chivalry and Politics in Late Medieval England, </w:t>
      </w:r>
      <w:r w:rsidRPr="004E4DC4">
        <w:rPr>
          <w:sz w:val="20"/>
          <w:szCs w:val="20"/>
        </w:rPr>
        <w:t xml:space="preserve">(Oxford: Clarendon Press, 2000). </w:t>
      </w:r>
    </w:p>
    <w:p w14:paraId="7BC6BF6E" w14:textId="77777777" w:rsidR="004E4DC4" w:rsidRPr="004E4DC4" w:rsidRDefault="004E4DC4" w:rsidP="00291627">
      <w:pPr>
        <w:pStyle w:val="paragraph"/>
        <w:spacing w:before="0" w:beforeAutospacing="0" w:after="0" w:afterAutospacing="0"/>
        <w:jc w:val="both"/>
        <w:textAlignment w:val="baseline"/>
        <w:rPr>
          <w:sz w:val="20"/>
          <w:szCs w:val="20"/>
        </w:rPr>
      </w:pPr>
    </w:p>
    <w:p w14:paraId="47AB7549" w14:textId="0ABCD59C" w:rsidR="00291627" w:rsidRPr="004E4DC4" w:rsidRDefault="00291627" w:rsidP="00291627">
      <w:pPr>
        <w:pStyle w:val="paragraph"/>
        <w:spacing w:before="0" w:beforeAutospacing="0" w:after="0" w:afterAutospacing="0"/>
        <w:jc w:val="both"/>
        <w:textAlignment w:val="baseline"/>
        <w:rPr>
          <w:rStyle w:val="eop"/>
          <w:sz w:val="20"/>
          <w:szCs w:val="20"/>
        </w:rPr>
      </w:pPr>
      <w:r w:rsidRPr="004E4DC4">
        <w:rPr>
          <w:rStyle w:val="normaltextrun"/>
          <w:sz w:val="20"/>
          <w:szCs w:val="20"/>
        </w:rPr>
        <w:t>Daniels, Christopher. </w:t>
      </w:r>
      <w:r w:rsidRPr="004E4DC4">
        <w:rPr>
          <w:rStyle w:val="normaltextrun"/>
          <w:i/>
          <w:iCs/>
          <w:sz w:val="20"/>
          <w:szCs w:val="20"/>
        </w:rPr>
        <w:t>Death and Burial in. Medieval England 1066-1550</w:t>
      </w:r>
      <w:r w:rsidRPr="004E4DC4">
        <w:rPr>
          <w:rStyle w:val="eop"/>
          <w:sz w:val="20"/>
          <w:szCs w:val="20"/>
        </w:rPr>
        <w:t xml:space="preserve">, (London, 1997). </w:t>
      </w:r>
    </w:p>
    <w:p w14:paraId="0F08ED6B" w14:textId="5B3845E3" w:rsidR="004E4DC4" w:rsidRPr="004E4DC4" w:rsidRDefault="00386355" w:rsidP="00386355">
      <w:pPr>
        <w:shd w:val="clear" w:color="auto" w:fill="FFFFFF"/>
        <w:spacing w:before="100" w:beforeAutospacing="1" w:after="24" w:line="240" w:lineRule="auto"/>
        <w:rPr>
          <w:rFonts w:ascii="Times New Roman" w:hAnsi="Times New Roman" w:cs="Times New Roman"/>
          <w:sz w:val="20"/>
          <w:szCs w:val="20"/>
          <w:shd w:val="clear" w:color="auto" w:fill="FFFFFF"/>
        </w:rPr>
      </w:pPr>
      <w:proofErr w:type="spellStart"/>
      <w:r w:rsidRPr="004E4DC4">
        <w:rPr>
          <w:rFonts w:ascii="Times New Roman" w:hAnsi="Times New Roman" w:cs="Times New Roman"/>
          <w:sz w:val="20"/>
          <w:szCs w:val="20"/>
          <w:shd w:val="clear" w:color="auto" w:fill="FFFFFF"/>
        </w:rPr>
        <w:t>Duclow</w:t>
      </w:r>
      <w:proofErr w:type="spellEnd"/>
      <w:r w:rsidRPr="004E4DC4">
        <w:rPr>
          <w:rFonts w:ascii="Times New Roman" w:hAnsi="Times New Roman" w:cs="Times New Roman"/>
          <w:sz w:val="20"/>
          <w:szCs w:val="20"/>
          <w:shd w:val="clear" w:color="auto" w:fill="FFFFFF"/>
        </w:rPr>
        <w:t>, D. F. 'Dying Well: The </w:t>
      </w:r>
      <w:r w:rsidRPr="004E4DC4">
        <w:rPr>
          <w:rStyle w:val="Emphasis"/>
          <w:rFonts w:ascii="Times New Roman" w:hAnsi="Times New Roman" w:cs="Times New Roman"/>
          <w:sz w:val="20"/>
          <w:szCs w:val="20"/>
          <w:shd w:val="clear" w:color="auto" w:fill="FFFFFF"/>
        </w:rPr>
        <w:t>Ars Moriendi</w:t>
      </w:r>
      <w:r w:rsidRPr="004E4DC4">
        <w:rPr>
          <w:rFonts w:ascii="Times New Roman" w:hAnsi="Times New Roman" w:cs="Times New Roman"/>
          <w:sz w:val="20"/>
          <w:szCs w:val="20"/>
          <w:shd w:val="clear" w:color="auto" w:fill="FFFFFF"/>
        </w:rPr>
        <w:t xml:space="preserve"> and the </w:t>
      </w:r>
      <w:proofErr w:type="spellStart"/>
      <w:r w:rsidRPr="004E4DC4">
        <w:rPr>
          <w:rFonts w:ascii="Times New Roman" w:hAnsi="Times New Roman" w:cs="Times New Roman"/>
          <w:sz w:val="20"/>
          <w:szCs w:val="20"/>
          <w:shd w:val="clear" w:color="auto" w:fill="FFFFFF"/>
        </w:rPr>
        <w:t>Dormition</w:t>
      </w:r>
      <w:proofErr w:type="spellEnd"/>
      <w:r w:rsidRPr="004E4DC4">
        <w:rPr>
          <w:rFonts w:ascii="Times New Roman" w:hAnsi="Times New Roman" w:cs="Times New Roman"/>
          <w:sz w:val="20"/>
          <w:szCs w:val="20"/>
          <w:shd w:val="clear" w:color="auto" w:fill="FFFFFF"/>
        </w:rPr>
        <w:t xml:space="preserve"> of the Virgin,' in </w:t>
      </w:r>
      <w:r w:rsidRPr="004E4DC4">
        <w:rPr>
          <w:rStyle w:val="Emphasis"/>
          <w:rFonts w:ascii="Times New Roman" w:hAnsi="Times New Roman" w:cs="Times New Roman"/>
          <w:sz w:val="20"/>
          <w:szCs w:val="20"/>
          <w:shd w:val="clear" w:color="auto" w:fill="FFFFFF"/>
        </w:rPr>
        <w:t>Death and Dying in the Middle Ages</w:t>
      </w:r>
      <w:r w:rsidRPr="004E4DC4">
        <w:rPr>
          <w:rFonts w:ascii="Times New Roman" w:hAnsi="Times New Roman" w:cs="Times New Roman"/>
          <w:sz w:val="20"/>
          <w:szCs w:val="20"/>
          <w:shd w:val="clear" w:color="auto" w:fill="FFFFFF"/>
        </w:rPr>
        <w:t xml:space="preserve">, ed. by E. E. </w:t>
      </w:r>
      <w:proofErr w:type="spellStart"/>
      <w:r w:rsidRPr="004E4DC4">
        <w:rPr>
          <w:rFonts w:ascii="Times New Roman" w:hAnsi="Times New Roman" w:cs="Times New Roman"/>
          <w:sz w:val="20"/>
          <w:szCs w:val="20"/>
          <w:shd w:val="clear" w:color="auto" w:fill="FFFFFF"/>
        </w:rPr>
        <w:t>DuBruck</w:t>
      </w:r>
      <w:proofErr w:type="spellEnd"/>
      <w:r w:rsidRPr="004E4DC4">
        <w:rPr>
          <w:rFonts w:ascii="Times New Roman" w:hAnsi="Times New Roman" w:cs="Times New Roman"/>
          <w:sz w:val="20"/>
          <w:szCs w:val="20"/>
          <w:shd w:val="clear" w:color="auto" w:fill="FFFFFF"/>
        </w:rPr>
        <w:t xml:space="preserve"> and B. J. </w:t>
      </w:r>
      <w:proofErr w:type="spellStart"/>
      <w:r w:rsidRPr="004E4DC4">
        <w:rPr>
          <w:rFonts w:ascii="Times New Roman" w:hAnsi="Times New Roman" w:cs="Times New Roman"/>
          <w:sz w:val="20"/>
          <w:szCs w:val="20"/>
          <w:shd w:val="clear" w:color="auto" w:fill="FFFFFF"/>
        </w:rPr>
        <w:t>G</w:t>
      </w:r>
      <w:r w:rsidRPr="004E4DC4">
        <w:rPr>
          <w:rFonts w:ascii="Times New Roman" w:hAnsi="Times New Roman" w:cs="Times New Roman"/>
          <w:sz w:val="20"/>
          <w:szCs w:val="20"/>
          <w:shd w:val="clear" w:color="auto" w:fill="FFFFFF"/>
        </w:rPr>
        <w:t>usick</w:t>
      </w:r>
      <w:proofErr w:type="spellEnd"/>
      <w:r w:rsidRPr="004E4DC4">
        <w:rPr>
          <w:rFonts w:ascii="Times New Roman" w:hAnsi="Times New Roman" w:cs="Times New Roman"/>
          <w:sz w:val="20"/>
          <w:szCs w:val="20"/>
          <w:shd w:val="clear" w:color="auto" w:fill="FFFFFF"/>
        </w:rPr>
        <w:t xml:space="preserve"> (New York, 1999).</w:t>
      </w:r>
    </w:p>
    <w:p w14:paraId="18DDF560" w14:textId="77777777" w:rsidR="004E4DC4" w:rsidRPr="004E4DC4" w:rsidRDefault="004E4DC4" w:rsidP="00386355">
      <w:pPr>
        <w:shd w:val="clear" w:color="auto" w:fill="FFFFFF"/>
        <w:spacing w:before="100" w:beforeAutospacing="1" w:after="24" w:line="240" w:lineRule="auto"/>
        <w:rPr>
          <w:rFonts w:ascii="Times New Roman" w:hAnsi="Times New Roman" w:cs="Times New Roman"/>
          <w:sz w:val="20"/>
          <w:szCs w:val="20"/>
          <w:shd w:val="clear" w:color="auto" w:fill="FFFFFF"/>
        </w:rPr>
      </w:pPr>
    </w:p>
    <w:p w14:paraId="6C030708" w14:textId="0EE8FD6D" w:rsidR="004E4DC4" w:rsidRPr="004E4DC4" w:rsidRDefault="004E4DC4" w:rsidP="004E4DC4">
      <w:pPr>
        <w:rPr>
          <w:rFonts w:ascii="Times New Roman" w:hAnsi="Times New Roman" w:cs="Times New Roman"/>
          <w:sz w:val="20"/>
          <w:szCs w:val="20"/>
        </w:rPr>
      </w:pPr>
      <w:r w:rsidRPr="004E4DC4">
        <w:rPr>
          <w:rFonts w:ascii="Times New Roman" w:hAnsi="Times New Roman" w:cs="Times New Roman"/>
          <w:sz w:val="20"/>
          <w:szCs w:val="20"/>
        </w:rPr>
        <w:t xml:space="preserve">Dubruck, Edelgard, </w:t>
      </w:r>
      <w:proofErr w:type="gramStart"/>
      <w:r w:rsidRPr="004E4DC4">
        <w:rPr>
          <w:rFonts w:ascii="Times New Roman" w:hAnsi="Times New Roman" w:cs="Times New Roman"/>
          <w:i/>
          <w:sz w:val="20"/>
          <w:szCs w:val="20"/>
        </w:rPr>
        <w:t>The</w:t>
      </w:r>
      <w:proofErr w:type="gramEnd"/>
      <w:r w:rsidRPr="004E4DC4">
        <w:rPr>
          <w:rFonts w:ascii="Times New Roman" w:hAnsi="Times New Roman" w:cs="Times New Roman"/>
          <w:i/>
          <w:sz w:val="20"/>
          <w:szCs w:val="20"/>
        </w:rPr>
        <w:t xml:space="preserve"> Theme of Death in French Poetry of the Middle Ages and the Renaissance, </w:t>
      </w:r>
      <w:r w:rsidRPr="004E4DC4">
        <w:rPr>
          <w:rFonts w:ascii="Times New Roman" w:hAnsi="Times New Roman" w:cs="Times New Roman"/>
          <w:sz w:val="20"/>
          <w:szCs w:val="20"/>
        </w:rPr>
        <w:t xml:space="preserve">(Mouton &amp; Co: London, 1964). </w:t>
      </w:r>
    </w:p>
    <w:p w14:paraId="1B4EF2FA" w14:textId="3C19A512" w:rsidR="004E4DC4" w:rsidRPr="004E4DC4" w:rsidRDefault="004E4DC4" w:rsidP="004E4DC4">
      <w:pPr>
        <w:rPr>
          <w:rFonts w:ascii="Times New Roman" w:hAnsi="Times New Roman" w:cs="Times New Roman"/>
          <w:i/>
          <w:sz w:val="20"/>
          <w:szCs w:val="20"/>
        </w:rPr>
      </w:pPr>
      <w:r w:rsidRPr="004E4DC4">
        <w:rPr>
          <w:rFonts w:ascii="Times New Roman" w:hAnsi="Times New Roman" w:cs="Times New Roman"/>
          <w:sz w:val="20"/>
          <w:szCs w:val="20"/>
        </w:rPr>
        <w:t xml:space="preserve">Hadley, D. M, </w:t>
      </w:r>
      <w:r w:rsidRPr="004E4DC4">
        <w:rPr>
          <w:rFonts w:ascii="Times New Roman" w:hAnsi="Times New Roman" w:cs="Times New Roman"/>
          <w:i/>
          <w:sz w:val="20"/>
          <w:szCs w:val="20"/>
        </w:rPr>
        <w:t>Death in Medieval England, (</w:t>
      </w:r>
      <w:r w:rsidRPr="004E4DC4">
        <w:rPr>
          <w:rFonts w:ascii="Times New Roman" w:hAnsi="Times New Roman" w:cs="Times New Roman"/>
          <w:sz w:val="20"/>
          <w:szCs w:val="20"/>
          <w:shd w:val="clear" w:color="auto" w:fill="FFFFFF"/>
        </w:rPr>
        <w:t xml:space="preserve">Stroud: Tempus Publishing, 2001). </w:t>
      </w:r>
    </w:p>
    <w:p w14:paraId="0ED7FC6C" w14:textId="13440753" w:rsidR="004E4DC4" w:rsidRPr="004E4DC4" w:rsidRDefault="004E4DC4" w:rsidP="004E4DC4">
      <w:pPr>
        <w:pStyle w:val="paragraph"/>
        <w:spacing w:before="0" w:beforeAutospacing="0" w:after="0" w:afterAutospacing="0"/>
        <w:textAlignment w:val="baseline"/>
        <w:rPr>
          <w:sz w:val="20"/>
          <w:szCs w:val="20"/>
        </w:rPr>
      </w:pPr>
      <w:r w:rsidRPr="004E4DC4">
        <w:rPr>
          <w:sz w:val="20"/>
          <w:szCs w:val="20"/>
        </w:rPr>
        <w:t xml:space="preserve">King, Pamela M, </w:t>
      </w:r>
      <w:r w:rsidRPr="004E4DC4">
        <w:rPr>
          <w:i/>
          <w:sz w:val="20"/>
          <w:szCs w:val="20"/>
        </w:rPr>
        <w:t>the English cadaver tomb in the late fifteenth century: some indications of a Lancastrian connection</w:t>
      </w:r>
      <w:r w:rsidRPr="004E4DC4">
        <w:rPr>
          <w:sz w:val="20"/>
          <w:szCs w:val="20"/>
        </w:rPr>
        <w:t xml:space="preserve"> in </w:t>
      </w:r>
      <w:r w:rsidRPr="004E4DC4">
        <w:rPr>
          <w:i/>
          <w:sz w:val="20"/>
          <w:szCs w:val="20"/>
        </w:rPr>
        <w:t xml:space="preserve">Dies </w:t>
      </w:r>
      <w:proofErr w:type="spellStart"/>
      <w:r w:rsidRPr="004E4DC4">
        <w:rPr>
          <w:i/>
          <w:sz w:val="20"/>
          <w:szCs w:val="20"/>
        </w:rPr>
        <w:t>Illa</w:t>
      </w:r>
      <w:proofErr w:type="spellEnd"/>
      <w:r w:rsidRPr="004E4DC4">
        <w:rPr>
          <w:i/>
          <w:sz w:val="20"/>
          <w:szCs w:val="20"/>
        </w:rPr>
        <w:t xml:space="preserve">: Death in the Middle Ages, proceedings of the 1983 Manchester </w:t>
      </w:r>
      <w:proofErr w:type="spellStart"/>
      <w:r w:rsidRPr="004E4DC4">
        <w:rPr>
          <w:i/>
          <w:sz w:val="20"/>
          <w:szCs w:val="20"/>
        </w:rPr>
        <w:t>Colloqium</w:t>
      </w:r>
      <w:proofErr w:type="spellEnd"/>
      <w:r w:rsidRPr="004E4DC4">
        <w:rPr>
          <w:i/>
          <w:sz w:val="20"/>
          <w:szCs w:val="20"/>
        </w:rPr>
        <w:t xml:space="preserve">. </w:t>
      </w:r>
      <w:r w:rsidRPr="004E4DC4">
        <w:rPr>
          <w:sz w:val="20"/>
          <w:szCs w:val="20"/>
        </w:rPr>
        <w:t xml:space="preserve">(Francis Cairns: Trowbridge, 1984). </w:t>
      </w:r>
    </w:p>
    <w:p w14:paraId="33D9AE54" w14:textId="77777777" w:rsidR="004E4DC4" w:rsidRPr="004E4DC4" w:rsidRDefault="004E4DC4" w:rsidP="004E4DC4">
      <w:pPr>
        <w:pStyle w:val="paragraph"/>
        <w:spacing w:before="0" w:beforeAutospacing="0" w:after="0" w:afterAutospacing="0"/>
        <w:textAlignment w:val="baseline"/>
        <w:rPr>
          <w:sz w:val="20"/>
          <w:szCs w:val="20"/>
        </w:rPr>
      </w:pPr>
    </w:p>
    <w:p w14:paraId="0EFB73CF" w14:textId="124CE123" w:rsidR="004E4DC4" w:rsidRPr="004E4DC4" w:rsidRDefault="004E4DC4" w:rsidP="004E4DC4">
      <w:pPr>
        <w:pStyle w:val="paragraph"/>
        <w:spacing w:before="0" w:beforeAutospacing="0" w:after="0" w:afterAutospacing="0"/>
        <w:textAlignment w:val="baseline"/>
        <w:rPr>
          <w:sz w:val="20"/>
          <w:szCs w:val="20"/>
        </w:rPr>
      </w:pPr>
      <w:r w:rsidRPr="004E4DC4">
        <w:rPr>
          <w:sz w:val="20"/>
          <w:szCs w:val="20"/>
        </w:rPr>
        <w:t>King, Pamela. M Cont</w:t>
      </w:r>
      <w:bookmarkStart w:id="0" w:name="_GoBack"/>
      <w:bookmarkEnd w:id="0"/>
      <w:r w:rsidRPr="004E4DC4">
        <w:rPr>
          <w:sz w:val="20"/>
          <w:szCs w:val="20"/>
        </w:rPr>
        <w:t>exts of the Cadaver tomb in Fifteenth Century England, (University of York Centre for Medieval Studies, 1987), [available at: </w:t>
      </w:r>
      <w:hyperlink r:id="rId7" w:history="1">
        <w:r w:rsidRPr="004E4DC4">
          <w:rPr>
            <w:sz w:val="20"/>
            <w:szCs w:val="20"/>
          </w:rPr>
          <w:t>http://etheses.whiterose.ac.uk/4274/2/DX082064_1.pdf</w:t>
        </w:r>
      </w:hyperlink>
      <w:r w:rsidRPr="004E4DC4">
        <w:rPr>
          <w:sz w:val="20"/>
          <w:szCs w:val="20"/>
        </w:rPr>
        <w:t>], p. 10.  </w:t>
      </w:r>
    </w:p>
    <w:p w14:paraId="095B7E25" w14:textId="77777777" w:rsidR="00386355" w:rsidRPr="004E4DC4" w:rsidRDefault="00386355" w:rsidP="00291627">
      <w:pPr>
        <w:pStyle w:val="paragraph"/>
        <w:spacing w:before="0" w:beforeAutospacing="0" w:after="0" w:afterAutospacing="0"/>
        <w:jc w:val="both"/>
        <w:textAlignment w:val="baseline"/>
        <w:rPr>
          <w:sz w:val="20"/>
          <w:szCs w:val="20"/>
        </w:rPr>
      </w:pPr>
    </w:p>
    <w:p w14:paraId="17BF4AC3" w14:textId="28884FDC" w:rsidR="00291627" w:rsidRPr="004E4DC4" w:rsidRDefault="00291627" w:rsidP="00291627">
      <w:pPr>
        <w:pStyle w:val="paragraph"/>
        <w:spacing w:before="0" w:beforeAutospacing="0" w:after="0" w:afterAutospacing="0"/>
        <w:jc w:val="both"/>
        <w:textAlignment w:val="baseline"/>
        <w:rPr>
          <w:rStyle w:val="normaltextrun"/>
          <w:sz w:val="20"/>
          <w:szCs w:val="20"/>
        </w:rPr>
      </w:pPr>
      <w:r w:rsidRPr="004E4DC4">
        <w:rPr>
          <w:sz w:val="20"/>
          <w:szCs w:val="20"/>
          <w:shd w:val="clear" w:color="auto" w:fill="FFFFFF"/>
        </w:rPr>
        <w:t>Oosterwijk, Sophie, ‘Food for worms—Food for Thought: The Appearance and Interpretation of the ‘Verminous’ Cadaver in Britain and Europe’, </w:t>
      </w:r>
      <w:r w:rsidRPr="004E4DC4">
        <w:rPr>
          <w:i/>
          <w:iCs/>
          <w:sz w:val="20"/>
          <w:szCs w:val="20"/>
          <w:shd w:val="clear" w:color="auto" w:fill="FFFFFF"/>
        </w:rPr>
        <w:t>Church Monuments</w:t>
      </w:r>
      <w:r w:rsidRPr="004E4DC4">
        <w:rPr>
          <w:sz w:val="20"/>
          <w:szCs w:val="20"/>
          <w:shd w:val="clear" w:color="auto" w:fill="FFFFFF"/>
        </w:rPr>
        <w:t>, 20 (2005), 40-80, 133-140 [available on Moodle].</w:t>
      </w:r>
      <w:r w:rsidRPr="004E4DC4">
        <w:rPr>
          <w:rStyle w:val="normaltextrun"/>
          <w:sz w:val="20"/>
          <w:szCs w:val="20"/>
        </w:rPr>
        <w:t xml:space="preserve"> </w:t>
      </w:r>
    </w:p>
    <w:p w14:paraId="50ED803A" w14:textId="77777777" w:rsidR="004E4DC4" w:rsidRPr="004E4DC4" w:rsidRDefault="004E4DC4" w:rsidP="004E4DC4">
      <w:pPr>
        <w:pStyle w:val="paragraph"/>
        <w:spacing w:before="0" w:beforeAutospacing="0" w:after="0" w:afterAutospacing="0"/>
        <w:ind w:left="720"/>
        <w:textAlignment w:val="baseline"/>
        <w:rPr>
          <w:sz w:val="20"/>
          <w:szCs w:val="20"/>
        </w:rPr>
      </w:pPr>
      <w:r w:rsidRPr="004E4DC4">
        <w:rPr>
          <w:sz w:val="20"/>
          <w:szCs w:val="20"/>
        </w:rPr>
        <w:t xml:space="preserve">. </w:t>
      </w:r>
    </w:p>
    <w:p w14:paraId="425D08F6" w14:textId="77777777" w:rsidR="004E4DC4" w:rsidRPr="004E4DC4" w:rsidRDefault="004E4DC4" w:rsidP="004E4DC4">
      <w:pPr>
        <w:pStyle w:val="paragraph"/>
        <w:spacing w:before="0" w:beforeAutospacing="0" w:after="0" w:afterAutospacing="0"/>
        <w:textAlignment w:val="baseline"/>
        <w:rPr>
          <w:sz w:val="20"/>
          <w:szCs w:val="20"/>
        </w:rPr>
      </w:pPr>
      <w:r w:rsidRPr="004E4DC4">
        <w:rPr>
          <w:sz w:val="20"/>
          <w:szCs w:val="20"/>
        </w:rPr>
        <w:t xml:space="preserve">Richardson, Douglas, </w:t>
      </w:r>
      <w:r w:rsidRPr="004E4DC4">
        <w:rPr>
          <w:i/>
          <w:sz w:val="20"/>
          <w:szCs w:val="20"/>
        </w:rPr>
        <w:t>Magna Carta Ancestry</w:t>
      </w:r>
      <w:r w:rsidRPr="004E4DC4">
        <w:rPr>
          <w:sz w:val="20"/>
          <w:szCs w:val="20"/>
        </w:rPr>
        <w:t>, (</w:t>
      </w:r>
      <w:r w:rsidRPr="004E4DC4">
        <w:rPr>
          <w:sz w:val="20"/>
          <w:szCs w:val="20"/>
          <w:shd w:val="clear" w:color="auto" w:fill="FFFFFF"/>
        </w:rPr>
        <w:t>Genealogical Pub Co, 2005)</w:t>
      </w:r>
    </w:p>
    <w:p w14:paraId="106C7CE6" w14:textId="77777777" w:rsidR="004E4DC4" w:rsidRPr="004E4DC4" w:rsidRDefault="004E4DC4" w:rsidP="00291627">
      <w:pPr>
        <w:pStyle w:val="paragraph"/>
        <w:spacing w:before="0" w:beforeAutospacing="0" w:after="0" w:afterAutospacing="0"/>
        <w:jc w:val="both"/>
        <w:textAlignment w:val="baseline"/>
        <w:rPr>
          <w:rStyle w:val="normaltextrun"/>
          <w:sz w:val="20"/>
          <w:szCs w:val="20"/>
        </w:rPr>
      </w:pPr>
    </w:p>
    <w:p w14:paraId="20A3DB21" w14:textId="3FCE7FB3" w:rsidR="00291627" w:rsidRPr="004E4DC4" w:rsidRDefault="00291627" w:rsidP="00291627">
      <w:pPr>
        <w:pStyle w:val="paragraph"/>
        <w:spacing w:before="0" w:beforeAutospacing="0" w:after="0" w:afterAutospacing="0"/>
        <w:jc w:val="both"/>
        <w:textAlignment w:val="baseline"/>
        <w:rPr>
          <w:rStyle w:val="eop"/>
          <w:sz w:val="20"/>
          <w:szCs w:val="20"/>
        </w:rPr>
      </w:pPr>
      <w:proofErr w:type="spellStart"/>
      <w:r w:rsidRPr="004E4DC4">
        <w:rPr>
          <w:rStyle w:val="normaltextrun"/>
          <w:sz w:val="20"/>
          <w:szCs w:val="20"/>
        </w:rPr>
        <w:t>Rytting</w:t>
      </w:r>
      <w:proofErr w:type="spellEnd"/>
      <w:r w:rsidRPr="004E4DC4">
        <w:rPr>
          <w:rStyle w:val="normaltextrun"/>
          <w:sz w:val="20"/>
          <w:szCs w:val="20"/>
        </w:rPr>
        <w:t>, Jenny Rebecca, </w:t>
      </w:r>
      <w:r w:rsidRPr="004E4DC4">
        <w:rPr>
          <w:rStyle w:val="normaltextrun"/>
          <w:i/>
          <w:iCs/>
          <w:sz w:val="20"/>
          <w:szCs w:val="20"/>
        </w:rPr>
        <w:t>A </w:t>
      </w:r>
      <w:proofErr w:type="spellStart"/>
      <w:r w:rsidRPr="004E4DC4">
        <w:rPr>
          <w:rStyle w:val="normaltextrun"/>
          <w:i/>
          <w:iCs/>
          <w:sz w:val="20"/>
          <w:szCs w:val="20"/>
        </w:rPr>
        <w:t>Disputacioun</w:t>
      </w:r>
      <w:proofErr w:type="spellEnd"/>
      <w:r w:rsidRPr="004E4DC4">
        <w:rPr>
          <w:rStyle w:val="normaltextrun"/>
          <w:i/>
          <w:iCs/>
          <w:sz w:val="20"/>
          <w:szCs w:val="20"/>
        </w:rPr>
        <w:t> </w:t>
      </w:r>
      <w:proofErr w:type="spellStart"/>
      <w:r w:rsidRPr="004E4DC4">
        <w:rPr>
          <w:rStyle w:val="normaltextrun"/>
          <w:i/>
          <w:iCs/>
          <w:sz w:val="20"/>
          <w:szCs w:val="20"/>
        </w:rPr>
        <w:t>Betwyx</w:t>
      </w:r>
      <w:proofErr w:type="spellEnd"/>
      <w:r w:rsidRPr="004E4DC4">
        <w:rPr>
          <w:rStyle w:val="normaltextrun"/>
          <w:i/>
          <w:iCs/>
          <w:sz w:val="20"/>
          <w:szCs w:val="20"/>
        </w:rPr>
        <w:t> </w:t>
      </w:r>
      <w:proofErr w:type="spellStart"/>
      <w:r w:rsidRPr="004E4DC4">
        <w:rPr>
          <w:rStyle w:val="normaltextrun"/>
          <w:i/>
          <w:iCs/>
          <w:sz w:val="20"/>
          <w:szCs w:val="20"/>
        </w:rPr>
        <w:t>þe</w:t>
      </w:r>
      <w:proofErr w:type="spellEnd"/>
      <w:r w:rsidRPr="004E4DC4">
        <w:rPr>
          <w:rStyle w:val="normaltextrun"/>
          <w:i/>
          <w:iCs/>
          <w:sz w:val="20"/>
          <w:szCs w:val="20"/>
        </w:rPr>
        <w:t> Body and </w:t>
      </w:r>
      <w:proofErr w:type="spellStart"/>
      <w:r w:rsidRPr="004E4DC4">
        <w:rPr>
          <w:rStyle w:val="normaltextrun"/>
          <w:i/>
          <w:iCs/>
          <w:sz w:val="20"/>
          <w:szCs w:val="20"/>
        </w:rPr>
        <w:t>Wormes</w:t>
      </w:r>
      <w:proofErr w:type="spellEnd"/>
      <w:r w:rsidRPr="004E4DC4">
        <w:rPr>
          <w:rStyle w:val="normaltextrun"/>
          <w:i/>
          <w:iCs/>
          <w:sz w:val="20"/>
          <w:szCs w:val="20"/>
        </w:rPr>
        <w:t>: A Translation</w:t>
      </w:r>
      <w:r w:rsidRPr="004E4DC4">
        <w:rPr>
          <w:rStyle w:val="normaltextrun"/>
          <w:sz w:val="20"/>
          <w:szCs w:val="20"/>
        </w:rPr>
        <w:t>, 2000, available at: </w:t>
      </w:r>
      <w:hyperlink r:id="rId8" w:tgtFrame="_blank" w:history="1">
        <w:r w:rsidRPr="004E4DC4">
          <w:rPr>
            <w:rStyle w:val="normaltextrun"/>
            <w:sz w:val="20"/>
            <w:szCs w:val="20"/>
            <w:u w:val="single"/>
          </w:rPr>
          <w:t>https://escholarship.org/uc/item/0c04p0xq</w:t>
        </w:r>
      </w:hyperlink>
      <w:r w:rsidRPr="004E4DC4">
        <w:rPr>
          <w:rStyle w:val="eop"/>
          <w:sz w:val="20"/>
          <w:szCs w:val="20"/>
        </w:rPr>
        <w:t> </w:t>
      </w:r>
    </w:p>
    <w:p w14:paraId="2D0ACA1B" w14:textId="77777777" w:rsidR="004E4DC4" w:rsidRPr="004E4DC4" w:rsidRDefault="004E4DC4" w:rsidP="00291627">
      <w:pPr>
        <w:pStyle w:val="paragraph"/>
        <w:spacing w:before="0" w:beforeAutospacing="0" w:after="0" w:afterAutospacing="0"/>
        <w:jc w:val="both"/>
        <w:textAlignment w:val="baseline"/>
        <w:rPr>
          <w:rStyle w:val="eop"/>
          <w:sz w:val="20"/>
          <w:szCs w:val="20"/>
        </w:rPr>
      </w:pPr>
    </w:p>
    <w:p w14:paraId="491A54FC" w14:textId="77777777" w:rsidR="00291627" w:rsidRPr="004E4DC4" w:rsidRDefault="00291627" w:rsidP="00291627">
      <w:pPr>
        <w:pStyle w:val="paragraph"/>
        <w:spacing w:before="0" w:beforeAutospacing="0" w:after="0" w:afterAutospacing="0"/>
        <w:jc w:val="both"/>
        <w:textAlignment w:val="baseline"/>
        <w:rPr>
          <w:rStyle w:val="eop"/>
          <w:sz w:val="20"/>
          <w:szCs w:val="20"/>
        </w:rPr>
      </w:pPr>
      <w:r w:rsidRPr="004E4DC4">
        <w:rPr>
          <w:rStyle w:val="normaltextrun"/>
          <w:sz w:val="20"/>
          <w:szCs w:val="20"/>
        </w:rPr>
        <w:t xml:space="preserve">Walker Bynum, Caroline. </w:t>
      </w:r>
      <w:r w:rsidRPr="004E4DC4">
        <w:rPr>
          <w:rStyle w:val="normaltextrun"/>
          <w:i/>
          <w:iCs/>
          <w:sz w:val="20"/>
          <w:szCs w:val="20"/>
        </w:rPr>
        <w:t>Violent imagery in Late Medieval piety, </w:t>
      </w:r>
      <w:r w:rsidRPr="004E4DC4">
        <w:rPr>
          <w:rStyle w:val="normaltextrun"/>
          <w:sz w:val="20"/>
          <w:szCs w:val="20"/>
        </w:rPr>
        <w:t xml:space="preserve">Fifteenth Annual Lecture of the GHI, November 8, 2001. </w:t>
      </w:r>
      <w:r w:rsidRPr="004E4DC4">
        <w:rPr>
          <w:rStyle w:val="eop"/>
          <w:sz w:val="20"/>
          <w:szCs w:val="20"/>
        </w:rPr>
        <w:t> </w:t>
      </w:r>
    </w:p>
    <w:p w14:paraId="123B12C7" w14:textId="77777777" w:rsidR="00291627" w:rsidRPr="004E4DC4" w:rsidRDefault="00291627" w:rsidP="00291627">
      <w:pPr>
        <w:pStyle w:val="paragraph"/>
        <w:spacing w:before="0" w:beforeAutospacing="0" w:after="0" w:afterAutospacing="0"/>
        <w:jc w:val="both"/>
        <w:textAlignment w:val="baseline"/>
        <w:rPr>
          <w:sz w:val="20"/>
          <w:szCs w:val="20"/>
        </w:rPr>
      </w:pPr>
    </w:p>
    <w:p w14:paraId="1F53C3E0" w14:textId="7186137F" w:rsidR="004E4DC4" w:rsidRPr="004E4DC4" w:rsidRDefault="004E4DC4" w:rsidP="00386355">
      <w:pPr>
        <w:pStyle w:val="ListParagraph"/>
        <w:rPr>
          <w:rFonts w:ascii="Times New Roman" w:hAnsi="Times New Roman" w:cs="Times New Roman"/>
          <w:i/>
          <w:sz w:val="20"/>
          <w:szCs w:val="20"/>
        </w:rPr>
      </w:pPr>
    </w:p>
    <w:p w14:paraId="3423AC56" w14:textId="099E2061" w:rsidR="00386355" w:rsidRPr="004E4DC4" w:rsidRDefault="00386355" w:rsidP="00386355">
      <w:pPr>
        <w:spacing w:line="240" w:lineRule="auto"/>
        <w:rPr>
          <w:rFonts w:ascii="Times New Roman" w:hAnsi="Times New Roman" w:cs="Times New Roman"/>
          <w:sz w:val="20"/>
          <w:szCs w:val="20"/>
        </w:rPr>
      </w:pPr>
    </w:p>
    <w:p w14:paraId="23EC61E5" w14:textId="03A8F71A" w:rsidR="00386355" w:rsidRPr="004E4DC4" w:rsidRDefault="00386355" w:rsidP="004E4DC4">
      <w:pPr>
        <w:rPr>
          <w:sz w:val="20"/>
          <w:szCs w:val="20"/>
        </w:rPr>
      </w:pPr>
    </w:p>
    <w:p w14:paraId="7F4C1DDA" w14:textId="77777777" w:rsidR="000A6343" w:rsidRPr="004E4DC4" w:rsidRDefault="000A6343">
      <w:pPr>
        <w:rPr>
          <w:sz w:val="20"/>
          <w:szCs w:val="20"/>
        </w:rPr>
      </w:pPr>
    </w:p>
    <w:sectPr w:rsidR="000A6343" w:rsidRPr="004E4D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05066"/>
    <w:multiLevelType w:val="hybridMultilevel"/>
    <w:tmpl w:val="DD1E6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F77D7"/>
    <w:multiLevelType w:val="hybridMultilevel"/>
    <w:tmpl w:val="ABD0DC68"/>
    <w:lvl w:ilvl="0" w:tplc="2FE485DC">
      <w:start w:val="1"/>
      <w:numFmt w:val="decimal"/>
      <w:lvlText w:val="%1."/>
      <w:lvlJc w:val="left"/>
      <w:pPr>
        <w:ind w:left="1128" w:hanging="360"/>
      </w:pPr>
      <w:rPr>
        <w:rFonts w:hint="default"/>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2" w15:restartNumberingAfterBreak="0">
    <w:nsid w:val="46A7407B"/>
    <w:multiLevelType w:val="hybridMultilevel"/>
    <w:tmpl w:val="ABD0DC68"/>
    <w:lvl w:ilvl="0" w:tplc="2FE485DC">
      <w:start w:val="1"/>
      <w:numFmt w:val="decimal"/>
      <w:lvlText w:val="%1."/>
      <w:lvlJc w:val="left"/>
      <w:pPr>
        <w:ind w:left="1128" w:hanging="360"/>
      </w:pPr>
      <w:rPr>
        <w:rFonts w:hint="default"/>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3" w15:restartNumberingAfterBreak="0">
    <w:nsid w:val="4B35660F"/>
    <w:multiLevelType w:val="hybridMultilevel"/>
    <w:tmpl w:val="AA62E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EF67DF"/>
    <w:multiLevelType w:val="hybridMultilevel"/>
    <w:tmpl w:val="DD1E6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A87AB4"/>
    <w:multiLevelType w:val="hybridMultilevel"/>
    <w:tmpl w:val="AA62E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B418C6"/>
    <w:multiLevelType w:val="multilevel"/>
    <w:tmpl w:val="2FDEA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1"/>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627"/>
    <w:rsid w:val="000A6343"/>
    <w:rsid w:val="00291627"/>
    <w:rsid w:val="00386355"/>
    <w:rsid w:val="004E4DC4"/>
    <w:rsid w:val="008E0B04"/>
    <w:rsid w:val="00C83F54"/>
    <w:rsid w:val="00DF00A3"/>
    <w:rsid w:val="00ED7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FB78A"/>
  <w15:chartTrackingRefBased/>
  <w15:docId w15:val="{E15FFE2E-0F33-4DF7-95D3-FD1404BF6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62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916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91627"/>
  </w:style>
  <w:style w:type="character" w:customStyle="1" w:styleId="eop">
    <w:name w:val="eop"/>
    <w:basedOn w:val="DefaultParagraphFont"/>
    <w:rsid w:val="00291627"/>
  </w:style>
  <w:style w:type="character" w:customStyle="1" w:styleId="spellingerror">
    <w:name w:val="spellingerror"/>
    <w:basedOn w:val="DefaultParagraphFont"/>
    <w:rsid w:val="00291627"/>
  </w:style>
  <w:style w:type="character" w:styleId="Hyperlink">
    <w:name w:val="Hyperlink"/>
    <w:basedOn w:val="DefaultParagraphFont"/>
    <w:uiPriority w:val="99"/>
    <w:unhideWhenUsed/>
    <w:rsid w:val="00291627"/>
    <w:rPr>
      <w:color w:val="0563C1" w:themeColor="hyperlink"/>
      <w:u w:val="single"/>
    </w:rPr>
  </w:style>
  <w:style w:type="character" w:styleId="Emphasis">
    <w:name w:val="Emphasis"/>
    <w:basedOn w:val="DefaultParagraphFont"/>
    <w:uiPriority w:val="20"/>
    <w:qFormat/>
    <w:rsid w:val="00291627"/>
    <w:rPr>
      <w:i/>
      <w:iCs/>
    </w:rPr>
  </w:style>
  <w:style w:type="paragraph" w:styleId="ListParagraph">
    <w:name w:val="List Paragraph"/>
    <w:basedOn w:val="Normal"/>
    <w:uiPriority w:val="34"/>
    <w:qFormat/>
    <w:rsid w:val="002916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cholarship.org/uc/item/0c04p0xq" TargetMode="External"/><Relationship Id="rId3" Type="http://schemas.openxmlformats.org/officeDocument/2006/relationships/settings" Target="settings.xml"/><Relationship Id="rId7" Type="http://schemas.openxmlformats.org/officeDocument/2006/relationships/hyperlink" Target="http://etheses.whiterose.ac.uk/4274/2/DX082064_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theses.whiterose.ac.uk/4274/2/DX082064_1.pdf" TargetMode="External"/><Relationship Id="rId5" Type="http://schemas.openxmlformats.org/officeDocument/2006/relationships/hyperlink" Target="https://escholarship.org/uc/item/0c04p0xq"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4743</Words>
  <Characters>27039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Lyon (1600678)</dc:creator>
  <cp:keywords/>
  <dc:description/>
  <cp:lastModifiedBy>Natasha Lyon (1600678)</cp:lastModifiedBy>
  <cp:revision>2</cp:revision>
  <dcterms:created xsi:type="dcterms:W3CDTF">2019-02-01T22:39:00Z</dcterms:created>
  <dcterms:modified xsi:type="dcterms:W3CDTF">2019-02-01T22:39:00Z</dcterms:modified>
</cp:coreProperties>
</file>