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right"/>
        <w:rPr>
          <w:b/>
          <w:sz w:val="44"/>
          <w:szCs w:val="44"/>
        </w:rPr>
      </w:pPr>
    </w:p>
    <w:p>
      <w:pPr>
        <w:spacing w:line="360" w:lineRule="auto"/>
        <w:jc w:val="right"/>
        <w:rPr>
          <w:b/>
          <w:sz w:val="44"/>
          <w:szCs w:val="44"/>
        </w:rPr>
      </w:pPr>
    </w:p>
    <w:p>
      <w:pPr>
        <w:jc w:val="right"/>
        <w:rPr>
          <w:b/>
          <w:sz w:val="56"/>
          <w:szCs w:val="48"/>
        </w:rPr>
      </w:pPr>
      <w:r>
        <w:rPr>
          <w:b/>
          <w:iCs/>
          <w:sz w:val="56"/>
          <w:szCs w:val="48"/>
        </w:rPr>
        <w:t>Systematic Literature Review: The Efficacy and Challenges of Online Learning in the Digital Age</w:t>
      </w:r>
    </w:p>
    <w:p>
      <w:pPr>
        <w:jc w:val="right"/>
        <w:rPr>
          <w:i/>
        </w:rPr>
      </w:pPr>
    </w:p>
    <w:p>
      <w:pPr>
        <w:jc w:val="right"/>
        <w:rPr>
          <w:i/>
        </w:rPr>
      </w:pPr>
    </w:p>
    <w:p>
      <w:pPr>
        <w:jc w:val="right"/>
        <w:rPr>
          <w:i/>
        </w:rPr>
      </w:pPr>
    </w:p>
    <w:p>
      <w:pPr>
        <w:jc w:val="right"/>
        <w:rPr>
          <w:i/>
        </w:rPr>
      </w:pPr>
    </w:p>
    <w:p>
      <w:pPr>
        <w:jc w:val="right"/>
        <w:rPr>
          <w:i/>
        </w:rPr>
      </w:pPr>
    </w:p>
    <w:p>
      <w:pPr>
        <w:jc w:val="right"/>
        <w:rPr>
          <w:i/>
        </w:rPr>
      </w:pPr>
    </w:p>
    <w:p>
      <w:pPr>
        <w:jc w:val="right"/>
        <w:rPr>
          <w:i/>
        </w:rPr>
      </w:pPr>
    </w:p>
    <w:p>
      <w:pPr>
        <w:jc w:val="right"/>
        <w:rPr>
          <w:i/>
          <w:sz w:val="52"/>
          <w:szCs w:val="52"/>
        </w:rPr>
      </w:pPr>
      <w:r>
        <w:rPr>
          <w:i/>
          <w:sz w:val="52"/>
          <w:szCs w:val="52"/>
        </w:rPr>
        <w:t>XXX XXX</w:t>
      </w:r>
    </w:p>
    <w:p>
      <w:pPr>
        <w:jc w:val="right"/>
        <w:rPr>
          <w:i/>
        </w:rPr>
      </w:pPr>
    </w:p>
    <w:p>
      <w:pPr>
        <w:jc w:val="right"/>
        <w:rPr>
          <w:b/>
          <w:i/>
          <w:sz w:val="48"/>
          <w:szCs w:val="48"/>
        </w:rPr>
      </w:pPr>
      <w:r>
        <w:rPr>
          <w:b/>
          <w:i/>
          <w:sz w:val="48"/>
          <w:szCs w:val="48"/>
        </w:rPr>
        <w:t>ECEG7002Q</w:t>
      </w:r>
    </w:p>
    <w:p>
      <w:pPr>
        <w:spacing w:line="360" w:lineRule="auto"/>
        <w:jc w:val="right"/>
        <w:rPr>
          <w:i/>
        </w:rPr>
      </w:pPr>
    </w:p>
    <w:p>
      <w:pPr>
        <w:spacing w:line="360" w:lineRule="auto"/>
        <w:jc w:val="right"/>
        <w:rPr>
          <w:i/>
          <w:sz w:val="40"/>
          <w:szCs w:val="40"/>
        </w:rPr>
      </w:pPr>
      <w:r>
        <w:rPr>
          <w:i/>
          <w:sz w:val="40"/>
          <w:szCs w:val="40"/>
        </w:rPr>
        <w:t>25th November 5, 2023</w:t>
      </w:r>
    </w:p>
    <w:p>
      <w:pPr>
        <w:spacing w:line="360" w:lineRule="auto"/>
        <w:jc w:val="right"/>
        <w:rPr>
          <w:i/>
          <w:sz w:val="40"/>
          <w:szCs w:val="40"/>
        </w:rPr>
      </w:pPr>
      <w:r>
        <w:rPr>
          <w:i/>
          <w:sz w:val="40"/>
          <w:szCs w:val="40"/>
        </w:rPr>
        <w:t xml:space="preserve">Yr Athrofa: Education and Humanities </w:t>
      </w:r>
    </w:p>
    <w:p>
      <w:pPr>
        <w:outlineLvl w:val="0"/>
        <w:rPr>
          <w:b/>
        </w:rPr>
      </w:pPr>
      <w:r>
        <w:rPr>
          <w:i/>
          <w:sz w:val="40"/>
          <w:szCs w:val="40"/>
        </w:rPr>
        <w:br w:type="page"/>
      </w:r>
      <w:bookmarkStart w:id="0" w:name="_Toc882154170"/>
      <w:bookmarkStart w:id="1" w:name="_Toc45110155"/>
      <w:r>
        <w:rPr>
          <w:b/>
        </w:rPr>
        <w:t>DECLARATION FORM</w:t>
      </w:r>
      <w:bookmarkEnd w:id="0"/>
      <w:bookmarkEnd w:id="1"/>
    </w:p>
    <w:p>
      <w:pPr>
        <w:rPr>
          <w:b/>
          <w:bCs/>
        </w:rPr>
      </w:pPr>
      <w:r>
        <w:drawing>
          <wp:inline distT="0" distB="0" distL="114300" distR="114300">
            <wp:extent cx="2857500" cy="11811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2857500" cy="1181100"/>
                    </a:xfrm>
                    <a:prstGeom prst="rect">
                      <a:avLst/>
                    </a:prstGeom>
                    <a:noFill/>
                    <a:ln>
                      <a:noFill/>
                    </a:ln>
                  </pic:spPr>
                </pic:pic>
              </a:graphicData>
            </a:graphic>
          </wp:inline>
        </w:drawing>
      </w:r>
    </w:p>
    <w:p>
      <w:pPr>
        <w:rPr>
          <w:b/>
          <w:bCs/>
        </w:rPr>
      </w:pPr>
      <w:r>
        <w:rPr>
          <w:b/>
          <w:bCs/>
        </w:rPr>
        <w:t>Name of the Programme of Study:</w:t>
      </w:r>
    </w:p>
    <w:p>
      <w:pPr>
        <w:rPr>
          <w:b/>
          <w:bCs/>
        </w:rPr>
      </w:pPr>
      <w:r>
        <w:rPr>
          <w:b/>
          <w:bCs/>
        </w:rPr>
        <w:t>Name of Student (Capital Letters):</w:t>
      </w:r>
    </w:p>
    <w:p>
      <w:pPr>
        <w:rPr>
          <w:b/>
          <w:bCs/>
        </w:rPr>
      </w:pPr>
    </w:p>
    <w:p>
      <w:pPr>
        <w:rPr>
          <w:b/>
          <w:bCs/>
        </w:rPr>
      </w:pPr>
      <w:r>
        <w:rPr>
          <w:b/>
          <w:bCs/>
        </w:rPr>
        <w:t>DECLARATION</w:t>
      </w:r>
    </w:p>
    <w:p>
      <w:pPr>
        <w:rPr>
          <w:b/>
          <w:bCs/>
        </w:rPr>
      </w:pPr>
    </w:p>
    <w:p>
      <w:pPr>
        <w:rPr>
          <w:b/>
          <w:bCs/>
        </w:rPr>
      </w:pPr>
      <w:r>
        <w:rPr>
          <w:b/>
          <w:bCs/>
        </w:rPr>
        <w:t>I certify that the whole of this work is the result of my individual effort, and that all sources have been acknowledged.</w:t>
      </w:r>
    </w:p>
    <w:p>
      <w:pPr>
        <w:rPr>
          <w:b/>
          <w:bCs/>
        </w:rPr>
      </w:pPr>
    </w:p>
    <w:p>
      <w:pPr>
        <w:rPr>
          <w:b/>
          <w:bCs/>
        </w:rPr>
      </w:pPr>
      <w:r>
        <w:rPr>
          <w:b/>
          <w:bCs/>
        </w:rPr>
        <w:t>Signed ............................................................... (Student)</w:t>
      </w:r>
    </w:p>
    <w:p>
      <w:pPr>
        <w:rPr>
          <w:b/>
          <w:bCs/>
        </w:rPr>
      </w:pPr>
    </w:p>
    <w:p>
      <w:pPr>
        <w:rPr>
          <w:b/>
          <w:bCs/>
        </w:rPr>
      </w:pPr>
      <w:r>
        <w:rPr>
          <w:b/>
          <w:bCs/>
        </w:rPr>
        <w:t>Date     ...............................................................</w:t>
      </w:r>
    </w:p>
    <w:p>
      <w:pPr>
        <w:rPr>
          <w:b/>
          <w:bCs/>
        </w:rPr>
      </w:pPr>
      <w:r>
        <w:rPr>
          <w:b/>
          <w:bCs/>
        </w:rPr>
        <w:t>DECLARATION</w:t>
      </w:r>
    </w:p>
    <w:p>
      <w:pPr>
        <w:rPr>
          <w:b/>
          <w:bCs/>
        </w:rPr>
      </w:pPr>
    </w:p>
    <w:p>
      <w:pPr>
        <w:rPr>
          <w:b/>
          <w:bCs/>
        </w:rPr>
      </w:pPr>
      <w:r>
        <w:rPr>
          <w:b/>
          <w:bCs/>
        </w:rPr>
        <w:t>I am satisfied that this work is the result of the Student’s effort.</w:t>
      </w:r>
    </w:p>
    <w:p>
      <w:pPr>
        <w:rPr>
          <w:b/>
          <w:bCs/>
        </w:rPr>
      </w:pPr>
    </w:p>
    <w:p>
      <w:pPr>
        <w:rPr>
          <w:b/>
          <w:bCs/>
        </w:rPr>
      </w:pPr>
      <w:r>
        <w:rPr>
          <w:b/>
          <w:bCs/>
        </w:rPr>
        <w:t>Signed .............................................................. (Lecturer)</w:t>
      </w:r>
    </w:p>
    <w:p>
      <w:pPr>
        <w:rPr>
          <w:b/>
          <w:bCs/>
        </w:rPr>
      </w:pPr>
    </w:p>
    <w:p>
      <w:pPr>
        <w:rPr>
          <w:b/>
          <w:bCs/>
        </w:rPr>
      </w:pPr>
      <w:r>
        <w:rPr>
          <w:b/>
          <w:bCs/>
        </w:rPr>
        <w:t>Date     ..............................................................</w:t>
      </w:r>
    </w:p>
    <w:p>
      <w:pPr>
        <w:jc w:val="left"/>
        <w:rPr>
          <w:rFonts w:ascii="Times New Roman Bold" w:hAnsi="Times New Roman Bold" w:cs="Times New Roman Bold"/>
          <w:b/>
          <w:bCs/>
        </w:rPr>
      </w:pPr>
      <w:r>
        <w:br w:type="page"/>
      </w:r>
      <w:r>
        <w:rPr>
          <w:rFonts w:ascii="Times New Roman Bold" w:hAnsi="Times New Roman Bold" w:cs="Times New Roman Bold"/>
          <w:b/>
          <w:bCs/>
        </w:rPr>
        <w:t>CONTENTS</w:t>
      </w:r>
    </w:p>
    <w:p>
      <w:pPr>
        <w:pStyle w:val="13"/>
        <w:tabs>
          <w:tab w:val="right" w:leader="dot" w:pos="8306"/>
        </w:tabs>
      </w:pPr>
      <w:r>
        <w:fldChar w:fldCharType="begin"/>
      </w:r>
      <w:r>
        <w:instrText xml:space="preserve">TOC \o "1-2" \h \u </w:instrText>
      </w:r>
      <w:r>
        <w:fldChar w:fldCharType="separate"/>
      </w:r>
      <w:r>
        <w:fldChar w:fldCharType="begin"/>
      </w:r>
      <w:r>
        <w:instrText xml:space="preserve"> HYPERLINK \l "_Toc882154170" </w:instrText>
      </w:r>
      <w:r>
        <w:fldChar w:fldCharType="separate"/>
      </w:r>
      <w:r>
        <w:t>DECLARATION FORM</w:t>
      </w:r>
      <w:r>
        <w:tab/>
      </w:r>
      <w:r>
        <w:fldChar w:fldCharType="begin"/>
      </w:r>
      <w:r>
        <w:instrText xml:space="preserve"> PAGEREF _Toc882154170 \h </w:instrText>
      </w:r>
      <w:r>
        <w:fldChar w:fldCharType="separate"/>
      </w:r>
      <w:r>
        <w:t>2</w:t>
      </w:r>
      <w:r>
        <w:fldChar w:fldCharType="end"/>
      </w:r>
      <w:r>
        <w:fldChar w:fldCharType="end"/>
      </w:r>
    </w:p>
    <w:p>
      <w:pPr>
        <w:pStyle w:val="13"/>
        <w:tabs>
          <w:tab w:val="right" w:leader="dot" w:pos="8306"/>
        </w:tabs>
      </w:pPr>
      <w:r>
        <w:fldChar w:fldCharType="begin"/>
      </w:r>
      <w:r>
        <w:instrText xml:space="preserve"> HYPERLINK \l "_Toc138036302" </w:instrText>
      </w:r>
      <w:r>
        <w:fldChar w:fldCharType="separate"/>
      </w:r>
      <w:r>
        <w:t>ACKNOWLEDGEMENTS</w:t>
      </w:r>
      <w:r>
        <w:tab/>
      </w:r>
      <w:r>
        <w:fldChar w:fldCharType="begin"/>
      </w:r>
      <w:r>
        <w:instrText xml:space="preserve"> PAGEREF _Toc138036302 \h </w:instrText>
      </w:r>
      <w:r>
        <w:fldChar w:fldCharType="separate"/>
      </w:r>
      <w:r>
        <w:t>1</w:t>
      </w:r>
      <w:r>
        <w:fldChar w:fldCharType="end"/>
      </w:r>
      <w:r>
        <w:fldChar w:fldCharType="end"/>
      </w:r>
    </w:p>
    <w:p>
      <w:pPr>
        <w:pStyle w:val="13"/>
        <w:tabs>
          <w:tab w:val="right" w:leader="dot" w:pos="8306"/>
        </w:tabs>
      </w:pPr>
      <w:r>
        <w:fldChar w:fldCharType="begin"/>
      </w:r>
      <w:r>
        <w:instrText xml:space="preserve"> HYPERLINK \l "_Toc693788954" </w:instrText>
      </w:r>
      <w:r>
        <w:fldChar w:fldCharType="separate"/>
      </w:r>
      <w:r>
        <w:t>ABSTRACT</w:t>
      </w:r>
      <w:r>
        <w:tab/>
      </w:r>
      <w:r>
        <w:fldChar w:fldCharType="begin"/>
      </w:r>
      <w:r>
        <w:instrText xml:space="preserve"> PAGEREF _Toc693788954 \h </w:instrText>
      </w:r>
      <w:r>
        <w:fldChar w:fldCharType="separate"/>
      </w:r>
      <w:r>
        <w:t>2</w:t>
      </w:r>
      <w:r>
        <w:fldChar w:fldCharType="end"/>
      </w:r>
      <w:r>
        <w:fldChar w:fldCharType="end"/>
      </w:r>
    </w:p>
    <w:p>
      <w:pPr>
        <w:pStyle w:val="13"/>
        <w:tabs>
          <w:tab w:val="right" w:leader="dot" w:pos="8306"/>
        </w:tabs>
      </w:pPr>
      <w:r>
        <w:fldChar w:fldCharType="begin"/>
      </w:r>
      <w:r>
        <w:instrText xml:space="preserve"> HYPERLINK \l "_Toc1822230315" </w:instrText>
      </w:r>
      <w:r>
        <w:fldChar w:fldCharType="separate"/>
      </w:r>
      <w:r>
        <w:t>ACRONYM</w:t>
      </w:r>
      <w:r>
        <w:tab/>
      </w:r>
      <w:r>
        <w:fldChar w:fldCharType="begin"/>
      </w:r>
      <w:r>
        <w:instrText xml:space="preserve"> PAGEREF _Toc1822230315 \h </w:instrText>
      </w:r>
      <w:r>
        <w:fldChar w:fldCharType="separate"/>
      </w:r>
      <w:r>
        <w:t>4</w:t>
      </w:r>
      <w:r>
        <w:fldChar w:fldCharType="end"/>
      </w:r>
      <w:r>
        <w:fldChar w:fldCharType="end"/>
      </w:r>
    </w:p>
    <w:p>
      <w:pPr>
        <w:pStyle w:val="13"/>
        <w:tabs>
          <w:tab w:val="right" w:leader="dot" w:pos="8306"/>
        </w:tabs>
      </w:pPr>
      <w:r>
        <w:fldChar w:fldCharType="begin"/>
      </w:r>
      <w:r>
        <w:instrText xml:space="preserve"> HYPERLINK \l "_Toc960614338" </w:instrText>
      </w:r>
      <w:r>
        <w:fldChar w:fldCharType="separate"/>
      </w:r>
      <w:r>
        <w:t>1. Introduction</w:t>
      </w:r>
      <w:r>
        <w:tab/>
      </w:r>
      <w:r>
        <w:fldChar w:fldCharType="begin"/>
      </w:r>
      <w:r>
        <w:instrText xml:space="preserve"> PAGEREF _Toc960614338 \h </w:instrText>
      </w:r>
      <w:r>
        <w:fldChar w:fldCharType="separate"/>
      </w:r>
      <w:r>
        <w:t>5</w:t>
      </w:r>
      <w:r>
        <w:fldChar w:fldCharType="end"/>
      </w:r>
      <w:r>
        <w:fldChar w:fldCharType="end"/>
      </w:r>
    </w:p>
    <w:p>
      <w:pPr>
        <w:pStyle w:val="14"/>
        <w:tabs>
          <w:tab w:val="right" w:leader="dot" w:pos="8306"/>
        </w:tabs>
        <w:ind w:left="480"/>
      </w:pPr>
      <w:r>
        <w:fldChar w:fldCharType="begin"/>
      </w:r>
      <w:r>
        <w:instrText xml:space="preserve"> HYPERLINK \l "_Toc263120620" </w:instrText>
      </w:r>
      <w:r>
        <w:fldChar w:fldCharType="separate"/>
      </w:r>
      <w:r>
        <w:t>1.1 Background</w:t>
      </w:r>
      <w:r>
        <w:tab/>
      </w:r>
      <w:r>
        <w:fldChar w:fldCharType="begin"/>
      </w:r>
      <w:r>
        <w:instrText xml:space="preserve"> PAGEREF _Toc263120620 \h </w:instrText>
      </w:r>
      <w:r>
        <w:fldChar w:fldCharType="separate"/>
      </w:r>
      <w:r>
        <w:t>5</w:t>
      </w:r>
      <w:r>
        <w:fldChar w:fldCharType="end"/>
      </w:r>
      <w:r>
        <w:fldChar w:fldCharType="end"/>
      </w:r>
    </w:p>
    <w:p>
      <w:pPr>
        <w:pStyle w:val="14"/>
        <w:tabs>
          <w:tab w:val="right" w:leader="dot" w:pos="8306"/>
        </w:tabs>
        <w:ind w:left="480"/>
      </w:pPr>
      <w:r>
        <w:fldChar w:fldCharType="begin"/>
      </w:r>
      <w:r>
        <w:instrText xml:space="preserve"> HYPERLINK \l "_Toc599431167" </w:instrText>
      </w:r>
      <w:r>
        <w:fldChar w:fldCharType="separate"/>
      </w:r>
      <w:r>
        <w:t>1.2 Problem Statement</w:t>
      </w:r>
      <w:r>
        <w:tab/>
      </w:r>
      <w:r>
        <w:fldChar w:fldCharType="begin"/>
      </w:r>
      <w:r>
        <w:instrText xml:space="preserve"> PAGEREF _Toc599431167 \h </w:instrText>
      </w:r>
      <w:r>
        <w:fldChar w:fldCharType="separate"/>
      </w:r>
      <w:r>
        <w:t>5</w:t>
      </w:r>
      <w:r>
        <w:fldChar w:fldCharType="end"/>
      </w:r>
      <w:r>
        <w:fldChar w:fldCharType="end"/>
      </w:r>
    </w:p>
    <w:p>
      <w:pPr>
        <w:pStyle w:val="14"/>
        <w:tabs>
          <w:tab w:val="right" w:leader="dot" w:pos="8306"/>
        </w:tabs>
        <w:ind w:left="480"/>
      </w:pPr>
      <w:r>
        <w:fldChar w:fldCharType="begin"/>
      </w:r>
      <w:r>
        <w:instrText xml:space="preserve"> HYPERLINK \l "_Toc793835692" </w:instrText>
      </w:r>
      <w:r>
        <w:fldChar w:fldCharType="separate"/>
      </w:r>
      <w:r>
        <w:t>1.3 Research Gap</w:t>
      </w:r>
      <w:r>
        <w:tab/>
      </w:r>
      <w:r>
        <w:fldChar w:fldCharType="begin"/>
      </w:r>
      <w:r>
        <w:instrText xml:space="preserve"> PAGEREF _Toc793835692 \h </w:instrText>
      </w:r>
      <w:r>
        <w:fldChar w:fldCharType="separate"/>
      </w:r>
      <w:r>
        <w:t>6</w:t>
      </w:r>
      <w:r>
        <w:fldChar w:fldCharType="end"/>
      </w:r>
      <w:r>
        <w:fldChar w:fldCharType="end"/>
      </w:r>
    </w:p>
    <w:p>
      <w:pPr>
        <w:pStyle w:val="14"/>
        <w:tabs>
          <w:tab w:val="right" w:leader="dot" w:pos="8306"/>
        </w:tabs>
        <w:ind w:left="480"/>
      </w:pPr>
      <w:r>
        <w:fldChar w:fldCharType="begin"/>
      </w:r>
      <w:r>
        <w:instrText xml:space="preserve"> HYPERLINK \l "_Toc1828060280" </w:instrText>
      </w:r>
      <w:r>
        <w:fldChar w:fldCharType="separate"/>
      </w:r>
      <w:r>
        <w:t>1.4 Research Objectives</w:t>
      </w:r>
      <w:r>
        <w:tab/>
      </w:r>
      <w:r>
        <w:fldChar w:fldCharType="begin"/>
      </w:r>
      <w:r>
        <w:instrText xml:space="preserve"> PAGEREF _Toc1828060280 \h </w:instrText>
      </w:r>
      <w:r>
        <w:fldChar w:fldCharType="separate"/>
      </w:r>
      <w:r>
        <w:t>6</w:t>
      </w:r>
      <w:r>
        <w:fldChar w:fldCharType="end"/>
      </w:r>
      <w:r>
        <w:fldChar w:fldCharType="end"/>
      </w:r>
    </w:p>
    <w:p>
      <w:pPr>
        <w:pStyle w:val="14"/>
        <w:tabs>
          <w:tab w:val="right" w:leader="dot" w:pos="8306"/>
        </w:tabs>
        <w:ind w:left="480"/>
      </w:pPr>
      <w:r>
        <w:fldChar w:fldCharType="begin"/>
      </w:r>
      <w:r>
        <w:instrText xml:space="preserve"> HYPERLINK \l "_Toc160588331" </w:instrText>
      </w:r>
      <w:r>
        <w:fldChar w:fldCharType="separate"/>
      </w:r>
      <w:r>
        <w:t>1.5 Justification of the Study</w:t>
      </w:r>
      <w:r>
        <w:tab/>
      </w:r>
      <w:r>
        <w:fldChar w:fldCharType="begin"/>
      </w:r>
      <w:r>
        <w:instrText xml:space="preserve"> PAGEREF _Toc160588331 \h </w:instrText>
      </w:r>
      <w:r>
        <w:fldChar w:fldCharType="separate"/>
      </w:r>
      <w:r>
        <w:t>7</w:t>
      </w:r>
      <w:r>
        <w:fldChar w:fldCharType="end"/>
      </w:r>
      <w:r>
        <w:fldChar w:fldCharType="end"/>
      </w:r>
    </w:p>
    <w:p>
      <w:pPr>
        <w:pStyle w:val="14"/>
        <w:tabs>
          <w:tab w:val="right" w:leader="dot" w:pos="8306"/>
        </w:tabs>
        <w:ind w:left="480"/>
      </w:pPr>
      <w:r>
        <w:fldChar w:fldCharType="begin"/>
      </w:r>
      <w:r>
        <w:instrText xml:space="preserve"> HYPERLINK \l "_Toc1768618485" </w:instrText>
      </w:r>
      <w:r>
        <w:fldChar w:fldCharType="separate"/>
      </w:r>
      <w:r>
        <w:t>1.6 Ethical Considerations</w:t>
      </w:r>
      <w:r>
        <w:tab/>
      </w:r>
      <w:r>
        <w:fldChar w:fldCharType="begin"/>
      </w:r>
      <w:r>
        <w:instrText xml:space="preserve"> PAGEREF _Toc1768618485 \h </w:instrText>
      </w:r>
      <w:r>
        <w:fldChar w:fldCharType="separate"/>
      </w:r>
      <w:r>
        <w:t>7</w:t>
      </w:r>
      <w:r>
        <w:fldChar w:fldCharType="end"/>
      </w:r>
      <w:r>
        <w:fldChar w:fldCharType="end"/>
      </w:r>
    </w:p>
    <w:p>
      <w:pPr>
        <w:pStyle w:val="14"/>
        <w:tabs>
          <w:tab w:val="right" w:leader="dot" w:pos="8306"/>
        </w:tabs>
        <w:ind w:left="480"/>
      </w:pPr>
      <w:r>
        <w:fldChar w:fldCharType="begin"/>
      </w:r>
      <w:r>
        <w:instrText xml:space="preserve"> HYPERLINK \l "_Toc1849719268" </w:instrText>
      </w:r>
      <w:r>
        <w:fldChar w:fldCharType="separate"/>
      </w:r>
      <w:r>
        <w:t>1.7 Structure of the Study</w:t>
      </w:r>
      <w:r>
        <w:tab/>
      </w:r>
      <w:r>
        <w:fldChar w:fldCharType="begin"/>
      </w:r>
      <w:r>
        <w:instrText xml:space="preserve"> PAGEREF _Toc1849719268 \h </w:instrText>
      </w:r>
      <w:r>
        <w:fldChar w:fldCharType="separate"/>
      </w:r>
      <w:r>
        <w:t>7</w:t>
      </w:r>
      <w:r>
        <w:fldChar w:fldCharType="end"/>
      </w:r>
      <w:r>
        <w:fldChar w:fldCharType="end"/>
      </w:r>
    </w:p>
    <w:p>
      <w:pPr>
        <w:pStyle w:val="13"/>
        <w:tabs>
          <w:tab w:val="right" w:leader="dot" w:pos="8306"/>
        </w:tabs>
      </w:pPr>
      <w:r>
        <w:fldChar w:fldCharType="begin"/>
      </w:r>
      <w:r>
        <w:instrText xml:space="preserve"> HYPERLINK \l "_Toc1258463304" </w:instrText>
      </w:r>
      <w:r>
        <w:fldChar w:fldCharType="separate"/>
      </w:r>
      <w:r>
        <w:t>2. Methodology</w:t>
      </w:r>
      <w:r>
        <w:tab/>
      </w:r>
      <w:r>
        <w:fldChar w:fldCharType="begin"/>
      </w:r>
      <w:r>
        <w:instrText xml:space="preserve"> PAGEREF _Toc1258463304 \h </w:instrText>
      </w:r>
      <w:r>
        <w:fldChar w:fldCharType="separate"/>
      </w:r>
      <w:r>
        <w:t>9</w:t>
      </w:r>
      <w:r>
        <w:fldChar w:fldCharType="end"/>
      </w:r>
      <w:r>
        <w:fldChar w:fldCharType="end"/>
      </w:r>
    </w:p>
    <w:p>
      <w:pPr>
        <w:pStyle w:val="14"/>
        <w:tabs>
          <w:tab w:val="right" w:leader="dot" w:pos="8306"/>
        </w:tabs>
        <w:ind w:left="480"/>
      </w:pPr>
      <w:r>
        <w:fldChar w:fldCharType="begin"/>
      </w:r>
      <w:r>
        <w:instrText xml:space="preserve"> HYPERLINK \l "_Toc426311025" </w:instrText>
      </w:r>
      <w:r>
        <w:fldChar w:fldCharType="separate"/>
      </w:r>
      <w:r>
        <w:t>2.1 Introduction</w:t>
      </w:r>
      <w:r>
        <w:tab/>
      </w:r>
      <w:r>
        <w:fldChar w:fldCharType="begin"/>
      </w:r>
      <w:r>
        <w:instrText xml:space="preserve"> PAGEREF _Toc426311025 \h </w:instrText>
      </w:r>
      <w:r>
        <w:fldChar w:fldCharType="separate"/>
      </w:r>
      <w:r>
        <w:t>9</w:t>
      </w:r>
      <w:r>
        <w:fldChar w:fldCharType="end"/>
      </w:r>
      <w:r>
        <w:fldChar w:fldCharType="end"/>
      </w:r>
    </w:p>
    <w:p>
      <w:pPr>
        <w:pStyle w:val="14"/>
        <w:tabs>
          <w:tab w:val="right" w:leader="dot" w:pos="8306"/>
        </w:tabs>
        <w:ind w:left="480"/>
      </w:pPr>
      <w:r>
        <w:fldChar w:fldCharType="begin"/>
      </w:r>
      <w:r>
        <w:instrText xml:space="preserve"> HYPERLINK \l "_Toc1003950783" </w:instrText>
      </w:r>
      <w:r>
        <w:fldChar w:fldCharType="separate"/>
      </w:r>
      <w:r>
        <w:t>2.2 Systematic Literature Review</w:t>
      </w:r>
      <w:r>
        <w:tab/>
      </w:r>
      <w:r>
        <w:fldChar w:fldCharType="begin"/>
      </w:r>
      <w:r>
        <w:instrText xml:space="preserve"> PAGEREF _Toc1003950783 \h </w:instrText>
      </w:r>
      <w:r>
        <w:fldChar w:fldCharType="separate"/>
      </w:r>
      <w:r>
        <w:t>9</w:t>
      </w:r>
      <w:r>
        <w:fldChar w:fldCharType="end"/>
      </w:r>
      <w:r>
        <w:fldChar w:fldCharType="end"/>
      </w:r>
    </w:p>
    <w:p>
      <w:pPr>
        <w:pStyle w:val="14"/>
        <w:tabs>
          <w:tab w:val="right" w:leader="dot" w:pos="8306"/>
        </w:tabs>
        <w:ind w:left="480"/>
      </w:pPr>
      <w:r>
        <w:fldChar w:fldCharType="begin"/>
      </w:r>
      <w:r>
        <w:instrText xml:space="preserve"> HYPERLINK \l "_Toc621795402" </w:instrText>
      </w:r>
      <w:r>
        <w:fldChar w:fldCharType="separate"/>
      </w:r>
      <w:r>
        <w:t>2.3 Defining Search Terms</w:t>
      </w:r>
      <w:r>
        <w:tab/>
      </w:r>
      <w:r>
        <w:fldChar w:fldCharType="begin"/>
      </w:r>
      <w:r>
        <w:instrText xml:space="preserve"> PAGEREF _Toc621795402 \h </w:instrText>
      </w:r>
      <w:r>
        <w:fldChar w:fldCharType="separate"/>
      </w:r>
      <w:r>
        <w:t>11</w:t>
      </w:r>
      <w:r>
        <w:fldChar w:fldCharType="end"/>
      </w:r>
      <w:r>
        <w:fldChar w:fldCharType="end"/>
      </w:r>
    </w:p>
    <w:p>
      <w:pPr>
        <w:pStyle w:val="14"/>
        <w:tabs>
          <w:tab w:val="right" w:leader="dot" w:pos="8306"/>
        </w:tabs>
        <w:ind w:left="480"/>
      </w:pPr>
      <w:r>
        <w:fldChar w:fldCharType="begin"/>
      </w:r>
      <w:r>
        <w:instrText xml:space="preserve"> HYPERLINK \l "_Toc859895112" </w:instrText>
      </w:r>
      <w:r>
        <w:fldChar w:fldCharType="separate"/>
      </w:r>
      <w:r>
        <w:t>2.4 Search Strings</w:t>
      </w:r>
      <w:r>
        <w:tab/>
      </w:r>
      <w:r>
        <w:fldChar w:fldCharType="begin"/>
      </w:r>
      <w:r>
        <w:instrText xml:space="preserve"> PAGEREF _Toc859895112 \h </w:instrText>
      </w:r>
      <w:r>
        <w:fldChar w:fldCharType="separate"/>
      </w:r>
      <w:r>
        <w:t>11</w:t>
      </w:r>
      <w:r>
        <w:fldChar w:fldCharType="end"/>
      </w:r>
      <w:r>
        <w:fldChar w:fldCharType="end"/>
      </w:r>
    </w:p>
    <w:p>
      <w:pPr>
        <w:pStyle w:val="14"/>
        <w:tabs>
          <w:tab w:val="right" w:leader="dot" w:pos="8306"/>
        </w:tabs>
        <w:ind w:left="480"/>
      </w:pPr>
      <w:r>
        <w:fldChar w:fldCharType="begin"/>
      </w:r>
      <w:r>
        <w:instrText xml:space="preserve"> HYPERLINK \l "_Toc1839686721" </w:instrText>
      </w:r>
      <w:r>
        <w:fldChar w:fldCharType="separate"/>
      </w:r>
      <w:r>
        <w:t>2.5 Academic Databases and Journals</w:t>
      </w:r>
      <w:r>
        <w:tab/>
      </w:r>
      <w:r>
        <w:fldChar w:fldCharType="begin"/>
      </w:r>
      <w:r>
        <w:instrText xml:space="preserve"> PAGEREF _Toc1839686721 \h </w:instrText>
      </w:r>
      <w:r>
        <w:fldChar w:fldCharType="separate"/>
      </w:r>
      <w:r>
        <w:t>12</w:t>
      </w:r>
      <w:r>
        <w:fldChar w:fldCharType="end"/>
      </w:r>
      <w:r>
        <w:fldChar w:fldCharType="end"/>
      </w:r>
    </w:p>
    <w:p>
      <w:pPr>
        <w:pStyle w:val="14"/>
        <w:tabs>
          <w:tab w:val="right" w:leader="dot" w:pos="8306"/>
        </w:tabs>
        <w:ind w:left="480"/>
      </w:pPr>
      <w:r>
        <w:fldChar w:fldCharType="begin"/>
      </w:r>
      <w:r>
        <w:instrText xml:space="preserve"> HYPERLINK \l "_Toc145170341" </w:instrText>
      </w:r>
      <w:r>
        <w:fldChar w:fldCharType="separate"/>
      </w:r>
      <w:r>
        <w:t>2.6 Screening Process</w:t>
      </w:r>
      <w:r>
        <w:tab/>
      </w:r>
      <w:r>
        <w:fldChar w:fldCharType="begin"/>
      </w:r>
      <w:r>
        <w:instrText xml:space="preserve"> PAGEREF _Toc145170341 \h </w:instrText>
      </w:r>
      <w:r>
        <w:fldChar w:fldCharType="separate"/>
      </w:r>
      <w:r>
        <w:t>12</w:t>
      </w:r>
      <w:r>
        <w:fldChar w:fldCharType="end"/>
      </w:r>
      <w:r>
        <w:fldChar w:fldCharType="end"/>
      </w:r>
    </w:p>
    <w:p>
      <w:pPr>
        <w:pStyle w:val="14"/>
        <w:tabs>
          <w:tab w:val="right" w:leader="dot" w:pos="8306"/>
        </w:tabs>
        <w:ind w:left="480"/>
      </w:pPr>
      <w:r>
        <w:fldChar w:fldCharType="begin"/>
      </w:r>
      <w:r>
        <w:instrText xml:space="preserve"> HYPERLINK \l "_Toc336498195" </w:instrText>
      </w:r>
      <w:r>
        <w:fldChar w:fldCharType="separate"/>
      </w:r>
      <w:r>
        <w:t>2.7 Conclusion</w:t>
      </w:r>
      <w:r>
        <w:tab/>
      </w:r>
      <w:r>
        <w:fldChar w:fldCharType="begin"/>
      </w:r>
      <w:r>
        <w:instrText xml:space="preserve"> PAGEREF _Toc336498195 \h </w:instrText>
      </w:r>
      <w:r>
        <w:fldChar w:fldCharType="separate"/>
      </w:r>
      <w:r>
        <w:t>12</w:t>
      </w:r>
      <w:r>
        <w:fldChar w:fldCharType="end"/>
      </w:r>
      <w:r>
        <w:fldChar w:fldCharType="end"/>
      </w:r>
    </w:p>
    <w:p>
      <w:pPr>
        <w:pStyle w:val="13"/>
        <w:tabs>
          <w:tab w:val="right" w:leader="dot" w:pos="8306"/>
        </w:tabs>
      </w:pPr>
      <w:r>
        <w:fldChar w:fldCharType="begin"/>
      </w:r>
      <w:r>
        <w:instrText xml:space="preserve"> HYPERLINK \l "_Toc1200720814" </w:instrText>
      </w:r>
      <w:r>
        <w:fldChar w:fldCharType="separate"/>
      </w:r>
      <w:r>
        <w:t xml:space="preserve">3. </w:t>
      </w:r>
      <w:r>
        <w:rPr>
          <w:rFonts w:hint="eastAsia"/>
        </w:rPr>
        <w:t>The Role of Online Learning</w:t>
      </w:r>
      <w:r>
        <w:tab/>
      </w:r>
      <w:r>
        <w:fldChar w:fldCharType="begin"/>
      </w:r>
      <w:r>
        <w:instrText xml:space="preserve"> PAGEREF _Toc1200720814 \h </w:instrText>
      </w:r>
      <w:r>
        <w:fldChar w:fldCharType="separate"/>
      </w:r>
      <w:r>
        <w:t>14</w:t>
      </w:r>
      <w:r>
        <w:fldChar w:fldCharType="end"/>
      </w:r>
      <w:r>
        <w:fldChar w:fldCharType="end"/>
      </w:r>
    </w:p>
    <w:p>
      <w:pPr>
        <w:pStyle w:val="14"/>
        <w:tabs>
          <w:tab w:val="right" w:leader="dot" w:pos="8306"/>
        </w:tabs>
        <w:ind w:left="480"/>
      </w:pPr>
      <w:r>
        <w:fldChar w:fldCharType="begin"/>
      </w:r>
      <w:r>
        <w:instrText xml:space="preserve"> HYPERLINK \l "_Toc610890039" </w:instrText>
      </w:r>
      <w:r>
        <w:fldChar w:fldCharType="separate"/>
      </w:r>
      <w:r>
        <w:t>3.1 Introduction</w:t>
      </w:r>
      <w:r>
        <w:tab/>
      </w:r>
      <w:r>
        <w:fldChar w:fldCharType="begin"/>
      </w:r>
      <w:r>
        <w:instrText xml:space="preserve"> PAGEREF _Toc610890039 \h </w:instrText>
      </w:r>
      <w:r>
        <w:fldChar w:fldCharType="separate"/>
      </w:r>
      <w:r>
        <w:t>14</w:t>
      </w:r>
      <w:r>
        <w:fldChar w:fldCharType="end"/>
      </w:r>
      <w:r>
        <w:fldChar w:fldCharType="end"/>
      </w:r>
    </w:p>
    <w:p>
      <w:pPr>
        <w:pStyle w:val="14"/>
        <w:tabs>
          <w:tab w:val="right" w:leader="dot" w:pos="8306"/>
        </w:tabs>
        <w:ind w:left="480"/>
      </w:pPr>
      <w:r>
        <w:fldChar w:fldCharType="begin"/>
      </w:r>
      <w:r>
        <w:instrText xml:space="preserve"> HYPERLINK \l "_Toc109569166" </w:instrText>
      </w:r>
      <w:r>
        <w:fldChar w:fldCharType="separate"/>
      </w:r>
      <w:r>
        <w:rPr>
          <w:rFonts w:hint="eastAsia"/>
        </w:rPr>
        <w:t>3.</w:t>
      </w:r>
      <w:r>
        <w:t>2</w:t>
      </w:r>
      <w:r>
        <w:rPr>
          <w:rFonts w:hint="eastAsia"/>
        </w:rPr>
        <w:t xml:space="preserve"> The Role of Conceptual Thinking and Peer Cooperation in Online Learning</w:t>
      </w:r>
      <w:r>
        <w:tab/>
      </w:r>
      <w:r>
        <w:fldChar w:fldCharType="begin"/>
      </w:r>
      <w:r>
        <w:instrText xml:space="preserve"> PAGEREF _Toc109569166 \h </w:instrText>
      </w:r>
      <w:r>
        <w:fldChar w:fldCharType="separate"/>
      </w:r>
      <w:r>
        <w:t>14</w:t>
      </w:r>
      <w:r>
        <w:fldChar w:fldCharType="end"/>
      </w:r>
      <w:r>
        <w:fldChar w:fldCharType="end"/>
      </w:r>
    </w:p>
    <w:p>
      <w:pPr>
        <w:pStyle w:val="14"/>
        <w:tabs>
          <w:tab w:val="right" w:leader="dot" w:pos="8306"/>
        </w:tabs>
        <w:ind w:left="480"/>
      </w:pPr>
      <w:r>
        <w:fldChar w:fldCharType="begin"/>
      </w:r>
      <w:r>
        <w:instrText xml:space="preserve"> HYPERLINK \l "_Toc1135487483" </w:instrText>
      </w:r>
      <w:r>
        <w:fldChar w:fldCharType="separate"/>
      </w:r>
      <w:r>
        <w:rPr>
          <w:rFonts w:hint="eastAsia"/>
        </w:rPr>
        <w:t>3.</w:t>
      </w:r>
      <w:r>
        <w:t>3</w:t>
      </w:r>
      <w:r>
        <w:rPr>
          <w:rFonts w:hint="eastAsia"/>
        </w:rPr>
        <w:t xml:space="preserve"> Connectivism and Network Learning Theories in Online Learning</w:t>
      </w:r>
      <w:r>
        <w:tab/>
      </w:r>
      <w:r>
        <w:fldChar w:fldCharType="begin"/>
      </w:r>
      <w:r>
        <w:instrText xml:space="preserve"> PAGEREF _Toc1135487483 \h </w:instrText>
      </w:r>
      <w:r>
        <w:fldChar w:fldCharType="separate"/>
      </w:r>
      <w:r>
        <w:t>15</w:t>
      </w:r>
      <w:r>
        <w:fldChar w:fldCharType="end"/>
      </w:r>
      <w:r>
        <w:fldChar w:fldCharType="end"/>
      </w:r>
    </w:p>
    <w:p>
      <w:pPr>
        <w:pStyle w:val="14"/>
        <w:tabs>
          <w:tab w:val="right" w:leader="dot" w:pos="8306"/>
        </w:tabs>
        <w:ind w:left="480"/>
      </w:pPr>
      <w:r>
        <w:fldChar w:fldCharType="begin"/>
      </w:r>
      <w:r>
        <w:instrText xml:space="preserve"> HYPERLINK \l "_Toc1598439539" </w:instrText>
      </w:r>
      <w:r>
        <w:fldChar w:fldCharType="separate"/>
      </w:r>
      <w:r>
        <w:rPr>
          <w:rFonts w:hint="eastAsia"/>
        </w:rPr>
        <w:t>3.</w:t>
      </w:r>
      <w:r>
        <w:t>4</w:t>
      </w:r>
      <w:r>
        <w:rPr>
          <w:rFonts w:hint="eastAsia"/>
        </w:rPr>
        <w:t xml:space="preserve"> Foundations and Efficacy of Online Learning Environments</w:t>
      </w:r>
      <w:r>
        <w:tab/>
      </w:r>
      <w:r>
        <w:fldChar w:fldCharType="begin"/>
      </w:r>
      <w:r>
        <w:instrText xml:space="preserve"> PAGEREF _Toc1598439539 \h </w:instrText>
      </w:r>
      <w:r>
        <w:fldChar w:fldCharType="separate"/>
      </w:r>
      <w:r>
        <w:t>17</w:t>
      </w:r>
      <w:r>
        <w:fldChar w:fldCharType="end"/>
      </w:r>
      <w:r>
        <w:fldChar w:fldCharType="end"/>
      </w:r>
    </w:p>
    <w:p>
      <w:pPr>
        <w:pStyle w:val="14"/>
        <w:tabs>
          <w:tab w:val="right" w:leader="dot" w:pos="8306"/>
        </w:tabs>
        <w:ind w:left="480"/>
      </w:pPr>
      <w:r>
        <w:fldChar w:fldCharType="begin"/>
      </w:r>
      <w:r>
        <w:instrText xml:space="preserve"> HYPERLINK \l "_Toc2100391650" </w:instrText>
      </w:r>
      <w:r>
        <w:fldChar w:fldCharType="separate"/>
      </w:r>
      <w:r>
        <w:rPr>
          <w:rFonts w:hint="eastAsia"/>
        </w:rPr>
        <w:t>3.</w:t>
      </w:r>
      <w:r>
        <w:t>5</w:t>
      </w:r>
      <w:r>
        <w:rPr>
          <w:rFonts w:hint="eastAsia"/>
        </w:rPr>
        <w:t xml:space="preserve"> Technological Enhancements and User Experience in Online Learning</w:t>
      </w:r>
      <w:r>
        <w:tab/>
      </w:r>
      <w:r>
        <w:fldChar w:fldCharType="begin"/>
      </w:r>
      <w:r>
        <w:instrText xml:space="preserve"> PAGEREF _Toc2100391650 \h </w:instrText>
      </w:r>
      <w:r>
        <w:fldChar w:fldCharType="separate"/>
      </w:r>
      <w:r>
        <w:t>20</w:t>
      </w:r>
      <w:r>
        <w:fldChar w:fldCharType="end"/>
      </w:r>
      <w:r>
        <w:fldChar w:fldCharType="end"/>
      </w:r>
    </w:p>
    <w:p>
      <w:pPr>
        <w:pStyle w:val="14"/>
        <w:tabs>
          <w:tab w:val="right" w:leader="dot" w:pos="8306"/>
        </w:tabs>
        <w:ind w:left="480"/>
      </w:pPr>
      <w:r>
        <w:fldChar w:fldCharType="begin"/>
      </w:r>
      <w:r>
        <w:instrText xml:space="preserve"> HYPERLINK \l "_Toc946272164" </w:instrText>
      </w:r>
      <w:r>
        <w:fldChar w:fldCharType="separate"/>
      </w:r>
      <w:r>
        <w:rPr>
          <w:rFonts w:hint="eastAsia"/>
        </w:rPr>
        <w:t>3.</w:t>
      </w:r>
      <w:r>
        <w:t>6</w:t>
      </w:r>
      <w:r>
        <w:rPr>
          <w:rFonts w:hint="eastAsia"/>
        </w:rPr>
        <w:t xml:space="preserve"> Future Perspectives and Implication</w:t>
      </w:r>
      <w:r>
        <w:tab/>
      </w:r>
      <w:r>
        <w:fldChar w:fldCharType="begin"/>
      </w:r>
      <w:r>
        <w:instrText xml:space="preserve"> PAGEREF _Toc946272164 \h </w:instrText>
      </w:r>
      <w:r>
        <w:fldChar w:fldCharType="separate"/>
      </w:r>
      <w:r>
        <w:t>22</w:t>
      </w:r>
      <w:r>
        <w:fldChar w:fldCharType="end"/>
      </w:r>
      <w:r>
        <w:fldChar w:fldCharType="end"/>
      </w:r>
    </w:p>
    <w:p>
      <w:pPr>
        <w:pStyle w:val="14"/>
        <w:tabs>
          <w:tab w:val="right" w:leader="dot" w:pos="8306"/>
        </w:tabs>
        <w:ind w:left="480"/>
      </w:pPr>
      <w:r>
        <w:fldChar w:fldCharType="begin"/>
      </w:r>
      <w:r>
        <w:instrText xml:space="preserve"> HYPERLINK \l "_Toc1879854313" </w:instrText>
      </w:r>
      <w:r>
        <w:fldChar w:fldCharType="separate"/>
      </w:r>
      <w:r>
        <w:t>3.7 Conclusion</w:t>
      </w:r>
      <w:r>
        <w:tab/>
      </w:r>
      <w:r>
        <w:fldChar w:fldCharType="begin"/>
      </w:r>
      <w:r>
        <w:instrText xml:space="preserve"> PAGEREF _Toc1879854313 \h </w:instrText>
      </w:r>
      <w:r>
        <w:fldChar w:fldCharType="separate"/>
      </w:r>
      <w:r>
        <w:t>25</w:t>
      </w:r>
      <w:r>
        <w:fldChar w:fldCharType="end"/>
      </w:r>
      <w:r>
        <w:fldChar w:fldCharType="end"/>
      </w:r>
    </w:p>
    <w:p>
      <w:pPr>
        <w:pStyle w:val="13"/>
        <w:tabs>
          <w:tab w:val="right" w:leader="dot" w:pos="8306"/>
        </w:tabs>
      </w:pPr>
      <w:r>
        <w:fldChar w:fldCharType="begin"/>
      </w:r>
      <w:r>
        <w:instrText xml:space="preserve"> HYPERLINK \l "_Toc932023927" </w:instrText>
      </w:r>
      <w:r>
        <w:fldChar w:fldCharType="separate"/>
      </w:r>
      <w:r>
        <w:t>4. Efficacy of Online Learning</w:t>
      </w:r>
      <w:r>
        <w:tab/>
      </w:r>
      <w:r>
        <w:fldChar w:fldCharType="begin"/>
      </w:r>
      <w:r>
        <w:instrText xml:space="preserve"> PAGEREF _Toc932023927 \h </w:instrText>
      </w:r>
      <w:r>
        <w:fldChar w:fldCharType="separate"/>
      </w:r>
      <w:r>
        <w:t>26</w:t>
      </w:r>
      <w:r>
        <w:fldChar w:fldCharType="end"/>
      </w:r>
      <w:r>
        <w:fldChar w:fldCharType="end"/>
      </w:r>
    </w:p>
    <w:p>
      <w:pPr>
        <w:pStyle w:val="14"/>
        <w:tabs>
          <w:tab w:val="right" w:leader="dot" w:pos="8306"/>
        </w:tabs>
        <w:ind w:left="480"/>
      </w:pPr>
      <w:r>
        <w:fldChar w:fldCharType="begin"/>
      </w:r>
      <w:r>
        <w:instrText xml:space="preserve"> HYPERLINK \l "_Toc780419871" </w:instrText>
      </w:r>
      <w:r>
        <w:fldChar w:fldCharType="separate"/>
      </w:r>
      <w:r>
        <w:t>4.1 Introduction</w:t>
      </w:r>
      <w:r>
        <w:tab/>
      </w:r>
      <w:r>
        <w:fldChar w:fldCharType="begin"/>
      </w:r>
      <w:r>
        <w:instrText xml:space="preserve"> PAGEREF _Toc780419871 \h </w:instrText>
      </w:r>
      <w:r>
        <w:fldChar w:fldCharType="separate"/>
      </w:r>
      <w:r>
        <w:t>26</w:t>
      </w:r>
      <w:r>
        <w:fldChar w:fldCharType="end"/>
      </w:r>
      <w:r>
        <w:fldChar w:fldCharType="end"/>
      </w:r>
    </w:p>
    <w:p>
      <w:pPr>
        <w:pStyle w:val="14"/>
        <w:tabs>
          <w:tab w:val="right" w:leader="dot" w:pos="8306"/>
        </w:tabs>
        <w:ind w:left="480"/>
      </w:pPr>
      <w:r>
        <w:fldChar w:fldCharType="begin"/>
      </w:r>
      <w:r>
        <w:instrText xml:space="preserve"> HYPERLINK \l "_Toc1834139668" </w:instrText>
      </w:r>
      <w:r>
        <w:fldChar w:fldCharType="separate"/>
      </w:r>
      <w:r>
        <w:t>4.2 Academic Performance and Outcomes: Comparing Online to Traditional Learning Outcomes</w:t>
      </w:r>
      <w:r>
        <w:tab/>
      </w:r>
      <w:r>
        <w:fldChar w:fldCharType="begin"/>
      </w:r>
      <w:r>
        <w:instrText xml:space="preserve"> PAGEREF _Toc1834139668 \h </w:instrText>
      </w:r>
      <w:r>
        <w:fldChar w:fldCharType="separate"/>
      </w:r>
      <w:r>
        <w:t>26</w:t>
      </w:r>
      <w:r>
        <w:fldChar w:fldCharType="end"/>
      </w:r>
      <w:r>
        <w:fldChar w:fldCharType="end"/>
      </w:r>
    </w:p>
    <w:p>
      <w:pPr>
        <w:pStyle w:val="14"/>
        <w:tabs>
          <w:tab w:val="right" w:leader="dot" w:pos="8306"/>
        </w:tabs>
        <w:ind w:left="480"/>
      </w:pPr>
      <w:r>
        <w:fldChar w:fldCharType="begin"/>
      </w:r>
      <w:r>
        <w:instrText xml:space="preserve"> HYPERLINK \l "_Toc1405131038" </w:instrText>
      </w:r>
      <w:r>
        <w:fldChar w:fldCharType="separate"/>
      </w:r>
      <w:r>
        <w:t>4.3 Student Engagement and Participation: Metrics and Indicators of Engagement in Online Settings</w:t>
      </w:r>
      <w:r>
        <w:tab/>
      </w:r>
      <w:r>
        <w:fldChar w:fldCharType="begin"/>
      </w:r>
      <w:r>
        <w:instrText xml:space="preserve"> PAGEREF _Toc1405131038 \h </w:instrText>
      </w:r>
      <w:r>
        <w:fldChar w:fldCharType="separate"/>
      </w:r>
      <w:r>
        <w:t>29</w:t>
      </w:r>
      <w:r>
        <w:fldChar w:fldCharType="end"/>
      </w:r>
      <w:r>
        <w:fldChar w:fldCharType="end"/>
      </w:r>
    </w:p>
    <w:p>
      <w:pPr>
        <w:pStyle w:val="14"/>
        <w:tabs>
          <w:tab w:val="right" w:leader="dot" w:pos="8306"/>
        </w:tabs>
        <w:ind w:left="480"/>
      </w:pPr>
      <w:r>
        <w:fldChar w:fldCharType="begin"/>
      </w:r>
      <w:r>
        <w:instrText xml:space="preserve"> HYPERLINK \l "_Toc159689607" </w:instrText>
      </w:r>
      <w:r>
        <w:fldChar w:fldCharType="separate"/>
      </w:r>
      <w:r>
        <w:t>4.4 Skills Acquisition and Lifelong Learning</w:t>
      </w:r>
      <w:r>
        <w:tab/>
      </w:r>
      <w:r>
        <w:fldChar w:fldCharType="begin"/>
      </w:r>
      <w:r>
        <w:instrText xml:space="preserve"> PAGEREF _Toc159689607 \h </w:instrText>
      </w:r>
      <w:r>
        <w:fldChar w:fldCharType="separate"/>
      </w:r>
      <w:r>
        <w:t>32</w:t>
      </w:r>
      <w:r>
        <w:fldChar w:fldCharType="end"/>
      </w:r>
      <w:r>
        <w:fldChar w:fldCharType="end"/>
      </w:r>
    </w:p>
    <w:p>
      <w:pPr>
        <w:pStyle w:val="14"/>
        <w:tabs>
          <w:tab w:val="right" w:leader="dot" w:pos="8306"/>
        </w:tabs>
        <w:ind w:left="480"/>
      </w:pPr>
      <w:r>
        <w:fldChar w:fldCharType="begin"/>
      </w:r>
      <w:r>
        <w:instrText xml:space="preserve"> HYPERLINK \l "_Toc1696149746" </w:instrText>
      </w:r>
      <w:r>
        <w:fldChar w:fldCharType="separate"/>
      </w:r>
      <w:r>
        <w:t>4.5 Conclusion</w:t>
      </w:r>
      <w:r>
        <w:tab/>
      </w:r>
      <w:r>
        <w:fldChar w:fldCharType="begin"/>
      </w:r>
      <w:r>
        <w:instrText xml:space="preserve"> PAGEREF _Toc1696149746 \h </w:instrText>
      </w:r>
      <w:r>
        <w:fldChar w:fldCharType="separate"/>
      </w:r>
      <w:r>
        <w:t>35</w:t>
      </w:r>
      <w:r>
        <w:fldChar w:fldCharType="end"/>
      </w:r>
      <w:r>
        <w:fldChar w:fldCharType="end"/>
      </w:r>
    </w:p>
    <w:p>
      <w:pPr>
        <w:pStyle w:val="13"/>
        <w:tabs>
          <w:tab w:val="right" w:leader="dot" w:pos="8306"/>
        </w:tabs>
      </w:pPr>
      <w:r>
        <w:fldChar w:fldCharType="begin"/>
      </w:r>
      <w:r>
        <w:instrText xml:space="preserve"> HYPERLINK \l "_Toc1490850744" </w:instrText>
      </w:r>
      <w:r>
        <w:fldChar w:fldCharType="separate"/>
      </w:r>
      <w:r>
        <w:t>5. Challenges of Online Learning in the Digital Age</w:t>
      </w:r>
      <w:r>
        <w:tab/>
      </w:r>
      <w:r>
        <w:fldChar w:fldCharType="begin"/>
      </w:r>
      <w:r>
        <w:instrText xml:space="preserve"> PAGEREF _Toc1490850744 \h </w:instrText>
      </w:r>
      <w:r>
        <w:fldChar w:fldCharType="separate"/>
      </w:r>
      <w:r>
        <w:t>36</w:t>
      </w:r>
      <w:r>
        <w:fldChar w:fldCharType="end"/>
      </w:r>
      <w:r>
        <w:fldChar w:fldCharType="end"/>
      </w:r>
    </w:p>
    <w:p>
      <w:pPr>
        <w:pStyle w:val="14"/>
        <w:tabs>
          <w:tab w:val="right" w:leader="dot" w:pos="8306"/>
        </w:tabs>
        <w:ind w:left="480"/>
      </w:pPr>
      <w:r>
        <w:fldChar w:fldCharType="begin"/>
      </w:r>
      <w:r>
        <w:instrText xml:space="preserve"> HYPERLINK \l "_Toc2036744859" </w:instrText>
      </w:r>
      <w:r>
        <w:fldChar w:fldCharType="separate"/>
      </w:r>
      <w:r>
        <w:t>5.1 Introduction</w:t>
      </w:r>
      <w:r>
        <w:tab/>
      </w:r>
      <w:r>
        <w:fldChar w:fldCharType="begin"/>
      </w:r>
      <w:r>
        <w:instrText xml:space="preserve"> PAGEREF _Toc2036744859 \h </w:instrText>
      </w:r>
      <w:r>
        <w:fldChar w:fldCharType="separate"/>
      </w:r>
      <w:r>
        <w:t>36</w:t>
      </w:r>
      <w:r>
        <w:fldChar w:fldCharType="end"/>
      </w:r>
      <w:r>
        <w:fldChar w:fldCharType="end"/>
      </w:r>
    </w:p>
    <w:p>
      <w:pPr>
        <w:pStyle w:val="14"/>
        <w:tabs>
          <w:tab w:val="right" w:leader="dot" w:pos="8306"/>
        </w:tabs>
        <w:ind w:left="480"/>
      </w:pPr>
      <w:r>
        <w:fldChar w:fldCharType="begin"/>
      </w:r>
      <w:r>
        <w:instrText xml:space="preserve"> HYPERLINK \l "_Toc681512033" </w:instrText>
      </w:r>
      <w:r>
        <w:fldChar w:fldCharType="separate"/>
      </w:r>
      <w:r>
        <w:t>5.2 Technological Challenges</w:t>
      </w:r>
      <w:r>
        <w:tab/>
      </w:r>
      <w:r>
        <w:fldChar w:fldCharType="begin"/>
      </w:r>
      <w:r>
        <w:instrText xml:space="preserve"> PAGEREF _Toc681512033 \h </w:instrText>
      </w:r>
      <w:r>
        <w:fldChar w:fldCharType="separate"/>
      </w:r>
      <w:r>
        <w:t>36</w:t>
      </w:r>
      <w:r>
        <w:fldChar w:fldCharType="end"/>
      </w:r>
      <w:r>
        <w:fldChar w:fldCharType="end"/>
      </w:r>
    </w:p>
    <w:p>
      <w:pPr>
        <w:pStyle w:val="14"/>
        <w:tabs>
          <w:tab w:val="right" w:leader="dot" w:pos="8306"/>
        </w:tabs>
        <w:ind w:left="480"/>
      </w:pPr>
      <w:r>
        <w:fldChar w:fldCharType="begin"/>
      </w:r>
      <w:r>
        <w:instrText xml:space="preserve"> HYPERLINK \l "_Toc1642449180" </w:instrText>
      </w:r>
      <w:r>
        <w:fldChar w:fldCharType="separate"/>
      </w:r>
      <w:r>
        <w:t>5.3 Pedagogical Challenges</w:t>
      </w:r>
      <w:r>
        <w:tab/>
      </w:r>
      <w:r>
        <w:fldChar w:fldCharType="begin"/>
      </w:r>
      <w:r>
        <w:instrText xml:space="preserve"> PAGEREF _Toc1642449180 \h </w:instrText>
      </w:r>
      <w:r>
        <w:fldChar w:fldCharType="separate"/>
      </w:r>
      <w:r>
        <w:t>38</w:t>
      </w:r>
      <w:r>
        <w:fldChar w:fldCharType="end"/>
      </w:r>
      <w:r>
        <w:fldChar w:fldCharType="end"/>
      </w:r>
    </w:p>
    <w:p>
      <w:pPr>
        <w:pStyle w:val="14"/>
        <w:tabs>
          <w:tab w:val="right" w:leader="dot" w:pos="8306"/>
        </w:tabs>
        <w:ind w:left="480"/>
      </w:pPr>
      <w:r>
        <w:fldChar w:fldCharType="begin"/>
      </w:r>
      <w:r>
        <w:instrText xml:space="preserve"> HYPERLINK \l "_Toc888569722" </w:instrText>
      </w:r>
      <w:r>
        <w:fldChar w:fldCharType="separate"/>
      </w:r>
      <w:r>
        <w:t>5.4 Social and Psychological Challenges</w:t>
      </w:r>
      <w:r>
        <w:tab/>
      </w:r>
      <w:r>
        <w:fldChar w:fldCharType="begin"/>
      </w:r>
      <w:r>
        <w:instrText xml:space="preserve"> PAGEREF _Toc888569722 \h </w:instrText>
      </w:r>
      <w:r>
        <w:fldChar w:fldCharType="separate"/>
      </w:r>
      <w:r>
        <w:t>40</w:t>
      </w:r>
      <w:r>
        <w:fldChar w:fldCharType="end"/>
      </w:r>
      <w:r>
        <w:fldChar w:fldCharType="end"/>
      </w:r>
    </w:p>
    <w:p>
      <w:pPr>
        <w:pStyle w:val="14"/>
        <w:tabs>
          <w:tab w:val="right" w:leader="dot" w:pos="8306"/>
        </w:tabs>
        <w:ind w:left="480"/>
      </w:pPr>
      <w:r>
        <w:fldChar w:fldCharType="begin"/>
      </w:r>
      <w:r>
        <w:instrText xml:space="preserve"> HYPERLINK \l "_Toc590036416" </w:instrText>
      </w:r>
      <w:r>
        <w:fldChar w:fldCharType="separate"/>
      </w:r>
      <w:r>
        <w:t>5.5 Accessibility and Inclusivity</w:t>
      </w:r>
      <w:r>
        <w:tab/>
      </w:r>
      <w:r>
        <w:fldChar w:fldCharType="begin"/>
      </w:r>
      <w:r>
        <w:instrText xml:space="preserve"> PAGEREF _Toc590036416 \h </w:instrText>
      </w:r>
      <w:r>
        <w:fldChar w:fldCharType="separate"/>
      </w:r>
      <w:r>
        <w:t>42</w:t>
      </w:r>
      <w:r>
        <w:fldChar w:fldCharType="end"/>
      </w:r>
      <w:r>
        <w:fldChar w:fldCharType="end"/>
      </w:r>
    </w:p>
    <w:p>
      <w:pPr>
        <w:pStyle w:val="14"/>
        <w:tabs>
          <w:tab w:val="right" w:leader="dot" w:pos="8306"/>
        </w:tabs>
        <w:ind w:left="480"/>
      </w:pPr>
      <w:r>
        <w:fldChar w:fldCharType="begin"/>
      </w:r>
      <w:r>
        <w:instrText xml:space="preserve"> HYPERLINK \l "_Toc1810045513" </w:instrText>
      </w:r>
      <w:r>
        <w:fldChar w:fldCharType="separate"/>
      </w:r>
      <w:r>
        <w:t>5.6 Conclusion</w:t>
      </w:r>
      <w:r>
        <w:tab/>
      </w:r>
      <w:r>
        <w:fldChar w:fldCharType="begin"/>
      </w:r>
      <w:r>
        <w:instrText xml:space="preserve"> PAGEREF _Toc1810045513 \h </w:instrText>
      </w:r>
      <w:r>
        <w:fldChar w:fldCharType="separate"/>
      </w:r>
      <w:r>
        <w:t>44</w:t>
      </w:r>
      <w:r>
        <w:fldChar w:fldCharType="end"/>
      </w:r>
      <w:r>
        <w:fldChar w:fldCharType="end"/>
      </w:r>
    </w:p>
    <w:p>
      <w:pPr>
        <w:pStyle w:val="13"/>
        <w:tabs>
          <w:tab w:val="right" w:leader="dot" w:pos="8306"/>
        </w:tabs>
      </w:pPr>
      <w:r>
        <w:fldChar w:fldCharType="begin"/>
      </w:r>
      <w:r>
        <w:instrText xml:space="preserve"> HYPERLINK \l "_Toc181593589" </w:instrText>
      </w:r>
      <w:r>
        <w:fldChar w:fldCharType="separate"/>
      </w:r>
      <w:r>
        <w:t>6. Case Studies</w:t>
      </w:r>
      <w:r>
        <w:tab/>
      </w:r>
      <w:r>
        <w:fldChar w:fldCharType="begin"/>
      </w:r>
      <w:r>
        <w:instrText xml:space="preserve"> PAGEREF _Toc181593589 \h </w:instrText>
      </w:r>
      <w:r>
        <w:fldChar w:fldCharType="separate"/>
      </w:r>
      <w:r>
        <w:t>45</w:t>
      </w:r>
      <w:r>
        <w:fldChar w:fldCharType="end"/>
      </w:r>
      <w:r>
        <w:fldChar w:fldCharType="end"/>
      </w:r>
    </w:p>
    <w:p>
      <w:pPr>
        <w:pStyle w:val="14"/>
        <w:tabs>
          <w:tab w:val="right" w:leader="dot" w:pos="8306"/>
        </w:tabs>
        <w:ind w:left="480"/>
      </w:pPr>
      <w:r>
        <w:fldChar w:fldCharType="begin"/>
      </w:r>
      <w:r>
        <w:instrText xml:space="preserve"> HYPERLINK \l "_Toc469187936" </w:instrText>
      </w:r>
      <w:r>
        <w:fldChar w:fldCharType="separate"/>
      </w:r>
      <w:r>
        <w:t>6.1 Introduction</w:t>
      </w:r>
      <w:r>
        <w:tab/>
      </w:r>
      <w:r>
        <w:fldChar w:fldCharType="begin"/>
      </w:r>
      <w:r>
        <w:instrText xml:space="preserve"> PAGEREF _Toc469187936 \h </w:instrText>
      </w:r>
      <w:r>
        <w:fldChar w:fldCharType="separate"/>
      </w:r>
      <w:r>
        <w:t>45</w:t>
      </w:r>
      <w:r>
        <w:fldChar w:fldCharType="end"/>
      </w:r>
      <w:r>
        <w:fldChar w:fldCharType="end"/>
      </w:r>
    </w:p>
    <w:p>
      <w:pPr>
        <w:pStyle w:val="14"/>
        <w:tabs>
          <w:tab w:val="right" w:leader="dot" w:pos="8306"/>
        </w:tabs>
        <w:ind w:left="480"/>
      </w:pPr>
      <w:r>
        <w:fldChar w:fldCharType="begin"/>
      </w:r>
      <w:r>
        <w:instrText xml:space="preserve"> HYPERLINK \l "_Toc81688568" </w:instrText>
      </w:r>
      <w:r>
        <w:fldChar w:fldCharType="separate"/>
      </w:r>
      <w:r>
        <w:t>6.2 University of Phoenix: A Pioneer in Online Education</w:t>
      </w:r>
      <w:r>
        <w:tab/>
      </w:r>
      <w:r>
        <w:fldChar w:fldCharType="begin"/>
      </w:r>
      <w:r>
        <w:instrText xml:space="preserve"> PAGEREF _Toc81688568 \h </w:instrText>
      </w:r>
      <w:r>
        <w:fldChar w:fldCharType="separate"/>
      </w:r>
      <w:r>
        <w:t>45</w:t>
      </w:r>
      <w:r>
        <w:fldChar w:fldCharType="end"/>
      </w:r>
      <w:r>
        <w:fldChar w:fldCharType="end"/>
      </w:r>
    </w:p>
    <w:p>
      <w:pPr>
        <w:pStyle w:val="14"/>
        <w:tabs>
          <w:tab w:val="right" w:leader="dot" w:pos="8306"/>
        </w:tabs>
        <w:ind w:left="480"/>
      </w:pPr>
      <w:r>
        <w:fldChar w:fldCharType="begin"/>
      </w:r>
      <w:r>
        <w:instrText xml:space="preserve"> HYPERLINK \l "_Toc697711943" </w:instrText>
      </w:r>
      <w:r>
        <w:fldChar w:fldCharType="separate"/>
      </w:r>
      <w:r>
        <w:t>6.3 MIT OpenCourseWare: Democratizing Knowledge Globally</w:t>
      </w:r>
      <w:r>
        <w:tab/>
      </w:r>
      <w:r>
        <w:fldChar w:fldCharType="begin"/>
      </w:r>
      <w:r>
        <w:instrText xml:space="preserve"> PAGEREF _Toc697711943 \h </w:instrText>
      </w:r>
      <w:r>
        <w:fldChar w:fldCharType="separate"/>
      </w:r>
      <w:r>
        <w:t>47</w:t>
      </w:r>
      <w:r>
        <w:fldChar w:fldCharType="end"/>
      </w:r>
      <w:r>
        <w:fldChar w:fldCharType="end"/>
      </w:r>
    </w:p>
    <w:p>
      <w:pPr>
        <w:pStyle w:val="14"/>
        <w:tabs>
          <w:tab w:val="right" w:leader="dot" w:pos="8306"/>
        </w:tabs>
        <w:ind w:left="480"/>
      </w:pPr>
      <w:r>
        <w:fldChar w:fldCharType="begin"/>
      </w:r>
      <w:r>
        <w:instrText xml:space="preserve"> HYPERLINK \l "_Toc1183913381" </w:instrText>
      </w:r>
      <w:r>
        <w:fldChar w:fldCharType="separate"/>
      </w:r>
      <w:r>
        <w:t>6.4 Rise and Adaptation of Online Learning: The Case of Khan Academy</w:t>
      </w:r>
      <w:r>
        <w:tab/>
      </w:r>
      <w:r>
        <w:fldChar w:fldCharType="begin"/>
      </w:r>
      <w:r>
        <w:instrText xml:space="preserve"> PAGEREF _Toc1183913381 \h </w:instrText>
      </w:r>
      <w:r>
        <w:fldChar w:fldCharType="separate"/>
      </w:r>
      <w:r>
        <w:t>49</w:t>
      </w:r>
      <w:r>
        <w:fldChar w:fldCharType="end"/>
      </w:r>
      <w:r>
        <w:fldChar w:fldCharType="end"/>
      </w:r>
    </w:p>
    <w:p>
      <w:pPr>
        <w:pStyle w:val="14"/>
        <w:tabs>
          <w:tab w:val="right" w:leader="dot" w:pos="8306"/>
        </w:tabs>
        <w:ind w:left="480"/>
      </w:pPr>
      <w:r>
        <w:fldChar w:fldCharType="begin"/>
      </w:r>
      <w:r>
        <w:instrText xml:space="preserve"> HYPERLINK \l "_Toc1596205012" </w:instrText>
      </w:r>
      <w:r>
        <w:fldChar w:fldCharType="separate"/>
      </w:r>
      <w:r>
        <w:t>6.5 Conclusion</w:t>
      </w:r>
      <w:r>
        <w:tab/>
      </w:r>
      <w:r>
        <w:fldChar w:fldCharType="begin"/>
      </w:r>
      <w:r>
        <w:instrText xml:space="preserve"> PAGEREF _Toc1596205012 \h </w:instrText>
      </w:r>
      <w:r>
        <w:fldChar w:fldCharType="separate"/>
      </w:r>
      <w:r>
        <w:t>51</w:t>
      </w:r>
      <w:r>
        <w:fldChar w:fldCharType="end"/>
      </w:r>
      <w:r>
        <w:fldChar w:fldCharType="end"/>
      </w:r>
    </w:p>
    <w:p>
      <w:pPr>
        <w:pStyle w:val="13"/>
        <w:tabs>
          <w:tab w:val="right" w:leader="dot" w:pos="8306"/>
        </w:tabs>
      </w:pPr>
      <w:r>
        <w:fldChar w:fldCharType="begin"/>
      </w:r>
      <w:r>
        <w:instrText xml:space="preserve"> HYPERLINK \l "_Toc1051918360" </w:instrText>
      </w:r>
      <w:r>
        <w:fldChar w:fldCharType="separate"/>
      </w:r>
      <w:r>
        <w:t>7. Potential Solutions and Recommendations</w:t>
      </w:r>
      <w:r>
        <w:tab/>
      </w:r>
      <w:r>
        <w:fldChar w:fldCharType="begin"/>
      </w:r>
      <w:r>
        <w:instrText xml:space="preserve"> PAGEREF _Toc1051918360 \h </w:instrText>
      </w:r>
      <w:r>
        <w:fldChar w:fldCharType="separate"/>
      </w:r>
      <w:r>
        <w:t>52</w:t>
      </w:r>
      <w:r>
        <w:fldChar w:fldCharType="end"/>
      </w:r>
      <w:r>
        <w:fldChar w:fldCharType="end"/>
      </w:r>
    </w:p>
    <w:p>
      <w:pPr>
        <w:pStyle w:val="14"/>
        <w:tabs>
          <w:tab w:val="right" w:leader="dot" w:pos="8306"/>
        </w:tabs>
        <w:ind w:left="480"/>
      </w:pPr>
      <w:r>
        <w:fldChar w:fldCharType="begin"/>
      </w:r>
      <w:r>
        <w:instrText xml:space="preserve"> HYPERLINK \l "_Toc1506494416" </w:instrText>
      </w:r>
      <w:r>
        <w:fldChar w:fldCharType="separate"/>
      </w:r>
      <w:r>
        <w:t>7.1 Introduction</w:t>
      </w:r>
      <w:r>
        <w:tab/>
      </w:r>
      <w:r>
        <w:fldChar w:fldCharType="begin"/>
      </w:r>
      <w:r>
        <w:instrText xml:space="preserve"> PAGEREF _Toc1506494416 \h </w:instrText>
      </w:r>
      <w:r>
        <w:fldChar w:fldCharType="separate"/>
      </w:r>
      <w:r>
        <w:t>52</w:t>
      </w:r>
      <w:r>
        <w:fldChar w:fldCharType="end"/>
      </w:r>
      <w:r>
        <w:fldChar w:fldCharType="end"/>
      </w:r>
    </w:p>
    <w:p>
      <w:pPr>
        <w:pStyle w:val="14"/>
        <w:tabs>
          <w:tab w:val="right" w:leader="dot" w:pos="8306"/>
        </w:tabs>
        <w:ind w:left="480"/>
      </w:pPr>
      <w:r>
        <w:fldChar w:fldCharType="begin"/>
      </w:r>
      <w:r>
        <w:instrText xml:space="preserve"> HYPERLINK \l "_Toc819451582" </w:instrText>
      </w:r>
      <w:r>
        <w:fldChar w:fldCharType="separate"/>
      </w:r>
      <w:r>
        <w:t>7.2 Technological Solutions: Platforms and Tools Enhancing Online Learning Efficacy</w:t>
      </w:r>
      <w:r>
        <w:tab/>
      </w:r>
      <w:r>
        <w:fldChar w:fldCharType="begin"/>
      </w:r>
      <w:r>
        <w:instrText xml:space="preserve"> PAGEREF _Toc819451582 \h </w:instrText>
      </w:r>
      <w:r>
        <w:fldChar w:fldCharType="separate"/>
      </w:r>
      <w:r>
        <w:t>52</w:t>
      </w:r>
      <w:r>
        <w:fldChar w:fldCharType="end"/>
      </w:r>
      <w:r>
        <w:fldChar w:fldCharType="end"/>
      </w:r>
    </w:p>
    <w:p>
      <w:pPr>
        <w:pStyle w:val="14"/>
        <w:tabs>
          <w:tab w:val="right" w:leader="dot" w:pos="8306"/>
        </w:tabs>
        <w:ind w:left="480"/>
      </w:pPr>
      <w:r>
        <w:fldChar w:fldCharType="begin"/>
      </w:r>
      <w:r>
        <w:instrText xml:space="preserve"> HYPERLINK \l "_Toc710110463" </w:instrText>
      </w:r>
      <w:r>
        <w:fldChar w:fldCharType="separate"/>
      </w:r>
      <w:r>
        <w:t>7.3 Pedagogical Interventions: Effective Online Teaching Methodologies and Strategies</w:t>
      </w:r>
      <w:r>
        <w:tab/>
      </w:r>
      <w:r>
        <w:fldChar w:fldCharType="begin"/>
      </w:r>
      <w:r>
        <w:instrText xml:space="preserve"> PAGEREF _Toc710110463 \h </w:instrText>
      </w:r>
      <w:r>
        <w:fldChar w:fldCharType="separate"/>
      </w:r>
      <w:r>
        <w:t>54</w:t>
      </w:r>
      <w:r>
        <w:fldChar w:fldCharType="end"/>
      </w:r>
      <w:r>
        <w:fldChar w:fldCharType="end"/>
      </w:r>
    </w:p>
    <w:p>
      <w:pPr>
        <w:pStyle w:val="14"/>
        <w:tabs>
          <w:tab w:val="right" w:leader="dot" w:pos="8306"/>
        </w:tabs>
        <w:ind w:left="480"/>
      </w:pPr>
      <w:r>
        <w:fldChar w:fldCharType="begin"/>
      </w:r>
      <w:r>
        <w:instrText xml:space="preserve"> HYPERLINK \l "_Toc1259925262" </w:instrText>
      </w:r>
      <w:r>
        <w:fldChar w:fldCharType="separate"/>
      </w:r>
      <w:r>
        <w:t>7.4 Social Interventions: Building Online Communities and Fostering Interaction</w:t>
      </w:r>
      <w:r>
        <w:tab/>
      </w:r>
      <w:r>
        <w:fldChar w:fldCharType="begin"/>
      </w:r>
      <w:r>
        <w:instrText xml:space="preserve"> PAGEREF _Toc1259925262 \h </w:instrText>
      </w:r>
      <w:r>
        <w:fldChar w:fldCharType="separate"/>
      </w:r>
      <w:r>
        <w:t>56</w:t>
      </w:r>
      <w:r>
        <w:fldChar w:fldCharType="end"/>
      </w:r>
      <w:r>
        <w:fldChar w:fldCharType="end"/>
      </w:r>
    </w:p>
    <w:p>
      <w:pPr>
        <w:pStyle w:val="14"/>
        <w:tabs>
          <w:tab w:val="right" w:leader="dot" w:pos="8306"/>
        </w:tabs>
        <w:ind w:left="480"/>
      </w:pPr>
      <w:r>
        <w:fldChar w:fldCharType="begin"/>
      </w:r>
      <w:r>
        <w:instrText xml:space="preserve"> HYPERLINK \l "_Toc1375119014" </w:instrText>
      </w:r>
      <w:r>
        <w:fldChar w:fldCharType="separate"/>
      </w:r>
      <w:r>
        <w:t>7.5 Policy Recommendations: Suggestions for Educational Institutions and Governments</w:t>
      </w:r>
      <w:r>
        <w:tab/>
      </w:r>
      <w:r>
        <w:fldChar w:fldCharType="begin"/>
      </w:r>
      <w:r>
        <w:instrText xml:space="preserve"> PAGEREF _Toc1375119014 \h </w:instrText>
      </w:r>
      <w:r>
        <w:fldChar w:fldCharType="separate"/>
      </w:r>
      <w:r>
        <w:t>58</w:t>
      </w:r>
      <w:r>
        <w:fldChar w:fldCharType="end"/>
      </w:r>
      <w:r>
        <w:fldChar w:fldCharType="end"/>
      </w:r>
    </w:p>
    <w:p>
      <w:pPr>
        <w:pStyle w:val="14"/>
        <w:tabs>
          <w:tab w:val="right" w:leader="dot" w:pos="8306"/>
        </w:tabs>
        <w:ind w:left="480"/>
      </w:pPr>
      <w:r>
        <w:fldChar w:fldCharType="begin"/>
      </w:r>
      <w:r>
        <w:instrText xml:space="preserve"> HYPERLINK \l "_Toc406259284" </w:instrText>
      </w:r>
      <w:r>
        <w:fldChar w:fldCharType="separate"/>
      </w:r>
      <w:r>
        <w:t>7.6 Conclusion</w:t>
      </w:r>
      <w:r>
        <w:tab/>
      </w:r>
      <w:r>
        <w:fldChar w:fldCharType="begin"/>
      </w:r>
      <w:r>
        <w:instrText xml:space="preserve"> PAGEREF _Toc406259284 \h </w:instrText>
      </w:r>
      <w:r>
        <w:fldChar w:fldCharType="separate"/>
      </w:r>
      <w:r>
        <w:t>61</w:t>
      </w:r>
      <w:r>
        <w:fldChar w:fldCharType="end"/>
      </w:r>
      <w:r>
        <w:fldChar w:fldCharType="end"/>
      </w:r>
    </w:p>
    <w:p>
      <w:pPr>
        <w:pStyle w:val="13"/>
        <w:tabs>
          <w:tab w:val="right" w:leader="dot" w:pos="8306"/>
        </w:tabs>
      </w:pPr>
      <w:r>
        <w:fldChar w:fldCharType="begin"/>
      </w:r>
      <w:r>
        <w:instrText xml:space="preserve"> HYPERLINK \l "_Toc1149272375" </w:instrText>
      </w:r>
      <w:r>
        <w:fldChar w:fldCharType="separate"/>
      </w:r>
      <w:r>
        <w:t>8. Conclusion</w:t>
      </w:r>
      <w:r>
        <w:tab/>
      </w:r>
      <w:r>
        <w:fldChar w:fldCharType="begin"/>
      </w:r>
      <w:r>
        <w:instrText xml:space="preserve"> PAGEREF _Toc1149272375 \h </w:instrText>
      </w:r>
      <w:r>
        <w:fldChar w:fldCharType="separate"/>
      </w:r>
      <w:r>
        <w:t>62</w:t>
      </w:r>
      <w:r>
        <w:fldChar w:fldCharType="end"/>
      </w:r>
      <w:r>
        <w:fldChar w:fldCharType="end"/>
      </w:r>
    </w:p>
    <w:p>
      <w:pPr>
        <w:pStyle w:val="14"/>
        <w:tabs>
          <w:tab w:val="right" w:leader="dot" w:pos="8306"/>
        </w:tabs>
        <w:ind w:left="480"/>
      </w:pPr>
      <w:r>
        <w:fldChar w:fldCharType="begin"/>
      </w:r>
      <w:r>
        <w:instrText xml:space="preserve"> HYPERLINK \l "_Toc1352885507" </w:instrText>
      </w:r>
      <w:r>
        <w:fldChar w:fldCharType="separate"/>
      </w:r>
      <w:r>
        <w:t>8.1 Summary of Findings</w:t>
      </w:r>
      <w:r>
        <w:tab/>
      </w:r>
      <w:r>
        <w:fldChar w:fldCharType="begin"/>
      </w:r>
      <w:r>
        <w:instrText xml:space="preserve"> PAGEREF _Toc1352885507 \h </w:instrText>
      </w:r>
      <w:r>
        <w:fldChar w:fldCharType="separate"/>
      </w:r>
      <w:r>
        <w:t>62</w:t>
      </w:r>
      <w:r>
        <w:fldChar w:fldCharType="end"/>
      </w:r>
      <w:r>
        <w:fldChar w:fldCharType="end"/>
      </w:r>
    </w:p>
    <w:p>
      <w:pPr>
        <w:pStyle w:val="14"/>
        <w:tabs>
          <w:tab w:val="right" w:leader="dot" w:pos="8306"/>
        </w:tabs>
        <w:ind w:left="480"/>
      </w:pPr>
      <w:r>
        <w:fldChar w:fldCharType="begin"/>
      </w:r>
      <w:r>
        <w:instrText xml:space="preserve"> HYPERLINK \l "_Toc389861713" </w:instrText>
      </w:r>
      <w:r>
        <w:fldChar w:fldCharType="separate"/>
      </w:r>
      <w:r>
        <w:t>8.2 Implications for Future Research and Practice</w:t>
      </w:r>
      <w:r>
        <w:tab/>
      </w:r>
      <w:r>
        <w:fldChar w:fldCharType="begin"/>
      </w:r>
      <w:r>
        <w:instrText xml:space="preserve"> PAGEREF _Toc389861713 \h </w:instrText>
      </w:r>
      <w:r>
        <w:fldChar w:fldCharType="separate"/>
      </w:r>
      <w:r>
        <w:t>64</w:t>
      </w:r>
      <w:r>
        <w:fldChar w:fldCharType="end"/>
      </w:r>
      <w:r>
        <w:fldChar w:fldCharType="end"/>
      </w:r>
    </w:p>
    <w:p>
      <w:pPr>
        <w:pStyle w:val="14"/>
        <w:tabs>
          <w:tab w:val="right" w:leader="dot" w:pos="8306"/>
        </w:tabs>
        <w:ind w:left="480"/>
      </w:pPr>
      <w:r>
        <w:fldChar w:fldCharType="begin"/>
      </w:r>
      <w:r>
        <w:instrText xml:space="preserve"> HYPERLINK \l "_Toc433203394" </w:instrText>
      </w:r>
      <w:r>
        <w:fldChar w:fldCharType="separate"/>
      </w:r>
      <w:r>
        <w:t>8.3 Limitations of the Study</w:t>
      </w:r>
      <w:r>
        <w:tab/>
      </w:r>
      <w:r>
        <w:fldChar w:fldCharType="begin"/>
      </w:r>
      <w:r>
        <w:instrText xml:space="preserve"> PAGEREF _Toc433203394 \h </w:instrText>
      </w:r>
      <w:r>
        <w:fldChar w:fldCharType="separate"/>
      </w:r>
      <w:r>
        <w:t>66</w:t>
      </w:r>
      <w:r>
        <w:fldChar w:fldCharType="end"/>
      </w:r>
      <w:r>
        <w:fldChar w:fldCharType="end"/>
      </w:r>
    </w:p>
    <w:p>
      <w:pPr>
        <w:pStyle w:val="13"/>
        <w:tabs>
          <w:tab w:val="right" w:leader="dot" w:pos="8306"/>
        </w:tabs>
      </w:pPr>
      <w:r>
        <w:fldChar w:fldCharType="begin"/>
      </w:r>
      <w:r>
        <w:instrText xml:space="preserve"> HYPERLINK \l "_Toc879879628" </w:instrText>
      </w:r>
      <w:r>
        <w:fldChar w:fldCharType="separate"/>
      </w:r>
      <w:r>
        <w:t>9. REFERENCES</w:t>
      </w:r>
      <w:r>
        <w:tab/>
      </w:r>
      <w:r>
        <w:fldChar w:fldCharType="begin"/>
      </w:r>
      <w:r>
        <w:instrText xml:space="preserve"> PAGEREF _Toc879879628 \h </w:instrText>
      </w:r>
      <w:r>
        <w:fldChar w:fldCharType="separate"/>
      </w:r>
      <w:r>
        <w:t>69</w:t>
      </w:r>
      <w:r>
        <w:fldChar w:fldCharType="end"/>
      </w:r>
      <w:r>
        <w:fldChar w:fldCharType="end"/>
      </w:r>
    </w:p>
    <w:p>
      <w:pPr>
        <w:pStyle w:val="13"/>
        <w:tabs>
          <w:tab w:val="right" w:leader="dot" w:pos="8306"/>
        </w:tabs>
        <w:jc w:val="left"/>
      </w:pPr>
      <w:r>
        <w:fldChar w:fldCharType="begin"/>
      </w:r>
      <w:r>
        <w:instrText xml:space="preserve"> HYPERLINK \l "_Toc564514554" </w:instrText>
      </w:r>
      <w:r>
        <w:fldChar w:fldCharType="separate"/>
      </w:r>
      <w:r>
        <w:t>10. APPENDIX: ETHICS FORM</w:t>
      </w:r>
      <w:r>
        <w:tab/>
      </w:r>
      <w:r>
        <w:fldChar w:fldCharType="begin"/>
      </w:r>
      <w:r>
        <w:instrText xml:space="preserve"> PAGEREF _Toc564514554 \h </w:instrText>
      </w:r>
      <w:r>
        <w:fldChar w:fldCharType="separate"/>
      </w:r>
      <w:r>
        <w:t>87</w:t>
      </w:r>
      <w:r>
        <w:fldChar w:fldCharType="end"/>
      </w:r>
      <w:r>
        <w:fldChar w:fldCharType="end"/>
      </w:r>
      <w:bookmarkStart w:id="62" w:name="_GoBack"/>
      <w:bookmarkEnd w:id="62"/>
    </w:p>
    <w:p>
      <w:pPr>
        <w:sectPr>
          <w:pgSz w:w="11906" w:h="16838"/>
          <w:pgMar w:top="1440" w:right="1440" w:bottom="1440" w:left="1440" w:header="851" w:footer="992" w:gutter="0"/>
          <w:cols w:space="425" w:num="1"/>
          <w:docGrid w:type="lines" w:linePitch="312" w:charSpace="0"/>
        </w:sectPr>
      </w:pPr>
      <w:r>
        <w:fldChar w:fldCharType="end"/>
      </w:r>
    </w:p>
    <w:p>
      <w:pPr>
        <w:pStyle w:val="2"/>
      </w:pPr>
      <w:bookmarkStart w:id="2" w:name="_Toc138036302"/>
      <w:r>
        <w:t>ACKNOWLEDGEMENTS</w:t>
      </w:r>
      <w:bookmarkEnd w:id="2"/>
    </w:p>
    <w:p>
      <w:pPr>
        <w:rPr>
          <w:rFonts w:ascii="Times New Roman Bold" w:hAnsi="Times New Roman Bold" w:cs="Times New Roman Bold"/>
          <w:b/>
          <w:bCs/>
        </w:rPr>
      </w:pPr>
      <w:r>
        <w:rPr>
          <w:rFonts w:ascii="Times New Roman Bold" w:hAnsi="Times New Roman Bold" w:cs="Times New Roman Bold"/>
          <w:b/>
          <w:bCs/>
        </w:rPr>
        <w:br w:type="page"/>
      </w:r>
    </w:p>
    <w:p>
      <w:pPr>
        <w:pStyle w:val="2"/>
      </w:pPr>
      <w:bookmarkStart w:id="3" w:name="_Toc693788954"/>
      <w:r>
        <w:t>ABSTRACT</w:t>
      </w:r>
      <w:bookmarkEnd w:id="3"/>
    </w:p>
    <w:p>
      <w:r>
        <w:t xml:space="preserve">In the rapidly evolving landscape of digital education, this </w:t>
      </w:r>
      <w:r>
        <w:rPr>
          <w:rFonts w:hint="default"/>
          <w:lang w:val="en-US"/>
        </w:rPr>
        <w:t xml:space="preserve">dissertation </w:t>
      </w:r>
      <w:r>
        <w:t xml:space="preserve">provides an in-depth exploration of the effectiveness, methodologies, challenges, and psychological implications of online learning. The study commences with a background that highlights the transformative impact of the digital age on education, notably accelerated by </w:t>
      </w:r>
      <w:r>
        <w:rPr>
          <w:rFonts w:hint="default"/>
        </w:rPr>
        <w:t>Covid 19 Pandemic's</w:t>
      </w:r>
      <w:r>
        <w:rPr>
          <w:rFonts w:hint="default"/>
          <w:lang w:val="en-US"/>
        </w:rPr>
        <w:t xml:space="preserve"> </w:t>
      </w:r>
      <w:r>
        <w:t xml:space="preserve">push towards online platforms. It raises pertinent questions about the efficacy of this emergent mode of learning compared to traditional classroom settings. The problem statement acknowledges the urgent need for education to adapt in the digital era, emphasizing debates on online learning's efficacy, pedagogical approaches, challenges faced by educators and learners, and the psychological effects on students. </w:t>
      </w:r>
      <w:r>
        <w:rPr>
          <w:rFonts w:hint="default"/>
        </w:rPr>
        <w:t>The identified research gap highlights the need for an in-depth literature review. This review should focus on comparing online education with traditional methods, examining different teaching techniques, identifying challenges, and investigating the psychological effects on students. This comprehensive analysis is essential due to the lack of thorough studies in this area.</w:t>
      </w:r>
      <w:r>
        <w:t xml:space="preserve"> The objectives are clearly delineated, aiming to critically evaluate online learning, assess pedagogical methods, identify challenges, and investigate psychological implications.</w:t>
      </w:r>
    </w:p>
    <w:p>
      <w:r>
        <w:t xml:space="preserve">Case studies form a crucial part of the article, offering real-world insights into the application of online learning. The University of Phoenix exemplifies early adoption of online education, showcasing the benefits and challenges of asynchronous learning and the need for continual technological adaptation. MIT's OpenCourseWare is presented as a pioneering effort in democratizing education, overcoming skepticism and sustainability challenges. Khan Academy's case study demonstrates the platform's evolution in response to criticisms and challenges, particularly during the COVID-19 pandemic, when it became a critical educational resource. The final chapter proposes solutions and recommendations, drawing on </w:t>
      </w:r>
      <w:r>
        <w:rPr>
          <w:rFonts w:hint="default"/>
        </w:rPr>
        <w:t>the research of</w:t>
      </w:r>
      <w:r>
        <w:t xml:space="preserve"> Hermanto and Srimulyani (2021) and Ulanday et al. (2021), emphasizing the role of technological tools and platforms in enhancing online learning efficacy. The potential of AR/VR technologies and the importance of self-regulated learning strategies are discussed, alongside practical insights into students' preferences for mobile applications and integrated systems like Google Classroom. This comprehensive analysis not only synthesizes existing research but also offers a nuanced view of online education, guiding future strategies and policies in adapting education for the digital age.</w:t>
      </w:r>
    </w:p>
    <w:p>
      <w:r>
        <w:br w:type="page"/>
      </w:r>
    </w:p>
    <w:p>
      <w:pPr>
        <w:pStyle w:val="2"/>
      </w:pPr>
      <w:bookmarkStart w:id="4" w:name="_Toc45110159"/>
      <w:bookmarkStart w:id="5" w:name="_Toc1822230315"/>
      <w:r>
        <w:t>ACRONYM</w:t>
      </w:r>
      <w:bookmarkEnd w:id="4"/>
      <w:bookmarkEnd w:id="5"/>
      <w:r>
        <w:t xml:space="preserve"> </w:t>
      </w:r>
    </w:p>
    <w:tbl>
      <w:tblPr>
        <w:tblStyle w:val="5"/>
        <w:tblW w:w="8159" w:type="dxa"/>
        <w:tblInd w:w="88" w:type="dxa"/>
        <w:tblLayout w:type="autofit"/>
        <w:tblCellMar>
          <w:top w:w="0" w:type="dxa"/>
          <w:left w:w="108" w:type="dxa"/>
          <w:bottom w:w="0" w:type="dxa"/>
          <w:right w:w="108" w:type="dxa"/>
        </w:tblCellMar>
      </w:tblPr>
      <w:tblGrid>
        <w:gridCol w:w="1311"/>
        <w:gridCol w:w="6848"/>
      </w:tblGrid>
      <w:tr>
        <w:trPr>
          <w:trHeight w:val="340" w:hRule="atLeast"/>
        </w:trPr>
        <w:tc>
          <w:tcPr>
            <w:tcW w:w="1311" w:type="dxa"/>
            <w:tcBorders>
              <w:top w:val="nil"/>
              <w:left w:val="nil"/>
              <w:bottom w:val="nil"/>
              <w:right w:val="nil"/>
            </w:tcBorders>
            <w:shd w:val="clear" w:color="auto" w:fill="auto"/>
            <w:vAlign w:val="center"/>
          </w:tcPr>
          <w:p>
            <w:pPr>
              <w:spacing w:line="360" w:lineRule="auto"/>
            </w:pPr>
            <w:r>
              <w:t>A!OLE</w:t>
            </w:r>
          </w:p>
        </w:tc>
        <w:tc>
          <w:tcPr>
            <w:tcW w:w="6848" w:type="dxa"/>
            <w:tcBorders>
              <w:top w:val="nil"/>
              <w:left w:val="nil"/>
              <w:bottom w:val="nil"/>
              <w:right w:val="nil"/>
            </w:tcBorders>
            <w:shd w:val="clear" w:color="auto" w:fill="auto"/>
            <w:vAlign w:val="center"/>
          </w:tcPr>
          <w:p>
            <w:pPr>
              <w:spacing w:line="360" w:lineRule="auto"/>
            </w:pPr>
            <w:r>
              <w:t>Aalto Online Learning</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AR</w:t>
            </w:r>
          </w:p>
        </w:tc>
        <w:tc>
          <w:tcPr>
            <w:tcW w:w="6848" w:type="dxa"/>
            <w:tcBorders>
              <w:top w:val="nil"/>
              <w:left w:val="nil"/>
              <w:bottom w:val="nil"/>
              <w:right w:val="nil"/>
            </w:tcBorders>
            <w:shd w:val="clear" w:color="auto" w:fill="auto"/>
            <w:vAlign w:val="center"/>
          </w:tcPr>
          <w:p>
            <w:pPr>
              <w:spacing w:line="360" w:lineRule="auto"/>
            </w:pPr>
            <w:r>
              <w:t>Augmented Reality</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ASE</w:t>
            </w:r>
          </w:p>
        </w:tc>
        <w:tc>
          <w:tcPr>
            <w:tcW w:w="6848" w:type="dxa"/>
            <w:tcBorders>
              <w:top w:val="nil"/>
              <w:left w:val="nil"/>
              <w:bottom w:val="nil"/>
              <w:right w:val="nil"/>
            </w:tcBorders>
            <w:shd w:val="clear" w:color="auto" w:fill="auto"/>
            <w:vAlign w:val="center"/>
          </w:tcPr>
          <w:p>
            <w:pPr>
              <w:spacing w:line="360" w:lineRule="auto"/>
            </w:pPr>
            <w:r>
              <w:t>Academic Self-efficacy</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CCK</w:t>
            </w:r>
          </w:p>
        </w:tc>
        <w:tc>
          <w:tcPr>
            <w:tcW w:w="6848" w:type="dxa"/>
            <w:tcBorders>
              <w:top w:val="nil"/>
              <w:left w:val="nil"/>
              <w:bottom w:val="nil"/>
              <w:right w:val="nil"/>
            </w:tcBorders>
            <w:shd w:val="clear" w:color="auto" w:fill="auto"/>
            <w:vAlign w:val="center"/>
          </w:tcPr>
          <w:p>
            <w:pPr>
              <w:spacing w:line="360" w:lineRule="auto"/>
            </w:pPr>
            <w:r>
              <w:t>Connectivism and Connective Knowledge</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cMOOC</w:t>
            </w:r>
          </w:p>
        </w:tc>
        <w:tc>
          <w:tcPr>
            <w:tcW w:w="6848" w:type="dxa"/>
            <w:tcBorders>
              <w:top w:val="nil"/>
              <w:left w:val="nil"/>
              <w:bottom w:val="nil"/>
              <w:right w:val="nil"/>
            </w:tcBorders>
            <w:shd w:val="clear" w:color="auto" w:fill="auto"/>
            <w:vAlign w:val="center"/>
          </w:tcPr>
          <w:p>
            <w:pPr>
              <w:spacing w:line="360" w:lineRule="auto"/>
            </w:pPr>
            <w:r>
              <w:t>Connectivist Massive Open Online Course</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CoI</w:t>
            </w:r>
          </w:p>
        </w:tc>
        <w:tc>
          <w:tcPr>
            <w:tcW w:w="6848" w:type="dxa"/>
            <w:tcBorders>
              <w:top w:val="nil"/>
              <w:left w:val="nil"/>
              <w:bottom w:val="nil"/>
              <w:right w:val="nil"/>
            </w:tcBorders>
            <w:shd w:val="clear" w:color="auto" w:fill="auto"/>
            <w:vAlign w:val="center"/>
          </w:tcPr>
          <w:p>
            <w:pPr>
              <w:spacing w:line="360" w:lineRule="auto"/>
            </w:pPr>
            <w:r>
              <w:t>Community of Inquiry</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DABP</w:t>
            </w:r>
          </w:p>
        </w:tc>
        <w:tc>
          <w:tcPr>
            <w:tcW w:w="6848" w:type="dxa"/>
            <w:tcBorders>
              <w:top w:val="nil"/>
              <w:left w:val="nil"/>
              <w:bottom w:val="nil"/>
              <w:right w:val="nil"/>
            </w:tcBorders>
            <w:shd w:val="clear" w:color="auto" w:fill="auto"/>
            <w:vAlign w:val="center"/>
          </w:tcPr>
          <w:p>
            <w:pPr>
              <w:spacing w:line="360" w:lineRule="auto"/>
            </w:pPr>
            <w:r>
              <w:t>Digital Age Best Practices</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EBP</w:t>
            </w:r>
          </w:p>
        </w:tc>
        <w:tc>
          <w:tcPr>
            <w:tcW w:w="6848" w:type="dxa"/>
            <w:tcBorders>
              <w:top w:val="nil"/>
              <w:left w:val="nil"/>
              <w:bottom w:val="nil"/>
              <w:right w:val="nil"/>
            </w:tcBorders>
            <w:shd w:val="clear" w:color="auto" w:fill="auto"/>
            <w:vAlign w:val="center"/>
          </w:tcPr>
          <w:p>
            <w:pPr>
              <w:spacing w:line="360" w:lineRule="auto"/>
            </w:pPr>
            <w:r>
              <w:t>Evidence-based Practice</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ICTs</w:t>
            </w:r>
          </w:p>
        </w:tc>
        <w:tc>
          <w:tcPr>
            <w:tcW w:w="6848" w:type="dxa"/>
            <w:tcBorders>
              <w:top w:val="nil"/>
              <w:left w:val="nil"/>
              <w:bottom w:val="nil"/>
              <w:right w:val="nil"/>
            </w:tcBorders>
            <w:shd w:val="clear" w:color="auto" w:fill="auto"/>
            <w:vAlign w:val="center"/>
          </w:tcPr>
          <w:p>
            <w:pPr>
              <w:spacing w:line="360" w:lineRule="auto"/>
            </w:pPr>
            <w:r>
              <w:t>Information and Communication Technologies</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KA Lite</w:t>
            </w:r>
          </w:p>
        </w:tc>
        <w:tc>
          <w:tcPr>
            <w:tcW w:w="6848" w:type="dxa"/>
            <w:tcBorders>
              <w:top w:val="nil"/>
              <w:left w:val="nil"/>
              <w:bottom w:val="nil"/>
              <w:right w:val="nil"/>
            </w:tcBorders>
            <w:shd w:val="clear" w:color="auto" w:fill="auto"/>
            <w:vAlign w:val="center"/>
          </w:tcPr>
          <w:p>
            <w:pPr>
              <w:spacing w:line="360" w:lineRule="auto"/>
            </w:pPr>
            <w:r>
              <w:t>Khan Academy Lite</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MIT</w:t>
            </w:r>
          </w:p>
        </w:tc>
        <w:tc>
          <w:tcPr>
            <w:tcW w:w="6848" w:type="dxa"/>
            <w:tcBorders>
              <w:top w:val="nil"/>
              <w:left w:val="nil"/>
              <w:bottom w:val="nil"/>
              <w:right w:val="nil"/>
            </w:tcBorders>
            <w:shd w:val="clear" w:color="auto" w:fill="auto"/>
            <w:vAlign w:val="center"/>
          </w:tcPr>
          <w:p>
            <w:pPr>
              <w:spacing w:line="360" w:lineRule="auto"/>
            </w:pPr>
            <w:r>
              <w:t>Massachusetts Institute of Technology</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MOOCs</w:t>
            </w:r>
          </w:p>
        </w:tc>
        <w:tc>
          <w:tcPr>
            <w:tcW w:w="6848" w:type="dxa"/>
            <w:tcBorders>
              <w:top w:val="nil"/>
              <w:left w:val="nil"/>
              <w:bottom w:val="nil"/>
              <w:right w:val="nil"/>
            </w:tcBorders>
            <w:shd w:val="clear" w:color="auto" w:fill="auto"/>
            <w:vAlign w:val="center"/>
          </w:tcPr>
          <w:p>
            <w:pPr>
              <w:spacing w:line="360" w:lineRule="auto"/>
            </w:pPr>
            <w:r>
              <w:t>Massive Open Online Courses</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MR</w:t>
            </w:r>
          </w:p>
        </w:tc>
        <w:tc>
          <w:tcPr>
            <w:tcW w:w="6848" w:type="dxa"/>
            <w:tcBorders>
              <w:top w:val="nil"/>
              <w:left w:val="nil"/>
              <w:bottom w:val="nil"/>
              <w:right w:val="nil"/>
            </w:tcBorders>
            <w:shd w:val="clear" w:color="auto" w:fill="auto"/>
            <w:vAlign w:val="center"/>
          </w:tcPr>
          <w:p>
            <w:pPr>
              <w:spacing w:line="360" w:lineRule="auto"/>
            </w:pPr>
            <w:r>
              <w:t>Mixed Reality</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OCW</w:t>
            </w:r>
          </w:p>
        </w:tc>
        <w:tc>
          <w:tcPr>
            <w:tcW w:w="6848" w:type="dxa"/>
            <w:tcBorders>
              <w:top w:val="nil"/>
              <w:left w:val="nil"/>
              <w:bottom w:val="nil"/>
              <w:right w:val="nil"/>
            </w:tcBorders>
            <w:shd w:val="clear" w:color="auto" w:fill="auto"/>
            <w:vAlign w:val="center"/>
          </w:tcPr>
          <w:p>
            <w:pPr>
              <w:spacing w:line="360" w:lineRule="auto"/>
            </w:pPr>
            <w:r>
              <w:t>OpenCourseWare</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OER</w:t>
            </w:r>
          </w:p>
        </w:tc>
        <w:tc>
          <w:tcPr>
            <w:tcW w:w="6848" w:type="dxa"/>
            <w:tcBorders>
              <w:top w:val="nil"/>
              <w:left w:val="nil"/>
              <w:bottom w:val="nil"/>
              <w:right w:val="nil"/>
            </w:tcBorders>
            <w:shd w:val="clear" w:color="auto" w:fill="auto"/>
            <w:vAlign w:val="center"/>
          </w:tcPr>
          <w:p>
            <w:pPr>
              <w:spacing w:line="360" w:lineRule="auto"/>
            </w:pPr>
            <w:r>
              <w:t>Open Educational Resources</w:t>
            </w:r>
          </w:p>
        </w:tc>
      </w:tr>
      <w:tr>
        <w:trPr>
          <w:trHeight w:val="340" w:hRule="atLeast"/>
        </w:trPr>
        <w:tc>
          <w:tcPr>
            <w:tcW w:w="1311" w:type="dxa"/>
            <w:tcBorders>
              <w:top w:val="nil"/>
              <w:left w:val="nil"/>
              <w:bottom w:val="nil"/>
              <w:right w:val="nil"/>
            </w:tcBorders>
            <w:shd w:val="clear" w:color="auto" w:fill="auto"/>
            <w:vAlign w:val="center"/>
          </w:tcPr>
          <w:p>
            <w:pPr>
              <w:spacing w:line="360" w:lineRule="auto"/>
              <w:rPr>
                <w:rFonts w:hint="eastAsia" w:eastAsiaTheme="minorEastAsia"/>
                <w:lang w:val="en-US" w:eastAsia="zh-CN"/>
              </w:rPr>
            </w:pPr>
            <w:r>
              <w:rPr>
                <w:rFonts w:hint="eastAsia"/>
                <w:lang w:val="en-US" w:eastAsia="zh-CN"/>
              </w:rPr>
              <w:t>SAT</w:t>
            </w:r>
          </w:p>
        </w:tc>
        <w:tc>
          <w:tcPr>
            <w:tcW w:w="6848" w:type="dxa"/>
            <w:tcBorders>
              <w:top w:val="nil"/>
              <w:left w:val="nil"/>
              <w:bottom w:val="nil"/>
              <w:right w:val="nil"/>
            </w:tcBorders>
            <w:shd w:val="clear" w:color="auto" w:fill="auto"/>
            <w:vAlign w:val="center"/>
          </w:tcPr>
          <w:p>
            <w:pPr>
              <w:keepNext w:val="0"/>
              <w:keepLines w:val="0"/>
              <w:widowControl/>
              <w:suppressLineNumbers w:val="0"/>
              <w:jc w:val="left"/>
            </w:pPr>
            <w:r>
              <w:rPr>
                <w:rFonts w:ascii="Times New Roman" w:hAnsi="Times New Roman" w:eastAsiaTheme="minorEastAsia" w:cstheme="minorBidi"/>
                <w:kern w:val="2"/>
                <w:sz w:val="24"/>
                <w:szCs w:val="24"/>
                <w:lang w:val="en-US" w:eastAsia="zh-CN" w:bidi="ar-SA"/>
              </w:rPr>
              <w:t>Scholastic Assessment Test</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SEL</w:t>
            </w:r>
          </w:p>
        </w:tc>
        <w:tc>
          <w:tcPr>
            <w:tcW w:w="6848" w:type="dxa"/>
            <w:tcBorders>
              <w:top w:val="nil"/>
              <w:left w:val="nil"/>
              <w:bottom w:val="nil"/>
              <w:right w:val="nil"/>
            </w:tcBorders>
            <w:shd w:val="clear" w:color="auto" w:fill="auto"/>
            <w:vAlign w:val="center"/>
          </w:tcPr>
          <w:p>
            <w:pPr>
              <w:spacing w:line="360" w:lineRule="auto"/>
            </w:pPr>
            <w:r>
              <w:t>Social and Emotional Learning</w:t>
            </w:r>
          </w:p>
        </w:tc>
      </w:tr>
      <w:tr>
        <w:trPr>
          <w:trHeight w:val="680" w:hRule="atLeast"/>
        </w:trPr>
        <w:tc>
          <w:tcPr>
            <w:tcW w:w="1311" w:type="dxa"/>
            <w:tcBorders>
              <w:top w:val="nil"/>
              <w:left w:val="nil"/>
              <w:bottom w:val="nil"/>
              <w:right w:val="nil"/>
            </w:tcBorders>
            <w:shd w:val="clear" w:color="auto" w:fill="auto"/>
            <w:vAlign w:val="center"/>
          </w:tcPr>
          <w:p>
            <w:pPr>
              <w:spacing w:line="360" w:lineRule="auto"/>
            </w:pPr>
            <w:r>
              <w:t>SELFIE</w:t>
            </w:r>
          </w:p>
        </w:tc>
        <w:tc>
          <w:tcPr>
            <w:tcW w:w="6848" w:type="dxa"/>
            <w:tcBorders>
              <w:top w:val="nil"/>
              <w:left w:val="nil"/>
              <w:bottom w:val="nil"/>
              <w:right w:val="nil"/>
            </w:tcBorders>
            <w:shd w:val="clear" w:color="auto" w:fill="auto"/>
            <w:vAlign w:val="center"/>
          </w:tcPr>
          <w:p>
            <w:pPr>
              <w:spacing w:line="360" w:lineRule="auto"/>
            </w:pPr>
            <w:r>
              <w:t>Self-reflection on Effective Learning by Fostering the use of Innovative Educational Technologies</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SLR</w:t>
            </w:r>
          </w:p>
        </w:tc>
        <w:tc>
          <w:tcPr>
            <w:tcW w:w="6848" w:type="dxa"/>
            <w:tcBorders>
              <w:top w:val="nil"/>
              <w:left w:val="nil"/>
              <w:bottom w:val="nil"/>
              <w:right w:val="nil"/>
            </w:tcBorders>
            <w:shd w:val="clear" w:color="auto" w:fill="auto"/>
            <w:vAlign w:val="center"/>
          </w:tcPr>
          <w:p>
            <w:pPr>
              <w:spacing w:line="360" w:lineRule="auto"/>
            </w:pPr>
            <w:r>
              <w:t>Systematic Literature Review</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TPACK</w:t>
            </w:r>
          </w:p>
        </w:tc>
        <w:tc>
          <w:tcPr>
            <w:tcW w:w="6848" w:type="dxa"/>
            <w:tcBorders>
              <w:top w:val="nil"/>
              <w:left w:val="nil"/>
              <w:bottom w:val="nil"/>
              <w:right w:val="nil"/>
            </w:tcBorders>
            <w:shd w:val="clear" w:color="auto" w:fill="auto"/>
            <w:vAlign w:val="center"/>
          </w:tcPr>
          <w:p>
            <w:pPr>
              <w:spacing w:line="360" w:lineRule="auto"/>
            </w:pPr>
            <w:r>
              <w:t>Technological Pedagogical Content Knowledge</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VHE</w:t>
            </w:r>
          </w:p>
        </w:tc>
        <w:tc>
          <w:tcPr>
            <w:tcW w:w="6848" w:type="dxa"/>
            <w:tcBorders>
              <w:top w:val="nil"/>
              <w:left w:val="nil"/>
              <w:bottom w:val="nil"/>
              <w:right w:val="nil"/>
            </w:tcBorders>
            <w:shd w:val="clear" w:color="auto" w:fill="auto"/>
            <w:vAlign w:val="center"/>
          </w:tcPr>
          <w:p>
            <w:pPr>
              <w:spacing w:line="360" w:lineRule="auto"/>
            </w:pPr>
            <w:r>
              <w:t>Vocational Higher Education</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VR</w:t>
            </w:r>
          </w:p>
        </w:tc>
        <w:tc>
          <w:tcPr>
            <w:tcW w:w="6848" w:type="dxa"/>
            <w:tcBorders>
              <w:top w:val="nil"/>
              <w:left w:val="nil"/>
              <w:bottom w:val="nil"/>
              <w:right w:val="nil"/>
            </w:tcBorders>
            <w:shd w:val="clear" w:color="auto" w:fill="auto"/>
            <w:vAlign w:val="center"/>
          </w:tcPr>
          <w:p>
            <w:pPr>
              <w:spacing w:line="360" w:lineRule="auto"/>
            </w:pPr>
            <w:r>
              <w:t>Virtual Reality</w:t>
            </w:r>
          </w:p>
        </w:tc>
      </w:tr>
      <w:tr>
        <w:trPr>
          <w:trHeight w:val="340" w:hRule="atLeast"/>
        </w:trPr>
        <w:tc>
          <w:tcPr>
            <w:tcW w:w="1311" w:type="dxa"/>
            <w:tcBorders>
              <w:top w:val="nil"/>
              <w:left w:val="nil"/>
              <w:bottom w:val="nil"/>
              <w:right w:val="nil"/>
            </w:tcBorders>
            <w:shd w:val="clear" w:color="auto" w:fill="auto"/>
            <w:vAlign w:val="center"/>
          </w:tcPr>
          <w:p>
            <w:pPr>
              <w:spacing w:line="360" w:lineRule="auto"/>
            </w:pPr>
            <w:r>
              <w:t>XE-SL</w:t>
            </w:r>
          </w:p>
        </w:tc>
        <w:tc>
          <w:tcPr>
            <w:tcW w:w="6848" w:type="dxa"/>
            <w:tcBorders>
              <w:top w:val="nil"/>
              <w:left w:val="nil"/>
              <w:bottom w:val="nil"/>
              <w:right w:val="nil"/>
            </w:tcBorders>
            <w:shd w:val="clear" w:color="auto" w:fill="auto"/>
            <w:vAlign w:val="center"/>
          </w:tcPr>
          <w:p>
            <w:pPr>
              <w:spacing w:line="360" w:lineRule="auto"/>
            </w:pPr>
            <w:r>
              <w:t>Extreme E-service Learning</w:t>
            </w:r>
          </w:p>
        </w:tc>
      </w:tr>
      <w:tr>
        <w:trPr>
          <w:trHeight w:val="336" w:hRule="atLeast"/>
        </w:trPr>
        <w:tc>
          <w:tcPr>
            <w:tcW w:w="0" w:type="auto"/>
            <w:tcBorders>
              <w:top w:val="nil"/>
              <w:left w:val="nil"/>
              <w:bottom w:val="nil"/>
              <w:right w:val="nil"/>
            </w:tcBorders>
            <w:shd w:val="clear" w:color="auto" w:fill="auto"/>
            <w:noWrap/>
            <w:vAlign w:val="center"/>
          </w:tcPr>
          <w:p>
            <w:pPr>
              <w:spacing w:line="360" w:lineRule="auto"/>
            </w:pPr>
            <w:r>
              <w:t>xMOOC</w:t>
            </w:r>
          </w:p>
        </w:tc>
        <w:tc>
          <w:tcPr>
            <w:tcW w:w="0" w:type="auto"/>
            <w:tcBorders>
              <w:top w:val="nil"/>
              <w:left w:val="nil"/>
              <w:bottom w:val="nil"/>
              <w:right w:val="nil"/>
            </w:tcBorders>
            <w:shd w:val="clear" w:color="auto" w:fill="auto"/>
            <w:noWrap/>
            <w:vAlign w:val="center"/>
          </w:tcPr>
          <w:p>
            <w:pPr>
              <w:spacing w:line="360" w:lineRule="auto"/>
            </w:pPr>
            <w:r>
              <w:t>Extended Massive Open Online Course</w:t>
            </w:r>
          </w:p>
        </w:tc>
      </w:tr>
    </w:tbl>
    <w:p>
      <w:r>
        <w:br w:type="page"/>
      </w:r>
    </w:p>
    <w:p>
      <w:pPr>
        <w:pStyle w:val="2"/>
        <w:numPr>
          <w:ilvl w:val="0"/>
          <w:numId w:val="1"/>
        </w:numPr>
      </w:pPr>
      <w:bookmarkStart w:id="6" w:name="_Toc960614338"/>
      <w:r>
        <w:t>Introduction</w:t>
      </w:r>
      <w:bookmarkEnd w:id="6"/>
      <w:r>
        <w:t xml:space="preserve"> </w:t>
      </w:r>
    </w:p>
    <w:p>
      <w:pPr>
        <w:pStyle w:val="3"/>
        <w:ind w:left="240"/>
      </w:pPr>
      <w:bookmarkStart w:id="7" w:name="_Toc263120620"/>
      <w:r>
        <w:t>1.1 Background</w:t>
      </w:r>
      <w:bookmarkEnd w:id="7"/>
      <w:r>
        <w:t xml:space="preserve"> </w:t>
      </w:r>
    </w:p>
    <w:p>
      <w:r>
        <w:t xml:space="preserve">The digital age has ushered in numerous innovations and transformations in various sectors of </w:t>
      </w:r>
      <w:r>
        <w:rPr>
          <w:strike/>
        </w:rPr>
        <w:t>the</w:t>
      </w:r>
      <w:r>
        <w:t xml:space="preserve"> society, and education has not been an exception. The pandemic instigated a sudden shift from traditional classrooms to online platforms, showcasing the significant role of online learning in today's educational sphere. However, with this sudden shift comes the necessity to scrutinize the effectiveness, methodologies, challenges, and psychological implications of online learning as compared to the conventional classroom environment. As education evolves in response to the changing dynamics of the world, a comprehensive investigation into the nuances of online education has become paramount.</w:t>
      </w:r>
    </w:p>
    <w:p>
      <w:pPr>
        <w:pStyle w:val="3"/>
        <w:ind w:left="240"/>
      </w:pPr>
      <w:bookmarkStart w:id="8" w:name="_Toc599431167"/>
      <w:r>
        <w:t>1.2 Problem Statement</w:t>
      </w:r>
      <w:bookmarkEnd w:id="8"/>
      <w:r>
        <w:t xml:space="preserve"> </w:t>
      </w:r>
    </w:p>
    <w:p>
      <w:r>
        <w:t>Education, as a cornerstone of personal and societal development, has been faced with the urgent need to adapt and innovate amidst the digital age transformations. Online learning has come to the forefront as a prominent alternative or complement to traditional classroom instruction. However, the rapid adoption of this mode of learning has spurred a range of debates concerning its efficacy, the pedagogical methods employed, the challenges faced by both educators and learners, and the psychological ramifications on students. The existing literature provides a fragmented view of these aspects, necessitating a systematic review to integrate the findings and present a coherent understanding of online learning in the current digital context.</w:t>
      </w:r>
    </w:p>
    <w:p/>
    <w:p>
      <w:pPr>
        <w:pStyle w:val="3"/>
        <w:ind w:left="240"/>
      </w:pPr>
      <w:bookmarkStart w:id="9" w:name="_Toc793835692"/>
      <w:r>
        <w:t>1.3 Research Gap</w:t>
      </w:r>
      <w:bookmarkEnd w:id="9"/>
      <w:r>
        <w:t xml:space="preserve"> </w:t>
      </w:r>
    </w:p>
    <w:p>
      <w:r>
        <w:t>Although numerous studies have shed light on various facets of online learning, a consolidated examination of the existing research is notably lacking. The present study intends to fill this gap by conducting a comprehensive review of the literature to assess the effectiveness of online learning vis-à-vis traditional classroom instruction, understand the different pedagogical approaches utilized, identify the prevailing challenges, and delve into the psychological impacts on students. Furthermore, the study aims to collate and analyze these findings under a unified framework, providing a nuanced and comprehensive view that could guide future educational strategies and policies.</w:t>
      </w:r>
    </w:p>
    <w:p>
      <w:pPr>
        <w:pStyle w:val="3"/>
        <w:ind w:left="240"/>
      </w:pPr>
      <w:bookmarkStart w:id="10" w:name="_Toc1828060280"/>
      <w:r>
        <w:t>1.4 Research Objectives</w:t>
      </w:r>
      <w:bookmarkEnd w:id="10"/>
      <w:r>
        <w:t xml:space="preserve"> </w:t>
      </w:r>
    </w:p>
    <w:p>
      <w:r>
        <w:t>To deepen the understanding of online learning in the digital age, the research aims to fulfill the following objectives:</w:t>
      </w:r>
    </w:p>
    <w:p>
      <w:r>
        <w:t>1. To critically evaluate the effectiveness of online learning in comparison to traditional classroom learning.</w:t>
      </w:r>
    </w:p>
    <w:p>
      <w:r>
        <w:t>2. To dissect and assess the various pedagogical methods applied in the realm of online education.</w:t>
      </w:r>
    </w:p>
    <w:p>
      <w:r>
        <w:t xml:space="preserve">3. </w:t>
      </w:r>
      <w:r>
        <w:rPr>
          <w:rFonts w:hint="default"/>
        </w:rPr>
        <w:t>To explore whether or not there are significant challenges</w:t>
      </w:r>
      <w:r>
        <w:rPr>
          <w:rFonts w:hint="default"/>
          <w:lang w:val="en-US"/>
        </w:rPr>
        <w:t xml:space="preserve"> </w:t>
      </w:r>
      <w:r>
        <w:t>that students and educators face in the online learning environment and propose potential mitigative strategies.</w:t>
      </w:r>
    </w:p>
    <w:p>
      <w:r>
        <w:t>4. To investigate the psychological implications of online learning on students, emphasizing the diverse impacts it may have on different individuals.</w:t>
      </w:r>
    </w:p>
    <w:p/>
    <w:p>
      <w:pPr>
        <w:pStyle w:val="3"/>
        <w:ind w:left="240"/>
      </w:pPr>
      <w:bookmarkStart w:id="11" w:name="_Toc160588331"/>
      <w:r>
        <w:t>1.5 Justification of the Study</w:t>
      </w:r>
      <w:bookmarkEnd w:id="11"/>
      <w:r>
        <w:t xml:space="preserve"> </w:t>
      </w:r>
    </w:p>
    <w:p>
      <w:r>
        <w:t>The study finds its significance in the context of the burgeoning role of online learning in the educational sector, exacerbated by the recent pandemic. By synthesizing existing research through a systematic literature review, this investigation aspires to offer a holistic view of online learning, considering its potential benefits and pitfalls. The outcomes of this study are anticipated to be beneficial for educators, policymakers, and learners, offering a roadmap for adapting education to the demands and opportunities of the digital age, without compromising the quality and holistic development of students.</w:t>
      </w:r>
    </w:p>
    <w:p>
      <w:pPr>
        <w:pStyle w:val="3"/>
        <w:ind w:left="240"/>
      </w:pPr>
      <w:bookmarkStart w:id="12" w:name="_Toc1768618485"/>
      <w:r>
        <w:t>1.6 Ethical Considerations</w:t>
      </w:r>
      <w:bookmarkEnd w:id="12"/>
      <w:r>
        <w:t xml:space="preserve"> </w:t>
      </w:r>
    </w:p>
    <w:p>
      <w:r>
        <w:t xml:space="preserve">As the study relies on the analysis of existing literature, the primary ethical consideration will be to ensure the appropriate citation and acknowledgment of the original works. Moreover, the research will maintain a neutral stance, aiming to present a balanced view of the topic without any biases, thus contributing to the reliability and validity of the study. </w:t>
      </w:r>
    </w:p>
    <w:p>
      <w:pPr>
        <w:pStyle w:val="3"/>
        <w:ind w:left="240"/>
      </w:pPr>
      <w:bookmarkStart w:id="13" w:name="_Toc1849719268"/>
      <w:r>
        <w:t>1.7 Structure of the Study</w:t>
      </w:r>
      <w:bookmarkEnd w:id="13"/>
      <w:r>
        <w:t xml:space="preserve"> </w:t>
      </w:r>
    </w:p>
    <w:p>
      <w:r>
        <w:t>The subsequent sections of this research will encompass a detailed literature review where theories and principles such as Bloom's Taxonomy, the Community of Inquiry (CoI) framework, and the Technological Pedagogical Content Knowledge (TPACK) framework will be explored in depth. Following this, the methodology section will outline the systematic approach adopted for the literature review, highlighting the criteria for the selection and analysis of the literature. The subsequent sections will discuss the findings and propose conclusions based on the analysis, offering a synthesized view of online learning in the digital age. Finally, recommendations for future research and practical implementations will be provided, seeking to foster the evolution of education in line with the dynamics of the digital era.</w:t>
      </w:r>
    </w:p>
    <w:p/>
    <w:p>
      <w:r>
        <w:br w:type="page"/>
      </w:r>
    </w:p>
    <w:p>
      <w:pPr>
        <w:pStyle w:val="2"/>
        <w:numPr>
          <w:ilvl w:val="0"/>
          <w:numId w:val="1"/>
        </w:numPr>
      </w:pPr>
      <w:bookmarkStart w:id="14" w:name="_Toc1258463304"/>
      <w:r>
        <w:t>Methodology</w:t>
      </w:r>
      <w:bookmarkEnd w:id="14"/>
    </w:p>
    <w:p>
      <w:pPr>
        <w:pStyle w:val="3"/>
        <w:ind w:left="240"/>
      </w:pPr>
      <w:bookmarkStart w:id="15" w:name="_Toc426311025"/>
      <w:r>
        <w:t>2.1 Introduction</w:t>
      </w:r>
      <w:bookmarkEnd w:id="15"/>
    </w:p>
    <w:p>
      <w:r>
        <w:t>This chapter delineates the structured methodology applied in conducting a Systematic Literature Review (SLR) to scrutinize the effectiveness and challenges of online learning in the digital age. It offers a comprehensive explanation of the SLR process, beginning with a definition and its underlying rationale, followed by a detailed description of the search procedure adopted, along with the inclusion and exclusion criteria. The process of quality appraisal of the included studies is also elucidated.</w:t>
      </w:r>
    </w:p>
    <w:p>
      <w:pPr>
        <w:pStyle w:val="3"/>
        <w:ind w:left="240"/>
      </w:pPr>
      <w:bookmarkStart w:id="16" w:name="_Toc1003950783"/>
      <w:r>
        <w:t>2.2 Systematic Literature Review</w:t>
      </w:r>
      <w:bookmarkEnd w:id="16"/>
    </w:p>
    <w:p>
      <w:r>
        <w:t>Systematic Literature Reviews, as described by Kitchenham et al., (2009), serve as rigorous methodologies to analyze research outcomes. Initially adopted in the medical science field, the approach extended its reach, finding utilization across various disciplines including education and technology (Tranfield et al., 2003). Noted for its replicable, scientific, and transparent process, SLRs aim to minimize biases by clearly portraying the decisions, procedures, and conclusions of the reviewer (Lam and Kennedy, 2005). Positioned at the apex of the evidence-based research hierarchy, SLRs can potentially offer theoretical and practical implications derived from analyzed research (Denyer and Tranfield, 2009).</w:t>
      </w:r>
    </w:p>
    <w:p>
      <w:r>
        <w:t>SLR methodology, while innovative, encounters challenges, due to its recent development and the absence of a universally accepted conceptual framework and standardized terminology. This lack of clarity in its application is evident across different research fields (Grant and Booth, 2009). To address this issue and enhance the effectiveness of SLRs, it is suggested to extend the scope of research beyond major databases to include "grey literature." Grey literature refers to materials and research outputs that are not formally published or distributed through traditional academic channel</w:t>
      </w:r>
      <w:r>
        <w:rPr>
          <w:rFonts w:hint="default"/>
          <w:lang w:val="en-US"/>
        </w:rPr>
        <w:t xml:space="preserve">s. </w:t>
      </w:r>
      <w:r>
        <w:rPr>
          <w:lang w:val="en-GB"/>
        </w:rPr>
        <w:t>This dissertation has also considered 'Grey Literature'</w:t>
      </w:r>
      <w:r>
        <w:rPr>
          <w:rFonts w:hint="default"/>
          <w:lang w:val="en-US"/>
        </w:rPr>
        <w:t>,</w:t>
      </w:r>
      <w:r>
        <w:t xml:space="preserve"> such as theses, dissertations, government reports, and conference papers. This inclusion can provide a more comprehensive and diverse range of information, offering a broader perspective and potentially uncovering findings that are not available in standard academic publications (Savoie et al., 2003).</w:t>
      </w:r>
    </w:p>
    <w:p>
      <w:pPr>
        <w:pStyle w:val="3"/>
        <w:ind w:left="240"/>
      </w:pPr>
      <w:bookmarkStart w:id="17" w:name="_Toc621795402"/>
      <w:r>
        <w:t>2.3 Defining Search Terms</w:t>
      </w:r>
      <w:bookmarkEnd w:id="17"/>
    </w:p>
    <w:p>
      <w:r>
        <w:t>Derived from the project title, the central terms were defined to map the scope of this study effectively. Table illustrates these terms and their definitions:</w:t>
      </w:r>
    </w:p>
    <w:tbl>
      <w:tblPr>
        <w:tblStyle w:val="5"/>
        <w:tblpPr w:leftFromText="180" w:rightFromText="180" w:vertAnchor="text" w:horzAnchor="page" w:tblpX="1962" w:tblpY="171"/>
        <w:tblOverlap w:val="never"/>
        <w:tblW w:w="8199" w:type="dxa"/>
        <w:tblInd w:w="0" w:type="dxa"/>
        <w:tblLayout w:type="fixed"/>
        <w:tblCellMar>
          <w:top w:w="0" w:type="dxa"/>
          <w:left w:w="108" w:type="dxa"/>
          <w:bottom w:w="0" w:type="dxa"/>
          <w:right w:w="108" w:type="dxa"/>
        </w:tblCellMar>
      </w:tblPr>
      <w:tblGrid>
        <w:gridCol w:w="1878"/>
        <w:gridCol w:w="6321"/>
      </w:tblGrid>
      <w:tr>
        <w:trPr>
          <w:trHeight w:val="336" w:hRule="atLeast"/>
        </w:trPr>
        <w:tc>
          <w:tcPr>
            <w:tcW w:w="187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r>
              <w:t>Key Term</w:t>
            </w:r>
          </w:p>
        </w:tc>
        <w:tc>
          <w:tcPr>
            <w:tcW w:w="632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r>
              <w:t>Definition</w:t>
            </w:r>
          </w:p>
        </w:tc>
      </w:tr>
      <w:tr>
        <w:trPr>
          <w:trHeight w:val="336" w:hRule="atLeast"/>
        </w:trPr>
        <w:tc>
          <w:tcPr>
            <w:tcW w:w="187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r>
              <w:t>Online Learning</w:t>
            </w:r>
          </w:p>
        </w:tc>
        <w:tc>
          <w:tcPr>
            <w:tcW w:w="632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r>
              <w:t>Education delivered primarily via the internet, encompassing various digital resources and methods, both real-time and self-paced (Singh and Thurman, 2019).</w:t>
            </w:r>
          </w:p>
        </w:tc>
      </w:tr>
      <w:tr>
        <w:trPr>
          <w:trHeight w:val="336" w:hRule="atLeast"/>
        </w:trPr>
        <w:tc>
          <w:tcPr>
            <w:tcW w:w="187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r>
              <w:t>Digital Age</w:t>
            </w:r>
          </w:p>
        </w:tc>
        <w:tc>
          <w:tcPr>
            <w:tcW w:w="632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r>
              <w:t>A contemporary era marked by the prevalent use of digital technology, computers, and the internet to store, process, and communicate information (Kiwitt, 2012).</w:t>
            </w:r>
          </w:p>
        </w:tc>
      </w:tr>
      <w:tr>
        <w:trPr>
          <w:trHeight w:val="336" w:hRule="atLeast"/>
        </w:trPr>
        <w:tc>
          <w:tcPr>
            <w:tcW w:w="187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r>
              <w:t>Efficacy</w:t>
            </w:r>
          </w:p>
        </w:tc>
        <w:tc>
          <w:tcPr>
            <w:tcW w:w="632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r>
              <w:t>The capability of an online learning system or method to achieve intended educational outcomes or objectives (Alqurashi, 201</w:t>
            </w:r>
            <w:r>
              <w:rPr>
                <w:rFonts w:hint="eastAsia"/>
              </w:rPr>
              <w:t>6</w:t>
            </w:r>
            <w:r>
              <w:t>).</w:t>
            </w:r>
          </w:p>
        </w:tc>
      </w:tr>
      <w:tr>
        <w:trPr>
          <w:trHeight w:val="336" w:hRule="atLeast"/>
        </w:trPr>
        <w:tc>
          <w:tcPr>
            <w:tcW w:w="187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r>
              <w:t>Challenges</w:t>
            </w:r>
          </w:p>
        </w:tc>
        <w:tc>
          <w:tcPr>
            <w:tcW w:w="632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r>
              <w:t>Issues, obstacles, or complexities encountered in online learning environments that may hinder students, instructors, or institutions from achieving optimal educational results (Anderson, 2009).</w:t>
            </w:r>
          </w:p>
        </w:tc>
      </w:tr>
    </w:tbl>
    <w:p>
      <w:pPr>
        <w:pStyle w:val="3"/>
        <w:ind w:left="240"/>
      </w:pPr>
      <w:bookmarkStart w:id="18" w:name="_Toc859895112"/>
      <w:r>
        <w:t>2.4 Search Strings</w:t>
      </w:r>
      <w:bookmarkEnd w:id="18"/>
    </w:p>
    <w:p>
      <w:r>
        <w:t>To maintain relevance and specificity, the search strings were structured to encompass three core components: the context (online learning), the time frame (digital age), and the thematic focus (efficacy and challenges). Boolean operators (AND, OR) were used to craft comprehensive search strings, thus facilitating the identification of literature across a variety of databases.</w:t>
      </w:r>
    </w:p>
    <w:p>
      <w:r>
        <w:t>(“Online Learning” OR “Digital Education” OR “E-learning”) AND (“Digital Age” OR “Modern Era” OR “Information Age”) AND (“Efficacy” OR “Effectiveness” OR “Success”) AND (“Challenges” OR “Barriers” OR “Hurdles”)</w:t>
      </w:r>
    </w:p>
    <w:p>
      <w:pPr>
        <w:pStyle w:val="3"/>
        <w:ind w:left="240"/>
      </w:pPr>
      <w:bookmarkStart w:id="19" w:name="_Toc1839686721"/>
      <w:r>
        <w:t>2.5 Academic Databases and Journals</w:t>
      </w:r>
      <w:bookmarkEnd w:id="19"/>
    </w:p>
    <w:p>
      <w:r>
        <w:t>The databases listed below were identified as pertinent resources for the research:</w:t>
      </w:r>
    </w:p>
    <w:p>
      <w:r>
        <w:t>EBSCOhost: Offering access to numerous peer-reviewed journals and magazines focused on business disciplines, including aspects of online learning.</w:t>
      </w:r>
    </w:p>
    <w:p>
      <w:r>
        <w:t>ABI/Inform Collection: A comprehensive database with international business sources providing access to journals, dissertations, and reports, including those pertaining to digital education.</w:t>
      </w:r>
    </w:p>
    <w:p>
      <w:r>
        <w:t>Scopus: As the largest peer-reviewed abstract and citation database, it encompasses an extensive range of fields, including education. The search was refined to focus on 'business, management and accounting' to eschew unrelated information.</w:t>
      </w:r>
    </w:p>
    <w:p>
      <w:pPr>
        <w:pStyle w:val="3"/>
        <w:ind w:left="240"/>
      </w:pPr>
      <w:bookmarkStart w:id="20" w:name="_Toc145170341"/>
      <w:r>
        <w:t>2.6 Screening Process</w:t>
      </w:r>
      <w:bookmarkEnd w:id="20"/>
    </w:p>
    <w:p>
      <w:r>
        <w:t>The initial screening process incorporated journal articles and industrial literature, encompassing reports and government documents. Following the search string format detailed in Section 2.5, the articles were sourced from academic databases, later integrating industrial literature to ensure a thorough review.</w:t>
      </w:r>
    </w:p>
    <w:p>
      <w:pPr>
        <w:pStyle w:val="3"/>
        <w:ind w:left="240"/>
      </w:pPr>
      <w:bookmarkStart w:id="21" w:name="_Toc336498195"/>
      <w:r>
        <w:t>2.7 Conclusion</w:t>
      </w:r>
      <w:bookmarkEnd w:id="21"/>
    </w:p>
    <w:p>
      <w:r>
        <w:t>In conclusion, the methodology chapter outlines a comprehensive and systematic approach to conducting a literature review on the effectiveness and challenges of online learning in the digital age. The chapter meticulously details each step of the SLR process, from defining key terms to crafting precise search strings and selecting relevant academic databases. By integrating both academic and industrial literature, including grey literature, this methodology ensures a thorough and unbiased exploration of the topic, aimed at yielding a holistic understanding of online learning’s efficacy and its associated challenges in the context of the digital era.</w:t>
      </w:r>
    </w:p>
    <w:p>
      <w:r>
        <w:br w:type="page"/>
      </w:r>
    </w:p>
    <w:p>
      <w:pPr>
        <w:pStyle w:val="2"/>
        <w:numPr>
          <w:ilvl w:val="0"/>
          <w:numId w:val="1"/>
        </w:numPr>
      </w:pPr>
      <w:bookmarkStart w:id="22" w:name="_Toc1200720814"/>
      <w:r>
        <w:rPr>
          <w:rFonts w:hint="eastAsia"/>
        </w:rPr>
        <w:t>The Role of Online Learning</w:t>
      </w:r>
      <w:bookmarkEnd w:id="22"/>
    </w:p>
    <w:p>
      <w:pPr>
        <w:pStyle w:val="3"/>
        <w:ind w:left="240"/>
      </w:pPr>
      <w:bookmarkStart w:id="23" w:name="_Toc610890039"/>
      <w:r>
        <w:t>3.1 Introduction</w:t>
      </w:r>
      <w:bookmarkEnd w:id="23"/>
    </w:p>
    <w:p>
      <w:r>
        <w:t>This chapter delves into the multifaceted aspects of online education, exploring how conceptual thinking, peer cooperation, connectivism, network learning theories, and technological advancements shape modern e-learning environments. It examines the transition from traditional teaching methods to digital platforms, highlighting the importance of context and the integration of various pedagogical approaches, and discusses the challenges and future perspectives of online learning</w:t>
      </w:r>
    </w:p>
    <w:p>
      <w:pPr>
        <w:pStyle w:val="3"/>
        <w:ind w:left="240"/>
      </w:pPr>
      <w:bookmarkStart w:id="24" w:name="_Toc109569166"/>
      <w:r>
        <w:rPr>
          <w:rFonts w:hint="eastAsia"/>
        </w:rPr>
        <w:t>3.</w:t>
      </w:r>
      <w:r>
        <w:t>2</w:t>
      </w:r>
      <w:r>
        <w:rPr>
          <w:rFonts w:hint="eastAsia"/>
        </w:rPr>
        <w:t xml:space="preserve"> The Role of Conceptual Thinking and Peer Cooperation in Online Learning</w:t>
      </w:r>
      <w:bookmarkEnd w:id="24"/>
    </w:p>
    <w:p>
      <w:r>
        <w:rPr>
          <w:rFonts w:hint="eastAsia"/>
        </w:rPr>
        <w:t xml:space="preserve">Etkind </w:t>
      </w:r>
      <w:r>
        <w:t>and</w:t>
      </w:r>
      <w:r>
        <w:rPr>
          <w:rFonts w:hint="eastAsia"/>
        </w:rPr>
        <w:t xml:space="preserve"> Shafrir (2013) highlight the rising emphasis on conceptual thinking for deeper understanding in the learning process. Traditional methods that emphasize rote memory are less adept at fostering this. With the advent of the digital age, pedagogies have evolved to center around conceptual thinking and peer cooperation. Such pedagogies encourage learners to discern patterns, explore hidden ideas, and comprehend nuanced differences among representations. The adoption of such pedagogies</w:t>
      </w:r>
      <w:r>
        <w:t xml:space="preserve"> </w:t>
      </w:r>
      <w:r>
        <w:rPr>
          <w:rFonts w:hint="eastAsia"/>
        </w:rPr>
        <w:t>has shown encouraging results, such as enhanced peer cooperation and improved learning outcomes</w:t>
      </w:r>
      <w:r>
        <w:t xml:space="preserve"> (</w:t>
      </w:r>
      <w:r>
        <w:rPr>
          <w:rFonts w:hint="eastAsia"/>
        </w:rPr>
        <w:t>Blau</w:t>
      </w:r>
      <w:r>
        <w:t xml:space="preserve"> et al., 2020)</w:t>
      </w:r>
      <w:r>
        <w:rPr>
          <w:rFonts w:hint="eastAsia"/>
        </w:rPr>
        <w:t>. This reveals that online learning environments can nurture deep conceptual thinking, contrary to beliefs favo</w:t>
      </w:r>
      <w:r>
        <w:t>u</w:t>
      </w:r>
      <w:r>
        <w:rPr>
          <w:rFonts w:hint="eastAsia"/>
        </w:rPr>
        <w:t>ring traditional classrooms.</w:t>
      </w:r>
    </w:p>
    <w:p>
      <w:r>
        <w:rPr>
          <w:rFonts w:hint="eastAsia"/>
        </w:rPr>
        <w:t>The evolution of distance education has been shaped by the various models of teaching and learning that prevailed at different times. Haughey (2010) emphasi</w:t>
      </w:r>
      <w:r>
        <w:t>s</w:t>
      </w:r>
      <w:r>
        <w:rPr>
          <w:rFonts w:hint="eastAsia"/>
        </w:rPr>
        <w:t>es that the models adopted in distance education often reflect the dominant pedagogical theories of their respective eras. Before the onset of the digital age, numerous models had been developed which later influenced the foundational model of contemporary distance education. This signifies that, regardless of technological changes, the core principles of teaching and learning have maintained their relevance, albeit being expressed differently based on the tools available.</w:t>
      </w:r>
    </w:p>
    <w:p>
      <w:r>
        <w:rPr>
          <w:rFonts w:hint="eastAsia"/>
        </w:rPr>
        <w:t>In the era of digital learning, the relevance of traditional learning methods remains significant. McLaren (2008) delved into the unique aspect of teaching manual technical drawing in an age predominantly reliant on Computer Aided Drafting (CAD). Contrary to the popular notion of Prensky</w:t>
      </w:r>
      <w:r>
        <w:t>'</w:t>
      </w:r>
      <w:r>
        <w:rPr>
          <w:rFonts w:hint="eastAsia"/>
        </w:rPr>
        <w:t>s the</w:t>
      </w:r>
      <w:r>
        <w:t>ory (2008; 2009)</w:t>
      </w:r>
      <w:r>
        <w:rPr>
          <w:rFonts w:hint="eastAsia"/>
        </w:rPr>
        <w:t>, which suggests that the current generation of learners, termed 'digital natives,' are inherently inclined towards and more adept at digital methodologies, McLaren's study uncovered an unexpected appreciation among school students for traditional drafting techniques. This finding highlights the continued importance of conventional learning methods, standing in contrast to Prensky's assertion. The skills derived from manual drafting—such as problem-solving, visualization, and personal discipline—emphasize the need for a balanced educational approach, where both digital and traditional methodologies coexist. This balance ensures that students are not only technologically proficient but also equipped with foundational skills that are best cultivated through traditional means..</w:t>
      </w:r>
    </w:p>
    <w:p>
      <w:pPr>
        <w:pStyle w:val="3"/>
        <w:ind w:left="240"/>
      </w:pPr>
      <w:bookmarkStart w:id="25" w:name="_Toc1135487483"/>
      <w:r>
        <w:rPr>
          <w:rFonts w:hint="eastAsia"/>
        </w:rPr>
        <w:t>3.</w:t>
      </w:r>
      <w:r>
        <w:t>3</w:t>
      </w:r>
      <w:r>
        <w:rPr>
          <w:rFonts w:hint="eastAsia"/>
        </w:rPr>
        <w:t xml:space="preserve"> Connectivism and Network Learning Theories in Online Learning</w:t>
      </w:r>
      <w:bookmarkEnd w:id="25"/>
    </w:p>
    <w:p>
      <w:r>
        <w:rPr>
          <w:rFonts w:hint="eastAsia"/>
        </w:rPr>
        <w:t>The proliferation of Web 2.0 and the consequent information deluge have led to the emergence of new learning theories that underscore the importance of connectivity in the online learning environment. Goldie (2016) introduces "Connectivism" as a premier network learning theory, specially crafted for e-learning contexts. It emphasizes that in the ever-expanding online world, traditional modes of navigating and filtering knowledge may no longer suffice. The theory purports that online networks foster unique learning environments, harnessing the potential of diverse individual perspectives facilitated by the internet. While Goldie recognizes the significance of connectivism in understanding online learning dynamics, he also acknowledges the need for further refinement and practical testing, such as implementing connectivist strategies in a real-world online classroom setting and evaluating their effectiveness in enhancing student engagement and learning outcomes.</w:t>
      </w:r>
    </w:p>
    <w:p>
      <w:r>
        <w:rPr>
          <w:rFonts w:hint="eastAsia"/>
        </w:rPr>
        <w:t>Building on this theme, Barron et al. (2011) propose a proactive approach. Through their blueprint, they envision a future where digital media forms the backbone of teaching methodologies, especially for underserved student populations. The report underscores the urgency for a radical overhaul, setting forth goals that aim to create a harmonious blend of technology and traditional teaching by 2020.</w:t>
      </w:r>
      <w:r>
        <w:rPr>
          <w:rFonts w:hint="eastAsia"/>
          <w:lang w:val="en-US" w:eastAsia="zh-CN"/>
        </w:rPr>
        <w:t xml:space="preserve"> </w:t>
      </w:r>
      <w:r>
        <w:rPr>
          <w:rFonts w:hint="default"/>
        </w:rPr>
        <w:t>As of 2023, substantial progress has been made in integrating technology with traditional teaching methods, largely accelerated by the global shift to online learning due to the pandemic. Schools and universities have adopted various digital tools and platforms, leading to a more flexible and accessible educational landscape. However, challenges in ensuring equal access and maintaining educational quality persist, indicating that the journey towards fully realizing these goals is ongoing.</w:t>
      </w:r>
    </w:p>
    <w:p>
      <w:r>
        <w:rPr>
          <w:rFonts w:hint="eastAsia"/>
        </w:rPr>
        <w:t xml:space="preserve">Moving beyond individual tools, the broader landscape of how institutions have responded to this digital transition is pivotal. Moursund </w:t>
      </w:r>
      <w:r>
        <w:t>and</w:t>
      </w:r>
      <w:r>
        <w:rPr>
          <w:rFonts w:hint="eastAsia"/>
        </w:rPr>
        <w:t xml:space="preserve"> Bielefeldt's (1999) survey reveals a somewhat unsettling truth: while the technological infrastructure within educational settings has experienced a significant increase, the pace at which these tools are integrated into teaching remains sluggish. A critical concern arises here - the faculty's IT skills, although on par with the students, rarely find expression in their teaching methods. This underutilization extends to other realms too, such as distance education and computer-assisted instruction. Such findings underscore the imperative for not just equipping institutions with the latest tech but ensuring their seamless integration into pedagogies.</w:t>
      </w:r>
    </w:p>
    <w:p>
      <w:pPr>
        <w:pStyle w:val="3"/>
        <w:ind w:left="240"/>
      </w:pPr>
      <w:bookmarkStart w:id="26" w:name="_Toc1598439539"/>
      <w:r>
        <w:rPr>
          <w:rFonts w:hint="eastAsia"/>
        </w:rPr>
        <w:t>3.</w:t>
      </w:r>
      <w:r>
        <w:t>4</w:t>
      </w:r>
      <w:r>
        <w:rPr>
          <w:rFonts w:hint="eastAsia"/>
        </w:rPr>
        <w:t xml:space="preserve"> Foundations and Efficacy of Online Learning Environments</w:t>
      </w:r>
      <w:bookmarkEnd w:id="26"/>
    </w:p>
    <w:p>
      <w:r>
        <w:rPr>
          <w:rFonts w:hint="eastAsia"/>
        </w:rPr>
        <w:t xml:space="preserve">Anderson (2017) underscores the importance of </w:t>
      </w:r>
      <w:r>
        <w:t>Community of Inquiry</w:t>
      </w:r>
      <w:r>
        <w:rPr>
          <w:rFonts w:hint="eastAsia"/>
          <w:lang w:val="en-US" w:eastAsia="zh-CN"/>
        </w:rPr>
        <w:t xml:space="preserve"> </w:t>
      </w:r>
      <w:r>
        <w:rPr>
          <w:rFonts w:hint="default"/>
          <w:lang w:val="en-US" w:eastAsia="zh-CN"/>
        </w:rPr>
        <w:t>(</w:t>
      </w:r>
      <w:r>
        <w:rPr>
          <w:rFonts w:hint="eastAsia"/>
        </w:rPr>
        <w:t>C</w:t>
      </w:r>
      <w:r>
        <w:rPr>
          <w:rFonts w:hint="eastAsia"/>
          <w:lang w:val="en-US" w:eastAsia="zh-CN"/>
        </w:rPr>
        <w:t>o</w:t>
      </w:r>
      <w:r>
        <w:rPr>
          <w:rFonts w:hint="default"/>
          <w:lang w:val="en-US" w:eastAsia="zh-CN"/>
        </w:rPr>
        <w:t>l)</w:t>
      </w:r>
      <w:r>
        <w:rPr>
          <w:rFonts w:hint="eastAsia"/>
        </w:rPr>
        <w:t xml:space="preserve"> as a focal point in the digital age. C</w:t>
      </w:r>
      <w:r>
        <w:rPr>
          <w:rFonts w:hint="eastAsia"/>
          <w:lang w:val="en-US" w:eastAsia="zh-CN"/>
        </w:rPr>
        <w:t>o</w:t>
      </w:r>
      <w:r>
        <w:rPr>
          <w:rFonts w:hint="eastAsia"/>
        </w:rPr>
        <w:t xml:space="preserve">Is emphasize co-creation, discovery, and the development of knowledge, greatly facilitated by digital tools and platforms. This mirrors the observations of Zhang </w:t>
      </w:r>
      <w:r>
        <w:t>and</w:t>
      </w:r>
      <w:r>
        <w:rPr>
          <w:rFonts w:hint="eastAsia"/>
        </w:rPr>
        <w:t xml:space="preserve"> Nunamaker (2003), who stress the shifting paradigm from instructor-centered to learner-centered environments, accentuated by e-Learning</w:t>
      </w:r>
      <w:r>
        <w:t>'</w:t>
      </w:r>
      <w:r>
        <w:rPr>
          <w:rFonts w:hint="eastAsia"/>
        </w:rPr>
        <w:t>s ability to provide on-demand, flexible, and personali</w:t>
      </w:r>
      <w:r>
        <w:t>s</w:t>
      </w:r>
      <w:r>
        <w:rPr>
          <w:rFonts w:hint="eastAsia"/>
        </w:rPr>
        <w:t>ed learning experiences. They also highlight that e-Learning reduces costs, meets new-age demands, and holds promise with the advent of advanced Information and Communication Technologies</w:t>
      </w:r>
      <w:r>
        <w:t xml:space="preserve"> (</w:t>
      </w:r>
      <w:r>
        <w:rPr>
          <w:rFonts w:hint="eastAsia"/>
        </w:rPr>
        <w:t>ICTs</w:t>
      </w:r>
      <w:r>
        <w:t>)</w:t>
      </w:r>
      <w:r>
        <w:rPr>
          <w:rFonts w:hint="eastAsia"/>
        </w:rPr>
        <w:t>. In a similar vein, Nguyen (2015) provides empirical evidence suggesting online learning</w:t>
      </w:r>
      <w:r>
        <w:t>’</w:t>
      </w:r>
      <w:r>
        <w:rPr>
          <w:rFonts w:hint="eastAsia"/>
        </w:rPr>
        <w:t>s efficacy is on par, if not superior, to traditional formats. This transition to digital is not merely about matching traditional methods but evolving to offer enhanced learning experiences.</w:t>
      </w:r>
    </w:p>
    <w:p>
      <w:r>
        <w:rPr>
          <w:rFonts w:hint="eastAsia"/>
        </w:rPr>
        <w:t>The digital age, while bringing numerous advantages, also brings forward challenges. Rains (2008) spotlights a critical component of the digital information search process</w:t>
      </w:r>
      <w:r>
        <w:t xml:space="preserve"> on </w:t>
      </w:r>
      <w:r>
        <w:rPr>
          <w:rFonts w:hint="eastAsia"/>
        </w:rPr>
        <w:t>Internet self-efficacy. While the web provides a vast resource, the ability to effectively leverage it</w:t>
      </w:r>
      <w:r>
        <w:t>,</w:t>
      </w:r>
      <w:r>
        <w:rPr>
          <w:rFonts w:hint="eastAsia"/>
        </w:rPr>
        <w:t xml:space="preserve"> relies on a user's confidence in navigating the digital realm. Rains' findings showcase the essential role of Internet self-efficacy in evaluating online health information quality and search success. This aspect hints at broader challenges in online learning, where efficacy in using digital tools can directly impact learners' outcomes. Anderson (2017) too points towards the need to evolve the COI model to recognize motivation, self-efficacy, and personal skills as pivotal components. If the online learning paradigm is to be successful, the holistic development of these attributes, along with technological proficiency, becomes imperative.</w:t>
      </w:r>
    </w:p>
    <w:p>
      <w:r>
        <w:rPr>
          <w:rFonts w:hint="eastAsia"/>
        </w:rPr>
        <w:t xml:space="preserve">The digital age has witnessed the proliferation of ICT across various sectors, and education hasn't been left behind. Ainley, Enger, </w:t>
      </w:r>
      <w:r>
        <w:t>and</w:t>
      </w:r>
      <w:r>
        <w:rPr>
          <w:rFonts w:hint="eastAsia"/>
        </w:rPr>
        <w:t xml:space="preserve"> Searle (2008) delve into the implications of ICT literacy among students. The ability to adeptly navigate and utilize ICT tools is now an integral skill set. Their research seeks to understand students' levels of access to, proficiency in, and engagement with ICT. On the institutional side, there's a continual effort to integrate ICT into classrooms to emulate real-life scenarios. The European Commission's launch of the Self-reflection on Effective Learning by Fostering the use of Innovative Educational Technologies</w:t>
      </w:r>
      <w:r>
        <w:t xml:space="preserve"> (</w:t>
      </w:r>
      <w:r>
        <w:rPr>
          <w:rFonts w:hint="eastAsia"/>
        </w:rPr>
        <w:t>SELFIE</w:t>
      </w:r>
      <w:r>
        <w:t>)</w:t>
      </w:r>
      <w:r>
        <w:rPr>
          <w:rFonts w:hint="eastAsia"/>
        </w:rPr>
        <w:t xml:space="preserve"> tool in 2018, as detailed by Kampylis et al. (2019), stands as a testament to this endeavo</w:t>
      </w:r>
      <w:r>
        <w:t>u</w:t>
      </w:r>
      <w:r>
        <w:rPr>
          <w:rFonts w:hint="eastAsia"/>
        </w:rPr>
        <w:t xml:space="preserve">r. Designed to assist schools in assessing their use of digital technologies, SELFIE paves the way for school-wide improvement plans. Such tools showcase the active efforts at bridging gaps in online learning, ensuring that it remains effective and relevant in the digital age. The transition to digital learning has brought forth a range of methodologies aimed at improving online student engagement and achievement. Moersch (2011) discusses the challenge of integrating digital learning in conventional school settings, pointing to the perceived competition between traditional pedagogies and online strategies. While various strategies have been proposed to enhance online instruction, their collective efficacy in truly promoting digital age learning has been debated. Moersch introduces the Digital Age Best Practices (DABP), a set of strategies designed to foster digital learning while also addressing traditional academic standards. One strategy includes the integration of collaborative tools that enable real-time interaction and teamwork among students, enhancing peer learning and engagement. Another strategy focuses on personalized learning paths, using adaptive technologies to tailor content and assessments to individual student needs and learning styles. These approaches aim to blend digital innovation with proven educational methods to enhance the learning experience. </w:t>
      </w:r>
    </w:p>
    <w:p>
      <w:r>
        <w:rPr>
          <w:rFonts w:hint="eastAsia"/>
        </w:rPr>
        <w:t xml:space="preserve">Rosenberg </w:t>
      </w:r>
      <w:r>
        <w:t>and</w:t>
      </w:r>
      <w:r>
        <w:rPr>
          <w:rFonts w:hint="eastAsia"/>
        </w:rPr>
        <w:t xml:space="preserve"> Koehler (2018) highlight the critical importance of context in research on educational technology. They base their argument on the </w:t>
      </w:r>
      <w:r>
        <w:t>Technological Pedagogical Content Knowledge</w:t>
      </w:r>
      <w:r>
        <w:rPr>
          <w:rFonts w:hint="default"/>
          <w:lang w:val="en-US"/>
        </w:rPr>
        <w:t xml:space="preserve"> (</w:t>
      </w:r>
      <w:r>
        <w:rPr>
          <w:rFonts w:hint="eastAsia"/>
        </w:rPr>
        <w:t>TPACK</w:t>
      </w:r>
      <w:r>
        <w:rPr>
          <w:rFonts w:hint="default"/>
          <w:lang w:val="en-US"/>
        </w:rPr>
        <w:t>)</w:t>
      </w:r>
      <w:r>
        <w:rPr>
          <w:rFonts w:hint="eastAsia"/>
        </w:rPr>
        <w:t xml:space="preserve"> framework, which integrates technology with pedagogy and content knowledge. The key insight from their analysis is that many studies in tech-based education often neglect the role of context in shaping effective teaching and learning experiences. This oversight is significant because context can greatly influence how technology is used and perceived in educational settings.</w:t>
      </w:r>
      <w:r>
        <w:t xml:space="preserve"> </w:t>
      </w:r>
      <w:r>
        <w:rPr>
          <w:rFonts w:hint="eastAsia"/>
        </w:rPr>
        <w:t xml:space="preserve">This perspective aligns with the historical educational theories of Dewey and Vygotsky. John Dewey </w:t>
      </w:r>
      <w:r>
        <w:t>(1933; 1938)</w:t>
      </w:r>
      <w:r>
        <w:rPr>
          <w:rFonts w:hint="eastAsia"/>
        </w:rPr>
        <w:t xml:space="preserve"> emphasized the importance of experiential learning and the environment in shaping the educational experience. He believed that learning is most effective when it is connected to real-life experiences and contexts. Similarly, Lev Vygotsky, argued that learning is a socially mediated process, greatly influenced by the cultural and social context</w:t>
      </w:r>
      <w:r>
        <w:t xml:space="preserve"> (1987; 1994)</w:t>
      </w:r>
      <w:r>
        <w:rPr>
          <w:rFonts w:hint="eastAsia"/>
        </w:rPr>
        <w:t>. Both theorists underscored the idea that the context in which learning occurs is crucial for understanding and internalizing knowledge.</w:t>
      </w:r>
    </w:p>
    <w:p>
      <w:r>
        <w:rPr>
          <w:rFonts w:hint="eastAsia"/>
        </w:rPr>
        <w:t>Beginning with the integration of digital tools into the realm of language teaching, Chan (2003) offers insights into the promising prospects brought by modern speech processing. With the onset of the digital age, educators and learners have been equipped with powerful tools that were once beyond imagination. Speech-analysis software, stemming from the 1940s sound spectrograph invention, is now a potent instrument for enhancing language proficiency, specifically pronunciation and fluency. By leveraging such tools, educators can delve deep into the intricate structures of spoken languages like Chinese, offering students a combination of aural and visual feedback, which is pivotal for effective language acquisition.</w:t>
      </w:r>
    </w:p>
    <w:p>
      <w:r>
        <w:rPr>
          <w:rFonts w:hint="eastAsia"/>
        </w:rPr>
        <w:t>Anggeraini (2020) further builds on this narrative, emphasizing the rejuvenating impacts of technological advancements on the teaching and learning dynamics in schools. Contemporary digital tools not only foster a captivating learning atmosphere but also fortify the teaching of languages like English. Such tools range from basic hardware like laptops and speakers to sophisticated platforms like dedicated educational websites and video content from platforms like YouTube. These tools have morphed classrooms into dynamic ecosystems, invigorating students and making learning more accessible and engaging</w:t>
      </w:r>
      <w:r>
        <w:t xml:space="preserve"> (</w:t>
      </w:r>
      <w:r>
        <w:rPr>
          <w:rFonts w:hint="eastAsia"/>
        </w:rPr>
        <w:t>Netolicky</w:t>
      </w:r>
      <w:r>
        <w:t>, 2019)</w:t>
      </w:r>
      <w:r>
        <w:rPr>
          <w:rFonts w:hint="eastAsia"/>
        </w:rPr>
        <w:t>.</w:t>
      </w:r>
    </w:p>
    <w:p>
      <w:pPr>
        <w:pStyle w:val="3"/>
        <w:ind w:left="240"/>
      </w:pPr>
      <w:bookmarkStart w:id="27" w:name="_Toc2100391650"/>
      <w:r>
        <w:rPr>
          <w:rFonts w:hint="eastAsia"/>
        </w:rPr>
        <w:t>3.</w:t>
      </w:r>
      <w:r>
        <w:t>5</w:t>
      </w:r>
      <w:r>
        <w:rPr>
          <w:rFonts w:hint="eastAsia"/>
        </w:rPr>
        <w:t xml:space="preserve"> Technological Enhancements and User Experience in Online Learning</w:t>
      </w:r>
      <w:bookmarkEnd w:id="27"/>
    </w:p>
    <w:p>
      <w:r>
        <w:rPr>
          <w:rFonts w:hint="eastAsia"/>
        </w:rPr>
        <w:t xml:space="preserve">Allcoat et al. (2021) explore the contemporary resurgence of Virtual Reality (VR) and Mixed Reality (MR) as educational tools. While these technologies historically fluctuated in popularity, the study found that VR and MR not only produce comparable learning outcomes to traditional methods but offer heightened levels of engagement. Significantly, the sense of presence, an immersive feeling often absent in traditional e-Learning, was higher in VR environments. This exploration is crucial in understanding how cutting-edge technologies can not only replicate but amplify the educational experience. Similarly, Zhang </w:t>
      </w:r>
      <w:r>
        <w:t>and</w:t>
      </w:r>
      <w:r>
        <w:rPr>
          <w:rFonts w:hint="eastAsia"/>
        </w:rPr>
        <w:t xml:space="preserve"> Nunamaker (2003) elucidate various technologies that enable more effective e-Learning systems, further emphasizing the technological breadth available for online education.</w:t>
      </w:r>
    </w:p>
    <w:p>
      <w:r>
        <w:rPr>
          <w:rFonts w:hint="eastAsia"/>
        </w:rPr>
        <w:t>Online learning has proven to be an innovative educational approach in the digital age. Anderson (2017) highlights the role of COI in facilitating collaborative and constructive learning. The integration of learning management systems and collaborative platforms aids the creation and discovery of knowledge. Notably, Allcoat et al. (2021) found that learners experienced similar levels of performance in virtual and traditional learning environments. However, V</w:t>
      </w:r>
      <w:r>
        <w:t xml:space="preserve">irtual </w:t>
      </w:r>
      <w:r>
        <w:rPr>
          <w:rFonts w:hint="eastAsia"/>
        </w:rPr>
        <w:t>R</w:t>
      </w:r>
      <w:r>
        <w:t>eality</w:t>
      </w:r>
      <w:r>
        <w:rPr>
          <w:rFonts w:hint="eastAsia"/>
        </w:rPr>
        <w:t xml:space="preserve"> and Mixed Reality (MR) offered a higher level of engagement, with VR yielding more positive emotions. Nguyen (2015) provides a comprehensive review, concluding that online learning can be as effective as traditional methods. Thus, the shift from the physical "brick and mortar" classroom is justified (Nguyen, 2015).</w:t>
      </w:r>
    </w:p>
    <w:p>
      <w:r>
        <w:rPr>
          <w:rFonts w:hint="eastAsia"/>
        </w:rPr>
        <w:t>The nature of teaching and the skills required for educators and students alike are evolving. Bonfield et al. (2020) provide insights into Education 4.0, highlighting the potential of digital personal assistants and online lifelong learning. Universities globally are taking strides in this direction, leveraging technology to offer unparalleled learning experiences. Similarly, Starkey (2020) underscores the importance of preparing educators for this digital revolution. The focus isn't just on basic digital competency but extends to an all-encompassing professional digital competence. The digital age isn't without its challenges. Tohara (2021) examines the struggles students, especially those with special needs, face due to limited digital literacy skills. This digital literacy is crucial for independent learning, encompassing cognitive, technological, and ethical aspects. Meanwhile, Selwyn et al. (2017) present the intricate connection between digital technologies and teachers' labo</w:t>
      </w:r>
      <w:r>
        <w:t>u</w:t>
      </w:r>
      <w:r>
        <w:rPr>
          <w:rFonts w:hint="eastAsia"/>
        </w:rPr>
        <w:t>r, drawing attention to both the benefits and drawbacks of this integration. As Sartor (2020) posits, the current global context has expedited the move to digital pedagogies.</w:t>
      </w:r>
    </w:p>
    <w:p>
      <w:r>
        <w:rPr>
          <w:rFonts w:hint="eastAsia"/>
        </w:rPr>
        <w:t>The digital age requires a reimagining of task designs and pedagogical frameworks. Hampel (2006) presents a model tailored for synchronous online environments. Built on a foundation of second language acquisition principles, sociocultural and constructivist theories, the model integrates multimodality and new literacies. This approach brings attention to the dynamic interaction between students and tutors, and the feedback mechanisms in place. The adaptability of such a model becomes evident in the differences between face-to-face and online teaching, emphasizing the need for unique frameworks in the digital age. McKnight et al. (2016) further echo this sentiment, arguing that the effectiveness of a digital classroom isn't predicated on the technology itself but on how it facilitates teaching and learning. Their research uncovers common digital instructional strategies and highlights the various roles technology plays in advancing education.</w:t>
      </w:r>
    </w:p>
    <w:p>
      <w:pPr>
        <w:pStyle w:val="3"/>
        <w:ind w:left="240"/>
      </w:pPr>
      <w:bookmarkStart w:id="28" w:name="_Toc946272164"/>
      <w:r>
        <w:rPr>
          <w:rFonts w:hint="eastAsia"/>
        </w:rPr>
        <w:t>3.</w:t>
      </w:r>
      <w:r>
        <w:t>6</w:t>
      </w:r>
      <w:r>
        <w:rPr>
          <w:rFonts w:hint="eastAsia"/>
        </w:rPr>
        <w:t xml:space="preserve"> Future Perspectives and Implication</w:t>
      </w:r>
      <w:bookmarkEnd w:id="28"/>
    </w:p>
    <w:p>
      <w:r>
        <w:rPr>
          <w:rFonts w:hint="eastAsia"/>
        </w:rPr>
        <w:t xml:space="preserve">Zhang </w:t>
      </w:r>
      <w:r>
        <w:t>and</w:t>
      </w:r>
      <w:r>
        <w:rPr>
          <w:rFonts w:hint="eastAsia"/>
        </w:rPr>
        <w:t xml:space="preserve"> Nunamaker (2003) emphasize the seismic shifts in education and training due to globalization, knowledge transfer, and the information technology revolution. E-Learning, as facilitated by the internet, promises flexibility and cost-effective education. The implications are far-reaching, with the potential for a global impact in the new millennium. However, there</w:t>
      </w:r>
      <w:r>
        <w:t xml:space="preserve"> is</w:t>
      </w:r>
      <w:r>
        <w:rPr>
          <w:rFonts w:hint="eastAsia"/>
        </w:rPr>
        <w:t xml:space="preserve"> a clear need for constant evolution. Anderson (2017) argues that the COI model should morph into a learning model, accommodating motivation, self-efficacy, and personal skills. Additionally, as Rains (2008) suggests, the internet's efficacy in health information search relies heavily on an individual's self-efficacy. A challenge for the future might be ensuring that the efficacy of online platforms is well-aligned with user capabilities and confidence.</w:t>
      </w:r>
    </w:p>
    <w:p>
      <w:r>
        <w:rPr>
          <w:rFonts w:hint="eastAsia"/>
        </w:rPr>
        <w:t xml:space="preserve">Digital technologies have dramatically transformed the contemporary classroom. Greenhow, Robelia, </w:t>
      </w:r>
      <w:r>
        <w:t>and</w:t>
      </w:r>
      <w:r>
        <w:rPr>
          <w:rFonts w:hint="eastAsia"/>
        </w:rPr>
        <w:t xml:space="preserve"> Hughes (2009) examined the characteristics of Web 2.0 and how it differs from the web platforms of the 1990s. Their research highlighted the unique capabilities of Web 2.0, emphasizing themes of learner participation, creativity, and online identity formation. They advocated for a closer examination of students' use of these technologies both inside and outside the classroom. The onset of the COVID-19 pandemic further accelerated the adoption of online learning platforms, with Rahmat, Syakhrani, </w:t>
      </w:r>
      <w:r>
        <w:t>and</w:t>
      </w:r>
      <w:r>
        <w:rPr>
          <w:rFonts w:hint="eastAsia"/>
        </w:rPr>
        <w:t xml:space="preserve"> Satria (2021) noting the increasing </w:t>
      </w:r>
      <w:r>
        <w:t>need</w:t>
      </w:r>
      <w:r>
        <w:rPr>
          <w:rFonts w:hint="eastAsia"/>
        </w:rPr>
        <w:t xml:space="preserve"> of e-learning among students and educators. Their findings suggest that online educational activities, facilitated through sophisticated web technologies, have become an integral part of the modern learning experience. Nevertheless, with this rapid integration of technology, there</w:t>
      </w:r>
      <w:r>
        <w:rPr>
          <w:rFonts w:hint="default"/>
          <w:lang w:val="en-US"/>
        </w:rPr>
        <w:t xml:space="preserve"> is</w:t>
      </w:r>
      <w:r>
        <w:rPr>
          <w:rFonts w:hint="eastAsia"/>
        </w:rPr>
        <w:t xml:space="preserve"> a critical need to continually evaluate the efficacy and challenges associated with online learning to ensure its relevance and effectiveness</w:t>
      </w:r>
      <w:r>
        <w:t xml:space="preserve"> (</w:t>
      </w:r>
      <w:r>
        <w:rPr>
          <w:rFonts w:hint="eastAsia"/>
        </w:rPr>
        <w:t>Dhawan</w:t>
      </w:r>
      <w:r>
        <w:t>, 2020)</w:t>
      </w:r>
      <w:r>
        <w:rPr>
          <w:rFonts w:hint="eastAsia"/>
        </w:rPr>
        <w:t>.</w:t>
      </w:r>
    </w:p>
    <w:p>
      <w:r>
        <w:rPr>
          <w:rFonts w:hint="eastAsia"/>
        </w:rPr>
        <w:t>The rise of digital technology and online environments has triggered a significant paradigm shift in the educational sector. Voogt et al. (2018) underscored this transformation by emphasizing the need for digital literacy, creativity, leadership learning, and assessment in the digital era. Their deliberation at the International Summit on ICT in Education highlighted the implications for teacher education, emphasizing a rethinking of learning strategies. Starkey (2010) also provides insights into the evolving pedagogical framework. By comparing Schulman</w:t>
      </w:r>
      <w:r>
        <w:t>'</w:t>
      </w:r>
      <w:r>
        <w:rPr>
          <w:rFonts w:hint="eastAsia"/>
        </w:rPr>
        <w:t>s 1987 model with contemporary teaching practices, Starkey observed that modern teachers, especially those adept with technology, may find traditional models limiting. This observation reinforces the idea that teaching methodologies have been reshaped, taking a form different from traditional teacher-to-student knowledge transfer.</w:t>
      </w:r>
    </w:p>
    <w:p>
      <w:r>
        <w:rPr>
          <w:rFonts w:hint="eastAsia"/>
        </w:rPr>
        <w:t xml:space="preserve">Lastly, it is crucial to comprehend how the digital age reshapes the very essence of learning. Hartnett, Brown, </w:t>
      </w:r>
      <w:r>
        <w:t>and</w:t>
      </w:r>
      <w:r>
        <w:rPr>
          <w:rFonts w:hint="eastAsia"/>
        </w:rPr>
        <w:t xml:space="preserve"> Anderson (2014) </w:t>
      </w:r>
      <w:r>
        <w:t>present</w:t>
      </w:r>
      <w:r>
        <w:rPr>
          <w:rFonts w:hint="eastAsia"/>
        </w:rPr>
        <w:t xml:space="preserve"> the idea that contemporary learners are treading new paths of learning, necessitating a reimagining of teaching methodologies. This shift isn't merely about the tools in use but the very nature and location of learning. The rise of Massive Open Online Courses (MOOCs) and platforms like Khan Academy is significantly blurring the lines between formal, informal, and non-formal learning. MOOCs, which are online courses aimed at unlimited participation and open access via the web, have become a prominent feature in the digital education landscape. They provide a diverse range of courses from universities and institutions around the world, making higher education more accessible and flexible. With these digital tools and platforms reshaping educational spaces, the fundamental question that emerges is how the essence of learning is being transformed by these technologies. These platforms not only change how and where we learn, but also challenge traditional educational models, prompting a re-evaluation of what constitutes effective learning in the digital age. As the boundaries of learning contexts shift, the impact of these technologies on learner engagement, knowledge acquisition, and the overall educational experience becomes a pivotal area of exploration.</w:t>
      </w:r>
    </w:p>
    <w:p>
      <w:pPr>
        <w:pStyle w:val="3"/>
        <w:ind w:left="240"/>
      </w:pPr>
      <w:bookmarkStart w:id="29" w:name="_Toc1879854313"/>
      <w:r>
        <w:t>3.7 Conclusion</w:t>
      </w:r>
      <w:bookmarkEnd w:id="29"/>
    </w:p>
    <w:p>
      <w:r>
        <w:t>In conclusion, the chapter underscores the dynamic nature of online learning, emphasizing its evolution in response to technological advancements and changing educational needs. It reflects on the challenges faced and the continuous need for adaptation to maximize the potential of digital learning platforms. This exploration serves as a critical analysis of the current state of online education, offering insights into its future trajectory and implications for students, educators, and educational institutions worldwide.</w:t>
      </w:r>
    </w:p>
    <w:p/>
    <w:p/>
    <w:p/>
    <w:p/>
    <w:p>
      <w:r>
        <w:br w:type="page"/>
      </w:r>
    </w:p>
    <w:p>
      <w:pPr>
        <w:pStyle w:val="2"/>
        <w:numPr>
          <w:ilvl w:val="0"/>
          <w:numId w:val="1"/>
        </w:numPr>
      </w:pPr>
      <w:bookmarkStart w:id="30" w:name="_Toc932023927"/>
      <w:r>
        <w:t>Efficacy of Online Learning</w:t>
      </w:r>
      <w:bookmarkEnd w:id="30"/>
    </w:p>
    <w:p>
      <w:pPr>
        <w:pStyle w:val="3"/>
        <w:ind w:left="240"/>
      </w:pPr>
      <w:bookmarkStart w:id="31" w:name="_Toc780419871"/>
      <w:r>
        <w:t>4.1 Introduction</w:t>
      </w:r>
      <w:bookmarkEnd w:id="31"/>
    </w:p>
    <w:p>
      <w:r>
        <w:t xml:space="preserve">In this chapter, the focus shifts to the tangible impacts of online learning, dissecting how digital platforms influence academic performance, student engagement, and lifelong skill acquisition. The chapter </w:t>
      </w:r>
      <w:r>
        <w:rPr>
          <w:rFonts w:hint="default"/>
          <w:lang w:val="en-US"/>
        </w:rPr>
        <w:t>includes</w:t>
      </w:r>
      <w:r>
        <w:t xml:space="preserve"> various research studies to explore how online education compares to traditional methods in terms of academic outcomes, the intricacies of measuring engagement in digital settings, and the evolving role of online platforms in facilitating continuous learning and skill development. This exploration provides a comprehensive view of the effectiveness of online learning and its role in the modern educational landscape.</w:t>
      </w:r>
    </w:p>
    <w:p>
      <w:pPr>
        <w:pStyle w:val="3"/>
        <w:ind w:left="240"/>
      </w:pPr>
      <w:bookmarkStart w:id="32" w:name="_Toc1834139668"/>
      <w:r>
        <w:t>4.2 Academic Performance and Outcomes: Comparing Online to Traditional Learning Outcomes</w:t>
      </w:r>
      <w:bookmarkEnd w:id="32"/>
    </w:p>
    <w:p>
      <w:r>
        <w:t>Online learning, which has recently expanded to support learning processes across various domains and proficiency levels, has raised questions about academic outcomes in this digital environment. One of the primary foc</w:t>
      </w:r>
      <w:r>
        <w:rPr>
          <w:rFonts w:hint="default"/>
          <w:lang w:val="en-US"/>
        </w:rPr>
        <w:t>i</w:t>
      </w:r>
      <w:r>
        <w:t xml:space="preserve"> of research in this area has been determining how to maximize academic achievement or learning outcomes in online platforms. </w:t>
      </w:r>
    </w:p>
    <w:p>
      <w:r>
        <w:t>Yokoyama (2019) emphasizes the role of Academic Self-efficacy (ASE) in educational psychology. This concept revolves around an individual's belief in their capacity to succeed in specific academic scenarios. Originating from Bandura's social cognitive theory, self-efficacy is a belief in one's ability to achieve a certain task (Bandura, 1977, 1997, 2012). In an academic context, students with a high sense of self-efficacy might possess a stronger motivation to learn, which could result in better academic achievements. However, the author notes that there are not enough studies to conduct a systematic meta-analysis on the relationship between ASE and online academic performance. Instead, a narrative review is presented based on prior findings.</w:t>
      </w:r>
    </w:p>
    <w:p>
      <w:r>
        <w:t>Exploring the dynamics of minority students, Yeboah and Smith (2016) sought to understand the relationship between technology use, online course volume, program of study, satisfaction, and academic performance. Their findings indicated that the use of technology and the number of online courses had a clear relationship with academic outcomes. Contrarily, satisfaction levels and social media usage had no discernible impact on academic performance. The authors also pointed out factors such as cultural differences, language barriers, and personal efficacy skills as facilitators for academic performance in an online environment.</w:t>
      </w:r>
    </w:p>
    <w:p>
      <w:r>
        <w:t>The rapid global shift to online learning, prompted by the Covid-19 pandemic, provided another dimension to this discourse. Mandasari (2020) undertook a study to discern the impact of online learning on students' academic performance within a Business Correspondence course in Indonesia. Results from this study were largely positive, indicating a favorable impact on aspects like learning motivation, achievement, and engagement. In addition to underscoring the relevance of online learning during a pandemic, the study also highlighted benefits like flexibility, accessibility, and improved student achievement. However, issues such as financial constraints and unreliable internet connectivity posed as significant barriers.</w:t>
      </w:r>
    </w:p>
    <w:p>
      <w:r>
        <w:t>Pardo, Han, and Ellis (2016) presented a synthesis between self-regulated learning theories and learning analytics to predict academic performance. By combining self-report data and observed online activity metrics, the authors found that a more comprehensive understanding of student success emerged. Such combined data offered a richer explanation for academic performance differences among students.</w:t>
      </w:r>
    </w:p>
    <w:p>
      <w:r>
        <w:t>Oducado and Estoque (2021) emphasized the stress and satisfaction levels of undergraduate nursing students during online learning, revealing that a significant proportion found the experience stressful. Notably, this stress inversely correlated with academic performance and satisfaction levels. Given the negative impact of stress on student outcomes, the authors advocate for measures to alleviate such stress and optimize online teaching methods.</w:t>
      </w:r>
    </w:p>
    <w:p>
      <w:r>
        <w:t>A contrasting perspective emerges from Spitzer and Musslick (2021), who observed an increase in academic performance among K-12 students using an online learning platform for mathematics during school closures due to the pandemic. Interestingly, low-achieving students exhibited more pronounced performance improvements compared to their high-achieving counterparts, suggesting the potential of online learning to bridge performance gaps.</w:t>
      </w:r>
    </w:p>
    <w:p>
      <w:r>
        <w:t>Delving into the participation metrics, Coldwell et al. (2008) found a clear correlation between student participation within online environments and their resulting academic outcomes. However, no significant correlation between age and either participation or performance was observed. This indicates the need to consider student demographics while designing online learning experiences.</w:t>
      </w:r>
    </w:p>
    <w:p>
      <w:r>
        <w:t>Finally, Suresh, Vishnu Priya, and Gayathri (2018) highlighted the transformative nature of e-learning on the academic experience of undergraduate students. Their study posited that e-learning positively impacts undergraduate academic performance. They argued for the broader implementation of e-learning, emphasizing its advantages over traditional learning in terms of cost, time, and potential outcomes.</w:t>
      </w:r>
    </w:p>
    <w:p>
      <w:r>
        <w:t>While there are evident advantages of online learning, such as flexibility and potential for improved academic outcomes, challenges related to stress, satisfaction, and participation underscore the need for continued research and optimization in the online learning landscape.</w:t>
      </w:r>
    </w:p>
    <w:p>
      <w:pPr>
        <w:pStyle w:val="3"/>
        <w:ind w:left="240"/>
      </w:pPr>
      <w:bookmarkStart w:id="33" w:name="_Toc1405131038"/>
      <w:r>
        <w:t>4.3 Student Engagement and Participation: Metrics and Indicators of Engagement in Online Settings</w:t>
      </w:r>
      <w:bookmarkEnd w:id="33"/>
    </w:p>
    <w:p>
      <w:r>
        <w:t>In the age of digitized learning, measuring engagement in online settings is becoming increasingly important. Neiger et al. (2013) stress the growth of social media in health promotion and public health, emphasizing the need to move beyond one-way messaging. They advocate for the importance of engagement as a central aspect of social media usage, proposing an evaluation hierarchy for social media engagement, particularly using X as a case study. This highlights the necessity of two-way communication, suggesting that partnership and participation should be ultimate goals in social media-based health promotion.</w:t>
      </w:r>
    </w:p>
    <w:p>
      <w:r>
        <w:t xml:space="preserve">Wu et al. (2018) </w:t>
      </w:r>
      <w:r>
        <w:rPr>
          <w:rFonts w:hint="default"/>
          <w:lang w:val="en-US"/>
        </w:rPr>
        <w:t>demonstrate</w:t>
      </w:r>
      <w:r>
        <w:t xml:space="preserve"> the world of video content, emphasizing that while many focus on the number of views, a more appropriate measure is the time spent watching or engagement. By examining engagement metrics, including time and the average percentage of a video watched, they introduce a new metric called "relative engagement" which correlates with recognized notions of quality. Their work underscores the idea that true engagement isn't just about accessing content but about investing time and effort into it.</w:t>
      </w:r>
    </w:p>
    <w:p>
      <w:r>
        <w:t>Similarly, the landscape of MOOCs presents unique challenges. Ramesh et al. (2013) express concern over the large dropout rates despite high registrations. Their research explores two distinct forms of engagement - passive and active - within MOOCs. By using probabilistic soft logic, they model student engagement capturing domain knowledge about student interactions and performance. This study underscores the importance of distinguishing between different types of engagement and understanding their impact on student outcomes.</w:t>
      </w:r>
    </w:p>
    <w:p>
      <w:r>
        <w:t>Li et al. (2021) focus on the engagement metrics within Learning Management Systems (LMS) in the context of online engineering courses. By examining various features, including the number of views per content, total time spent on the platform, and the number of attempts per quiz, they aim to establish a relationship between engagement metrics and learning outcomes. Their findings reveal that while all engagement metrics positively correlate with the final grade, the relationship isn't linear, suggesting a need for more intricate modeling.</w:t>
      </w:r>
    </w:p>
    <w:p>
      <w:r>
        <w:t>Virtual patients, as explored by Berman and Artino (2018), are used to present an innovative means of understanding engagement in online learning environments. By analyzing student interactions with virtual patients, they introduce a dynamic online engagement metric. Their study provides insights into how dynamic metrics can be implemented, emphasizing the need for real-time feedback to better adapt and modify online learning experiences based on student engagement levels.</w:t>
      </w:r>
    </w:p>
    <w:p>
      <w:r>
        <w:t>Gamification, a process of applying game-design elements and principles in non-game contexts, is increasingly recognized as a valuable tool for enhancing engagement, particularly in e-learning environments. Rebelo and Isaías (2020) shed light on the role of gamification in e-learning websites, underscoring its effectiveness in boosting student engagement. By incorporating elements typical of games—such as challenges, rewards, and leaderboards—into educational content, gamification transforms the learning experience into a more interactive and motivating activity. This approach is especially beneficial in e-learning courses, where sustaining consistent student engagement can be more challenging due to the lack of physical classroom dynamics. The study by Rebelo and Isaías (2020) reinforces the idea that gamification not only makes learning more enjoyable but also enhances students’ involvement and participation in the educational process, thereby potentially improving learning outcomes.</w:t>
      </w:r>
    </w:p>
    <w:p>
      <w:r>
        <w:t>Lastly, given the rise of social media platforms like X, understanding engagement in these spaces is pivotal. Muñoz-Expósito et al. (2017) argue that traditional media metrics are unsuitable for social media due to their unique networking structures. Their research presents a metric for customer engagement on Twitter (X), highlighting the need for companies to assess engagement with their brands. By calculating engagement using parameters available to the public, they provide insights that can help companies refine their strategies.</w:t>
      </w:r>
    </w:p>
    <w:p>
      <w:r>
        <w:t>As online learning continues to evolve, understanding and measuring student engagement is paramount. From social media to specialized learning platforms, the metrics and indicators of engagement play a crucial role in refining online educational experiences. Whether through dynamic metrics, gamification, or nuanced engagement measurements, the goal remains consistent: to maximize the potential of online learning environments.</w:t>
      </w:r>
    </w:p>
    <w:p>
      <w:pPr>
        <w:pStyle w:val="3"/>
        <w:ind w:left="240"/>
      </w:pPr>
      <w:bookmarkStart w:id="34" w:name="_Toc159689607"/>
      <w:r>
        <w:t>4.4 Skills Acquisition and Lifelong Learning</w:t>
      </w:r>
      <w:bookmarkEnd w:id="34"/>
    </w:p>
    <w:p>
      <w:r>
        <w:t>Online learning platforms, notably MOOCs, offer new avenues for continuous education and skill-building. Fini (2009) sheds light on the transformative potential of MOOCs, such as the Connectivism and Connective Knowledge (CCK) course, suggesting their role in nurturing lifelong learners. MOOCs permit learners to construct and manage their personal learning networks. Findings from the CCK08 course revealed that adult learners were primarily drawn to such courses, and while course completion wasn't always the goal, understanding and engaging with the technology played a central role in their participation.</w:t>
      </w:r>
    </w:p>
    <w:p>
      <w:r>
        <w:t>Mahajan, Gupta, and Singh (2019) further emphasize the rapid rise of MOOCs in the e-learning landscape. Drawing parallels with the evolution of correspondence courses and e-learning, they outline the distinct types of MOOCs, namely Connectivist Massive Open Online Course (cMOOC) and Extended Massive Open Online Course (xMOOC). While cMOOCs are designed to foster creativity and interaction, xMOOCs primarily serve as platforms for knowledge dissemination. These platforms demonstrate the versatility of MOOCs in addressing diverse learning needs and objectives, especially in fields like medical education where continuous learning is paramount.</w:t>
      </w:r>
    </w:p>
    <w:p>
      <w:r>
        <w:t>Incorporating gaming principles into the learning process has become increasingly popular, as seen in the rise of digital badges in e-learning platforms. Hurst (2015) highlights the value of digital badges as learning incentives, indicating that these gamified elements can significantly boost learner engagement. A prime example of this is Duolingo, a language learning platform that extensively uses digital badges. These badges, earned for completing various lessons and challenges, act as motivating factors for learners. They not only recognize achievement but also encourage continued progress and engagement with the material. This approach is effective across different educational settings, from primary education to platforms like Duolingo, where gamified elements play a crucial role in sustaining interest and motivating learners to complete activities and advance their learning. The success of such gamification strategies in Duolingo exemplifies how digital badges and similar incentives can transform the educational experience, making it more interactive and engaging.</w:t>
      </w:r>
    </w:p>
    <w:p>
      <w:r>
        <w:t>Bezovski and Poorani (2016) trace the historical trajectory of e-learning, asserting that its inception in the 1960s has culminated in the diverse and technologically advanced platforms of today. The multifaceted e-learning tools available have applications ranging from education to business to military training. Trends like blended learning, micro-learning, and personalized learning indicate the growing importance and reliance on e-learning for skills acquisition and lifelong education.</w:t>
      </w:r>
    </w:p>
    <w:p>
      <w:r>
        <w:t xml:space="preserve">Integrating service-learning into the digital landscape, as Waldner et al.(2010) explore, opens up new avenues in online education. They </w:t>
      </w:r>
      <w:r>
        <w:rPr>
          <w:rFonts w:hint="default"/>
          <w:lang w:val="en-US"/>
        </w:rPr>
        <w:t>proposed</w:t>
      </w:r>
      <w:r>
        <w:t xml:space="preserve"> "extreme e-service learning" (XE-SL), a model where both teaching and service activities are conducted entirely online. For example, a course could involve students learning digital marketing principles online and then applying these skills by running social media campaigns for non-profit organizations remotely. Their research suggests that while XE-SL presents unique challenges and benefits compared to traditional service learning, it stands as a viable and valuable form of online education. This approach not only facilitates practical application of learned skills but also expands the reach of service-learning to a global scale, harnessing the power of the internet.</w:t>
      </w:r>
    </w:p>
    <w:p>
      <w:r>
        <w:t>Aalto Online Learning (A!OLE), as discussed by Kauppinen and Malmi (2017), represents a strategic shift towards incorporating online and blended learning options at Aalto University. Recognizing digitalization as a transformative force in higher education, the initiative encompasses diverse online learning resources and disseminates best practices to educators across various units. Such an approach underscores the importance of a holistic, institution-wide approach to online learning.</w:t>
      </w:r>
    </w:p>
    <w:p>
      <w:r>
        <w:t>Lastly, Gorsuch et al. (2020) address the essential role of evidence-based practice (EBP) in enhancing healthcare outcomes and reducing costs in the medical field. Their approach involved a practical, real-life application: a five-day continuing education program in EBP for nursing teams. This program equipped nurses with the necessary knowledge and skills to implement EBP effectively in their daily work. For instance, after the training, nurses could apply the latest research findings to patient care, leading to better treatment decisions and patient outcomes. The impact of this program was significant, with a sustained improvement in EBP competency observed over a year, demonstrating the practical benefits and effectiveness of such targeted e-learning initiatives in a crucial sector like healthcare.</w:t>
      </w:r>
    </w:p>
    <w:p>
      <w:r>
        <w:t>In essence, the evolution of online learning, characterized by MOOCs, gamification, and specialized programs, plays a pivotal role in supporting continuous education and skill-building. As the world becomes increasingly digital, leveraging the strengths of online platforms will be key to fostering lifelong learning and enhancing skill acquisition.</w:t>
      </w:r>
    </w:p>
    <w:p>
      <w:pPr>
        <w:pStyle w:val="3"/>
        <w:ind w:left="240"/>
      </w:pPr>
      <w:bookmarkStart w:id="35" w:name="_Toc1696149746"/>
      <w:r>
        <w:t>4.5 Conclusion</w:t>
      </w:r>
      <w:bookmarkEnd w:id="35"/>
    </w:p>
    <w:p>
      <w:r>
        <w:t>From the academic performance of students in virtual settings to the dynamics of engagement in digital courses, and the role of online platforms in lifelong learning, the chapter encapsulates the diverse implications of online education. It highlights that while online learning offers flexibility and innovative approaches to education, it also presents unique challenges that need addressing. The insights gathered from various studies underscore the potential of online learning to reshape educational paradigms, making it a vital component of contemporary and future educational strategies.</w:t>
      </w:r>
    </w:p>
    <w:p/>
    <w:p>
      <w:r>
        <w:br w:type="page"/>
      </w:r>
    </w:p>
    <w:p>
      <w:pPr>
        <w:pStyle w:val="2"/>
        <w:numPr>
          <w:ilvl w:val="0"/>
          <w:numId w:val="1"/>
        </w:numPr>
      </w:pPr>
      <w:bookmarkStart w:id="36" w:name="_Toc1490850744"/>
      <w:r>
        <w:t>Challenges of Online Learning in the Digital Age</w:t>
      </w:r>
      <w:bookmarkEnd w:id="36"/>
    </w:p>
    <w:p>
      <w:pPr>
        <w:pStyle w:val="3"/>
        <w:ind w:left="240"/>
      </w:pPr>
      <w:bookmarkStart w:id="37" w:name="_Toc2036744859"/>
      <w:r>
        <w:t>5.1 Introduction</w:t>
      </w:r>
      <w:bookmarkEnd w:id="37"/>
    </w:p>
    <w:p>
      <w:r>
        <w:t xml:space="preserve">This chapter </w:t>
      </w:r>
      <w:r>
        <w:rPr>
          <w:rFonts w:hint="eastAsia"/>
          <w:lang w:val="en-US" w:eastAsia="zh-CN"/>
        </w:rPr>
        <w:t>is about</w:t>
      </w:r>
      <w:r>
        <w:t xml:space="preserve"> the myriad challenges of online learning, dissecting issues from technological hurdles to pedagogical, social, psychological, accessibility, and inclusivity concerns. It explores how infrastructure limitations, platform inadequacies, and the sudden transition to online learning during the COVID-19 pandemic have highlighted significant obstacles. The chapter also examines the difficulties in adapting teaching strategies for digital environments, the unique social and emotional impacts on students, and the critical need for equitable and inclusive online learning experiences.</w:t>
      </w:r>
    </w:p>
    <w:p>
      <w:pPr>
        <w:pStyle w:val="3"/>
        <w:ind w:left="240"/>
      </w:pPr>
      <w:bookmarkStart w:id="38" w:name="_Toc681512033"/>
      <w:r>
        <w:t>5.2 Technological Challenges</w:t>
      </w:r>
      <w:bookmarkEnd w:id="38"/>
    </w:p>
    <w:p>
      <w:r>
        <w:t>One of the primary technological challenges is the issue of infrastructure. Gillett-Swan (2017) points out that higher education often uses a one-size-fits-all approach when transitioning from face-to-face to online learning, which may not address the specific technological needs of all learners. Simamora (2020) further elaborates on the shift from traditional classrooms to online platforms during the COVID-19 pandemic. The abrupt move to online platforms revealed a plethora of issues, from unstable internet connections to the risk of user data security. This aligns with the findings of Basar et al. (2021), where students reported the importance of a stable internet connection and well-equipped facilities for effective online learning.</w:t>
      </w:r>
    </w:p>
    <w:p>
      <w:r>
        <w:t>Software and platform limitations also pose significant challenges. Yusuf and Ahmad (2020) detail challenges faced by educators, one of which was the unsatisfactory platform or medium of learning. This inadequacy of platforms led to distractions and disengagements, a sentiment echoed by Greenhow, Graham, and Koehler (2022), who emphasize the multidimensionality of online learning platforms and the necessity for them to be robust and efficient.</w:t>
      </w:r>
    </w:p>
    <w:p>
      <w:r>
        <w:t>The rise of online learning has brought about significant technological challenges. One primary obstacle is the infrastructure. Gilbert (2015) highlights the expansive nature of the Internet and the rise in demand for web-based teaching and learning. The accessibility of online education has surged, but this growth has revealed underlying infrastructure issues in various regions. Aljedaani et al. (2023) amplify this challenge, pointing out that the transition to online learning introduced complications for deaf or hard-of-hearing students. They mention that the infrastructural tools utilized by academic institutions may not be universally suitable, especially for those with hearing impairments. Ullah et al. (2021) elaborate further, suggesting that in developing countries like Pakistan, a vast majority of students cannot access reliable internet facilities due to technical and financial constraints, indicating the broader infrastructural challenges faced globally. Software and platform limitations further compound the technological issues. Gilbert (2015) delineates various online learning environments – from fully web-based to hybrid formats and traditional courses supplemented with online materials. Each environment is distinct, emphasizing the need for diverse and adaptive platforms to cater to varying educational needs.</w:t>
      </w:r>
    </w:p>
    <w:p>
      <w:r>
        <w:t>With the widespread adoption of online learning, technological challenges have surfaced as a central concern. Song et al. (2004) emphasize the importance of course design and the “comfortableness” with online technologies in the success of an online learning experience. However, technological issues, particularly regarding the selection of appropriate devices, systems, and applications for online learning, have been identified as challenges in online learning environments</w:t>
      </w:r>
      <w:r>
        <w:rPr>
          <w:rFonts w:hint="default"/>
          <w:lang w:val="en-US"/>
        </w:rPr>
        <w:t xml:space="preserve"> </w:t>
      </w:r>
      <w:r>
        <w:t>(Susilowati, 2020). Abante et al. (2021) further highlight that both public and private school teachers have identified problems with internet connectivity, which is integral to the smooth execution of online classes.</w:t>
      </w:r>
    </w:p>
    <w:p>
      <w:r>
        <w:t>The COVID-19 pandemic compelled educational institutions to swiftly transition from face-to-face instruction to online learning. However, this abrupt change unveiled significant technological challenges. In the midst of this transition, Heng and Sol (2021) highlighted the myriad difficulties faced by stakeholders, ranging from students to education leaders. One pressing concern that emerges across regions, as demonstrated by Hermanto and Srimulyani (2021), is the inconsistent mastery of learning technology among educators and students. Furthermore, the discussion by Anshari et al. (2016) emphasizes the escalating demands of students who are now reliant on online resources, necessitating a seamless integration of big data with online learning. This integration promises a tailor-made educational experience based on user behaviour, but it also introduces complexities associated with infrastructure and software limitations.</w:t>
      </w:r>
    </w:p>
    <w:p>
      <w:pPr>
        <w:pStyle w:val="3"/>
        <w:ind w:left="240"/>
      </w:pPr>
      <w:bookmarkStart w:id="39" w:name="_Toc1642449180"/>
      <w:r>
        <w:t>5.3 Pedagogical Challenges</w:t>
      </w:r>
      <w:bookmarkEnd w:id="39"/>
    </w:p>
    <w:p>
      <w:r>
        <w:t>Transitioning to online teaching and learning has revealed the importance of effective online teaching strategies. Liang and Chen (2012) stress the need for a fresh pedagogical approach given the challenges and trends in online learning. As the nature of interaction and engagement changes in online environments, educators need to rethink their strategies. This sentiment resonates with the insights provided by Greenhow et al. (2022), who propose engagement as one of the five critical lenses through which online learning should be examined.</w:t>
      </w:r>
    </w:p>
    <w:p>
      <w:r>
        <w:t>Another substantial pedagogical challenge is assessment and feedback in virtual environments. Feedback mechanisms that work in face-to-face environments may not be directly transferrable to online settings, necessitating the development of innovative feedback and assessment tools tailored for virtual learning.</w:t>
      </w:r>
    </w:p>
    <w:p>
      <w:r>
        <w:t>The pedagogical dimension of online learning also presents its own set of challenges. Effective online teaching strategies are pivotal, yet teachers are faced with hurdles in this transition. Rosalina et al. (2020) detail how the COVID-19 pandemic instigated a dramatic shift in the education system, moving from face-to-face interactions to online systems. This sudden transformation posed challenges for teachers in designing engaging online learning activities, maintaining communication, and fostering an effective online learning environment. Cater III et al. (2012) echo these concerns, questioning the effectiveness of online delivery approaches and the true depth of student understanding in virtual environments.</w:t>
      </w:r>
    </w:p>
    <w:p>
      <w:r>
        <w:t>Assessment and feedback in virtual spaces are additional pedagogical areas of concern. The shift to online has demanded a rethinking of traditional assessment methodologies to fit the digital landscape, while still maintaining rigo</w:t>
      </w:r>
      <w:r>
        <w:rPr>
          <w:rFonts w:hint="default"/>
          <w:lang w:val="en-US"/>
        </w:rPr>
        <w:t>u</w:t>
      </w:r>
      <w:r>
        <w:t>r and integrity.</w:t>
      </w:r>
    </w:p>
    <w:p>
      <w:r>
        <w:t xml:space="preserve">One of the primary pedagogical challenges is the effective delivery of course content. Kim et al. (2005) found that students in online MBA programs identified virtual teaming as both a beneficial learning experience and a challenge. The online platform, although offering a global business environment experience, can be a hurdle in ensuring effective learning. </w:t>
      </w:r>
      <w:r>
        <w:rPr>
          <w:rFonts w:hint="default"/>
        </w:rPr>
        <w:t>Kearns (2012) adds that assessment, a fundamental aspect of instruction, has its own unique challenges in the online realm. Particularly with the advent of Artificial Intelligence (AI), new difficulties have emerged, especially for formal assessments. AI tools can sometimes enable students to receive assistance on tests in ways that are hard to detect, undermining the integrity of the assessment process. Additionally, the automated grading systems powered by AI, while efficient, may not always accurately capture the nuances of student responses, especially in subjective areas like essay writing or critical analysis</w:t>
      </w:r>
      <w:r>
        <w:t>. The study points out the constraints posed by the online environment, especially with the physical distance between instructors and students. The adaptation required due to technological communication tools, workload, time management issues, and the diverse types of assessment data needed were some of the issues underscored.</w:t>
      </w:r>
    </w:p>
    <w:p>
      <w:r>
        <w:t>Adopting online learning introduces distinct pedagogical challenges. Chiu et al. (2021) underscore the fundamental shift required: transitioning from a traditional, face-to-face focus to an online learning paradigm. Such a transition magnifies the need to bolster the education system's technological infrastructure, expand pedagogical expertise, and refine students' learning approaches. Moreover, the role of self-regulation, motivation, and learning dispositions becomes crucial in these virtual environments. The application of motivational theories, such as self-determination theory, to online learning is still in its infancy, leaving educators grappling with how to maintain student engagement and motivation in these new virtual settings.</w:t>
      </w:r>
    </w:p>
    <w:p>
      <w:pPr>
        <w:pStyle w:val="3"/>
        <w:ind w:left="240"/>
      </w:pPr>
      <w:bookmarkStart w:id="40" w:name="_Toc888569722"/>
      <w:r>
        <w:t>5.4 Social and Psychological Challenges</w:t>
      </w:r>
      <w:bookmarkEnd w:id="40"/>
    </w:p>
    <w:p>
      <w:r>
        <w:t>Isolation, particularly for external students, emerges as a dominant theme in online learning. Gillett-Swan (2017) explicitly discusses the sense of isolation experienced by online learners compared to their in-person counterparts. The virtual nature of learning can create barriers to group activities and discussions, fostering feelings of solitude.</w:t>
      </w:r>
    </w:p>
    <w:p>
      <w:r>
        <w:t>Furthermore, motivation and discipline in online settings present unique challenges. According to Basar et al. (2021), while most students had the necessary technological tools for online learning, their motivation levels were notably low. This observation is in line with Simamora's (2020) study, which noted both positive and negative impacts of online learning on students, highlighting areas like anxiety and the shift from face-to-face classes as significant challenges.</w:t>
      </w:r>
    </w:p>
    <w:p>
      <w:r>
        <w:t>Social and psychological aspects of online learning present further complexities. Gilbert (2015) recognizes the appeal of online learning due to its flexibility; however, the lack of face-to-face interactions can pose challenges, especially for high school students who might need more social interaction for holistic development. Zembylas et al. (2008)</w:t>
      </w:r>
      <w:r>
        <w:rPr>
          <w:rFonts w:hint="default"/>
          <w:lang w:val="en-US"/>
        </w:rPr>
        <w:t xml:space="preserve"> researched</w:t>
      </w:r>
      <w:r>
        <w:rPr>
          <w:rStyle w:val="6"/>
          <w:rFonts w:hint="default"/>
          <w:lang w:val="en-US"/>
        </w:rPr>
        <w:t xml:space="preserve"> </w:t>
      </w:r>
      <w:r>
        <w:t>adult learners' emotions in online contexts. They underline the criticality of social and emotional communication, suggesting that adult learners' emotions in online environments can be multifaceted, with implications for their learning experience.</w:t>
      </w:r>
    </w:p>
    <w:p>
      <w:r>
        <w:t>Motivation and discipline in online learning environments are also pressing issues. The lack of a physical classroom environment and direct oversight from educators can lead to decreased motivation and discipline among learners, making the learning process more challenging.</w:t>
      </w:r>
    </w:p>
    <w:p>
      <w:r>
        <w:t>The psychological and social dimensions of online learning also have their inherent difficulties. The shift to online platforms means students miss out on face-to-face interactions, leading to challenges associated with a perceived lack of community (Song et al., 2004). While online platforms offer flexibility, they often lack the structure of traditional classrooms, requiring enhanced motivation and discipline from students. Mukuna and Aloka (2020) reiterate the challenges of online learning during the COVID-19 pandemic, pointing out issues like poor parental involvement, which can be a significant determinant in the success of younger students</w:t>
      </w:r>
      <w:r>
        <w:rPr>
          <w:rFonts w:hint="default"/>
          <w:lang w:val="en-US"/>
        </w:rPr>
        <w:t xml:space="preserve"> and </w:t>
      </w:r>
      <w:r>
        <w:rPr>
          <w:lang w:val="en-GB"/>
        </w:rPr>
        <w:t>older children</w:t>
      </w:r>
      <w:r>
        <w:t>.</w:t>
      </w:r>
    </w:p>
    <w:p>
      <w:r>
        <w:t>The shift to online learning doesn't just represent a technological or pedagogical shift, but also a profound social and psychological transformation. Chiu et al. (2021) emphasize the heightened importance of students' self-regulation and motivation in online contexts. The isolation inherent to this format of education may inadvertently lead to heightened stress and anxiety, which can further impede learning. Additionally, Hermanto and Srimulyani (2021) underscore the disadvantages of online learning, such as diminished student discipline and reduced social interactions. These factors combined accentuate the significant psychological and social hurdles faced by learners in online platforms.</w:t>
      </w:r>
    </w:p>
    <w:p>
      <w:pPr>
        <w:pStyle w:val="3"/>
        <w:ind w:left="240"/>
      </w:pPr>
      <w:bookmarkStart w:id="41" w:name="_Toc590036416"/>
      <w:r>
        <w:t>5.5 Accessibility and Inclusivity</w:t>
      </w:r>
      <w:bookmarkEnd w:id="41"/>
    </w:p>
    <w:p>
      <w:r>
        <w:t>The shift to online learning has also amplified concerns about accessibility and inclusivity. While online learning can offer more flexibility, it can also inadvertently exclude specific populations. For instance, students with disabilities may find it challenging to navigate and engage with certain online platforms. Additionally, economic disparities can impact access to reliable internet connections and necessary devices, as outlined in both Simamora (2020) and Basar et al. (2021). Greenhow et al. (2022) emphasize equity as a critical lens for online learning, suggesting that research and practice need to focus on ensuring that all learners, regardless of their backgrounds or challenges, can benefit from online educational experiences.</w:t>
      </w:r>
    </w:p>
    <w:p>
      <w:r>
        <w:t>Accessibility and inclusivity challenges in online learning are pronounced. While online learning offers flexibility and convenience, it may inadvertently exclude specific populations. Aljedaani et al. (2023) underscore the challenges faced by deaf and hard-of-hearing students in online settings. Their research indicates that the current online educational platforms may not cater effectively to students with hearing impairments, spotlighting the need for more inclusive online learning environments. Furthermore, Ullah et al. (2021) emphasize the digital divide in countries like Pakistan, where students might not have proper access to the internet or devices, showcasing the challenges of online learning in developing regions.</w:t>
      </w:r>
    </w:p>
    <w:p>
      <w:r>
        <w:t>The drive to ensure inclusivity in online education is met with several challenges. While the online platform makes education accessible to many, it also inadvertently poses challenges for certain demographics. For instance, students in rural settings, as highlighted by Mukuna and Aloka (2020), face difficulties such as poor access to network connectivity, lack of necessary learning devices, and insufficient personal protective equipment during the pandemic. These findings are in line with the observations made by Abante et al. (2021), where they noted challenges related to scarce resources for students and the need for better training on online platforms for educators, particularly in settings outside urban centers.</w:t>
      </w:r>
    </w:p>
    <w:p>
      <w:r>
        <w:t>Accessibility remains a formidable challenge in the domain of online learning. Barrot et al. (2021) examine the challenges and coping strategies employed by students during the pandemic. Findings from their study highlighted the diversity of challenges students face, with notable concerns arising from the learning environment at home and technological literacy. For many, the pandemic intensified the disparity in the quality of the learning experience and also took a toll on students' mental health. Hermanto and Srimulyani (2021) add to this narrative, citing issues such as inadequate internet access as significant barriers for many learners. The challenge is not just about shifting to online platforms but ensuring that these platforms are equitable and accessible to all, regardless of their background or resources.</w:t>
      </w:r>
    </w:p>
    <w:p>
      <w:pPr>
        <w:pStyle w:val="3"/>
        <w:ind w:left="240"/>
      </w:pPr>
      <w:bookmarkStart w:id="42" w:name="_Toc1810045513"/>
      <w:r>
        <w:t>5.6 Conclusion</w:t>
      </w:r>
      <w:bookmarkEnd w:id="42"/>
    </w:p>
    <w:p>
      <w:r>
        <w:t>This chapter offers a comprehensive overview of the multifaceted challenges faced in online learning environments. From the infrastructural and software limitations to the complexities in pedagogical adaptation and the social and psychological impacts on learners, the chapter underscores the need for a more inclusive and accessible online learning landscape. It highlights the importance of addressing these challenges to ensure that the potential benefits of online education are accessible to all learners, thereby fostering a more equitable and effective educational experience in the digital era.</w:t>
      </w:r>
    </w:p>
    <w:p/>
    <w:p/>
    <w:p>
      <w:r>
        <w:br w:type="page"/>
      </w:r>
    </w:p>
    <w:p>
      <w:pPr>
        <w:pStyle w:val="2"/>
        <w:numPr>
          <w:ilvl w:val="0"/>
          <w:numId w:val="1"/>
        </w:numPr>
      </w:pPr>
      <w:bookmarkStart w:id="43" w:name="_Toc181593589"/>
      <w:r>
        <w:t>Case Studies</w:t>
      </w:r>
      <w:bookmarkEnd w:id="43"/>
    </w:p>
    <w:p>
      <w:pPr>
        <w:pStyle w:val="3"/>
        <w:ind w:left="240"/>
      </w:pPr>
      <w:bookmarkStart w:id="44" w:name="_Toc469187936"/>
      <w:r>
        <w:t>6.1 Introduction</w:t>
      </w:r>
      <w:bookmarkEnd w:id="44"/>
    </w:p>
    <w:p>
      <w:r>
        <w:t>This chapter presents a series of case studies that exemplify the evolution and impact of online learning. It explores the pioneering journey of the University of Phoenix in online education, MIT's groundbreaking OpenCourseWare initiative, and the remarkable rise of Khan Academy. Each case study provides unique insights into the challenges, innovations, and successes of online education, showcasing how these institutions and platforms have navigated the complexities of digital learning environments and significantly contributed to the field of online education.</w:t>
      </w:r>
    </w:p>
    <w:p>
      <w:pPr>
        <w:pStyle w:val="3"/>
        <w:ind w:left="240"/>
      </w:pPr>
      <w:bookmarkStart w:id="45" w:name="_Toc81688568"/>
      <w:r>
        <w:t>6.2 University of Phoenix: A Pioneer in Online Education</w:t>
      </w:r>
      <w:bookmarkEnd w:id="45"/>
    </w:p>
    <w:p>
      <w:r>
        <w:t>Established in 1976, the University of Phoenix emerged as one of the pioneering educational institutions in the U.S. to advocate for the viability of online education. It was founded with a distinctive vision: to provide working adults, who often juggle work and family commitments, with a unique opportunity to achieve higher education. Instead of following the traditional educational model, the University of Phoenix aimed to harness the evolving digital landscape to provide flexibility and accessibility to its students.</w:t>
      </w:r>
    </w:p>
    <w:p>
      <w:r>
        <w:t>To realize its mission, the University of Phoenix introduced an asynchronous learning model early on. This method, characterized by its self-paced nature, meant that students could access course materials, lectures, tests, and assignments at any time that suited them. Recognizing the hectic schedules of its primary demographic - working adults - the university's model was both strategic and considerate. It granted students the luxury of flexibility, ensuring that higher education was attainable without sacrificing their existing professional or personal commitments.</w:t>
      </w:r>
    </w:p>
    <w:p>
      <w:r>
        <w:t>Further augmenting its digital approach, the University of Phoenix developed a proprietary online portal. Through this platform, students could not only access academic resources but also engage in various interactive activities. The portal facilitated discussions with peers and instructors, submission of assignments, and participation in dynamic discussion boards. Additionally, students could tap into an expansive online library, equipping them with an extensive array of academic resources at their fingertips.</w:t>
      </w:r>
    </w:p>
    <w:p>
      <w:r>
        <w:t>The University of Phoenix's innovative approach reaped considerable rewards. By 2010, the institution had a staggering enrollment of over 470,000 students, many of whom might have missed out on higher education without such an accommodating platform. Its soaring popularity set a precedent, demonstrating to other educational institutions the untapped potential of online education. The University of Phoenix's success story showed that online learning could stand not merely as an alternative but could be considered a primary method of instruction tailored for specific demographics. Consequently, the success of this model led many universities worldwide to reconsider their educational methodologies and invest in online platforms.</w:t>
      </w:r>
    </w:p>
    <w:p>
      <w:r>
        <w:t>However, the journey of the University of Phoenix was not without its hurdles. As the institution grew in prominence, it faced scrutiny regarding its academic rigo</w:t>
      </w:r>
      <w:r>
        <w:rPr>
          <w:rFonts w:hint="default"/>
          <w:lang w:val="en-US"/>
        </w:rPr>
        <w:t>u</w:t>
      </w:r>
      <w:r>
        <w:t>r, graduation rates, and student debt levels. Critics argued that the university's model prioritized enrollment numbers over educational quality, leading to subpar academic outcomes for its students.</w:t>
      </w:r>
    </w:p>
    <w:p>
      <w:r>
        <w:t>In response to these challenges, the University of Phoenix undertook several measures to enhance its academic standards and credibility. They introduced rigorous curriculum evaluation processes, increased faculty development programs, and made efforts to align their courses with industry needs, ensuring that their graduates were well-equipped for the job market.</w:t>
      </w:r>
    </w:p>
    <w:p>
      <w:r>
        <w:t>Furthermore, the university faced challenges in terms of adapting to the rapid technological advancements in the online education sector. Competing with newer platforms boasting advanced interactive features, the University of Phoenix had to consistently update its proprietary portal to ensure it remained user-friendly and aligned with contemporary online learning best practices.</w:t>
      </w:r>
    </w:p>
    <w:p>
      <w:pPr>
        <w:pStyle w:val="3"/>
        <w:ind w:left="240"/>
      </w:pPr>
      <w:bookmarkStart w:id="46" w:name="_Toc697711943"/>
      <w:r>
        <w:t>6.3 MIT OpenCourseWare: Democratizing Knowledge Globally</w:t>
      </w:r>
      <w:bookmarkEnd w:id="46"/>
    </w:p>
    <w:p>
      <w:r>
        <w:t>The Massachusetts Institute of Technology (MIT), one of the world's premier institutions, made a revolutionary move in 2001 that changed the face of online education globally. Recognizing the transformative power of the internet, MIT launched the OpenCourseWare (OCW) initiative with an ambitious aim: to provide all of MIT's undergraduate and graduate course content online, freely and accessible to anyone around the world.</w:t>
      </w:r>
    </w:p>
    <w:p>
      <w:r>
        <w:t>The MIT OCW was a bold experiment in educational transparency. It represented an aspiration to move beyond the traditional confines of academia and democratize knowledge on an unprecedented scale. By uploading lecture notes, assignments, exams, and, in some cases, video lectures, MIT threw open the doors of its classrooms to the world.</w:t>
      </w:r>
    </w:p>
    <w:p>
      <w:r>
        <w:t>The impact was profound. As of today, MIT OCW boasts content from over 2,400 courses, spanning across all MIT departments. The platform has reached more than 200 million learners worldwide, proving that high-quality education is not limited to those who can physically or financially access elite institutions.</w:t>
      </w:r>
    </w:p>
    <w:p>
      <w:r>
        <w:t>The ripple effect of MIT OCW has been equally significant. Several other institutions, inspired by MIT's model, embarked on similar initiatives, giving rise to the Open Educational Resources (OER) movement. This movement aimed at creating a global educational ecosystem where knowledge is shared freely, fostering a culture of collaboration and mutual enrichment.</w:t>
      </w:r>
      <w:r>
        <w:rPr>
          <w:rFonts w:hint="default"/>
          <w:lang w:val="en-US"/>
        </w:rPr>
        <w:t xml:space="preserve"> </w:t>
      </w:r>
      <w:r>
        <w:t>Yet, the path to OCW's success was riddled with challenges. One of the most significant was the skepticism from both inside and outside MIT. Many wondered if making content freely available would dilute the value of an MIT degree or if it would cannibalize traditional program enrollments.</w:t>
      </w:r>
      <w:r>
        <w:rPr>
          <w:rFonts w:hint="default"/>
          <w:lang w:val="en-US"/>
        </w:rPr>
        <w:t xml:space="preserve"> </w:t>
      </w:r>
      <w:r>
        <w:t>To address these concerns, MIT emphasized that while OCW provided the content of courses, it did not offer an MIT education's holistic experience, including interactions with faculty, hands-on projects, or the campus's vibrant environment. It was made clear that OCW was not a degree-granting initiative but a philanthropic one. Over time, this differentiation assuaged doubts and solidified OCW's reputation as a valuable educational resource rather than a substitute for formal education.</w:t>
      </w:r>
    </w:p>
    <w:p>
      <w:r>
        <w:t>Another challenge was the sustainability of the project, given its non-revenue-generating model. MIT addressed this by seeking philanthropic donations, sponsorships, and occasionally licensing its content for commercial purposes, ensuring that OCW remained financially viable while staying true to its mission of free access.</w:t>
      </w:r>
      <w:r>
        <w:rPr>
          <w:rFonts w:hint="default"/>
          <w:lang w:val="en-US"/>
        </w:rPr>
        <w:t xml:space="preserve"> Moreover</w:t>
      </w:r>
      <w:r>
        <w:t>, adapting to the rapidly evolving digital landscape was a continuous challenge. As new platforms and online learning methodologies emerged, OCW had to keep updating its offerings to ensure it remained relevant and user-friendly. For instance, recognizing the rise of mobile learning, MIT OCW launched an app to facilitate learning on-the-go.</w:t>
      </w:r>
    </w:p>
    <w:p>
      <w:pPr>
        <w:pStyle w:val="3"/>
        <w:ind w:left="240"/>
      </w:pPr>
      <w:bookmarkStart w:id="47" w:name="_Toc1183913381"/>
      <w:r>
        <w:t>6.4 Rise and Adaptation of Online Learning: The Case of Khan Academy</w:t>
      </w:r>
      <w:bookmarkEnd w:id="47"/>
    </w:p>
    <w:p>
      <w:r>
        <w:t>Khan Academy stands out as one of the most successful online learning platforms globally. Founded in 2008 by Salman Khan, a former hedge fund analyst, Khan Academy started as a series of YouTube tutorials for Khan's cousins. The idea was simple: to provide a free, world-class education for anyone, anywhere. Today, the platform offers lessons spanning math, science, economics, arts, and even subjects like computer programming.</w:t>
      </w:r>
    </w:p>
    <w:p>
      <w:r>
        <w:t>Khan Academy's format is mainly video-based, with Salman Khan's original videos being simple digital blackboard-style lectures, focusing on clear explanations and step-by-step walkthroughs. This simplicity and clarity are what set Khan Academy apart. The platform ensures that students master topics before moving on. Mastery is determined through interactive exercises and tasks that accompany each video lesson.</w:t>
      </w:r>
    </w:p>
    <w:p>
      <w:r>
        <w:t xml:space="preserve">Over the years, Khan Academy has diversified its content, offering course materials that align with various school curricula across different countries, </w:t>
      </w:r>
      <w:r>
        <w:rPr>
          <w:rFonts w:hint="default"/>
        </w:rPr>
        <w:t>Scholastic Assessment Test</w:t>
      </w:r>
      <w:r>
        <w:rPr>
          <w:rFonts w:hint="default"/>
          <w:lang w:val="en-US"/>
        </w:rPr>
        <w:t xml:space="preserve"> (</w:t>
      </w:r>
      <w:r>
        <w:t>SAT</w:t>
      </w:r>
      <w:r>
        <w:rPr>
          <w:rFonts w:hint="default"/>
          <w:lang w:val="en-US"/>
        </w:rPr>
        <w:t>)</w:t>
      </w:r>
      <w:r>
        <w:t xml:space="preserve"> prep courses in collaboration with the College Board, and even early childhood learning resources. Their adaptive learning technology ensures that students get exercises pitched at the right difficulty level, allowing for personalized learning paths.</w:t>
      </w:r>
    </w:p>
    <w:p>
      <w:r>
        <w:t>The impact of Khan Academy has been profound. As of 2020, the platform boasts over 103 million registered users across 190 countries. Teachers worldwide integrate Khan Academy into their classrooms, and many students rely on it for supplementary learning or as a primary resource.</w:t>
      </w:r>
    </w:p>
    <w:p>
      <w:r>
        <w:t>However, Khan Academy's journey was not without challenges. One significant challenge was reaching students without regular internet access, especially in remote or underserved areas. To address this, Khan Academy launched Khan Academy Lite (KA Lite) in 2012, an offline version of their platform which doesn't require an internet connection once it</w:t>
      </w:r>
      <w:r>
        <w:rPr>
          <w:rFonts w:hint="eastAsia"/>
          <w:lang w:val="en-US" w:eastAsia="zh-CN"/>
        </w:rPr>
        <w:t xml:space="preserve"> is</w:t>
      </w:r>
      <w:r>
        <w:t xml:space="preserve"> installed.</w:t>
      </w:r>
      <w:r>
        <w:rPr>
          <w:rFonts w:hint="eastAsia"/>
          <w:lang w:val="en-US" w:eastAsia="zh-CN"/>
        </w:rPr>
        <w:t xml:space="preserve"> </w:t>
      </w:r>
      <w:r>
        <w:t>Furthermore, as the platform expanded globally, localization became vital. Khan Academy started partnering with organizations around the world to translate their content into different languages. This effort was more than just translation; it involved adapting examples and content to be culturally relevant.</w:t>
      </w:r>
    </w:p>
    <w:p>
      <w:r>
        <w:t>Feedback and continuous improvement have been a constant in Khan Academy's journey. In the early days, some educators criticized the platform for not aligning with pedagogical best practices, being too lecture-based, and not being interactive enough. Khan Academy responded by introducing more interactive elements, instant feedback on exercises, and tools for teachers to monitor student progress.</w:t>
      </w:r>
    </w:p>
    <w:p>
      <w:r>
        <w:t>During the COVID-19 pandemic, the importance of platforms like Khan Academy became even more evident. As schools closed, Khan Academy saw a surge in users. They responded by quickly curating course schedules for students, conducting webinars for parents on how to facilitate home learning, and releasing regular content to address the challenges posed by the pandemic.</w:t>
      </w:r>
    </w:p>
    <w:p>
      <w:pPr>
        <w:pStyle w:val="3"/>
        <w:ind w:left="240"/>
      </w:pPr>
      <w:bookmarkStart w:id="48" w:name="_Toc1596205012"/>
      <w:r>
        <w:t>6.5 Conclusion</w:t>
      </w:r>
      <w:bookmarkEnd w:id="48"/>
    </w:p>
    <w:p>
      <w:r>
        <w:t>In conclusion, these case studies in Chapter 6 highlight the transformative nature of online education and its wide-reaching impact. The University of Phoenix's early adoption of online learning, MIT's democratization of knowledge through OpenCourseWare, and Khan Academy's global educational outreach exemplify the potential of online platforms to revolutionize education. Despite facing various challenges, these institutions and platforms have demonstrated resilience and innovation, paving the way for future developments in online learning and setting benchmarks for educational excellence in the digital age.</w:t>
      </w:r>
    </w:p>
    <w:p/>
    <w:p>
      <w:r>
        <w:br w:type="page"/>
      </w:r>
    </w:p>
    <w:p>
      <w:pPr>
        <w:pStyle w:val="2"/>
        <w:numPr>
          <w:ilvl w:val="0"/>
          <w:numId w:val="1"/>
        </w:numPr>
      </w:pPr>
      <w:bookmarkStart w:id="49" w:name="_Toc1051918360"/>
      <w:r>
        <w:t>Potential Solutions and Recommendations</w:t>
      </w:r>
      <w:bookmarkEnd w:id="49"/>
    </w:p>
    <w:p>
      <w:pPr>
        <w:pStyle w:val="3"/>
        <w:ind w:left="240"/>
      </w:pPr>
      <w:bookmarkStart w:id="50" w:name="_Toc1506494416"/>
      <w:r>
        <w:t>7.1 Introduction</w:t>
      </w:r>
      <w:bookmarkEnd w:id="50"/>
    </w:p>
    <w:p>
      <w:r>
        <w:t>In this comprehensive study delves into potential solutions and recommendations to enhance the quality and effectiveness of online learning. It addresses various aspects including technological improvements, pedagogical interventions, social strategies, and policy recommendations. The chapter offers insights into the use of advanced tools and platforms, effective teaching methodologies, fostering online communities, and policy initiatives by educational institutions and governments. These recommendations aim to tackle the challenges and leverage the opportunities presented by online education, especially in the wake of the COVID-19 pandemic's impact on the learning landscape.</w:t>
      </w:r>
    </w:p>
    <w:p>
      <w:pPr>
        <w:pStyle w:val="3"/>
        <w:ind w:left="240"/>
      </w:pPr>
      <w:bookmarkStart w:id="51" w:name="_Toc819451582"/>
      <w:r>
        <w:t>7.2 Technological Solutions: Platforms and Tools Enhancing Online Learning Efficacy</w:t>
      </w:r>
      <w:bookmarkEnd w:id="51"/>
    </w:p>
    <w:p>
      <w:r>
        <w:t>The swift and often unexpected migration to online learning brought about by circumstances such as the COVID-19 pandemic has demanded a robust technological response. Evident from various research, online education's efficacy is intricately tied to the technological platforms and tools employed, which facilitate learning experiences that are as enriched, if not more, as traditional classroom settings.</w:t>
      </w:r>
    </w:p>
    <w:p>
      <w:r>
        <w:t>The research conducted by Hermanto and Srimulyani (2021) on Indonesian education during the COVID-19 pandemic emphasizes the pivotal role of technology. With a rapid shift to online modalities, educators and students both had to adapt and master various online tools. Their study, which used questionnaires disseminated through Google forms, identified that students demonstrated a higher proficiency in using MS office software and online learning technology than educators. This implies that the younger generation might be more ‘tech-savvy’, and thus, platforms aiming to improve online learning efficacy must ensure accessibility and usability for all age groups. However, the challenges they highlighted, like a lack of internet access and social interaction, serve as a reminder that the technological solutions provided must be comprehensive, addressing not just content delivery but also interactive experiences.</w:t>
      </w:r>
    </w:p>
    <w:p>
      <w:r>
        <w:t>Another vital dimension to enhancing online learning efficacy is leveraging the inherent motivation and self-regulation of learners. Santhanam, Sasidharan, and Webster (2008)underscore this by proposing that e-learning platforms can be significantly more effective if they incorporate instructional strategies that encourage self-regulated learning. E-learning platforms, instead of being passive repositories, can actively engage learners, guiding them in a self-directed manner and ensuring improved learning outcomes. The key here is the seamless integration of IT features with strategic instructional guidance.</w:t>
      </w:r>
    </w:p>
    <w:p>
      <w:r>
        <w:t>In recent years, technological advancements in the field of Augmented Reality (AR) and VR have opened up unprecedented opportunities for education. As Childs et al. (2021) elaborate, AR/VR technologies can address some of the most pressing challenges of distance learning. Whether it's the lack of social interaction, reduced engagement, or comprehension issues, immersive technologies like AR/VR can offer solutions. These technologies can simulate classroom environments, provide interactive 3D models for complex topics, and offer virtual field trips, making the learning experience richer and more engaging.</w:t>
      </w:r>
    </w:p>
    <w:p>
      <w:r>
        <w:t>Lastly, the study by Ulanday et al. (2021) provides a practical perspective on the online tools and platforms preferred by students. Their research revealed that smartphones and mobile applications have emerged as the predominant tools for education. Platforms like Google Classroom and Google Meet dominate the online education space, suggesting a preference for integrated and user-friendly systems. Moreover, the research underscores the importance of accessibility and communication. Platforms like Facebook, though not traditionally educational, have been leveraged effectively for education due to their widespread use and accessibility.</w:t>
      </w:r>
    </w:p>
    <w:p>
      <w:r>
        <w:t>As online education continues to evolve, the focus should be on creating integrated, user-friendly, and immersive platforms that not only deliver content but also facilitate meaningful interactions, motivate learners, and offer a comprehensive learning experience. It's a confluence of content, technology, strategy, and accessibility. The aim is not just to replicate the classroom experience but to transcend it, making learning more accessible, engaging, and effective for everyone, everywhere.</w:t>
      </w:r>
    </w:p>
    <w:p>
      <w:pPr>
        <w:pStyle w:val="3"/>
        <w:ind w:left="240"/>
      </w:pPr>
      <w:bookmarkStart w:id="52" w:name="_Toc710110463"/>
      <w:r>
        <w:t>7.3 Pedagogical Interventions: Effective Online Teaching Methodologies and Strategies</w:t>
      </w:r>
      <w:bookmarkEnd w:id="52"/>
    </w:p>
    <w:p>
      <w:r>
        <w:t>The digital revolution has fostered a burgeoning interest in the pedagogical methodologies and strategies that can be employed to enhance online teaching. Recognizing the potential of online platforms, educators and researchers have invested considerable effort in discerning best practices that can drive student engagement and ensure a productive learning experience.</w:t>
      </w:r>
    </w:p>
    <w:p>
      <w:r>
        <w:t xml:space="preserve">A pivotal dimension highlighted by Wise (2014) is the importance of learning analytics interventions. These interventions serve as conduits through which analytic tools and data are utilized in the learning environment. But how do students engage with these analytics, and how can this engagement be maximized to bolster learning? Wise offers an intriguing perspective, underscoring the necessity of integrating learning analytics within the broader pedagogical strategy. The essence is to align analytics with teaching, thereby ensuring that students can derive actionable insights. Wise introduces principles like Integration, emphasizing weaving analytics into the course fabric, and Agency, fostering student autonomy in using these analytics. Moreover, processes such as Grounding, which pertains to contextualizing analytics, and Reflection, encouraging students to ponder their learning trajectory, are instrumental in harnessing the full potential of learning analytics. </w:t>
      </w:r>
    </w:p>
    <w:p>
      <w:r>
        <w:t>The world of online teaching isn't just about data and analytics; it's also about the interpersonal dimensions of learning. Drawing from Wang et al. (2008), there</w:t>
      </w:r>
      <w:r>
        <w:rPr>
          <w:rFonts w:hint="eastAsia"/>
          <w:lang w:val="en-US" w:eastAsia="zh-CN"/>
        </w:rPr>
        <w:t xml:space="preserve"> is</w:t>
      </w:r>
      <w:r>
        <w:t xml:space="preserve"> a case for embedding social intelligence within the digital learning environment. How does a system or a pedagogical agent, a digital entity designed to facilitate learning, interact with a student? The research underscores the "politeness effect." Here, the communication mode adopted by the pedagogical agent can influence learning outcomes. When feedback is provided in a polite, face-saving manner, it resonates better with learners, leading to improved outcomes. Particularly, learners who prefer indirect feedback or come from non-engineering backgrounds seem to benefit more from such politeness-oriented pedagogical strategies. Thus, the digital entities, much like human educators, need to be mindful of the socio-emotional aspects of teaching.</w:t>
      </w:r>
    </w:p>
    <w:p>
      <w:r>
        <w:t>Lastly, any discussion on online teaching methodologies would be incomplete without addressing the all-important facet of student engagement. Dewan, Murshed, and Lin (2019) delve deep into the nuances of engagement detection in online learning. Online students, owing to the inherent nature of the medium, exhibit varied engagement levels. Identifying these levels accurately can offer educators a chance to intervene and tailor their pedagogical approaches. The authors classify engagement detection methods into three core categories: automatic, which relies on technology, semi-automatic, which amalgamates human intervention with technology, and manual, relying predominantly on human judgment. A notable observation is the efficacy of computer vision-based methods within the automatic category. By leveraging facial expressions, these methods offer a nonintrusive yet insightful gauge of student engagement.</w:t>
      </w:r>
    </w:p>
    <w:p>
      <w:r>
        <w:t>The pedagogical interventions within the realm of online learning are multifaceted. They demand a confluence of data analytics, socio-emotional intelligence, and engagement detection. When effectively orchestrated, these interventions can transform the digital learning space, ensuring that students don't just learn, but thrive.</w:t>
      </w:r>
    </w:p>
    <w:p>
      <w:pPr>
        <w:pStyle w:val="3"/>
        <w:ind w:left="240"/>
      </w:pPr>
      <w:bookmarkStart w:id="53" w:name="_Toc1259925262"/>
      <w:r>
        <w:t>7.4 Social Interventions: Building Online Communities and Fostering Interaction</w:t>
      </w:r>
      <w:bookmarkEnd w:id="53"/>
    </w:p>
    <w:p>
      <w:r>
        <w:t>In an increasingly digitized world, the dynamics of social interaction are being reshaped. This transformation is especially pronounced in the realm of education, where traditional classrooms are evolving into virtual spaces. The challenge now is to facilitate meaningful social interaction in these online environments. With technology at the forefront, the opportunity lies in harnessing its potential to build thriving online communities and foster genuine interpersonal connections.</w:t>
      </w:r>
    </w:p>
    <w:p>
      <w:r>
        <w:t>According to Durlak et al. (2011), the significance of Social and Emotional Learning (SEL) in school environments cannot be understated. Their exhaustive meta-analysis spanning 213 school-based SEL programs revealed marked improvements in students' social and emotional competencies, attitudes, behavio</w:t>
      </w:r>
      <w:r>
        <w:rPr>
          <w:rFonts w:hint="default"/>
          <w:lang w:val="en-US"/>
        </w:rPr>
        <w:t>u</w:t>
      </w:r>
      <w:r>
        <w:t>r, and even academic performance. Intriguingly, the results indicated an 11-percentile-point advancement in academic achievement among SEL participants compared to controls. The findings are unequivocal: social and emotional dimensions of learning play a pivotal role in the holistic development of students. Translating this understanding to online educational contexts implies that mere content delivery isn't enough. A nuanced integration of SEL principles can enhance the efficacy of online learning, making it more engaging and enriching for students.</w:t>
      </w:r>
    </w:p>
    <w:p>
      <w:r>
        <w:t>Building on this foundation, Taylor et al. (2017) further affirm the longevity of the benefits accrued from SEL interventions. In their meta-analysis, the positive effects of SEL persisted well beyond the immediate post-intervention phase, reflecting sustained improvements in social-emotional skills, attitudes, and holistic well-being. Importantly, these benefits transcended racial, socioeconomic, and geographical boundaries, underscoring the universality of SEL's impact. For online educators, this provides a roadmap: Incorporate SEL principles and methodologies into virtual classrooms, ensuring that students don't just interact with content but also forge meaningful connections with peers and educators.</w:t>
      </w:r>
    </w:p>
    <w:p>
      <w:r>
        <w:t xml:space="preserve">Moving from conventional classrooms to the expansive realm of online social networking, Yu et al. (2010) </w:t>
      </w:r>
      <w:r>
        <w:rPr>
          <w:rFonts w:hint="default"/>
          <w:lang w:val="en-US"/>
        </w:rPr>
        <w:t>states</w:t>
      </w:r>
      <w:r>
        <w:t xml:space="preserve"> the pedagogical potential of platforms like Facebook. Through the lens of social learning theory, they examine the intersections between individual online networking activities and social learning outcomes. The results are compelling: engaging in online social networks significantly bolsters various facets of students' learning experiences. Such platforms provide avenues for students to attain social acceptance, adapt to diverse cultural contexts, and ultimately enhance their overall learning trajectories. These findings are testament to the idea that virtual spaces, often dismissed as mere distractions, can be transformed into vibrant hubs of social learning. For educators and institutions, this calls for a reimagining of the role of social networking in pedagogical strategies.</w:t>
      </w:r>
    </w:p>
    <w:p>
      <w:r>
        <w:t>As online learning paradigms evolve, the need for robust social interventions becomes paramount. By weaving together principles of social and emotional learning with the capabilities of online social networking platforms, educators can create enriching virtual environments. These spaces, characterized by genuine interaction and community-building, can redefine the very essence of online learning, making it as fulfilling, if not more, than traditional classroom experiences.</w:t>
      </w:r>
    </w:p>
    <w:p>
      <w:pPr>
        <w:pStyle w:val="3"/>
        <w:ind w:left="240"/>
      </w:pPr>
      <w:bookmarkStart w:id="54" w:name="_Toc1375119014"/>
      <w:r>
        <w:t>7.5 Policy Recommendations: Suggestions for Educational Institutions and Governments</w:t>
      </w:r>
      <w:bookmarkEnd w:id="54"/>
    </w:p>
    <w:p>
      <w:r>
        <w:t>The recent health crises, particularly the COVID-19 pandemic, has abruptly shifted the traditional education paradigm to an online modality. This transition, though crucial in continuing the education process, has unveiled numerous challenges faced by learners, educators, and institutions alike. Drawing from the insights of the recent studies, we outline policy recommendations for educational institutions and governments to enhance the e-learning experience and address the inherent challenges.</w:t>
      </w:r>
    </w:p>
    <w:p>
      <w:r>
        <w:t>Ismail et al. (2023) provide a detailed account of the experiences of medical students in Gaza amidst the transition to e-learning due to the pandemic. The study illuminates various challenges, notably the dearth of practical training opportunities in the hospital and a lack of real-life patient interactions for clinical-level students. Basic-level students cited a significant absence of practical skills training, such as laboratory skills, compounded by the unreliable internet access. Despite a reported shift in the duration spent on e-learning post-COVID-19, less than a third expressed a desire to continue with e-learning in subsequent terms. Drawing from these insights, institutions should be encouraged to invest in hybrid models of learning, incorporating both online theoretical lessons and offline practical sessions. Furthermore, governments and international organizations must prioritize and subsidize robust digital infrastructures to ensure reliable internet connectivity, given its centrality to online learning.</w:t>
      </w:r>
    </w:p>
    <w:p>
      <w:r>
        <w:t>Sundarasen et al. (2020) offer an introspective look at the psychological implications of the pandemic and the lockdown, focusing on university students in Malaysia. The study delineates several significant stressors, including financial constraints, the shift to remote online teaching, and prevailing uncertainties about academic and career trajectories. The findings suggest an urgent need for institutions to provide comprehensive psychological support mechanisms for students. Counseling services, mentorship programs, and peer-support groups can offer solace and guidance. Moreover, governments can step in with financial aid, scholarships, or deferred loan repayment schemes to alleviate financial stress among students.</w:t>
      </w:r>
    </w:p>
    <w:p>
      <w:r>
        <w:t xml:space="preserve">Lastly, Irmawati et al. (2022) unveil the complexities of transitioning to online learning in Indonesian Vocational Higher Education (VHE). Their research underscores several emerging challenges, such as the rapid adaptation required by lecturers to unfamiliar online learning technologies, the incongruence of vocational courses with virtual learning, and issues surrounding internet accessibility and affordability. Furthermore, there is a noted increase in students' workload and stress, compounded by difficulties in grasping course material. This portrayal suggests a pressing need for educational institutions to critically evaluate and design their online pedagogy, especially for courses that traditionally rely heavily on practical applications. Governments and institutions should also consider collaborations to subsidize internet costs, ensuring accessibility for all students. </w:t>
      </w:r>
    </w:p>
    <w:p>
      <w:r>
        <w:t>In sum, the challenges of online learning are multifaceted and span from technological hindrances to psychological implications. Institutions and governments must collaboratively devise policies that not only address these immediate challenges but also lay the groundwork for a resilient and adaptive educational framework. The future of education, increasingly digital, requires comprehensive strategies that prioritize both the learning process and the well-being of the learners.</w:t>
      </w:r>
    </w:p>
    <w:p>
      <w:pPr>
        <w:pStyle w:val="3"/>
        <w:ind w:left="240"/>
      </w:pPr>
      <w:bookmarkStart w:id="55" w:name="_Toc406259284"/>
      <w:r>
        <w:t>7.6 Conclusion</w:t>
      </w:r>
      <w:bookmarkEnd w:id="55"/>
    </w:p>
    <w:p>
      <w:r>
        <w:t>This chapter synthesizes a range of solutions and strategies to optimize online learning environments. It underscores the importance of technological innovation, effective pedagogical approaches, nurturing online communities, and the implementation of supportive policies. These recommendations are essential for educational institutions and governments to consider as they continue to navigate the challenges and opportunities of digital learning. The chapter emphasizes a collaborative approach, where stakeholders work together to create an inclusive, effective, and engaging online education system, prepared to meet current and future educational needs.</w:t>
      </w:r>
    </w:p>
    <w:p/>
    <w:p/>
    <w:p>
      <w:r>
        <w:br w:type="page"/>
      </w:r>
    </w:p>
    <w:p>
      <w:pPr>
        <w:pStyle w:val="2"/>
        <w:numPr>
          <w:ilvl w:val="0"/>
          <w:numId w:val="1"/>
        </w:numPr>
      </w:pPr>
      <w:bookmarkStart w:id="56" w:name="_Toc1149272375"/>
      <w:r>
        <w:t>Conclusion</w:t>
      </w:r>
      <w:bookmarkEnd w:id="56"/>
    </w:p>
    <w:p>
      <w:pPr>
        <w:pStyle w:val="3"/>
        <w:ind w:left="240"/>
      </w:pPr>
      <w:bookmarkStart w:id="57" w:name="_Toc1352885507"/>
      <w:r>
        <w:t>8.1 Summary of Findings</w:t>
      </w:r>
      <w:bookmarkEnd w:id="57"/>
    </w:p>
    <w:p>
      <w:r>
        <w:t>The shift towards online education, necessitated by the global COVID-19 pandemic, has opened an illuminating window into the potential and pitfalls of digital learning. The journey of this transition, while marked by numerous advancements and opportunities, has equally been fraught with challenges. This exploration, based on a series of comprehensive studies, offers a nuanced understanding of the evolving landscape of online education across various demographics and geographies.</w:t>
      </w:r>
    </w:p>
    <w:p>
      <w:r>
        <w:t>In Gaza's medical education sector, the abrupt transition to e-learning highlighted the foundational significance of practical sessions, especially in fields like medicine where real-life interactions and hands-on practice are indispensable (Ismail et al., 2023). While students were seen to spend more time on e-learning post the pandemic's onset, there was a palpable yearning for the tactile aspects of education, particularly clinical and laboratory experiences. This sentiment, echoed by both clinical and basic-level students, points towards the limitations of wholly online models in certain specialized fields.</w:t>
      </w:r>
    </w:p>
    <w:p>
      <w:r>
        <w:t>On a psychological front, the pandemic-induced lockdown has had profound effects on the mental well-being of university students. The Malaysian student community, as examined by Sundarasen et al. (2020), grappled with multifarious stressors, from financial anxieties to the unfamiliarity of remote online learning. Added to this was an overarching uncertainty about their academic and future professional trajectories. This mental toll underscores the importance of holistic education strategies, where learning is complemented with robust psychological support mechanisms.</w:t>
      </w:r>
    </w:p>
    <w:p>
      <w:r>
        <w:t>Diving into the context of Indonesian Vocational Higher Education, the complexities of online transition become even more pronounced (Irmawati et al., 2022). Vocational education, inherently rooted in practical applications, faced an incongruence with the digital medium. The rapid technological adaptation demanded of educators, coupled with students' challenges like unreliable internet access and increased workloads, showcased the multifaceted nature of online education's challenges. These complexities not only underscored the need for tailored pedagogical strategies but also highlighted systemic issues like digital infrastructure and accessibility.</w:t>
      </w:r>
    </w:p>
    <w:p>
      <w:r>
        <w:t>However, amidst these challenges, there were rays of hope and paths of innovation. The role of technological solutions, as emphasized across various studies, cannot be understated. Platforms and tools have been pivotal in enhancing online learning efficacy, allowing for more interactive and immersive educational experiences. Similarly, pedagogical interventions have underlined the importance of tailored teaching methodologies that cater to the online medium, emphasizing the need for dynamic, responsive, and student-centric approaches.</w:t>
      </w:r>
    </w:p>
    <w:p>
      <w:r>
        <w:t>Equally crucial have been the social interventions, with a focus on building online communities and fostering interactions. The power of social and emotional learning, as delineated by studies such as those by Durlak et al. (2011) and Taylor et al. (2017), showcased the indispensable role of fostering emotional intelligence and social skills in an increasingly digital world.</w:t>
      </w:r>
    </w:p>
    <w:p/>
    <w:p>
      <w:r>
        <w:t>Finally, the policy recommendations derived from these findings provide a roadmap for educational institutions and governments alike. From advocating for hybrid models of learning to prioritizing digital infrastructure, and from providing psychological support to devising comprehensive online pedagogical strategies, the recommendations encompass a wide range of action points.</w:t>
      </w:r>
    </w:p>
    <w:p>
      <w:pPr>
        <w:pStyle w:val="3"/>
        <w:ind w:left="240"/>
      </w:pPr>
      <w:bookmarkStart w:id="58" w:name="_Toc389861713"/>
      <w:r>
        <w:t>8.2 Implications for Future Research and Practice</w:t>
      </w:r>
      <w:bookmarkEnd w:id="58"/>
    </w:p>
    <w:p>
      <w:r>
        <w:t>The rapidly shifting landscape of online education, accentuated by the unforeseen challenges of the COVID-19 pandemic, signals a critical juncture in global educational practices. As we reflect on the findings and experiences from diverse settings, several implications arise that could shape both future research endeavors and practical applications in the realm of online education.</w:t>
      </w:r>
    </w:p>
    <w:p>
      <w:r>
        <w:t>Firstly, the diversity of experiences across geographies and educational levels underscores the need for context-specific research. Universal solutions might not cater effectively to the unique challenges faced by specific demographics or regions. For instance, the experiences of medical students in Gaza or vocational students in Indonesia necessitate a deeper exploration of how online learning can be tailored to cater to fields that traditionally rely heavily on practical, hands-on experience. Further research could delve into hybrid models that amalgamate the best of both online and offline worlds, ensuring that practical skills aren't compromised.</w:t>
      </w:r>
    </w:p>
    <w:p>
      <w:r>
        <w:t>Secondly, the psychological impact of online learning remains a relatively under-researched domain. While the studies highlighted the immediate mental toll of the transition, long-term research is required to understand the sustained psychological implications of prolonged online learning. This could pave the way for institutions to incorporate holistic wellness programs, emphasizing mental well-being alongside academic achievement.</w:t>
      </w:r>
    </w:p>
    <w:p>
      <w:r>
        <w:t>The technological underpinnings of online education, although having made significant strides, present fertile ground for innovation. Future research could explore the development of more intuitive and interactive platforms, focusing on enhancing the user experience. Similarly, the potential of emerging technologies like augmented and virtual reality in transforming online learning experiences offers promising avenues for exploration.</w:t>
      </w:r>
    </w:p>
    <w:p>
      <w:r>
        <w:t>Pedagogical interventions need to be at the forefront of educational reform. The transition to online learning isn't merely about transferring content to a digital medium but necessitates a reimagining of how content is delivered. Research should delve deeper into innovative teaching methodologies tailored for online platforms, focusing on engagement, interactivity, and feedback mechanisms.</w:t>
      </w:r>
    </w:p>
    <w:p>
      <w:r>
        <w:t>On the social front, the isolation experienced by many students in online settings presents a challenge that institutions must address. Future practices could focus on creating vibrant online communities, leveraging platforms that foster peer interaction, group work, and collaborative learning. Research could delve into understanding the dynamics of effective online communities, drawing parallels from offline settings, and innovating for the digital space.</w:t>
      </w:r>
    </w:p>
    <w:p>
      <w:r>
        <w:t>Lastly, the role of policy in shaping the future of online education is undeniable. The findings indicate a clear need for collaborative efforts between educational institutions, governments, and international organizations. Policies should not only focus on short-term solutions but need to be visionary, anticipating the evolving needs of the educational sector in the coming decades. An emphasis on digital infrastructure, ensuring equitable access, and standardizing online education quality are paramount. Further, with the online medium blurring geographical boundaries, there's an opportunity for international collaborative efforts, sharing best practices, resources, and expertise.</w:t>
      </w:r>
    </w:p>
    <w:p>
      <w:pPr>
        <w:pStyle w:val="3"/>
        <w:ind w:left="240"/>
      </w:pPr>
      <w:bookmarkStart w:id="59" w:name="_Toc433203394"/>
      <w:r>
        <w:t>8.3 Limitations of the Study</w:t>
      </w:r>
      <w:bookmarkEnd w:id="59"/>
    </w:p>
    <w:p>
      <w:r>
        <w:t xml:space="preserve">Every comprehensive review and analysis come with its own set of limitations, and this study on the nuances of online learning during these transformative times is no exception. While the study </w:t>
      </w:r>
      <w:r>
        <w:rPr>
          <w:lang w:val="en-GB"/>
        </w:rPr>
        <w:t>strove</w:t>
      </w:r>
      <w:r>
        <w:t xml:space="preserve"> to be as inclusive and holistic as possible, acknowledging its limitations is crucial for a balanced understanding.</w:t>
      </w:r>
    </w:p>
    <w:p>
      <w:r>
        <w:t>Firstly, the scope of the references used in this study might not capture the entire global panorama of online education experiences. The sources, while diverse, represent specific regions and educational sectors, such as Gaza's medical education or Indonesian vocational education. There might be myriad experiences and challenges in other parts of the world or within other disciplines that this study has not delved into. Therefore, generalizing the findings to all online educational contexts would be an oversimplification.</w:t>
      </w:r>
    </w:p>
    <w:p>
      <w:r>
        <w:t>Another significant limitation is the reliance on self-reported data in several of the references. For instance, students' experiences, perceptions, and challenges in adapting to online education were often gathered through surveys or questionnaires. Such methods, while valuable, can be influenced by various biases. The accuracy of self-reported data is often contingent on the respondents' memory, honesty, and understanding of the questions, leading to potential discrepancies in the actual versus reported experiences.</w:t>
      </w:r>
    </w:p>
    <w:p>
      <w:r>
        <w:t xml:space="preserve">The temporal aspect also presents a limitation. The online learning landscape is rapidly evolving, especially in the context of the COVID-19 pandemic. The experiences and challenges highlighted might be representative of a specific time frame, and the situation might evolve as institutions adapt, technologies advance, and students and educators acclimatize to the online medium. Furthermore, while technological solutions and pedagogical interventions were discussed, there's a limitation in depth regarding the actual implementation of these solutions. Practical aspects, such as the cost implications of advanced technological tools or the training required for educators to adapt to new pedagogies, weren't exhaustively explored. </w:t>
      </w:r>
    </w:p>
    <w:p>
      <w:r>
        <w:t>Another crucial aspect is the lack of a comparative perspective with traditional learning methods. While the challenges and benefits of online learning were highlighted, a side-by-side comparison with offline learning methods throughout the study would have provided a more comprehensive picture, aiding institutions in decision-making.</w:t>
      </w:r>
      <w:r>
        <w:rPr>
          <w:rFonts w:hint="eastAsia"/>
          <w:lang w:val="en-US" w:eastAsia="zh-CN"/>
        </w:rPr>
        <w:t xml:space="preserve"> T</w:t>
      </w:r>
      <w:r>
        <w:t>he study primarily focused on the institutional and student perspectives, with limited insight into the educators' experiences. Teachers and professors have had to adapt rapidly to this new mode of teaching, and their challenges, experiences, and insights would offer a more rounded perspective on the topic.</w:t>
      </w:r>
      <w:r>
        <w:rPr>
          <w:rFonts w:hint="eastAsia"/>
          <w:lang w:val="en-US" w:eastAsia="zh-CN"/>
        </w:rPr>
        <w:t xml:space="preserve"> W</w:t>
      </w:r>
      <w:r>
        <w:t>hile policy recommendations were provided, the study didn't deeply delve into the practical challenges of implementing these policies. Factors such as political will, economic constraints, infrastructural challenges, and societal acceptance play a crucial role in the effectiveness of these policies, and a deeper exploration of these facets would have been beneficial.</w:t>
      </w:r>
    </w:p>
    <w:p>
      <w:r>
        <w:br w:type="page"/>
      </w:r>
    </w:p>
    <w:p>
      <w:pPr>
        <w:pStyle w:val="2"/>
        <w:numPr>
          <w:ilvl w:val="0"/>
          <w:numId w:val="1"/>
        </w:numPr>
      </w:pPr>
      <w:bookmarkStart w:id="60" w:name="_Toc879879628"/>
      <w:bookmarkStart w:id="61" w:name="_Toc45110192"/>
      <w:r>
        <w:t>REFERENCES</w:t>
      </w:r>
      <w:bookmarkEnd w:id="60"/>
      <w:bookmarkEnd w:id="61"/>
      <w:r>
        <w:t xml:space="preserve"> </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Abante, A. S., Cruz, R., Guevarra, D., Lanada, M. I. B., Macale, M. J. S., Roque, M. W. B., ... and Cabrera, W. C. (2021) ‘A comparative analysis on the challenges of online learning modality and modular learning modality: A basis for training program’, International journal of multidisciplinary research and analysis, 4(4), pp.463-476. Available at: https://doi.org/10.47191/ijmra/v4-i4-17, Impact Factor: 6.072</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Ainley, J., Enger, L., and Searle, D. (2008) ‘Students in a digital age: Implications of ICT for teaching and learning’, International handbook of information technology in primary and secondary education, pp.63-80. Available at: https://doi.org/10.1007/978-0-387-73315-9_4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Aljedaani, W., Krasniqi, R., Aljedaani, S., Mkaouer, M. W., Ludi, S., &amp; Al-Raddah, K. (2023) ‘If online learning works for you, what about deaf students? Emerging challenges of online learning for deaf and hearing-impaired students during COVID-19: a literature review’, Universal access in the information society, 22(3), pp.1027-1046. Available at: https://doi.org/10.1007/s10209-022-00897-5</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Allcoat, D., Hatchard, T., Azmat, F., Stansfield, K., Watson, D., and von Mühlenen, A. (2021) ‘Education in the digital age: Learning experience in virtual and mixed realities’, Journal of Educational Computing Research, 59(5), pp.795-816. Available at: https://doi.org/10.1177/0735633120985120</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Alqurashi, E. (2016) ‘Self-efficacy in online learning environments: A literature review’, Contemporary Issues in Education Research (CIER), 9(1), pp.45-52. Available at: https://doi.org/10.19030/cier.v9i1.9549</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Anderson, B. (2009) ‘Emotion, Space and Society’, Affective Atmospheres, 2(2), pp.77-81. Available at: https://doi.org/10.1016/j.emospa.2009.10.001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Anderson, T. (2017) ‘How communities of inquiry drive teaching and learning in the digital age’, North Contact, 1, pp.1-6. Available at: https://teachonline.ca/fr/node/92055</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Anggeraini, Y. (2020) ‘Language teaching in the digital age: Teachers’ views and its challenges’, Research and Innovation in Language Learning, 3(3), pp.163-172. Available at: http://jurnal.ugj.ac.id/index.php/RILL</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Anshari, M., Alas, Y., Sabtu, N. P. H., and Hamid, M. S. A. (2016) ‘Online Learning: trends, issues and challenges in the Big Data Era’, Journal of E-learning and Knowledge Society, 12(1). Available at: https://www.learntechlib.org/p/171433/</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 xml:space="preserve">Barron, B., Cayton-Hodges, G., Bofferding, L., Copple, C., Darling-Hammond, L., and Levine, M. H. (2011) Take a giant step: A blueprint for teaching young children in a digital age. New York: Joan Ganz Cooney Center at Sesame Workshop. </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Barrot, J. S., Llenares, I. I., and Del Rosario, L. S. (2021) ‘Students’ online learning challenges during the pandemic and how they cope with them: The case of the Philippines’, Education and information technologies, 26(6), pp.7321-7338. Available at: https://doi.org/10.1007/s10639-021-10589-x</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Basar, Z. M., Mansor, A. N., Jamaludin, K. A., and Alias, B. S. (2021) ‘The effectiveness and challenges of online learning for secondary school students–A case study’, Asian Journal of University Education, 17(3), pp.119-129. Available at: https://doi.org/10.24191/ajue.v17i3.14514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Berman, N. B., and Artino, A. R. (2018) ‘Development and initial validation of an online engagement metric using virtual patients’, BMC Medical Education, 18(1), pp.1-8. Available at: https://doi.org/10.1186/s12909-018-1322-z</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Bezovski, Z., and Poorani, S. (2016, March) ;The evolution of e-learning and new trends’, Information and Knowledge Management, 6(3), pp. 50-57. Available at: https://eprints.ugd.edu.mk/id/eprint/15692</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Blau, I., Shamir-Inbal, T., and Avdiel, O. (2020) ‘How does the pedagogical design of a technology-enhanced collaborative academic course promote digital literacies, self-regulation, and perceived learning of students?’, The internet and higher education, 45, pp.100722. Available at: https://doi.org/10.1016/j.iheduc.2019.100722</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Bonfield, C. A., Salter, M., Longmuir, A., Benson, M., and Adachi, C. (2020) ‘Transformation or evolution?: Education 4.0, teaching and learning in the digital age’, Higher education pedagogies, 5(1), pp.223-246. Available at: https://doi.org/10.1080/23752696.2020.1816847.</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Cater III, J. J., Michel, N., and Varela, O. E. (2012) ‘Challenges of online learning in management education: An empirical study’, Journal of Applied Management and Entrepreneurship, 17(4), pp.76. Available at: https://www.proquest.com/openview/6227266aa39fc5d14bd28474dd2ba9ad/1?pq-origsite=gscholar&amp;cbl=25565.</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Chan, M. K. (2003) ‘The digital age and speech technology for Chinese language teaching and learning’, Journal-Chinese Language Teachers Association, 38(2), pp.49-86. Available at: https://citeseerx.ist.psu.edu/document?repid=rep1&amp;type=pdf&amp;doi=5dd2c5b71f88442ccf7b60e3e386eac3077e1b55.</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Childs, E., Mohammad, F., Stevens, L., Burbelo, H., Awoke, A., Rewkowski, N., and Manocha, D. (2021) ‘An overview of enhancing distance learning through augmented and virtual reality technologies’, University of Maryland. Available at: https://doi.org/10.48550/arXiv.2101.11000</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Chiu, T. K., Lin, T. J., and Lonka, K. (2021) ‘Motivating online learning: The challenges of COVID-19 and beyond’, The asia-pacific education researcher, 30(3), pp.187-190. Available at: https://doi.org/10.1007/s40299-021-00566-w</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Coldwell, J., Craig, A., Paterson, T., and Mustard, J. (2008) ‘Online students: Relationships between participation, demographics and academic performance’, Electronic journal of e-learning, 6(1), pp.19-28. Available at: https://academic-publishing.org/index.php/ejel/article/view/1528/1491.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Dewan, M., Murshed, M., and Lin, F. (2019) ‘Engagement detection in online learning: a review’, Smart Learning Environments, 6(1), pp.1-20. Available at: https://doi.org/10.1186/s40561-018-0080-z.</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Dewey, J. (1933) How we think, a restatement of the relation of reflective thinking to the educative process. Boston: D.C. Heath and Co.</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Dewey, J. (1938) Logic, the theory of inquiry. New York: Holt Publishing.</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Dhawan, S. (2020) ‘Online learning: A panacea in the time of COVID-19 crisis’, Journal of educational technology systems, 49(1), pp.5-22. Available at: https://doi.org/10.1177/0047239520934018.</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Durlak, J. A., Weissberg, R. P., Dymnicki, A. B., Taylor, R. D., and Schellinger, K. B. (2011) ‘The impact of enhancing students’ social and emotional learning: A meta‐analysis of school‐based universal interventions’, Child development, 82(1), pp.405-432. Available at: https://doi.org/10.1111/j.1467-8624.2010.01564.x.</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Etkind, M., and Shafrir, U. (2013) ‘Teaching and learning in the digital age with pedagogy for conceptual thinking and peer cooperation’, In INTED 2013 Proceedings, pp.5342-5352. Available at: https://library.iated.org/view/ETKIND2013TEA.</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 xml:space="preserve">Fini, A. (2009) ‘The technological dimension of a massive open online course: The case of the CCK08 course tools’, The International Review of Research in Open and Distributed Learning, 10(5). Available at: https://doi.org/10.19173/irrodl.v10i5.643  </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Gilbert, B. (2015) Online learning revealing the benefits and challenges.</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Gillett-Swan, J. (2017) ‘The challenges of online learning: Supporting and engaging the isolated learner’, Journal of Learning Design, 10(1), pp.20-30. Available at:  https://doi.org/10.5204/jld.v9i3.293.</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Goldie, J. G. S. (2016) ‘Connectivism: A knowledge learning theory for the digital age?’, Medical teacher, 38(10), pp.1064-1069. Available at: https://doi.org/10.3109/0142159X.2016.1173661.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Gorsuch, C. R. P. F., Gallagher Ford, L., Koshy Thomas, B., Melnyk, B. M., and Connor, L. (2020) ‘Impact of a formal educational skill‐building program based on the ARCC model to enhance evidence‐based practice competency in nurse teams’, Worldviews on Evidence‐Based Nursing, 17(4), pp.258-268. Available at:  https://doi.org/10.1111/wvn.12463.</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Grant, M. J., &amp; Booth, A. (2009) ‘A typology of reviews: an analysis of 14 review types and associated methodologies’, Health information &amp; libraries journal, 26(2), pp.91-108. Available at: https://doi.org/10.1111/j.1471-1842.2009.00848.x</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Greenhow, C., Graham, C. R., and Koehler, M. J. (2022) ‘Foundations of online learning: Challenges and opportunities’, Educational Psychologist, 57(3), pp.131-147. Available at: https://doi.org/10.1080/00461520.2022.2090364.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Greenhow, C., Robelia, B., and Hughes, J. E. (2009) ‘Learning, teaching, and scholarship in a digital age: Web 2.0 and classroom research: What path should we take now?’, Educational researcher, 38(4), pp.246-259.  Available at: https://doi.org/10.3102/0013189X09336671.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Hampel, R. (2006) ‘Rethinking task design for the digital age: A framework for language teaching and learning in a synchronous online environment’, ReCALL, 18(1), pp.105-121. Available at: https://doi.org/10.1017/S0958344006000711.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Hartnett, M., Brown, M., and Anderson, B. (2014) ‘Learning in the digital age: How are the ways in which we learn changing with the use of technologies’, Facing the Big Questions in Teaching: Purpose, Power and Learning, pp.116-125. Available at: https://www.researchgate.net/profile/Mark-Brown-34/publication/272942538_Learning_in_the_digital_age_How_are_the_ways_in_which_we_learn_changing_with_the_use_of_technologies/links/576bbc3808aef2a864d4c48d/Learning-in-the-digital-age-How-are-the-ways-in-which-we-learn-changing-with-the-use-of-technologies.pdf.</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Haughey, M. (2010) Teaching and learning in distance education before the digital age. Routledge.</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Heng, K., and Sol, K. (2021) ‘Online learning during COVID-19: Key challenges and suggestions to enhance effectiveness’, Cambodian Journal of Educational Research, 1(1), pp.3-16. Available at: https://d1wqtxts1xzle7.cloudfront.net/69318685/CJER_1_1_FINAL-libre.pdf?1631308546=&amp;response-content-disposition=inline%3B+filename%3DThe_Roles_of_Parental_to_Promote_Inclusi.pdf&amp;Expires=1699199180&amp;Signature=ADIU9QdKaed87dZUNv4NdE7Ncpuh6NkNxVuw60TNV-11qmxcR0i-LWMQ1ruzWf93yeRLLUf0EtK72VnOg7WWfF~FT~isyREEyTJ3O7mX6j4MlwkfTFzRETmaXmowIKk98Wjlhp6FcOQYmQoJ6V8QdRwAg2CJpJOysrzCaRRTcQ0u1OuIkgTh20R97Z7Ne58GT3jtsaWm9umthOViX5VyD0WUhGV3WSF3CCnZQ6FjFhL5d3NOKO66QBZ8qlbtBamP-TlfJFYq7WWugUO3X-7N~JV5U29vGTEfIdH2-I-nRT8TcBbXNmgoof5x~nyQcC4A0rHCJTGndOrEjHeWYcoDJA__&amp;Key-Pair-Id=APKAJLOHF5GGSLRBV4ZA#page=9.</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Hermanto, Y. B., and Srimulyani, V. A. (2021) ‘The challenges of online learning during the covid-19 pandemic’, Jurnal Pendidikan Dan Pengajaran, 54(1), pp.46-57. Available at: http://dx.doi.org/10.23887/jpp.v54i1.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Hill, J. R., and Hannafin, M. J. (2001) ‘Teaching and learning in digital environments: The resurgence of resource-based learning’, Educational technology research and development, 49(3), pp.37-52. Available at: https://doi.org/10.1007/BF02504914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Hurst, E. J. (2015) ‘Digital badges: Beyond learning incentives’, Journal of Electronic Resources in Medical Libraries, 12(3), pp.182-189. Available at: https://doi.org/10.1080/15424065.2015.1065661.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Irmawati, I., Anas, I., Amansyah, F., and Musdariah, A. (2022, April) ‘The Portrait of Learning “Forced” Online in Indonesian Vocational Higher Education: Policy Recommendations’, 1st World Conference on Social and Humanities Research (W-SHARE 2021), pp. 206-209. Available at: https://doi.org/10.2991/assehr.k.220402.044.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Ismail, A., Ismail, A., Alazar, A., Saman, M., Abu-Elqomboz, A., and Sharaf, F. K. (2023) ‘E-Learning Medical Education in Gaza During COVID-19: Students’ Experiences and Policy Recommendations’, Journal of Medical Education and Curricular Development, 10, pp.1-7. Available at: https://doi.org/10.1177/23821205231164228.</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Kampylis, P., Hodson, D., Petkova, S., Hippe, R., Cachia, R., Sala, A., ... and Punie, Y. (2019) ’SELFIE Forum–Teaching and Learning in the Digital Age’,. Joint Research Centre. Available at: https://ideas.repec.org/p/ipt/iptwpa/jrc117482.html</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 xml:space="preserve">Kauppinen, T., and Malmi, L. (2017, June) ‘Aalto Online Learning-a pathway to reforming education at the Aalto University’, Proceedings of EUNIS 23rd Annual Congress (EUNIS2017)-Shaping the Digital Future of Universities, pp. 212-221. Available at: https://www.eunis.org/eunis2017/wp-content/uploads/sites/10/2017/06/EUNIS_2017_paper_25.pdf. </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Kearns, L. R. (2012) ‘Student assessment in online learning: Challenges and effective practices’, Journal of Online Learning and Teaching, 8(3), pp.198. Available at: https://jolt.merlot.org/vol8no3/kearns_0912.pdf</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Kim, K. J., Liu, S., and Bonk, C. J. (2005) ‘Online MBA students' perceptions of online learning: Benefits, challenges, and suggestions’, The Internet and Higher Education, 8(4), pp.335-344. Available at: https://doi.org/10.1016/j.iheduc.2005.09.005.</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Kitchenham, B., Brereton, O. P., Budgen, D., Turner, M., Bailey, J., and Linkman, S. (2009) ‘Systematic literature reviews in software engineering–a systematic literature review’, Information and software technology, 51(1), pp.7-15. Available at: https://doi.org/10.1016/j.infsof.2008.09.009.</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Kiwitt, P. (2012) ‘What is cinema in a digital age? Divergent definitions from a production perspective’, Journal of film and video, 64(4), pp.3-22. Available at: https://doi.org/10.5406/jfilmvideo.64.4.0003.</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Lam, R. W., and Kennedy, S. H. (2005). ‘Using metaanalysis to evaluate evidence: Practical tips and traps’, The Canadian Journal of Psychiatry, 50(3), pp.167-174. Available at: https://doi.org/10.1177/070674370505000306.</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Li, T., Castro, L. M. C., Douglas, K., and Brinton, C. G. (2021, October) ‘Relationship between learning engagement metrics and learning outcomes in online engineering course’, 2021 IEEE Frontiers in Education Conference (FIE), pp.1-5. Available at: https://doi.org/10.1109/FIE49875.2021.9637234.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 xml:space="preserve">Liang, R. Y. H., and Chen, D. T. (2012) Online learning: Trends, potential and challenges. </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Mahajan, R., Gupta, P., and Singh, T. (2019) ‘Massive open online courses: concept and implications’, Indian pediatrics, 56, pp.489-495. Available at: https://doi.org/10.1007/s13312-019-1575-6.</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Mandasari, B. (2020) ‘The impact of online learning toward students’ academic performance on business correspondence course’, EDUTEC: Journal of Education and Technology, 4(1), pp.98-110. Available at: https://doi.org/10.29062/edu.v4i1.74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McKnight, K., O'Malley, K., Ruzic, R., Horsley, M. K., Franey, J. J., and Bassett, K. (2016) ‘Teaching in a digital age: How educators use technology to improve student learning’, Journal of research on technology in education, 48(3), pp.194-211. Available at: https://doi.org/10.1080/15391523.2016.1175856.</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McLaren, S. V. (2008) ‘Exploring perceptions and attitudes towards teaching and learning manual technical drawing in a digital age’, International Journal of Technology and Design Education, 18, pp.167-188. Available at: https://doi.org/10.1007/s10798-006-9020-2.</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Moersch, C. (2011) Digital age best practices: Teaching and learning refocused.</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Moursund, D., and Bielefeldt, T. (1999) ‘Will new teachers be prepared to teach in a digital age?’ A national survey on information technology in teacher education. Available at: https://eric.ed.gov/?id=ED428072.</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Mukuna, K. R., and Aloka, P. J. (2020) ‘Exploring educators' challenges of online learning in COVID-19 at a rural school, South Africa’, International Journal of Learning, Teaching and Educational Research, 19(10), pp.134-149. Available at: https://doi.org/10.26803/ijlter.19.10.8.</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Muñoz-Expósito, M., Oviedo-García, M. Á., and Castellanos-Verdugo, M. (2017) ‘How to measure engagement in Twitter: advancing a metric’, Internet Research, 27(5), pp.1122-1148. Available at:  https://doi.org/10.1108/IntR-06-2016-0170</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Neiger, B. L., Thackeray, R., Burton, S. H., Giraud-Carrier, C. G., and Fagen, M. C. (2013) ‘Evaluating social media’s capacity to develop engaged audiences in health promotion settings: use of Twitter metrics as a case study’, Health promotion practice, 14(2), pp.157-162. Available at: https://doi.org/10.1177/1524839912469378.</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Netolicky, D. M. (2019). Transformational professional learning: Making a difference in schools. Routledge.</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Nguyen, T. (2015) ‘The effectiveness of online learning: Beyond no significant difference and future horizons’, MERLOT Journal of online learning and teaching, 11(2), pp.309-319. Available at: https://www.researchgate.net/profile/Tuan-Nguyen-186/publication/308171318_The_Effectiveness_of_Online_Learning_Beyond_No_Significant_Difference_and_Future_Horizons/links/57dc114608ae4e6f18469e8c/The-Effectiveness-of-Online-Learning-Beyond-No-Significant-Difference-and-Future-Horizons.pdf.</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Oducado, R. M., and Estoque, H. (2021) ‘Online learning in nursing education during the COVID-19 pandemic: Stress, satisfaction, and academic performance’, Journal of Nursing Practice, 4(2), pp.143-153. Available at: https://doi.org/10.30994/jnp.v4i2.128.</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Pardo, A., Han, F., and Ellis, R. A. (2016) ‘Combining university student self-regulated learning indicators and engagement with online learning events to predict academic performance’, IEEE Transactions on Learning Technologies, 10(1), pp.82-92. Available at: https://doi.org/10.1109/TLT.2016.2639508.</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Prensky, M. (2008) ‘Programming is the new literacy. Edutopia magazine’. Available at: https://classtap.pbworks.com/f/Prensky+-+Programming:+The+New+Literacy.pdf</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Prensky, M. (2009) ‘H. sapiens digital: From digital immigrants and digital natives to digital wisdom’, Innovate: journal of online education, 5(3). Available at: https://www.learntechlib.org/p/104264/.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Rahmat, A., Syakhrani, A. W., and Satria, E. (2021) ‘Promising online learning and teaching in digital age: Systematic review analysis’, International Research Journal of Engineering, IT and Scientific Research, 7(4), pp.126-135. Available at: https://creativecommons.org/licenses/by-nc-nd/4.0/.</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Rains, S. A. (2008) ‘Seeking health information in the information age: The role of Internet self-efficacy’, Western Journal of Communication, 72(1), pp.1-18. Available at: https://doi.org/10.1080/10570310701827612.</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Ramesh, A., Goldwasser, D., Huang, B., Daumé III, H., and Getoor, L. (2013, December) ‘Modeling learner engagement in MOOCs using probabilistic soft logic’ NIPS workshop on data driven education, 21, p.62. Available at: https://linqs.org/assets/resources/ramesh-dde13.pdf.</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Rebelo, S., and Isaías, P. (2020) ‘Gamification as an engagement tool in e-learning websites’, Journal of Information Technology Education: Research, 19. Available at: https://web.s.ebscohost.com/abstract?direct=true&amp;profile=ehost&amp;scope=site&amp;authtype=crawler&amp;jrnl=15479714&amp;AN=161573258&amp;h=QvBO5RJmYcXHWuiq91sgVzbUotbAa1dO2VbuQggQPS%2bze7V%2b02dby8kERR%2boY68F15yUWPc1Zvy7upDI8WmS%2fA%3d%3d&amp;crl=c&amp;resultNs=AdminWebAuth&amp;resultLocal=ErrCrlNotAuth&amp;crlhashurl=login.aspx%3fdirect%3dtrue%26profile%3dehost%26scope%3dsite%26authtype%3dcrawler%26jrnl%3d15479714%26AN%3d161573258.</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Rosalina, E., Nasrullah, N., and Elyani, E. P. (2020) ‘Teacher’s challenges towards online learning in pandemic era’, LET: Linguistics, Literature and English Teaching Journal, 10(2), pp.71-88. Available at: https://fisherpub.sjf.edu/education_ETD_masters/303 a.</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Rosenberg, J. M., and Koehler, M. J. (2018) ‘Context and teaching with technology in the digital age’, Teacher training and professional development: Concepts, methodologies, tools, and applications, pp. 1595-1622. Available at: https://doi.org/10.4018/978-1-5225-5631-2.ch074.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Santhanam, R., Sasidharan, S., and Webster, J. (2008) ‘Using self-regulatory learning to enhance e-learning-based information technology training’, Information Systems Research, 19(1), pp.26-47. Available at: https://doi.org/10.1287/isre.1070.0141.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Sartor, V. (2020) ‘Digital Age Pedagogy: Easily Enhance Your Teaching Practice with Technology’, In English teaching forum, 58(3), pp.2-9. Available at: https://doi.org/10.1080/17439884.2016.1252770.</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Savoie, I., Helmer, D., Green, C. J., &amp; Kazanjian, A. (2003) ‘Beyond Medline: reducing bias through extended systematic review search’, International journal of technology assessment in health care, 19(1), pp.168-178. Available at: https://doi.org/10.1017/S0266462303000163.</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Selwyn, N., Nemorin, S., and Johnson, N. (2017) ‘High-tech, hard work: An investigation of teachers’ work in the digital age’, Learning, Media and Technology, 42(4), pp.390-405. Available at: https://doi.org/10.1080/17439884.2016.1252770</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 xml:space="preserve">Simamora, R. M. (2020) ‘The Challenges of online learning during the COVID-19 pandemic: An essay analysis of performing arts education students’, Studies in Learning and Teaching, 1(2), pp.86-103. Available at: https://doi.org/10.46627/silet.v1i2.38. </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Singh, V., and Thurman, A. (2019). ‘How many ways can we define online learning? A systematic literature review of definitions of online learning (1988-2018)’, American Journal of Distance Education, 33(4), pp.289-306.  Available at: https://doi.org/10.1080/08923647.2019.1663082.</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Song, L., Singleton, E. S., Hill, J. R., and Koh, M. H. (2004) ‘Improving online learning: Student perceptions of useful and challenging characteristics’, The internet and higher education, 7(1), pp.59-70. Available at: https://doi.org/10.1016/j.iheduc.2003.11.003.</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Spitzer, M. W. H., and Musslick, S. (2021) ‘Academic performance of K-12 students in an online-learning environment for mathematics increased during the shutdown of schools in wake of the COVID-19 pandemic’, PloS one, 16(8). Available at: https://doi.org/10.1371/journal.pone.0255629.</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Starkey, L. (2010) ‘Teachers’ pedagogical reasoning and action in the digital age’, Teachers and Teaching: theory and practice, 16(2), pp. 233-244. Available at: https://doi.org/10.1080/13540600903478433.</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Starkey, L. (2020) ‘A review of research exploring teacher preparation for the digital age’, Cambridge Journal of Education, 50(1), pp.37-56. Available at: https://doi.org/10.1080/0305764X.2019.1625867.</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Sundarasen, S., Chinna, K., Kamaludin, K., Nurunnabi, M., Baloch, G. M., Khoshaim, H. B., ... and Sukayt, A. (2020) ‘Psychological impact of COVID-19 and lockdown among university students in Malaysia: Implications and policy recommendations’, International journal of environmental research and public health, 17(17), pp.6206. Available at: https://doi.org/10.3390/ijerph17176206.</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Suresh, M., Vishnu Priya, V., and Gayathri, R. (2018) ‘Effect of e-learning on academic performance of undergraduate students’, Drug Invention Today, 10(9). Available at: https://web.s.ebscohost.com/abstract?direct=true&amp;profile=ehost&amp;scope=site&amp;authtype=crawler&amp;jrnl=09757619&amp;AN=131123673&amp;h=D%2fAiHy4kem6euQ5kW5AgcIa%2fX5JBEBhXszfG0gF5EMGaVJYZRDVIW9SlCtMGnOvI49I1qp6eub55fNb0U3xuEA%3d%3d&amp;crl=c&amp;resultNs=AdminWebAuth&amp;resultLocal=ErrCrlNotAuth&amp;crlhashurl=login.aspx%3fdirect%3dtrue%26profile%3dehost%26scope%3dsite%26authtype%3dcrawler%26jrnl%3d09757619%26AN%3d131123673.</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Susilowati, R. (2020) ‘The challenges of online learning in listening class during Covid-19 pandemic’, Edukasi Lingua Sastra, 18(2), pp.56-72. Available at: https://doi.org/10.47637/elsa.v18i2.290.</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Taylor, R. D., Oberle, E., Durlak, J. A., and Weissberg, R. P. (2017) ‘Promoting positive youth development through school‐based social and emotional learning interventions: A meta‐analysis of follow‐up effects’, Child development, 88(4), pp.1156-1171. Available at: https://doi.org/10.1111/cdev.12864.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 xml:space="preserve">ThWaldner, L., McGorry, S., and Widener, M. (2010) ‘Extreme e-service learning (XE-SL): E-service learning in the 100% online course’, MERLOT Journal of online learning and teaching, 6(4), pp.839-851. Available at: https://jolt.merlot.org/vol6no4/waldner_1210.pdf. </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Tohara, A. J. T. (2021) ‘Exploring digital literacy strategies for students with special educational needs in the digital age’, Turkish Journal of Computer and Mathematics Education (TURCOMAT), 12(9), pp.3345-3358. Available at: https://doi.org/10.17762/turcomat.v12i9.5741.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Tranfield, D., Denyer, D., and Smart, P. (2003) ‘Towards a methodology for developing evidence‐informed management knowledge by means of systematic review’, British journal of management, 14(3), pp.207-222. Available at: https://doi.org/10.1111/1467-8551.00375.</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Ulanday, M. L., Centeno, Z. J., Bayla, M. C., and Callanta, J. (2021) ‘Flexible learning adaptabilities in the new normal: E-learning resources, digital meeting platforms, online learning systems and learning engagement’, Asian Journal of Distance Education, 16(2). Available at: https://asianjde.com/ojs/index.php/AsianJDE/article/view/580.</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Ullah, A., Ashraf, M., Ashraf, S., and Ahmed, S. (2021) ‘Challenges of online learning during the COVID-19 pandemic encountered by students in Pakistan’, Journal of Pedagogical Sociology and Psychology, 3(1), pp.36-44. Available at: http://www.doi.org/10.33902/JPSP.2021167264.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Voogt, J., Lai, K. W., Knezek, G., Christensen, R., Baruch, A. F., Grinshkun, V., ... and Strijker, A. (2018, March) ‘Part 1: Rethinking Learning in the Digital Age–Implications for Teacher Education’, Society for Information Technology and Teacher Education International Conference, pp.1075-1079. Available at: https://www.learntechlib.org/p/182658/.</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Vygotsky, L. S. (1987) The collected works of LS Vygotsky: Problems of the theory and history of psychology (Vol. 3). Springer Science and Business Media.</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Vygotsky, L. S. (1994) The development of concept formation in adolescence. Oxford: Blackwell Publishing.</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Wang, N., Johnson, W. L., Mayer, R. E., Rizzo, P., Shaw, E., and Collins, H. (2008) ‘The politeness effect: Pedagogical agents and learning outcomes’, International journal of human-computer studies, 66(2), pp.98-112. Available at: https://doi.org/10.1016/j.ijhcs.2007.09.003.</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Wise, A. F. (2014, March) ‘Designing pedagogical interventions to support student use of learning analytics’ Proceedings of the fourth international conference on learning analytics and knowledge, pp. 203-211. Available at: https://doi.org/10.1145/2567574.2567588.</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Wu, S., Rizoiu, M. A., and Xie, L. (2018, June) ‘Beyond views: Measuring and predicting engagement in online videos’, Proceedings of the International AAAI Conference on Web and Social Media, 12(1). Available at: https://doi.org/10.1609/icwsm.v12i1.15031.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Yeboah, A. K., and Smith, P. (2016) ‘Relationships between minority students online learning experiences and academic performance’, Online Learning, 20(4), pp.n4. Available at: https://eric.ed.gov/?id=EJ1124650.</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Yokoyama, S. (2019) ‘Academic self-efficacy and academic performance in online learning: A mini review’, Frontiers in psychology, 9, pp.2794. Available at: https://doi.org/10.3389/fpsyg.2018.02794.</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Yu, A. Y., Tian, S. W., Vogel, D., and Kwok, R. C. W. (2010) ‘Can learning be virtually boosted? An investigation of online social networking impacts’, Computers and education, 55(4), pp.1494-1503. Available at: https://doi.org/10.1016/j.compedu.2010.06.015.</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Yusuf, B. N., and Ahmad, J. (2020) ‘Are we prepared enough? A case study of challenges in online learning in a private higher learning institution during the Covid-19 outbreaks’, Advances in Social Sciences Research Journal, 7(5), pp.205-212. Available at: https://doi.org/10.14738/assrj.75.8211.</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Zembylas, M., Theodorou, M., and Pavlakis, A. (2008) ‘The role of emotions in the experience of online learning: Challenges and opportunities’, Educational Media International, 45(2), pp.107-117. Available at: https://doi.org/10.1080/09523980802107237.</w:t>
      </w:r>
    </w:p>
    <w:p>
      <w:pPr>
        <w:keepNext w:val="0"/>
        <w:keepLines w:val="0"/>
        <w:pageBreakBefore w:val="0"/>
        <w:widowControl w:val="0"/>
        <w:kinsoku/>
        <w:wordWrap/>
        <w:overflowPunct/>
        <w:topLinePunct w:val="0"/>
        <w:autoSpaceDE/>
        <w:autoSpaceDN/>
        <w:bidi w:val="0"/>
        <w:adjustRightInd/>
        <w:snapToGrid/>
        <w:ind w:left="480" w:hanging="480" w:hangingChars="200"/>
        <w:jc w:val="left"/>
        <w:textAlignment w:val="auto"/>
      </w:pPr>
      <w:r>
        <w:t>Zhang, D., and Nunamaker, J. F. (2003) ‘Powering e-learning in the new millennium: an overview of e-learning and enabling technology’, Information systems frontiers, 5, pp.207-218. Available at: https://doi.org/10.1023/A:1022609809036.</w:t>
      </w:r>
    </w:p>
    <w:sectPr>
      <w:footerReference r:id="rId5" w:type="default"/>
      <w:pgSz w:w="11906" w:h="16838"/>
      <w:pgMar w:top="1440" w:right="1800" w:bottom="1440" w:left="1440" w:header="851" w:footer="992" w:gutter="0"/>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黑体">
    <w:altName w:val="汉仪中黑KW"/>
    <w:panose1 w:val="02010600030101010101"/>
    <w:charset w:val="00"/>
    <w:family w:val="auto"/>
    <w:pitch w:val="default"/>
    <w:sig w:usb0="00000001" w:usb1="080E0000" w:usb2="00000010" w:usb3="00000000" w:csb0="00040000" w:csb1="00000000"/>
  </w:font>
  <w:font w:name="Courier New">
    <w:panose1 w:val="020706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imes New Roman Bold">
    <w:panose1 w:val="02020603050405020304"/>
    <w:charset w:val="00"/>
    <w:family w:val="auto"/>
    <w:pitch w:val="default"/>
    <w:sig w:usb0="E0002AEF" w:usb1="C0007841" w:usb2="00000009" w:usb3="00000000" w:csb0="400001FF" w:csb1="FFFF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AppleSystemUIFont">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苹方-简">
    <w:panose1 w:val="020B0400000000000000"/>
    <w:charset w:val="86"/>
    <w:family w:val="auto"/>
    <w:pitch w:val="default"/>
    <w:sig w:usb0="A00002FF" w:usb1="7ACFFDFB" w:usb2="00000017"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pPr>
                          <w:r>
                            <w:fldChar w:fldCharType="begin"/>
                          </w:r>
                          <w:r>
                            <w:instrText xml:space="preserve"> PAGE  \* MERGEFORMAT </w:instrText>
                          </w:r>
                          <w:r>
                            <w:fldChar w:fldCharType="separate"/>
                          </w:r>
                          <w:r>
                            <w:t>6</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BYAAABkcnMvUEsBAhQAFAAAAAgA&#10;h07iQLNJWO7QAAAABQEAAA8AAAAAAAAAAQAgAAAAOAAAAGRycy9kb3ducmV2LnhtbFBLAQIUABQA&#10;AAAIAIdO4kACUXBPGwIAAFQEAAAOAAAAAAAAAAEAIAAAADUBAABkcnMvZTJvRG9jLnhtbFBLBQYA&#10;AAAABgAGAFkBAADCBQAAAAA=&#10;">
              <v:fill on="f" focussize="0,0"/>
              <v:stroke on="f" weight="0.5pt"/>
              <v:imagedata o:title=""/>
              <o:lock v:ext="edit" aspectratio="f"/>
              <v:textbox inset="0mm,0mm,0mm,0mm" style="mso-fit-shape-to-text:t;">
                <w:txbxContent>
                  <w:p>
                    <w:pPr>
                      <w:pStyle w:val="9"/>
                    </w:pPr>
                    <w:r>
                      <w:fldChar w:fldCharType="begin"/>
                    </w:r>
                    <w:r>
                      <w:instrText xml:space="preserve"> PAGE  \* MERGEFORMAT </w:instrText>
                    </w:r>
                    <w:r>
                      <w:fldChar w:fldCharType="separate"/>
                    </w:r>
                    <w:r>
                      <w:t>6</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FA710FD"/>
    <w:multiLevelType w:val="multilevel"/>
    <w:tmpl w:val="5FA710FD"/>
    <w:lvl w:ilvl="0" w:tentative="0">
      <w:start w:val="1"/>
      <w:numFmt w:val="decimal"/>
      <w:suff w:val="space"/>
      <w:lvlText w:val="%1."/>
      <w:lvlJc w:val="left"/>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1E3C49"/>
    <w:rsid w:val="001B45DD"/>
    <w:rsid w:val="00211DE9"/>
    <w:rsid w:val="002610FA"/>
    <w:rsid w:val="00410CBB"/>
    <w:rsid w:val="00497D3F"/>
    <w:rsid w:val="00533448"/>
    <w:rsid w:val="006F635A"/>
    <w:rsid w:val="0071766C"/>
    <w:rsid w:val="007D0CAA"/>
    <w:rsid w:val="00884642"/>
    <w:rsid w:val="00906A12"/>
    <w:rsid w:val="00BE6904"/>
    <w:rsid w:val="00BF42D0"/>
    <w:rsid w:val="00C340A4"/>
    <w:rsid w:val="00C72EAE"/>
    <w:rsid w:val="00D1400C"/>
    <w:rsid w:val="00D15732"/>
    <w:rsid w:val="00DE6C2F"/>
    <w:rsid w:val="00FB570C"/>
    <w:rsid w:val="11E26581"/>
    <w:rsid w:val="5FA64480"/>
    <w:rsid w:val="65A57154"/>
    <w:rsid w:val="6B7D113B"/>
    <w:rsid w:val="6FAF26C5"/>
    <w:rsid w:val="6FAF47AA"/>
    <w:rsid w:val="761E3C49"/>
    <w:rsid w:val="7CBDDA98"/>
    <w:rsid w:val="B70B80C7"/>
    <w:rsid w:val="DFD69AE2"/>
    <w:rsid w:val="F17FD5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480" w:lineRule="auto"/>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qFormat/>
    <w:uiPriority w:val="0"/>
    <w:pPr>
      <w:keepNext/>
      <w:keepLines/>
      <w:outlineLvl w:val="0"/>
    </w:pPr>
    <w:rPr>
      <w:b/>
      <w:bCs/>
      <w:kern w:val="44"/>
      <w:szCs w:val="44"/>
    </w:rPr>
  </w:style>
  <w:style w:type="paragraph" w:styleId="3">
    <w:name w:val="heading 2"/>
    <w:basedOn w:val="1"/>
    <w:next w:val="1"/>
    <w:unhideWhenUsed/>
    <w:qFormat/>
    <w:uiPriority w:val="0"/>
    <w:pPr>
      <w:keepNext/>
      <w:keepLines/>
      <w:ind w:left="100" w:leftChars="100"/>
      <w:outlineLvl w:val="1"/>
    </w:pPr>
    <w:rPr>
      <w:b/>
      <w:bCs/>
      <w:szCs w:val="32"/>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character" w:styleId="6">
    <w:name w:val="annotation reference"/>
    <w:basedOn w:val="4"/>
    <w:qFormat/>
    <w:uiPriority w:val="0"/>
    <w:rPr>
      <w:sz w:val="16"/>
      <w:szCs w:val="16"/>
    </w:rPr>
  </w:style>
  <w:style w:type="paragraph" w:styleId="7">
    <w:name w:val="annotation text"/>
    <w:basedOn w:val="1"/>
    <w:link w:val="15"/>
    <w:qFormat/>
    <w:uiPriority w:val="0"/>
    <w:rPr>
      <w:sz w:val="20"/>
      <w:szCs w:val="20"/>
    </w:rPr>
  </w:style>
  <w:style w:type="paragraph" w:styleId="8">
    <w:name w:val="annotation subject"/>
    <w:basedOn w:val="7"/>
    <w:next w:val="7"/>
    <w:link w:val="16"/>
    <w:qFormat/>
    <w:uiPriority w:val="0"/>
    <w:rPr>
      <w:b/>
      <w:bCs/>
    </w:rPr>
  </w:style>
  <w:style w:type="paragraph" w:styleId="9">
    <w:name w:val="footer"/>
    <w:basedOn w:val="1"/>
    <w:uiPriority w:val="0"/>
    <w:pPr>
      <w:tabs>
        <w:tab w:val="center" w:pos="4153"/>
        <w:tab w:val="right" w:pos="8306"/>
      </w:tabs>
      <w:snapToGrid w:val="0"/>
      <w:jc w:val="left"/>
    </w:pPr>
    <w:rPr>
      <w:sz w:val="18"/>
      <w:szCs w:val="18"/>
    </w:rPr>
  </w:style>
  <w:style w:type="paragraph" w:styleId="10">
    <w:name w:val="header"/>
    <w:basedOn w:val="1"/>
    <w:uiPriority w:val="0"/>
    <w:pPr>
      <w:tabs>
        <w:tab w:val="center" w:pos="4153"/>
        <w:tab w:val="right" w:pos="8306"/>
      </w:tabs>
      <w:snapToGrid w:val="0"/>
    </w:pPr>
    <w:rPr>
      <w:sz w:val="18"/>
      <w:szCs w:val="18"/>
    </w:rPr>
  </w:style>
  <w:style w:type="paragraph" w:styleId="11">
    <w:name w:val="Normal (Web)"/>
    <w:qFormat/>
    <w:uiPriority w:val="0"/>
    <w:pPr>
      <w:spacing w:beforeAutospacing="1" w:afterAutospacing="1"/>
    </w:pPr>
    <w:rPr>
      <w:rFonts w:ascii="Times New Roman" w:hAnsi="Times New Roman" w:eastAsia="宋体" w:cs="Times New Roman"/>
      <w:sz w:val="24"/>
      <w:szCs w:val="24"/>
      <w:lang w:val="en-US" w:eastAsia="zh-CN" w:bidi="ar-SA"/>
    </w:rPr>
  </w:style>
  <w:style w:type="character" w:styleId="12">
    <w:name w:val="Strong"/>
    <w:basedOn w:val="4"/>
    <w:qFormat/>
    <w:uiPriority w:val="0"/>
    <w:rPr>
      <w:b/>
      <w:bCs/>
    </w:rPr>
  </w:style>
  <w:style w:type="paragraph" w:styleId="13">
    <w:name w:val="toc 1"/>
    <w:basedOn w:val="1"/>
    <w:next w:val="1"/>
    <w:uiPriority w:val="0"/>
  </w:style>
  <w:style w:type="paragraph" w:styleId="14">
    <w:name w:val="toc 2"/>
    <w:basedOn w:val="1"/>
    <w:next w:val="1"/>
    <w:qFormat/>
    <w:uiPriority w:val="0"/>
    <w:pPr>
      <w:ind w:left="420" w:leftChars="200"/>
    </w:pPr>
  </w:style>
  <w:style w:type="character" w:customStyle="1" w:styleId="15">
    <w:name w:val="Comment Text Char"/>
    <w:basedOn w:val="4"/>
    <w:link w:val="7"/>
    <w:qFormat/>
    <w:uiPriority w:val="0"/>
    <w:rPr>
      <w:rFonts w:asciiTheme="minorHAnsi" w:hAnsiTheme="minorHAnsi" w:eastAsiaTheme="minorEastAsia" w:cstheme="minorBidi"/>
      <w:kern w:val="2"/>
    </w:rPr>
  </w:style>
  <w:style w:type="character" w:customStyle="1" w:styleId="16">
    <w:name w:val="Comment Subject Char"/>
    <w:basedOn w:val="15"/>
    <w:link w:val="8"/>
    <w:qFormat/>
    <w:uiPriority w:val="0"/>
    <w:rPr>
      <w:rFonts w:asciiTheme="minorHAnsi" w:hAnsiTheme="minorHAnsi" w:eastAsiaTheme="minorEastAsia" w:cstheme="minorBidi"/>
      <w:b/>
      <w:bCs/>
      <w:kern w:val="2"/>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92</Pages>
  <Words>17626</Words>
  <Characters>119110</Characters>
  <Lines>992</Lines>
  <Paragraphs>272</Paragraphs>
  <TotalTime>8</TotalTime>
  <ScaleCrop>false</ScaleCrop>
  <LinksUpToDate>false</LinksUpToDate>
  <CharactersWithSpaces>136464</CharactersWithSpaces>
  <Application>WPS Office_6.2.2.8394_F1E327BC-269C-435d-A152-05C5408002CA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2023-11-14T21:54:00Z</dcterms:created>
  <dc:creator>挚九月</dc:creator>
  <cp:lastModifiedBy>九月</cp:lastModifiedBy>
  <dcterms:modified xsi:type="dcterms:W3CDTF">2023-11-26T20:17:25Z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1033-6.2.2.8394</vt:lpwstr>
  </property>
  <property fmtid="{D5CDD505-2E9C-101B-9397-08002B2CF9AE}" pid="3" name="ICV">
    <vt:lpwstr>D350D0EA5FC25E7468356365F8A78BCA_43</vt:lpwstr>
  </property>
</Properties>
</file>