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pPr>
    </w:p>
    <w:p>
      <w:pPr>
        <w:pStyle w:val="Normal (Web)"/>
        <w:spacing w:before="0" w:after="0"/>
        <w:jc w:val="center"/>
      </w:pPr>
    </w:p>
    <w:p>
      <w:pPr>
        <w:pStyle w:val="Normal (Web)"/>
        <w:spacing w:before="0" w:after="0"/>
        <w:jc w:val="center"/>
      </w:pPr>
    </w:p>
    <w:p>
      <w:pPr>
        <w:pStyle w:val="Normal (Web)"/>
        <w:spacing w:before="0" w:after="0"/>
        <w:jc w:val="center"/>
      </w:pPr>
      <w:r>
        <w:rPr>
          <w:rFonts w:ascii="Arial" w:hAnsi="Arial"/>
          <w:b w:val="1"/>
          <w:bCs w:val="1"/>
          <w:sz w:val="28"/>
          <w:szCs w:val="28"/>
          <w:rtl w:val="0"/>
          <w:lang w:val="en-US"/>
        </w:rPr>
        <w:t xml:space="preserve">Postgraduate/Distance Learning </w:t>
      </w: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lang w:val="en-US"/>
        </w:rPr>
        <w:t>Assignment coversheet &amp; feedback form</w:t>
      </w:r>
    </w:p>
    <w:p>
      <w:pPr>
        <w:pStyle w:val="Normal (Web)"/>
        <w:spacing w:before="0" w:after="0"/>
        <w:jc w:val="center"/>
        <w:rPr>
          <w:rFonts w:ascii="Arial" w:cs="Arial" w:hAnsi="Arial" w:eastAsia="Arial"/>
        </w:rPr>
      </w:pPr>
    </w:p>
    <w:p>
      <w:pPr>
        <w:pStyle w:val="Heading 3"/>
        <w:keepNext w:val="0"/>
        <w:jc w:val="left"/>
        <w:rPr>
          <w:sz w:val="14"/>
          <w:szCs w:val="14"/>
        </w:rPr>
      </w:pPr>
      <w:r>
        <w:rPr>
          <w:sz w:val="14"/>
          <w:szCs w:val="14"/>
          <w:rtl w:val="0"/>
          <w:lang w:val="en-US"/>
        </w:rPr>
        <w:t>THIS SHEET MUST BE</w:t>
      </w:r>
      <w:r>
        <w:drawing xmlns:a="http://schemas.openxmlformats.org/drawingml/2006/main">
          <wp:anchor distT="0" distB="0" distL="0" distR="0" simplePos="0" relativeHeight="251659264" behindDoc="0" locked="0" layoutInCell="1" allowOverlap="1">
            <wp:simplePos x="0" y="0"/>
            <wp:positionH relativeFrom="page">
              <wp:posOffset>460875</wp:posOffset>
            </wp:positionH>
            <wp:positionV relativeFrom="page">
              <wp:posOffset>402182</wp:posOffset>
            </wp:positionV>
            <wp:extent cx="1907540" cy="635635"/>
            <wp:effectExtent l="0" t="0" r="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7540" cy="635635"/>
                    </a:xfrm>
                    <a:prstGeom prst="rect">
                      <a:avLst/>
                    </a:prstGeom>
                    <a:ln w="12700" cap="flat">
                      <a:noFill/>
                      <a:miter lim="400000"/>
                    </a:ln>
                    <a:effectLst/>
                  </pic:spPr>
                </pic:pic>
              </a:graphicData>
            </a:graphic>
          </wp:anchor>
        </w:drawing>
      </w:r>
      <w:r>
        <w:rPr>
          <w:sz w:val="14"/>
          <w:szCs w:val="14"/>
          <w:rtl w:val="0"/>
          <w:lang w:val="en-US"/>
        </w:rPr>
        <w:t xml:space="preserve"> THE FIRST PAGE OF THE ASSIGNMENT YOU ARE SUBMITTING  (DO NOT SEND AS A SEPARATE FILE)</w:t>
      </w:r>
    </w:p>
    <w:p>
      <w:pPr>
        <w:pStyle w:val="Heading 3"/>
        <w:keepNext w:val="0"/>
        <w:jc w:val="left"/>
        <w:rPr>
          <w:rFonts w:ascii="Trebuchet MS" w:cs="Trebuchet MS" w:hAnsi="Trebuchet MS" w:eastAsia="Trebuchet MS"/>
          <w:sz w:val="14"/>
          <w:szCs w:val="14"/>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de-DE"/>
              </w:rPr>
              <w:t>Student Name:</w:t>
            </w:r>
            <w:r>
              <w:rPr>
                <w:rFonts w:ascii="Arial" w:hAnsi="Arial"/>
                <w:sz w:val="22"/>
                <w:szCs w:val="22"/>
                <w:shd w:val="nil" w:color="auto" w:fill="auto"/>
                <w:rtl w:val="0"/>
                <w:lang w:val="en-US"/>
              </w:rPr>
              <w:t xml:space="preserve">  Tina Jensen Friis Auster</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de-DE"/>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rPr>
              <w:t xml:space="preserve"> </w:t>
            </w:r>
            <w:r>
              <w:rPr>
                <w:rFonts w:ascii="Arial" w:hAnsi="Arial"/>
                <w:sz w:val="22"/>
                <w:szCs w:val="22"/>
                <w:shd w:val="nil" w:color="auto" w:fill="auto"/>
                <w:rtl w:val="0"/>
              </w:rPr>
              <w:t xml:space="preserve">Email: </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nl-NL"/>
              </w:rPr>
              <w:t>2024510@student.uwtsd.ac.uk</w:t>
            </w:r>
          </w:p>
        </w:tc>
      </w:tr>
      <w:tr>
        <w:tblPrEx>
          <w:shd w:val="clear" w:color="auto" w:fill="ced7e7"/>
        </w:tblPrEx>
        <w:trPr>
          <w:trHeight w:val="96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outline w:val="0"/>
                <w:color w:val="37393b"/>
                <w:sz w:val="22"/>
                <w:szCs w:val="22"/>
                <w:shd w:val="clear" w:color="auto" w:fill="ffffff"/>
                <w14:textFill>
                  <w14:solidFill>
                    <w14:srgbClr w14:val="373A3C"/>
                  </w14:solidFill>
                </w14:textFill>
              </w:rPr>
            </w:pPr>
            <w:r>
              <w:rPr>
                <w:rFonts w:ascii="Arial" w:hAnsi="Arial"/>
                <w:sz w:val="22"/>
                <w:szCs w:val="22"/>
                <w:shd w:val="nil" w:color="auto" w:fill="auto"/>
                <w:rtl w:val="0"/>
                <w:lang w:val="en-US"/>
              </w:rPr>
              <w:t>Module code:</w:t>
            </w:r>
            <w:r>
              <w:rPr>
                <w:rFonts w:ascii="Arial" w:hAnsi="Arial"/>
                <w:sz w:val="22"/>
                <w:szCs w:val="22"/>
                <w:shd w:val="nil" w:color="auto" w:fill="auto"/>
                <w:rtl w:val="0"/>
                <w:lang w:val="en-US"/>
              </w:rPr>
              <w:t xml:space="preserve">  </w:t>
            </w:r>
            <w:r>
              <w:rPr>
                <w:rFonts w:ascii="Arial" w:hAnsi="Arial"/>
                <w:sz w:val="22"/>
                <w:szCs w:val="22"/>
                <w:rtl w:val="0"/>
              </w:rPr>
              <w:t>HPCA7015</w:t>
            </w:r>
          </w:p>
          <w:p>
            <w:pPr>
              <w:pStyle w:val="Normal (Web)"/>
              <w:spacing w:before="0" w:after="0"/>
              <w:ind w:right="34"/>
              <w:rPr>
                <w:rFonts w:ascii="Arial" w:cs="Arial" w:hAnsi="Arial" w:eastAsia="Arial"/>
                <w:sz w:val="22"/>
                <w:szCs w:val="22"/>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Module title:</w:t>
            </w:r>
            <w:r>
              <w:rPr>
                <w:rFonts w:ascii="Arial" w:hAnsi="Arial"/>
                <w:sz w:val="22"/>
                <w:szCs w:val="22"/>
                <w:shd w:val="nil" w:color="auto" w:fill="auto"/>
                <w:rtl w:val="0"/>
                <w:lang w:val="en-US"/>
              </w:rPr>
              <w:t xml:space="preserve"> Foundations in Cultural Astronomy and Astrology</w:t>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rPr>
            </w:pPr>
          </w:p>
          <w:p>
            <w:pPr>
              <w:pStyle w:val="Normal (Web)"/>
              <w:spacing w:before="0" w:after="0"/>
              <w:ind w:right="34"/>
            </w:pPr>
            <w:r>
              <w:rPr>
                <w:rFonts w:ascii="Arial" w:hAnsi="Arial"/>
                <w:sz w:val="22"/>
                <w:szCs w:val="22"/>
                <w:shd w:val="nil" w:color="auto" w:fill="auto"/>
                <w:rtl w:val="0"/>
                <w:lang w:val="en-US"/>
              </w:rPr>
              <w:t>2024510</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rPr>
              <w:t>No</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Assignment title:</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en-US"/>
              </w:rPr>
              <w:t xml:space="preserve">A Critical Comparison of two </w:t>
            </w:r>
            <w:r>
              <w:rPr>
                <w:rFonts w:ascii="Arial" w:hAnsi="Arial"/>
                <w:sz w:val="22"/>
                <w:szCs w:val="22"/>
                <w:shd w:val="nil" w:color="auto" w:fill="auto"/>
                <w:rtl w:val="0"/>
                <w:lang w:val="en-US"/>
              </w:rPr>
              <w:t>JSTOR papers</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Assignment due date:</w:t>
            </w:r>
            <w:r>
              <w:rPr>
                <w:rFonts w:ascii="Arial" w:hAnsi="Arial"/>
                <w:sz w:val="22"/>
                <w:szCs w:val="22"/>
                <w:shd w:val="nil" w:color="auto" w:fill="auto"/>
                <w:rtl w:val="0"/>
                <w:lang w:val="en-US"/>
              </w:rPr>
              <w:t xml:space="preserve">  4th November 2021</w:t>
            </w:r>
          </w:p>
        </w:tc>
      </w:tr>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en-US"/>
              </w:rPr>
              <w:t xml:space="preserve">This assignment is for the       </w:t>
            </w:r>
            <w:r>
              <w:rPr>
                <w:rFonts w:ascii="Arial" w:hAnsi="Arial"/>
                <w:sz w:val="22"/>
                <w:szCs w:val="22"/>
                <w:u w:color="000000"/>
                <w:shd w:val="nil" w:color="auto" w:fill="auto"/>
                <w:rtl w:val="0"/>
                <w:lang w:val="en-US"/>
              </w:rPr>
              <w:t>3rd</w:t>
            </w:r>
            <w:r>
              <w:rPr>
                <w:rFonts w:ascii="Arial" w:hAnsi="Arial"/>
                <w:sz w:val="22"/>
                <w:szCs w:val="22"/>
                <w:u w:color="000000"/>
                <w:shd w:val="nil" w:color="auto" w:fill="auto"/>
                <w:vertAlign w:val="superscript"/>
                <w:rtl w:val="0"/>
              </w:rPr>
              <w:t xml:space="preserve"> </w:t>
            </w:r>
            <w:r>
              <w:rPr>
                <w:rFonts w:ascii="Arial" w:hAnsi="Arial"/>
                <w:sz w:val="22"/>
                <w:szCs w:val="22"/>
                <w:u w:color="000000"/>
                <w:shd w:val="nil" w:color="auto" w:fill="auto"/>
                <w:rtl w:val="0"/>
              </w:rPr>
              <w:t xml:space="preserve">  </w:t>
            </w:r>
            <w:r>
              <w:rPr>
                <w:rFonts w:ascii="Arial" w:hAnsi="Arial"/>
                <w:b w:val="1"/>
                <w:bCs w:val="1"/>
                <w:sz w:val="22"/>
                <w:szCs w:val="22"/>
                <w:u w:color="000000"/>
                <w:shd w:val="nil" w:color="auto" w:fill="auto"/>
                <w:rtl w:val="0"/>
              </w:rPr>
              <w:t xml:space="preserve">   </w:t>
            </w:r>
            <w:r>
              <w:rPr>
                <w:rFonts w:ascii="Arial" w:hAnsi="Arial"/>
                <w:sz w:val="22"/>
                <w:szCs w:val="22"/>
                <w:u w:color="000000"/>
                <w:shd w:val="nil" w:color="auto" w:fill="auto"/>
                <w:rtl w:val="0"/>
                <w:lang w:val="en-US"/>
              </w:rPr>
              <w:t>module of the degree</w:t>
            </w:r>
          </w:p>
        </w:tc>
      </w:tr>
      <w:tr>
        <w:tblPrEx>
          <w:shd w:val="clear" w:color="auto" w:fill="ced7e7"/>
        </w:tblPrEx>
        <w:trPr>
          <w:trHeight w:val="16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Georgia" w:cs="Georgia" w:hAnsi="Georgia" w:eastAsia="Georgia"/>
                <w:sz w:val="22"/>
                <w:szCs w:val="22"/>
                <w:shd w:val="nil" w:color="auto" w:fill="auto"/>
                <w:rtl w:val="0"/>
              </w:rPr>
            </w:pP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Signed </w:t>
            </w:r>
            <w:r>
              <w:rPr>
                <w:rFonts w:ascii="Arial" w:hAnsi="Arial" w:hint="default"/>
                <w:sz w:val="22"/>
                <w:szCs w:val="22"/>
                <w:shd w:val="nil" w:color="auto" w:fill="auto"/>
                <w:rtl w:val="0"/>
              </w:rPr>
              <w:t>……</w:t>
            </w:r>
            <w:r>
              <w:rPr>
                <w:rFonts w:ascii="Arial" w:hAnsi="Arial"/>
                <w:sz w:val="22"/>
                <w:szCs w:val="22"/>
                <w:shd w:val="nil" w:color="auto" w:fill="auto"/>
                <w:rtl w:val="0"/>
                <w:lang w:val="en-US"/>
              </w:rPr>
              <w:t>Tina Jensen Friis Auster</w:t>
            </w:r>
            <w:r>
              <w:rPr>
                <w:rFonts w:ascii="Arial" w:hAnsi="Arial" w:hint="default"/>
                <w:sz w:val="22"/>
                <w:szCs w:val="22"/>
                <w:shd w:val="nil" w:color="auto" w:fill="auto"/>
                <w:rtl w:val="0"/>
              </w:rPr>
              <w:t>………………………………………………………</w:t>
            </w:r>
          </w:p>
          <w:p>
            <w:pPr>
              <w:pStyle w:val="Normal (Web)"/>
              <w:bidi w:val="0"/>
              <w:spacing w:before="0" w:after="0"/>
              <w:ind w:left="0" w:right="34" w:firstLine="0"/>
              <w:jc w:val="left"/>
              <w:rPr>
                <w:rFonts w:ascii="Arial" w:cs="Arial" w:hAnsi="Arial" w:eastAsia="Arial"/>
                <w:sz w:val="22"/>
                <w:szCs w:val="22"/>
                <w:shd w:val="nil" w:color="auto" w:fill="auto"/>
                <w:rtl w:val="0"/>
              </w:rPr>
            </w:pPr>
          </w:p>
          <w:p>
            <w:pPr>
              <w:pStyle w:val="Normal (Web)"/>
              <w:bidi w:val="0"/>
              <w:spacing w:before="0" w:after="0" w:line="168" w:lineRule="auto"/>
              <w:ind w:left="0" w:right="34" w:firstLine="0"/>
              <w:jc w:val="left"/>
              <w:rPr>
                <w:rFonts w:ascii="Calibri" w:cs="Calibri" w:hAnsi="Calibri" w:eastAsia="Calibri"/>
                <w:b w:val="1"/>
                <w:bCs w:val="1"/>
                <w:sz w:val="44"/>
                <w:szCs w:val="44"/>
                <w:shd w:val="nil" w:color="auto" w:fill="auto"/>
                <w:rtl w:val="0"/>
              </w:rPr>
            </w:pPr>
            <w:r>
              <w:rPr>
                <w:rFonts w:ascii="Calibri" w:hAnsi="Calibri"/>
                <w:b w:val="1"/>
                <w:bCs w:val="1"/>
                <w:sz w:val="24"/>
                <w:szCs w:val="24"/>
                <w:shd w:val="nil" w:color="auto" w:fill="auto"/>
                <w:rtl w:val="0"/>
                <w:lang w:val="en-US"/>
              </w:rPr>
              <w:t xml:space="preserve">Email submission:if you are submitting this form via email, please tick this box </w:t>
            </w:r>
          </w:p>
          <w:p>
            <w:pPr>
              <w:pStyle w:val="Normal (Web)"/>
              <w:bidi w:val="0"/>
              <w:spacing w:before="0" w:after="0" w:line="168" w:lineRule="auto"/>
              <w:ind w:left="0" w:right="34" w:firstLine="0"/>
              <w:jc w:val="left"/>
              <w:rPr>
                <w:rtl w:val="0"/>
              </w:rPr>
            </w:pPr>
            <w:r>
              <w:rPr>
                <w:rFonts w:ascii="Calibri" w:hAnsi="Calibri"/>
                <w:b w:val="1"/>
                <w:bCs w:val="1"/>
                <w:sz w:val="24"/>
                <w:szCs w:val="24"/>
                <w:shd w:val="nil" w:color="auto" w:fill="auto"/>
                <w:rtl w:val="0"/>
                <w:lang w:val="en-US"/>
              </w:rPr>
              <w:t>(as a substitute for your signature) to confirm that you agree to the above declaration.</w:t>
            </w:r>
          </w:p>
        </w:tc>
      </w:tr>
      <w:tr>
        <w:tblPrEx>
          <w:shd w:val="clear" w:color="auto" w:fill="ced7e7"/>
        </w:tblPrEx>
        <w:trPr>
          <w:trHeight w:val="44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0"/>
              <w:jc w:val="left"/>
              <w:rPr>
                <w:rFonts w:ascii="Arial" w:cs="Arial" w:hAnsi="Arial" w:eastAsia="Arial"/>
                <w:u w:color="000000"/>
                <w:shd w:val="nil" w:color="auto" w:fill="auto"/>
              </w:rPr>
            </w:pPr>
            <w:r>
              <w:rPr>
                <w:rFonts w:ascii="Arial" w:hAnsi="Arial"/>
                <w:b w:val="1"/>
                <w:bCs w:val="1"/>
                <w:u w:color="000000"/>
                <w:shd w:val="nil" w:color="auto" w:fill="auto"/>
                <w:rtl w:val="0"/>
                <w:lang w:val="en-US"/>
              </w:rPr>
              <w:t>Assignment Mark</w:t>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1</w:t>
            </w:r>
            <w:r>
              <w:rPr>
                <w:rFonts w:ascii="Arial" w:hAnsi="Arial"/>
                <w:sz w:val="20"/>
                <w:szCs w:val="20"/>
                <w:u w:color="000000"/>
                <w:shd w:val="nil" w:color="auto" w:fill="auto"/>
                <w:vertAlign w:val="superscript"/>
                <w:rtl w:val="0"/>
              </w:rPr>
              <w:t>st</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2</w:t>
            </w:r>
            <w:r>
              <w:rPr>
                <w:rFonts w:ascii="Arial" w:hAnsi="Arial"/>
                <w:sz w:val="20"/>
                <w:szCs w:val="20"/>
                <w:u w:color="000000"/>
                <w:shd w:val="nil" w:color="auto" w:fill="auto"/>
                <w:vertAlign w:val="superscript"/>
                <w:rtl w:val="0"/>
              </w:rPr>
              <w:t>nd</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it-IT"/>
              </w:rPr>
              <w:t>s/Moderator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lang w:val="pt-PT"/>
              </w:rPr>
              <w:t>External Examiner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mark (if relevant)</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Times New Roman" w:cs="Times New Roman" w:hAnsi="Times New Roman" w:eastAsia="Times New Roman"/>
                <w:u w:color="000000"/>
                <w:shd w:val="nil" w:color="auto" w:fill="auto"/>
                <w:rtl w:val="0"/>
              </w:rPr>
            </w:pPr>
            <w:r>
              <w:rPr>
                <w:rFonts w:ascii="Arial" w:hAnsi="Arial"/>
                <w:b w:val="1"/>
                <w:bCs w:val="1"/>
                <w:sz w:val="20"/>
                <w:szCs w:val="20"/>
                <w:u w:color="000000"/>
                <w:shd w:val="nil" w:color="auto" w:fill="auto"/>
                <w:rtl w:val="0"/>
                <w:lang w:val="pt-PT"/>
              </w:rPr>
              <w:t>Final Mark</w:t>
            </w: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Times New Roman" w:cs="Times New Roman" w:hAnsi="Times New Roman" w:eastAsia="Times New Roman"/>
                <w:sz w:val="20"/>
                <w:szCs w:val="20"/>
                <w:u w:color="000000"/>
                <w:shd w:val="nil" w:color="auto" w:fill="auto"/>
                <w:rtl w:val="0"/>
              </w:rPr>
              <w:tab/>
            </w:r>
          </w:p>
          <w:p>
            <w:pPr>
              <w:pStyle w:val="Normal (Web)"/>
              <w:bidi w:val="0"/>
              <w:spacing w:before="0" w:after="0"/>
              <w:ind w:left="142" w:right="0"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            ALL COMMENTS ARE  ON THE PDF OF YOUR PAPER IN TURNITIN </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spacing w:before="0" w:after="0"/>
              <w:ind w:left="0" w:right="0" w:firstLine="0"/>
              <w:jc w:val="left"/>
              <w:rPr>
                <w:rFonts w:ascii="Georgia" w:cs="Georgia" w:hAnsi="Georgia" w:eastAsia="Georgia"/>
                <w:sz w:val="22"/>
                <w:szCs w:val="22"/>
                <w:shd w:val="nil" w:color="auto" w:fill="auto"/>
                <w:rtl w:val="0"/>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pPr>
            <w:r>
              <w:rPr>
                <w:shd w:val="nil" w:color="auto" w:fill="auto"/>
              </w:rPr>
            </w:r>
          </w:p>
        </w:tc>
      </w:tr>
      <w:tr>
        <w:tblPrEx>
          <w:shd w:val="clear" w:color="auto" w:fill="ced7e7"/>
        </w:tblPrEx>
        <w:trPr>
          <w:trHeight w:val="243"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ind w:left="142" w:firstLine="0"/>
            </w:pPr>
            <w:r>
              <w:rPr>
                <w:rFonts w:ascii="Arial" w:hAnsi="Arial"/>
                <w:sz w:val="22"/>
                <w:szCs w:val="22"/>
                <w:shd w:val="nil" w:color="auto" w:fill="auto"/>
                <w:rtl w:val="0"/>
                <w:lang w:val="de-DE"/>
              </w:rPr>
              <w:t>Date:</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sz w:val="22"/>
                <w:szCs w:val="22"/>
                <w:shd w:val="nil" w:color="auto" w:fill="auto"/>
                <w:rtl w:val="0"/>
                <w:lang w:val="en-US"/>
              </w:rPr>
              <w:t>Comments:</w:t>
            </w:r>
          </w:p>
          <w:p>
            <w:pPr>
              <w:pStyle w:val="Normal (Web)"/>
              <w:spacing w:before="0" w:after="0"/>
            </w:pPr>
            <w:r>
              <w:rPr>
                <w:rFonts w:ascii="Arial" w:cs="Arial" w:hAnsi="Arial" w:eastAsia="Arial"/>
                <w:sz w:val="22"/>
                <w:szCs w:val="22"/>
                <w:shd w:val="nil" w:color="auto" w:fill="auto"/>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de-DE"/>
              </w:rPr>
              <w:t>Date:</w:t>
            </w:r>
          </w:p>
        </w:tc>
      </w:tr>
      <w:tr>
        <w:tblPrEx>
          <w:shd w:val="clear" w:color="auto" w:fill="ced7e7"/>
        </w:tblPrEx>
        <w:trPr>
          <w:trHeight w:val="56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b w:val="1"/>
                <w:bCs w:val="1"/>
                <w:sz w:val="22"/>
                <w:szCs w:val="22"/>
                <w:u w:color="000000"/>
                <w:shd w:val="nil" w:color="auto" w:fill="auto"/>
                <w:rtl w:val="0"/>
                <w:lang w:val="pt-PT"/>
              </w:rPr>
              <w:t>External Examiner</w:t>
            </w:r>
            <w:r>
              <w:rPr>
                <w:rFonts w:ascii="Arial" w:hAnsi="Arial" w:hint="default"/>
                <w:b w:val="1"/>
                <w:bCs w:val="1"/>
                <w:sz w:val="22"/>
                <w:szCs w:val="22"/>
                <w:u w:color="000000"/>
                <w:shd w:val="nil" w:color="auto" w:fill="auto"/>
                <w:rtl w:val="1"/>
              </w:rPr>
              <w:t>’</w:t>
            </w:r>
            <w:r>
              <w:rPr>
                <w:rFonts w:ascii="Arial" w:hAnsi="Arial"/>
                <w:b w:val="1"/>
                <w:bCs w:val="1"/>
                <w:sz w:val="22"/>
                <w:szCs w:val="22"/>
                <w:u w:color="000000"/>
                <w:shd w:val="nil" w:color="auto" w:fill="auto"/>
                <w:rtl w:val="0"/>
                <w:lang w:val="en-US"/>
              </w:rPr>
              <w:t>s comments (if relevant)</w:t>
            </w:r>
            <w:r>
              <w:rPr>
                <w:rFonts w:ascii="Times New Roman" w:cs="Times New Roman" w:hAnsi="Times New Roman" w:eastAsia="Times New Roman"/>
                <w:u w:color="000000"/>
                <w:shd w:val="nil" w:color="auto" w:fill="auto"/>
                <w:rtl w:val="0"/>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pt-PT"/>
              </w:rPr>
              <w:t>External Examiner</w:t>
            </w:r>
            <w:r>
              <w:rPr>
                <w:rFonts w:ascii="Arial" w:hAnsi="Arial" w:hint="default"/>
                <w:sz w:val="22"/>
                <w:szCs w:val="22"/>
                <w:u w:color="000000"/>
                <w:shd w:val="nil" w:color="auto" w:fill="auto"/>
                <w:rtl w:val="1"/>
              </w:rPr>
              <w:t>’</w:t>
            </w:r>
            <w:r>
              <w:rPr>
                <w:rFonts w:ascii="Arial" w:hAnsi="Arial"/>
                <w:sz w:val="22"/>
                <w:szCs w:val="22"/>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de-DE"/>
              </w:rPr>
              <w:t>Date:</w:t>
            </w:r>
          </w:p>
        </w:tc>
      </w:tr>
    </w:tbl>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widowControl w:val="0"/>
        <w:ind w:left="0" w:firstLine="0"/>
        <w:jc w:val="center"/>
        <w:rPr>
          <w:rFonts w:ascii="Trebuchet MS" w:cs="Trebuchet MS" w:hAnsi="Trebuchet MS" w:eastAsia="Trebuchet MS"/>
        </w:rPr>
      </w:pPr>
    </w:p>
    <w:p>
      <w:pPr>
        <w:pStyle w:val="Heading 3"/>
        <w:widowControl w:val="0"/>
        <w:ind w:left="0" w:firstLine="0"/>
        <w:jc w:val="center"/>
        <w:sectPr>
          <w:headerReference w:type="default" r:id="rId5"/>
          <w:footerReference w:type="default" r:id="rId6"/>
          <w:pgSz w:w="12240" w:h="15840" w:orient="portrait"/>
          <w:pgMar w:top="1134" w:right="1134" w:bottom="1134" w:left="1134" w:header="567" w:footer="720"/>
          <w:pgNumType w:start="1"/>
          <w:bidi w:val="0"/>
        </w:sect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32"/>
          <w:szCs w:val="32"/>
        </w:rPr>
      </w:pPr>
      <w:r>
        <w:rPr>
          <w:rFonts w:ascii="Palatino" w:hAnsi="Palatino"/>
          <w:sz w:val="32"/>
          <w:szCs w:val="32"/>
          <w:rtl w:val="0"/>
          <w:lang w:val="en-US"/>
        </w:rPr>
        <w:t>A Critical Comparison of two JSTOR papers</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6"/>
          <w:szCs w:val="26"/>
        </w:rPr>
      </w:pPr>
      <w:r>
        <w:rPr>
          <w:rFonts w:ascii="Palatino" w:hAnsi="Palatino"/>
          <w:sz w:val="26"/>
          <w:szCs w:val="26"/>
          <w:rtl w:val="0"/>
          <w:lang w:val="en-US"/>
        </w:rPr>
        <w:t>Tina Jensen Friis Auster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Sophia Centre for the Study of Cosmology in Culture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University of Wales Trinity Saint David, Institute of Education and Humanities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Introduction</w:t>
      </w:r>
    </w:p>
    <w:p>
      <w:pPr>
        <w:pStyle w:val="Body"/>
        <w:spacing w:before="0"/>
        <w:rPr>
          <w:rFonts w:ascii="Palatino" w:cs="Palatino" w:hAnsi="Palatino" w:eastAsia="Palatino"/>
          <w:sz w:val="22"/>
          <w:szCs w:val="22"/>
        </w:rPr>
      </w:pPr>
      <w:r>
        <w:rPr>
          <w:rFonts w:ascii="Palatino" w:hAnsi="Palatino"/>
          <w:sz w:val="22"/>
          <w:szCs w:val="22"/>
          <w:rtl w:val="0"/>
          <w:lang w:val="en-US"/>
        </w:rPr>
        <w:t xml:space="preserve">This essay critically compares and contrasts </w:t>
      </w:r>
      <w:r>
        <w:rPr>
          <w:rFonts w:ascii="Palatino" w:hAnsi="Palatino"/>
          <w:sz w:val="22"/>
          <w:szCs w:val="22"/>
          <w:rtl w:val="0"/>
          <w:lang w:val="en-US"/>
        </w:rPr>
        <w:t>Wayne</w:t>
      </w:r>
      <w:r>
        <w:rPr>
          <w:rFonts w:ascii="Palatino" w:hAnsi="Palatino"/>
          <w:sz w:val="22"/>
          <w:szCs w:val="22"/>
          <w:rtl w:val="0"/>
          <w:lang w:val="en-US"/>
        </w:rPr>
        <w:t xml:space="preserve"> Elzey</w:t>
      </w:r>
      <w:r>
        <w:rPr>
          <w:rFonts w:ascii="Palatino" w:hAnsi="Palatino" w:hint="default"/>
          <w:sz w:val="22"/>
          <w:szCs w:val="22"/>
          <w:rtl w:val="0"/>
          <w:lang w:val="en-US"/>
        </w:rPr>
        <w:t>’</w:t>
      </w:r>
      <w:r>
        <w:rPr>
          <w:rFonts w:ascii="Palatino" w:hAnsi="Palatino"/>
          <w:sz w:val="22"/>
          <w:szCs w:val="22"/>
          <w:rtl w:val="0"/>
          <w:lang w:val="en-US"/>
        </w:rPr>
        <w:t xml:space="preserve">s paper </w:t>
      </w:r>
      <w:r>
        <w:rPr>
          <w:rFonts w:ascii="Palatino" w:hAnsi="Palatino" w:hint="default"/>
          <w:sz w:val="22"/>
          <w:szCs w:val="22"/>
          <w:rtl w:val="1"/>
        </w:rPr>
        <w:t>‘</w:t>
      </w:r>
      <w:r>
        <w:rPr>
          <w:rFonts w:ascii="Palatino" w:hAnsi="Palatino"/>
          <w:sz w:val="22"/>
          <w:szCs w:val="22"/>
          <w:rtl w:val="0"/>
          <w:lang w:val="en-US"/>
        </w:rPr>
        <w:t>The Nahua Myth of the Suns: History and Cosmology in Pre-Hispanic Mexican Religions</w:t>
      </w:r>
      <w:r>
        <w:rPr>
          <w:rFonts w:ascii="Palatino" w:hAnsi="Palatino" w:hint="default"/>
          <w:sz w:val="22"/>
          <w:szCs w:val="22"/>
          <w:rtl w:val="1"/>
        </w:rPr>
        <w:t>’</w:t>
      </w:r>
      <w:r>
        <w:rPr>
          <w:rFonts w:ascii="Palatino" w:hAnsi="Palatino"/>
          <w:sz w:val="22"/>
          <w:szCs w:val="22"/>
          <w:rtl w:val="0"/>
          <w:lang w:val="en-US"/>
        </w:rPr>
        <w:t xml:space="preserve"> published in Numen, the official journal of the International Association for the History of Religion (IAHR)</w:t>
      </w:r>
      <w:r>
        <w:rPr>
          <w:rFonts w:ascii="Palatino" w:hAnsi="Palatino"/>
          <w:sz w:val="22"/>
          <w:szCs w:val="22"/>
          <w:rtl w:val="0"/>
        </w:rPr>
        <w:t xml:space="preserve"> </w:t>
      </w:r>
      <w:r>
        <w:rPr>
          <w:rFonts w:ascii="Palatino" w:hAnsi="Palatino"/>
          <w:sz w:val="22"/>
          <w:szCs w:val="22"/>
          <w:rtl w:val="0"/>
          <w:lang w:val="en-US"/>
        </w:rPr>
        <w:t xml:space="preserve">in 1976 with Mark </w:t>
      </w:r>
      <w:r>
        <w:rPr>
          <w:rFonts w:ascii="Palatino" w:hAnsi="Palatino"/>
          <w:sz w:val="22"/>
          <w:szCs w:val="22"/>
          <w:rtl w:val="0"/>
          <w:lang w:val="de-DE"/>
        </w:rPr>
        <w:t>Graubard</w:t>
      </w:r>
      <w:r>
        <w:rPr>
          <w:rFonts w:ascii="Palatino" w:hAnsi="Palatino" w:hint="default"/>
          <w:sz w:val="22"/>
          <w:szCs w:val="22"/>
          <w:rtl w:val="0"/>
          <w:lang w:val="en-US"/>
        </w:rPr>
        <w:t>’</w:t>
      </w:r>
      <w:r>
        <w:rPr>
          <w:rFonts w:ascii="Palatino" w:hAnsi="Palatino"/>
          <w:sz w:val="22"/>
          <w:szCs w:val="22"/>
          <w:rtl w:val="0"/>
          <w:lang w:val="en-US"/>
        </w:rPr>
        <w:t>s paper</w:t>
      </w:r>
      <w:r>
        <w:rPr>
          <w:rFonts w:ascii="Palatino" w:hAnsi="Palatino" w:hint="default"/>
          <w:sz w:val="22"/>
          <w:szCs w:val="22"/>
          <w:rtl w:val="1"/>
        </w:rPr>
        <w:t xml:space="preserve"> ‘</w:t>
      </w:r>
      <w:r>
        <w:rPr>
          <w:rFonts w:ascii="Palatino" w:hAnsi="Palatino"/>
          <w:sz w:val="22"/>
          <w:szCs w:val="22"/>
          <w:rtl w:val="0"/>
          <w:lang w:val="en-US"/>
        </w:rPr>
        <w:t>Astrology's Demise and Its Bearing on the Decline and Death of Beliefs</w:t>
      </w:r>
      <w:r>
        <w:rPr>
          <w:rFonts w:ascii="Palatino" w:hAnsi="Palatino" w:hint="default"/>
          <w:sz w:val="22"/>
          <w:szCs w:val="22"/>
          <w:rtl w:val="1"/>
        </w:rPr>
        <w:t>’</w:t>
      </w:r>
      <w:r>
        <w:rPr>
          <w:rFonts w:ascii="Palatino" w:hAnsi="Palatino"/>
          <w:sz w:val="22"/>
          <w:szCs w:val="22"/>
          <w:rtl w:val="0"/>
          <w:lang w:val="en-US"/>
        </w:rPr>
        <w:t xml:space="preserve"> published in </w:t>
      </w:r>
      <w:r>
        <w:rPr>
          <w:rFonts w:ascii="Palatino" w:hAnsi="Palatino"/>
          <w:sz w:val="22"/>
          <w:szCs w:val="22"/>
          <w:rtl w:val="0"/>
        </w:rPr>
        <w:t>Osiris,</w:t>
      </w:r>
      <w:r>
        <w:rPr>
          <w:rFonts w:ascii="Palatino" w:hAnsi="Palatino"/>
          <w:sz w:val="22"/>
          <w:szCs w:val="22"/>
          <w:rtl w:val="0"/>
          <w:lang w:val="en-US"/>
        </w:rPr>
        <w:t xml:space="preserve"> The University of Chicago Press Journals for History of Science Society in </w:t>
      </w:r>
      <w:r>
        <w:rPr>
          <w:rFonts w:ascii="Palatino" w:hAnsi="Palatino"/>
          <w:sz w:val="22"/>
          <w:szCs w:val="22"/>
          <w:rtl w:val="0"/>
        </w:rPr>
        <w:t>1958</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 xml:space="preserve">The essay will discuss the similarities and differences within the two sources, with particular focus on writing style &amp; structure, approach, ethical considerations as well as a </w:t>
      </w:r>
      <w:r>
        <w:rPr>
          <w:rFonts w:ascii="Palatino" w:hAnsi="Palatino"/>
          <w:sz w:val="22"/>
          <w:szCs w:val="22"/>
          <w:rtl w:val="0"/>
          <w:lang w:val="en-US"/>
        </w:rPr>
        <w:t xml:space="preserve">literature review discussed </w:t>
      </w:r>
      <w:r>
        <w:rPr>
          <w:rFonts w:ascii="Palatino" w:hAnsi="Palatino"/>
          <w:sz w:val="22"/>
          <w:szCs w:val="22"/>
          <w:rtl w:val="0"/>
          <w:lang w:val="en-US"/>
        </w:rPr>
        <w:t xml:space="preserve">from the authors intentions. As described in sources on research methods the chosen focus aspects writing style &amp; structure </w:t>
      </w:r>
      <w:r>
        <w:rPr>
          <w:rFonts w:ascii="Palatino" w:cs="Palatino" w:hAnsi="Palatino" w:eastAsia="Palatino"/>
          <w:sz w:val="22"/>
          <w:szCs w:val="22"/>
          <w:vertAlign w:val="superscript"/>
        </w:rPr>
        <w:footnoteReference w:id="2"/>
      </w:r>
      <w:r>
        <w:rPr>
          <w:rFonts w:ascii="Palatino" w:hAnsi="Palatino"/>
          <w:sz w:val="22"/>
          <w:szCs w:val="22"/>
          <w:rtl w:val="0"/>
          <w:lang w:val="en-US"/>
        </w:rPr>
        <w:t xml:space="preserve">, approach/analysis plan </w:t>
      </w:r>
      <w:r>
        <w:rPr>
          <w:rFonts w:ascii="Palatino" w:cs="Palatino" w:hAnsi="Palatino" w:eastAsia="Palatino"/>
          <w:sz w:val="22"/>
          <w:szCs w:val="22"/>
          <w:vertAlign w:val="superscript"/>
        </w:rPr>
        <w:footnoteReference w:id="3"/>
      </w:r>
      <w:r>
        <w:rPr>
          <w:rFonts w:ascii="Palatino" w:hAnsi="Palatino"/>
          <w:sz w:val="22"/>
          <w:szCs w:val="22"/>
          <w:rtl w:val="0"/>
          <w:lang w:val="en-US"/>
        </w:rPr>
        <w:t xml:space="preserve">, and ethical considerations </w:t>
      </w:r>
      <w:r>
        <w:rPr>
          <w:rFonts w:ascii="Palatino" w:cs="Palatino" w:hAnsi="Palatino" w:eastAsia="Palatino"/>
          <w:sz w:val="22"/>
          <w:szCs w:val="22"/>
          <w:vertAlign w:val="superscript"/>
        </w:rPr>
        <w:footnoteReference w:id="4"/>
      </w:r>
      <w:r>
        <w:rPr>
          <w:rFonts w:ascii="Palatino" w:hAnsi="Palatino"/>
          <w:sz w:val="22"/>
          <w:szCs w:val="22"/>
          <w:rtl w:val="0"/>
          <w:lang w:val="en-US"/>
        </w:rPr>
        <w:t xml:space="preserve"> are considered important aspects within research.</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Context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Both papers were written for scientific journals with a 20 year gap in between the papers from 1958 to 1976. Elzey</w:t>
      </w:r>
      <w:r>
        <w:rPr>
          <w:rFonts w:ascii="Palatino" w:hAnsi="Palatino" w:hint="default"/>
          <w:sz w:val="22"/>
          <w:szCs w:val="22"/>
          <w:rtl w:val="0"/>
          <w:lang w:val="en-US"/>
        </w:rPr>
        <w:t>’</w:t>
      </w:r>
      <w:r>
        <w:rPr>
          <w:rFonts w:ascii="Palatino" w:hAnsi="Palatino"/>
          <w:sz w:val="22"/>
          <w:szCs w:val="22"/>
          <w:rtl w:val="0"/>
          <w:lang w:val="en-US"/>
        </w:rPr>
        <w:t xml:space="preserve">s paper analysed the understanding of the Mexican myth of the 5 suns through discussion of an in-depth variation of sources cited in the original language. </w:t>
      </w:r>
      <w:r>
        <w:rPr>
          <w:rFonts w:ascii="Palatino" w:cs="Palatino" w:hAnsi="Palatino" w:eastAsia="Palatino"/>
          <w:sz w:val="22"/>
          <w:szCs w:val="22"/>
          <w:vertAlign w:val="superscript"/>
        </w:rPr>
        <w:footnoteReference w:id="5"/>
      </w:r>
      <w:r>
        <w:rPr>
          <w:rFonts w:ascii="Palatino" w:hAnsi="Palatino"/>
          <w:sz w:val="22"/>
          <w:szCs w:val="22"/>
          <w:rtl w:val="0"/>
          <w:lang w:val="en-US"/>
        </w:rPr>
        <w:t xml:space="preserve"> Elzey lived from 1941-2012 and was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7"/>
          <w:footerReference w:type="default" r:id="rId8"/>
          <w:pgSz w:w="12240" w:h="15840" w:orient="portrait"/>
          <w:pgMar w:top="1134" w:right="1134" w:bottom="1134" w:left="1134" w:header="567" w:footer="720"/>
          <w:pgNumType w:start="1"/>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a professor emeritus of comparative religion, who had studied with Mircea Eliade. At the time of publishing the paper discussed in this essay, Elzey was 35 years old and had been teaching for 6 years at Miami University. Elzey </w:t>
      </w:r>
      <w:r>
        <w:rPr>
          <w:rFonts w:ascii="Palatino" w:hAnsi="Palatino"/>
          <w:sz w:val="22"/>
          <w:szCs w:val="22"/>
          <w:rtl w:val="0"/>
          <w:lang w:val="en-US"/>
        </w:rPr>
        <w:t xml:space="preserve">published </w:t>
      </w:r>
      <w:r>
        <w:rPr>
          <w:rFonts w:ascii="Palatino" w:hAnsi="Palatino"/>
          <w:sz w:val="22"/>
          <w:szCs w:val="22"/>
          <w:rtl w:val="0"/>
          <w:lang w:val="en-US"/>
        </w:rPr>
        <w:t>other articles and book chapters</w:t>
      </w:r>
      <w:r>
        <w:rPr>
          <w:rFonts w:ascii="Palatino" w:hAnsi="Palatino"/>
          <w:sz w:val="22"/>
          <w:szCs w:val="22"/>
          <w:rtl w:val="0"/>
        </w:rPr>
        <w:t xml:space="preserve"> on </w:t>
      </w:r>
      <w:r>
        <w:rPr>
          <w:rFonts w:ascii="Palatino" w:hAnsi="Palatino"/>
          <w:sz w:val="22"/>
          <w:szCs w:val="22"/>
          <w:rtl w:val="0"/>
          <w:lang w:val="en-US"/>
        </w:rPr>
        <w:t xml:space="preserve">the </w:t>
      </w:r>
      <w:r>
        <w:rPr>
          <w:rFonts w:ascii="Palatino" w:hAnsi="Palatino"/>
          <w:sz w:val="22"/>
          <w:szCs w:val="22"/>
          <w:rtl w:val="0"/>
          <w:lang w:val="en-US"/>
        </w:rPr>
        <w:t xml:space="preserve">Aztec and </w:t>
      </w:r>
      <w:r>
        <w:rPr>
          <w:rFonts w:ascii="Palatino" w:hAnsi="Palatino"/>
          <w:sz w:val="22"/>
          <w:szCs w:val="22"/>
          <w:rtl w:val="0"/>
          <w:lang w:val="en-US"/>
        </w:rPr>
        <w:t xml:space="preserve">the </w:t>
      </w:r>
      <w:r>
        <w:rPr>
          <w:rFonts w:ascii="Palatino" w:hAnsi="Palatino"/>
          <w:sz w:val="22"/>
          <w:szCs w:val="22"/>
          <w:rtl w:val="0"/>
        </w:rPr>
        <w:t>Mayan cultures</w:t>
      </w:r>
      <w:r>
        <w:rPr>
          <w:rFonts w:ascii="Palatino" w:hAnsi="Palatino"/>
          <w:sz w:val="22"/>
          <w:szCs w:val="22"/>
          <w:rtl w:val="0"/>
          <w:lang w:val="en-US"/>
        </w:rPr>
        <w:t xml:space="preserve">, and he remained teaching at Miami University for </w:t>
      </w:r>
      <w:r>
        <w:rPr>
          <w:rFonts w:ascii="Palatino" w:hAnsi="Palatino"/>
          <w:sz w:val="22"/>
          <w:szCs w:val="22"/>
          <w:rtl w:val="0"/>
          <w:lang w:val="en-US"/>
        </w:rPr>
        <w:t>33 years</w:t>
      </w:r>
      <w:r>
        <w:rPr>
          <w:rFonts w:ascii="Palatino" w:hAnsi="Palatino"/>
          <w:sz w:val="22"/>
          <w:szCs w:val="22"/>
          <w:rtl w:val="0"/>
          <w:lang w:val="en-US"/>
        </w:rPr>
        <w:t xml:space="preserve"> from 1970 to 2002</w:t>
      </w:r>
      <w:r>
        <w:rPr>
          <w:rFonts w:ascii="Palatino" w:hAnsi="Palatino"/>
          <w:sz w:val="22"/>
          <w:szCs w:val="22"/>
          <w:rtl w:val="0"/>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6"/>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Graubard</w:t>
      </w:r>
      <w:r>
        <w:rPr>
          <w:rFonts w:ascii="Palatino" w:hAnsi="Palatino" w:hint="default"/>
          <w:sz w:val="22"/>
          <w:szCs w:val="22"/>
          <w:rtl w:val="0"/>
          <w:lang w:val="en-US"/>
        </w:rPr>
        <w:t>’</w:t>
      </w:r>
      <w:r>
        <w:rPr>
          <w:rFonts w:ascii="Palatino" w:hAnsi="Palatino"/>
          <w:sz w:val="22"/>
          <w:szCs w:val="22"/>
          <w:rtl w:val="0"/>
          <w:lang w:val="en-US"/>
        </w:rPr>
        <w:t>s paper critically analysed a suggestion made in a paper by Lynn Thorndike on astrology</w:t>
      </w:r>
      <w:r>
        <w:rPr>
          <w:rFonts w:ascii="Palatino" w:hAnsi="Palatino" w:hint="default"/>
          <w:sz w:val="22"/>
          <w:szCs w:val="22"/>
          <w:rtl w:val="0"/>
          <w:lang w:val="en-US"/>
        </w:rPr>
        <w:t>’</w:t>
      </w:r>
      <w:r>
        <w:rPr>
          <w:rFonts w:ascii="Palatino" w:hAnsi="Palatino"/>
          <w:sz w:val="22"/>
          <w:szCs w:val="22"/>
          <w:rtl w:val="0"/>
          <w:lang w:val="en-US"/>
        </w:rPr>
        <w:t xml:space="preserve">s place within the history of science. </w:t>
      </w:r>
      <w:r>
        <w:rPr>
          <w:rFonts w:ascii="Palatino" w:cs="Palatino" w:hAnsi="Palatino" w:eastAsia="Palatino"/>
          <w:sz w:val="22"/>
          <w:szCs w:val="22"/>
          <w:vertAlign w:val="superscript"/>
        </w:rPr>
        <w:footnoteReference w:id="7"/>
      </w:r>
      <w:r>
        <w:rPr>
          <w:rFonts w:ascii="Palatino" w:hAnsi="Palatino"/>
          <w:sz w:val="22"/>
          <w:szCs w:val="22"/>
          <w:rtl w:val="0"/>
          <w:lang w:val="en-US"/>
        </w:rPr>
        <w:t xml:space="preserve"> Graubard lived from 1902-1992 and was a professor emeritus and chairman of the Natural Science Department at the University of Minnesota from where he retired in 1972 but still had an office. At the time of publishing the paper discussed in this essay, Graubard was 54 years old, he had written articles through the 1940s and 1950s on a variety of subjects, and was known as an expert on and studier of many subjects. </w:t>
      </w:r>
      <w:r>
        <w:rPr>
          <w:rFonts w:ascii="Palatino" w:cs="Palatino" w:hAnsi="Palatino" w:eastAsia="Palatino"/>
          <w:sz w:val="22"/>
          <w:szCs w:val="22"/>
          <w:vertAlign w:val="superscript"/>
        </w:rPr>
        <w:footnoteReference w:id="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Summary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paper by Elzey analysed the significance of the myth of the suns, restricted to the central Mexican versions. The approach of the paper was to discuss three hypotheses: 1) the myth as a structural paradigm, 2) the myth being uniquely Mexican and structurally different from similar myths in the world, and 3) the myth utilising </w:t>
      </w:r>
      <w:r>
        <w:rPr>
          <w:rFonts w:ascii="Palatino" w:hAnsi="Palatino" w:hint="default"/>
          <w:sz w:val="22"/>
          <w:szCs w:val="22"/>
          <w:rtl w:val="0"/>
          <w:lang w:val="en-US"/>
        </w:rPr>
        <w:t>‘</w:t>
      </w:r>
      <w:r>
        <w:rPr>
          <w:rFonts w:ascii="Palatino" w:hAnsi="Palatino"/>
          <w:sz w:val="22"/>
          <w:szCs w:val="22"/>
          <w:rtl w:val="0"/>
          <w:lang w:val="en-US"/>
        </w:rPr>
        <w:t>religious</w:t>
      </w:r>
      <w:r>
        <w:rPr>
          <w:rFonts w:ascii="Palatino" w:hAnsi="Palatino" w:hint="default"/>
          <w:sz w:val="22"/>
          <w:szCs w:val="22"/>
          <w:rtl w:val="0"/>
          <w:lang w:val="en-US"/>
        </w:rPr>
        <w:t xml:space="preserve">’ </w:t>
      </w:r>
      <w:r>
        <w:rPr>
          <w:rFonts w:ascii="Palatino" w:hAnsi="Palatino"/>
          <w:sz w:val="22"/>
          <w:szCs w:val="22"/>
          <w:rtl w:val="0"/>
          <w:lang w:val="en-US"/>
        </w:rPr>
        <w:t xml:space="preserve">structures. </w:t>
      </w:r>
      <w:r>
        <w:rPr>
          <w:rFonts w:ascii="Palatino" w:cs="Palatino" w:hAnsi="Palatino" w:eastAsia="Palatino"/>
          <w:sz w:val="22"/>
          <w:szCs w:val="22"/>
          <w:vertAlign w:val="superscript"/>
        </w:rPr>
        <w:footnoteReference w:id="9"/>
      </w:r>
      <w:r>
        <w:rPr>
          <w:rFonts w:ascii="Palatino" w:hAnsi="Palatino"/>
          <w:sz w:val="22"/>
          <w:szCs w:val="22"/>
          <w:rtl w:val="0"/>
          <w:lang w:val="en-US"/>
        </w:rPr>
        <w:t xml:space="preserve"> This was done through extensive use of sources on the subject matter. </w:t>
      </w:r>
      <w:r>
        <w:rPr>
          <w:rFonts w:ascii="Palatino" w:cs="Palatino" w:hAnsi="Palatino" w:eastAsia="Palatino"/>
          <w:sz w:val="22"/>
          <w:szCs w:val="22"/>
          <w:vertAlign w:val="superscript"/>
        </w:rPr>
        <w:footnoteReference w:id="1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Graubard</w:t>
      </w:r>
      <w:r>
        <w:rPr>
          <w:rFonts w:ascii="Palatino" w:hAnsi="Palatino" w:hint="default"/>
          <w:sz w:val="22"/>
          <w:szCs w:val="22"/>
          <w:rtl w:val="0"/>
          <w:lang w:val="en-US"/>
        </w:rPr>
        <w:t>’</w:t>
      </w:r>
      <w:r>
        <w:rPr>
          <w:rFonts w:ascii="Palatino" w:hAnsi="Palatino"/>
          <w:sz w:val="22"/>
          <w:szCs w:val="22"/>
          <w:rtl w:val="0"/>
          <w:lang w:val="en-US"/>
        </w:rPr>
        <w:t>s paper discussed the evolution, decline and death of astrology as a reflection to a paper by Thorndike which was published 3 years prior in 1955. Graubard approached this through three main questions emerging from a suggestion in Thorndike</w:t>
      </w:r>
      <w:r>
        <w:rPr>
          <w:rFonts w:ascii="Palatino" w:hAnsi="Palatino" w:hint="default"/>
          <w:sz w:val="22"/>
          <w:szCs w:val="22"/>
          <w:rtl w:val="0"/>
          <w:lang w:val="en-US"/>
        </w:rPr>
        <w:t>’</w:t>
      </w:r>
      <w:r>
        <w:rPr>
          <w:rFonts w:ascii="Palatino" w:hAnsi="Palatino"/>
          <w:sz w:val="22"/>
          <w:szCs w:val="22"/>
          <w:rtl w:val="0"/>
          <w:lang w:val="en-US"/>
        </w:rPr>
        <w:t>s paper which Graubard described as: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the true function of astrology in the history of science was to serve as a </w:t>
      </w:r>
      <w:r>
        <w:rPr>
          <w:rFonts w:ascii="Palatino" w:hAnsi="Palatino" w:hint="default"/>
          <w:sz w:val="22"/>
          <w:szCs w:val="22"/>
          <w:rtl w:val="0"/>
          <w:lang w:val="en-US"/>
        </w:rPr>
        <w:t>‘</w:t>
      </w:r>
      <w:r>
        <w:rPr>
          <w:rFonts w:ascii="Palatino" w:hAnsi="Palatino"/>
          <w:sz w:val="22"/>
          <w:szCs w:val="22"/>
          <w:rtl w:val="0"/>
          <w:lang w:val="en-US"/>
        </w:rPr>
        <w:t>universal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law of nature</w:t>
      </w:r>
      <w:r>
        <w:rPr>
          <w:rFonts w:ascii="Palatino" w:hAnsi="Palatino" w:hint="default"/>
          <w:sz w:val="22"/>
          <w:szCs w:val="22"/>
          <w:rtl w:val="0"/>
          <w:lang w:val="en-US"/>
        </w:rPr>
        <w:t xml:space="preserve">’ </w:t>
      </w:r>
      <w:r>
        <w:rPr>
          <w:rFonts w:ascii="Palatino" w:hAnsi="Palatino"/>
          <w:sz w:val="22"/>
          <w:szCs w:val="22"/>
          <w:rtl w:val="0"/>
          <w:lang w:val="en-US"/>
        </w:rPr>
        <w:t>on a footing with Newton</w:t>
      </w:r>
      <w:r>
        <w:rPr>
          <w:rFonts w:ascii="Palatino" w:hAnsi="Palatino" w:hint="default"/>
          <w:sz w:val="22"/>
          <w:szCs w:val="22"/>
          <w:rtl w:val="0"/>
          <w:lang w:val="en-US"/>
        </w:rPr>
        <w:t>’</w:t>
      </w:r>
      <w:r>
        <w:rPr>
          <w:rFonts w:ascii="Palatino" w:hAnsi="Palatino"/>
          <w:sz w:val="22"/>
          <w:szCs w:val="22"/>
          <w:rtl w:val="0"/>
          <w:lang w:val="en-US"/>
        </w:rPr>
        <w:t xml:space="preserve">s universal law of gravitation. </w:t>
      </w:r>
      <w:r>
        <w:rPr>
          <w:rFonts w:ascii="Palatino" w:cs="Palatino" w:hAnsi="Palatino" w:eastAsia="Palatino"/>
          <w:sz w:val="22"/>
          <w:szCs w:val="22"/>
          <w:vertAlign w:val="superscript"/>
        </w:rPr>
        <w:footnoteReference w:id="1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left"/>
        <w:rPr>
          <w:rFonts w:ascii="Palatino" w:cs="Palatino" w:hAnsi="Palatino" w:eastAsia="Palatino"/>
          <w:sz w:val="22"/>
          <w:szCs w:val="22"/>
        </w:rPr>
      </w:pPr>
      <w:r>
        <w:rPr>
          <w:rFonts w:ascii="Palatino" w:hAnsi="Palatino"/>
          <w:sz w:val="22"/>
          <w:szCs w:val="22"/>
          <w:rtl w:val="0"/>
          <w:lang w:val="en-US"/>
        </w:rPr>
        <w:t>Graubard considered Thorndike</w:t>
      </w:r>
      <w:r>
        <w:rPr>
          <w:rFonts w:ascii="Palatino" w:hAnsi="Palatino" w:hint="default"/>
          <w:sz w:val="22"/>
          <w:szCs w:val="22"/>
          <w:rtl w:val="0"/>
          <w:lang w:val="en-US"/>
        </w:rPr>
        <w:t>’</w:t>
      </w:r>
      <w:r>
        <w:rPr>
          <w:rFonts w:ascii="Palatino" w:hAnsi="Palatino"/>
          <w:sz w:val="22"/>
          <w:szCs w:val="22"/>
          <w:rtl w:val="0"/>
          <w:lang w:val="en-US"/>
        </w:rPr>
        <w:t>s suggestion to be logic but misleading and needing critical analysis. The three questions discussed by Graubard in his paper were: 1) astrology</w:t>
      </w:r>
      <w:r>
        <w:rPr>
          <w:rFonts w:ascii="Palatino" w:hAnsi="Palatino" w:hint="default"/>
          <w:sz w:val="22"/>
          <w:szCs w:val="22"/>
          <w:rtl w:val="0"/>
          <w:lang w:val="en-US"/>
        </w:rPr>
        <w:t>’</w:t>
      </w:r>
      <w:r>
        <w:rPr>
          <w:rFonts w:ascii="Palatino" w:hAnsi="Palatino"/>
          <w:sz w:val="22"/>
          <w:szCs w:val="22"/>
          <w:rtl w:val="0"/>
          <w:lang w:val="en-US"/>
        </w:rPr>
        <w:t>s direct opposition, 2) the human approach to belief, and 3) that the decline of astrology was similar to the declines of other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left"/>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left"/>
        <w:sectPr>
          <w:headerReference w:type="default" r:id="rId9"/>
          <w:footerReference w:type="default" r:id="rId10"/>
          <w:pgSz w:w="12240" w:h="15840"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left"/>
        <w:rPr>
          <w:rFonts w:ascii="Palatino" w:cs="Palatino" w:hAnsi="Palatino" w:eastAsia="Palatino"/>
          <w:sz w:val="22"/>
          <w:szCs w:val="22"/>
        </w:rPr>
      </w:pPr>
      <w:r>
        <w:rPr>
          <w:rFonts w:ascii="Palatino" w:hAnsi="Palatino"/>
          <w:sz w:val="22"/>
          <w:szCs w:val="22"/>
          <w:rtl w:val="0"/>
          <w:lang w:val="en-US"/>
        </w:rPr>
        <w:t xml:space="preserve">belief systems, and that this decline occurred over time. Graubard presented evidence to analyse the above three questions through the use of classic texts and historic writings. </w:t>
      </w:r>
      <w:r>
        <w:rPr>
          <w:rFonts w:ascii="Palatino" w:cs="Palatino" w:hAnsi="Palatino" w:eastAsia="Palatino"/>
          <w:sz w:val="22"/>
          <w:szCs w:val="22"/>
          <w:vertAlign w:val="superscript"/>
        </w:rPr>
        <w:footnoteReference w:id="1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Analysis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Both authors intention was to analyse a subject through the review and discussion of previous written texts. Both authors further clarified this intention by listing three structural hypotheses/questions as their main points of discussion in their respective papers. Elzey</w:t>
      </w:r>
      <w:r>
        <w:rPr>
          <w:rFonts w:ascii="Palatino" w:hAnsi="Palatino" w:hint="default"/>
          <w:sz w:val="22"/>
          <w:szCs w:val="22"/>
          <w:rtl w:val="0"/>
          <w:lang w:val="en-US"/>
        </w:rPr>
        <w:t>’</w:t>
      </w:r>
      <w:r>
        <w:rPr>
          <w:rFonts w:ascii="Palatino" w:hAnsi="Palatino"/>
          <w:sz w:val="22"/>
          <w:szCs w:val="22"/>
          <w:rtl w:val="0"/>
          <w:lang w:val="en-US"/>
        </w:rPr>
        <w:t xml:space="preserve">s three hypothesis were for financial reasons </w:t>
      </w:r>
      <w:r>
        <w:rPr>
          <w:rFonts w:ascii="Palatino" w:cs="Palatino" w:hAnsi="Palatino" w:eastAsia="Palatino"/>
          <w:sz w:val="22"/>
          <w:szCs w:val="22"/>
          <w:vertAlign w:val="superscript"/>
        </w:rPr>
        <w:footnoteReference w:id="13"/>
      </w:r>
      <w:r>
        <w:rPr>
          <w:rFonts w:ascii="Palatino" w:hAnsi="Palatino"/>
          <w:sz w:val="22"/>
          <w:szCs w:val="22"/>
          <w:rtl w:val="0"/>
          <w:lang w:val="en-US"/>
        </w:rPr>
        <w:t>, and although this limitation theoretically outlined the paper, a broader approach would have been very interesting, as discussed below under the heading of approach. Graubard</w:t>
      </w:r>
      <w:r>
        <w:rPr>
          <w:rFonts w:ascii="Palatino" w:hAnsi="Palatino" w:hint="default"/>
          <w:sz w:val="22"/>
          <w:szCs w:val="22"/>
          <w:rtl w:val="0"/>
          <w:lang w:val="en-US"/>
        </w:rPr>
        <w:t>’</w:t>
      </w:r>
      <w:r>
        <w:rPr>
          <w:rFonts w:ascii="Palatino" w:hAnsi="Palatino"/>
          <w:sz w:val="22"/>
          <w:szCs w:val="22"/>
          <w:rtl w:val="0"/>
          <w:lang w:val="en-US"/>
        </w:rPr>
        <w:t xml:space="preserve">s three structural questions arose as his personal response to the Thorndike paper </w:t>
      </w:r>
      <w:r>
        <w:rPr>
          <w:rFonts w:ascii="Palatino" w:cs="Palatino" w:hAnsi="Palatino" w:eastAsia="Palatino"/>
          <w:sz w:val="22"/>
          <w:szCs w:val="22"/>
          <w:vertAlign w:val="superscript"/>
        </w:rPr>
        <w:footnoteReference w:id="14"/>
      </w:r>
      <w:r>
        <w:rPr>
          <w:rFonts w:ascii="Palatino" w:hAnsi="Palatino"/>
          <w:sz w:val="22"/>
          <w:szCs w:val="22"/>
          <w:rtl w:val="0"/>
          <w:lang w:val="en-US"/>
        </w:rPr>
        <w:t>, which could be argued to be an emotional approach, as discussed below under the heading of both approach and the heading of ethical considerations. Both papers writing style were lacking writing structure, which will be discussed as the first review, concluding with a 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Writing Style &amp; Structure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In comparison, the writing style was a strength of both papers in the aspects of being in-depth, displaying substantial knowledge and the extensive use of sources. </w:t>
      </w:r>
      <w:r>
        <w:rPr>
          <w:rFonts w:ascii="Palatino" w:hAnsi="Palatino"/>
          <w:sz w:val="22"/>
          <w:szCs w:val="22"/>
          <w:rtl w:val="0"/>
          <w:lang w:val="en-US"/>
        </w:rPr>
        <w:t xml:space="preserve">However, neither papers had a clear structure </w:t>
      </w:r>
      <w:r>
        <w:rPr>
          <w:rFonts w:ascii="Palatino" w:hAnsi="Palatino"/>
          <w:sz w:val="22"/>
          <w:szCs w:val="22"/>
          <w:rtl w:val="0"/>
          <w:lang w:val="en-US"/>
        </w:rPr>
        <w:t xml:space="preserve">and no descriptive </w:t>
      </w:r>
      <w:r>
        <w:rPr>
          <w:rFonts w:ascii="Palatino" w:hAnsi="Palatino"/>
          <w:sz w:val="22"/>
          <w:szCs w:val="22"/>
          <w:rtl w:val="0"/>
          <w:lang w:val="en-US"/>
        </w:rPr>
        <w:t xml:space="preserve">headings, and it was </w:t>
      </w:r>
      <w:r>
        <w:rPr>
          <w:rFonts w:ascii="Palatino" w:hAnsi="Palatino"/>
          <w:sz w:val="22"/>
          <w:szCs w:val="22"/>
          <w:rtl w:val="0"/>
          <w:lang w:val="en-US"/>
        </w:rPr>
        <w:t>for instance</w:t>
      </w:r>
      <w:r>
        <w:rPr>
          <w:rFonts w:ascii="Palatino" w:hAnsi="Palatino"/>
          <w:sz w:val="22"/>
          <w:szCs w:val="22"/>
          <w:rtl w:val="0"/>
          <w:lang w:val="en-US"/>
        </w:rPr>
        <w:t xml:space="preserve"> challenging to pinpoint a </w:t>
      </w:r>
      <w:r>
        <w:rPr>
          <w:rFonts w:ascii="Palatino" w:hAnsi="Palatino"/>
          <w:sz w:val="22"/>
          <w:szCs w:val="22"/>
          <w:rtl w:val="0"/>
          <w:lang w:val="en-US"/>
        </w:rPr>
        <w:t xml:space="preserve">clear </w:t>
      </w:r>
      <w:r>
        <w:rPr>
          <w:rFonts w:ascii="Palatino" w:hAnsi="Palatino"/>
          <w:sz w:val="22"/>
          <w:szCs w:val="22"/>
          <w:rtl w:val="0"/>
          <w:lang w:val="en-US"/>
        </w:rPr>
        <w:t>conclusion, as neither papers indicated a clear structural conclusion heading</w:t>
      </w:r>
      <w:r>
        <w:rPr>
          <w:rFonts w:ascii="Palatino" w:hAnsi="Palatino"/>
          <w:sz w:val="22"/>
          <w:szCs w:val="22"/>
          <w:rtl w:val="0"/>
          <w:lang w:val="en-US"/>
        </w:rPr>
        <w:t>, and conclusions were presented through the evidence of the source analysis and/or quotes in the papers</w:t>
      </w:r>
      <w:r>
        <w:rPr>
          <w:rFonts w:ascii="Palatino" w:hAnsi="Palatino"/>
          <w:sz w:val="22"/>
          <w:szCs w:val="22"/>
          <w:rtl w:val="0"/>
        </w:rPr>
        <w:t>.</w:t>
      </w:r>
      <w:r>
        <w:rPr>
          <w:rFonts w:ascii="Palatino" w:hAnsi="Palatino"/>
          <w:sz w:val="22"/>
          <w:szCs w:val="22"/>
          <w:rtl w:val="0"/>
          <w:lang w:val="en-US"/>
        </w:rPr>
        <w:t xml:space="preserve"> </w:t>
      </w:r>
      <w:r>
        <w:rPr>
          <w:rFonts w:ascii="Palatino" w:hAnsi="Palatino"/>
          <w:sz w:val="22"/>
          <w:szCs w:val="22"/>
          <w:rtl w:val="0"/>
          <w:lang w:val="en-US"/>
        </w:rPr>
        <w:t xml:space="preserve">The Graubard paper had a separate, substantial bibliography section </w:t>
      </w:r>
      <w:r>
        <w:rPr>
          <w:rFonts w:ascii="Palatino" w:hAnsi="Palatino"/>
          <w:sz w:val="22"/>
          <w:szCs w:val="22"/>
          <w:rtl w:val="0"/>
          <w:lang w:val="en-US"/>
        </w:rPr>
        <w:t xml:space="preserve">and made no use of footnotes </w:t>
      </w:r>
      <w:r>
        <w:rPr>
          <w:rFonts w:ascii="Palatino" w:hAnsi="Palatino"/>
          <w:sz w:val="22"/>
          <w:szCs w:val="22"/>
          <w:rtl w:val="0"/>
          <w:lang w:val="en-US"/>
        </w:rPr>
        <w:t>where</w:t>
      </w:r>
      <w:r>
        <w:rPr>
          <w:rFonts w:ascii="Palatino" w:hAnsi="Palatino"/>
          <w:sz w:val="22"/>
          <w:szCs w:val="22"/>
          <w:rtl w:val="0"/>
          <w:lang w:val="en-US"/>
        </w:rPr>
        <w:t>,</w:t>
      </w:r>
      <w:r>
        <w:rPr>
          <w:rFonts w:ascii="Palatino" w:hAnsi="Palatino"/>
          <w:sz w:val="22"/>
          <w:szCs w:val="22"/>
          <w:rtl w:val="0"/>
          <w:lang w:val="en-US"/>
        </w:rPr>
        <w:t xml:space="preserve"> in comparison, the Elzey paper</w:t>
      </w:r>
      <w:r>
        <w:rPr>
          <w:rFonts w:ascii="Palatino" w:hAnsi="Palatino" w:hint="default"/>
          <w:sz w:val="22"/>
          <w:szCs w:val="22"/>
          <w:rtl w:val="1"/>
        </w:rPr>
        <w:t>’</w:t>
      </w:r>
      <w:r>
        <w:rPr>
          <w:rFonts w:ascii="Palatino" w:hAnsi="Palatino"/>
          <w:sz w:val="22"/>
          <w:szCs w:val="22"/>
          <w:rtl w:val="0"/>
          <w:lang w:val="en-US"/>
        </w:rPr>
        <w:t>s extensive use of references were sited only in footnotes, and further footnoted in Elzey</w:t>
      </w:r>
      <w:r>
        <w:rPr>
          <w:rFonts w:ascii="Palatino" w:hAnsi="Palatino" w:hint="default"/>
          <w:sz w:val="22"/>
          <w:szCs w:val="22"/>
          <w:rtl w:val="1"/>
        </w:rPr>
        <w:t>’</w:t>
      </w:r>
      <w:r>
        <w:rPr>
          <w:rFonts w:ascii="Palatino" w:hAnsi="Palatino"/>
          <w:sz w:val="22"/>
          <w:szCs w:val="22"/>
          <w:rtl w:val="0"/>
          <w:lang w:val="en-US"/>
        </w:rPr>
        <w:t>s paper were some elaborative, descriptive texts within the same footnote numbering.</w:t>
      </w:r>
      <w:r>
        <w:rPr>
          <w:rFonts w:ascii="Palatino" w:hAnsi="Palatino"/>
          <w:sz w:val="22"/>
          <w:szCs w:val="22"/>
          <w:rtl w:val="0"/>
          <w:lang w:val="en-US"/>
        </w:rPr>
        <w:t xml:space="preserve"> John M. Watanabe</w:t>
      </w:r>
      <w:r>
        <w:rPr>
          <w:rFonts w:ascii="Palatino" w:hAnsi="Palatino" w:hint="default"/>
          <w:sz w:val="22"/>
          <w:szCs w:val="22"/>
          <w:rtl w:val="0"/>
          <w:lang w:val="en-US"/>
        </w:rPr>
        <w:t>’</w:t>
      </w:r>
      <w:r>
        <w:rPr>
          <w:rFonts w:ascii="Palatino" w:hAnsi="Palatino"/>
          <w:sz w:val="22"/>
          <w:szCs w:val="22"/>
          <w:rtl w:val="0"/>
          <w:lang w:val="en-US"/>
        </w:rPr>
        <w:t xml:space="preserve">s paper on Mayan Cosmology demonstrates a clear structure throughout the paper with headings, conclusion, notes and references. </w:t>
      </w:r>
      <w:r>
        <w:rPr>
          <w:rFonts w:ascii="Palatino" w:cs="Palatino" w:hAnsi="Palatino" w:eastAsia="Palatino"/>
          <w:sz w:val="22"/>
          <w:szCs w:val="22"/>
          <w:vertAlign w:val="superscript"/>
        </w:rPr>
        <w:footnoteReference w:id="1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Elzey paper was easy readable with a good flow and use of discussion, analysis and quotes from original texts. The paper covers background and describes how sources differ and match. Elzey</w:t>
      </w:r>
      <w:r>
        <w:rPr>
          <w:rFonts w:ascii="Palatino" w:hAnsi="Palatino" w:hint="default"/>
          <w:sz w:val="22"/>
          <w:szCs w:val="22"/>
          <w:rtl w:val="0"/>
          <w:lang w:val="en-US"/>
        </w:rPr>
        <w:t>’</w:t>
      </w:r>
      <w:r>
        <w:rPr>
          <w:rFonts w:ascii="Palatino" w:hAnsi="Palatino"/>
          <w:sz w:val="22"/>
          <w:szCs w:val="22"/>
          <w:rtl w:val="0"/>
          <w:lang w:val="en-US"/>
        </w:rPr>
        <w:t>s use of footnotes to reference sources, and further for elaboration of the main body text, occasionally caused a disruption in the flow of reading.</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In contrast, the Graubard paper was difficult to read due to an extensive use of quotes, and it was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1"/>
          <w:footerReference w:type="default" r:id="rId12"/>
          <w:pgSz w:w="12240" w:h="15840"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occasionally challenging to distinguish quotes from discussion and analysis, as the quotes were often lengthly. Graubard intention of the paper was to present his evidence through quoting </w:t>
      </w:r>
      <w:r>
        <w:rPr>
          <w:rFonts w:ascii="Palatino" w:cs="Palatino" w:hAnsi="Palatino" w:eastAsia="Palatino"/>
          <w:sz w:val="22"/>
          <w:szCs w:val="22"/>
          <w:vertAlign w:val="superscript"/>
        </w:rPr>
        <w:footnoteReference w:id="16"/>
      </w:r>
      <w:r>
        <w:rPr>
          <w:rFonts w:ascii="Palatino" w:hAnsi="Palatino"/>
          <w:sz w:val="22"/>
          <w:szCs w:val="22"/>
          <w:rtl w:val="0"/>
          <w:lang w:val="en-US"/>
        </w:rPr>
        <w:t xml:space="preserve">, and a different paper by Graubard suggest that extensive quoting was not Graubard usual writing style. </w:t>
      </w:r>
      <w:r>
        <w:rPr>
          <w:rFonts w:ascii="Palatino" w:cs="Palatino" w:hAnsi="Palatino" w:eastAsia="Palatino"/>
          <w:sz w:val="22"/>
          <w:szCs w:val="22"/>
          <w:vertAlign w:val="superscript"/>
        </w:rPr>
        <w:footnoteReference w:id="1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i w:val="1"/>
          <w:iCs w:val="1"/>
          <w:sz w:val="22"/>
          <w:szCs w:val="22"/>
        </w:rPr>
      </w:pPr>
      <w:r>
        <w:rPr>
          <w:rFonts w:ascii="Palatino" w:hAnsi="Palatino"/>
          <w:b w:val="0"/>
          <w:bCs w:val="0"/>
          <w:i w:val="1"/>
          <w:iCs w:val="1"/>
          <w:sz w:val="22"/>
          <w:szCs w:val="22"/>
          <w:rtl w:val="0"/>
          <w:lang w:val="en-US"/>
        </w:rPr>
        <w:t>Approach</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 xml:space="preserve">Both the Elzey paper and the Graubard paper had theoretical approaches with analysis of specific hypotheses/questions through the use of comprehensive sources on their respective subject matters. Elzey displayed a strength of knowledge in the subject by presenting broad variations of the myth of the suns, despite being restricted to central Mexican versions, and by discussing, comparing and contrasting these myth variations extensively in the paper, often extending with further knowledge in the footnotes. The Aztec Calendar Stone is mentioned as an original version of the myth and its arrangement is described. </w:t>
      </w:r>
      <w:r>
        <w:rPr>
          <w:rFonts w:ascii="Palatino" w:cs="Palatino" w:hAnsi="Palatino" w:eastAsia="Palatino"/>
          <w:b w:val="0"/>
          <w:bCs w:val="0"/>
          <w:sz w:val="22"/>
          <w:szCs w:val="22"/>
          <w:vertAlign w:val="superscript"/>
        </w:rPr>
        <w:footnoteReference w:id="18"/>
      </w:r>
      <w:r>
        <w:rPr>
          <w:rFonts w:ascii="Palatino" w:hAnsi="Palatino"/>
          <w:b w:val="0"/>
          <w:bCs w:val="0"/>
          <w:sz w:val="22"/>
          <w:szCs w:val="22"/>
          <w:rtl w:val="0"/>
          <w:lang w:val="en-US"/>
        </w:rPr>
        <w:t xml:space="preserve"> An illustration of this stone could have given a deeper insight and understanding of the myth, as presented in a paper by Susan Milbrath. </w:t>
      </w:r>
      <w:r>
        <w:rPr>
          <w:rFonts w:ascii="Palatino" w:cs="Palatino" w:hAnsi="Palatino" w:eastAsia="Palatino"/>
          <w:b w:val="0"/>
          <w:bCs w:val="0"/>
          <w:sz w:val="22"/>
          <w:szCs w:val="22"/>
          <w:vertAlign w:val="superscript"/>
        </w:rPr>
        <w:footnoteReference w:id="19"/>
      </w:r>
      <w:r>
        <w:rPr>
          <w:rFonts w:ascii="Palatino" w:hAnsi="Palatino"/>
          <w:b w:val="0"/>
          <w:bCs w:val="0"/>
          <w:sz w:val="22"/>
          <w:szCs w:val="22"/>
          <w:rtl w:val="0"/>
          <w:lang w:val="en-US"/>
        </w:rPr>
        <w:t xml:space="preserve"> Elzey</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second approach in the paper was to show that: the myth being uniquely Mexican and structurally different from similar myths in the World with the mention of other systems </w:t>
      </w:r>
      <w:r>
        <w:rPr>
          <w:rFonts w:ascii="Palatino" w:cs="Palatino" w:hAnsi="Palatino" w:eastAsia="Palatino"/>
          <w:b w:val="0"/>
          <w:bCs w:val="0"/>
          <w:sz w:val="22"/>
          <w:szCs w:val="22"/>
          <w:vertAlign w:val="superscript"/>
        </w:rPr>
        <w:footnoteReference w:id="20"/>
      </w:r>
      <w:r>
        <w:rPr>
          <w:rFonts w:ascii="Palatino" w:hAnsi="Palatino"/>
          <w:b w:val="0"/>
          <w:bCs w:val="0"/>
          <w:sz w:val="22"/>
          <w:szCs w:val="22"/>
          <w:rtl w:val="0"/>
          <w:lang w:val="en-US"/>
        </w:rPr>
        <w:t xml:space="preserve">. However, the European/Scandinavian calendar systems are not mentioned, and for example the event based old Norse/Scandinavian calendar, described by Sandra Billington, could also have been an interesting system as comparative or contrastive due to its similar relation to the gods. </w:t>
      </w:r>
      <w:r>
        <w:rPr>
          <w:rFonts w:ascii="Palatino" w:cs="Palatino" w:hAnsi="Palatino" w:eastAsia="Palatino"/>
          <w:b w:val="0"/>
          <w:bCs w:val="0"/>
          <w:sz w:val="22"/>
          <w:szCs w:val="22"/>
          <w:vertAlign w:val="superscript"/>
        </w:rPr>
        <w:footnoteReference w:id="2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As a contrast, Graubard used the approach of quoting throughout the paper with less attention given to discussion and analysis of the quotes and their relevance to the subject of the paper. The Graubard paper</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intention of displaying evidence through quoting classic texts and historical writings meant that a very high percentage of the written text in the paper were quotes. This approach created a distraction from the intended critical analysis of the Thorndike suggestion </w:t>
      </w:r>
      <w:r>
        <w:rPr>
          <w:rFonts w:ascii="Palatino" w:cs="Palatino" w:hAnsi="Palatino" w:eastAsia="Palatino"/>
          <w:b w:val="0"/>
          <w:bCs w:val="0"/>
          <w:sz w:val="22"/>
          <w:szCs w:val="22"/>
          <w:vertAlign w:val="superscript"/>
        </w:rPr>
        <w:footnoteReference w:id="22"/>
      </w:r>
      <w:r>
        <w:rPr>
          <w:rFonts w:ascii="Palatino" w:hAnsi="Palatino"/>
          <w:b w:val="0"/>
          <w:bCs w:val="0"/>
          <w:sz w:val="22"/>
          <w:szCs w:val="22"/>
          <w:rtl w:val="0"/>
          <w:lang w:val="en-US"/>
        </w:rPr>
        <w:t>, and it was helpful to read Thorndike</w:t>
      </w:r>
      <w:r>
        <w:rPr>
          <w:rFonts w:ascii="Palatino" w:hAnsi="Palatino" w:hint="default"/>
          <w:b w:val="0"/>
          <w:bCs w:val="0"/>
          <w:sz w:val="22"/>
          <w:szCs w:val="22"/>
          <w:rtl w:val="0"/>
          <w:lang w:val="en-US"/>
        </w:rPr>
        <w:t>’</w:t>
      </w:r>
      <w:r>
        <w:rPr>
          <w:rFonts w:ascii="Palatino" w:hAnsi="Palatino"/>
          <w:b w:val="0"/>
          <w:bCs w:val="0"/>
          <w:sz w:val="22"/>
          <w:szCs w:val="22"/>
          <w:rtl w:val="0"/>
          <w:lang w:val="en-US"/>
        </w:rPr>
        <w:t>s paper as a contextual addition to fully comprehend Graubard</w:t>
      </w:r>
      <w:r>
        <w:rPr>
          <w:rFonts w:ascii="Palatino" w:hAnsi="Palatino" w:hint="default"/>
          <w:b w:val="0"/>
          <w:bCs w:val="0"/>
          <w:sz w:val="22"/>
          <w:szCs w:val="22"/>
          <w:rtl w:val="0"/>
          <w:lang w:val="en-US"/>
        </w:rPr>
        <w:t>’</w:t>
      </w:r>
      <w:r>
        <w:rPr>
          <w:rFonts w:ascii="Palatino" w:hAnsi="Palatino"/>
          <w:b w:val="0"/>
          <w:bCs w:val="0"/>
          <w:sz w:val="22"/>
          <w:szCs w:val="22"/>
          <w:rtl w:val="0"/>
          <w:lang w:val="en-US"/>
        </w:rPr>
        <w:t>s paper. In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3"/>
          <w:footerReference w:type="default" r:id="rId14"/>
          <w:pgSz w:w="12240" w:h="15840"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Thorndike</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paper, reference was made to a recently written text by Mark Graubard </w:t>
      </w:r>
      <w:r>
        <w:rPr>
          <w:rFonts w:ascii="Palatino" w:cs="Palatino" w:hAnsi="Palatino" w:eastAsia="Palatino"/>
          <w:b w:val="0"/>
          <w:bCs w:val="0"/>
          <w:sz w:val="22"/>
          <w:szCs w:val="22"/>
          <w:vertAlign w:val="superscript"/>
        </w:rPr>
        <w:footnoteReference w:id="23"/>
      </w:r>
      <w:r>
        <w:rPr>
          <w:rFonts w:ascii="Palatino" w:hAnsi="Palatino"/>
          <w:b w:val="0"/>
          <w:bCs w:val="0"/>
          <w:sz w:val="22"/>
          <w:szCs w:val="22"/>
          <w:rtl w:val="0"/>
          <w:lang w:val="en-US"/>
        </w:rPr>
        <w:t>, which could denote the intention of Graubard</w:t>
      </w:r>
      <w:r>
        <w:rPr>
          <w:rFonts w:ascii="Palatino" w:hAnsi="Palatino" w:hint="default"/>
          <w:b w:val="0"/>
          <w:bCs w:val="0"/>
          <w:sz w:val="22"/>
          <w:szCs w:val="22"/>
          <w:rtl w:val="0"/>
          <w:lang w:val="en-US"/>
        </w:rPr>
        <w:t>’</w:t>
      </w:r>
      <w:r>
        <w:rPr>
          <w:rFonts w:ascii="Palatino" w:hAnsi="Palatino"/>
          <w:b w:val="0"/>
          <w:bCs w:val="0"/>
          <w:sz w:val="22"/>
          <w:szCs w:val="22"/>
          <w:rtl w:val="0"/>
          <w:lang w:val="en-US"/>
        </w:rPr>
        <w:t>s paper as an evidential reply.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i w:val="1"/>
          <w:iCs w:val="1"/>
          <w:sz w:val="22"/>
          <w:szCs w:val="22"/>
        </w:rPr>
      </w:pPr>
      <w:r>
        <w:rPr>
          <w:rFonts w:ascii="Palatino" w:hAnsi="Palatino"/>
          <w:b w:val="0"/>
          <w:bCs w:val="0"/>
          <w:i w:val="1"/>
          <w:iCs w:val="1"/>
          <w:sz w:val="22"/>
          <w:szCs w:val="22"/>
          <w:rtl w:val="0"/>
          <w:lang w:val="en-US"/>
        </w:rPr>
        <w:t>Ethical Considerations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Due to the mentioned possible replying intention of Graubard</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paper, the tone of the paper occasionally seemed bias, emotional and inapt </w:t>
      </w:r>
      <w:r>
        <w:rPr>
          <w:rFonts w:ascii="Palatino" w:cs="Palatino" w:hAnsi="Palatino" w:eastAsia="Palatino"/>
          <w:b w:val="0"/>
          <w:bCs w:val="0"/>
          <w:sz w:val="22"/>
          <w:szCs w:val="22"/>
          <w:vertAlign w:val="superscript"/>
        </w:rPr>
        <w:footnoteReference w:id="24"/>
      </w:r>
      <w:r>
        <w:rPr>
          <w:rFonts w:ascii="Palatino" w:hAnsi="Palatino"/>
          <w:b w:val="0"/>
          <w:bCs w:val="0"/>
          <w:sz w:val="22"/>
          <w:szCs w:val="22"/>
          <w:rtl w:val="0"/>
          <w:lang w:val="en-US"/>
        </w:rPr>
        <w:t>, which could similarly be argued being the case of Thorndike</w:t>
      </w:r>
      <w:r>
        <w:rPr>
          <w:rFonts w:ascii="Palatino" w:hAnsi="Palatino" w:hint="default"/>
          <w:b w:val="0"/>
          <w:bCs w:val="0"/>
          <w:sz w:val="22"/>
          <w:szCs w:val="22"/>
          <w:rtl w:val="0"/>
          <w:lang w:val="en-US"/>
        </w:rPr>
        <w:t>’</w:t>
      </w:r>
      <w:r>
        <w:rPr>
          <w:rFonts w:ascii="Palatino" w:hAnsi="Palatino"/>
          <w:b w:val="0"/>
          <w:bCs w:val="0"/>
          <w:sz w:val="22"/>
          <w:szCs w:val="22"/>
          <w:rtl w:val="0"/>
          <w:lang w:val="en-US"/>
        </w:rPr>
        <w:t>s mention of Graubard: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b w:val="0"/>
          <w:bCs w:val="0"/>
          <w:sz w:val="22"/>
          <w:szCs w:val="22"/>
        </w:rPr>
      </w:pPr>
      <w:r>
        <w:rPr>
          <w:rFonts w:ascii="Palatino" w:hAnsi="Palatino"/>
          <w:b w:val="0"/>
          <w:bCs w:val="0"/>
          <w:sz w:val="22"/>
          <w:szCs w:val="22"/>
          <w:rtl w:val="0"/>
          <w:lang w:val="en-US"/>
        </w:rPr>
        <w:t>Yet he {Graubard} does not seem to realise that it {astrology} depended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b w:val="0"/>
          <w:bCs w:val="0"/>
          <w:sz w:val="22"/>
          <w:szCs w:val="22"/>
        </w:rPr>
      </w:pPr>
      <w:r>
        <w:rPr>
          <w:rFonts w:ascii="Palatino" w:hAnsi="Palatino"/>
          <w:b w:val="0"/>
          <w:bCs w:val="0"/>
          <w:sz w:val="22"/>
          <w:szCs w:val="22"/>
          <w:rtl w:val="0"/>
          <w:lang w:val="en-US"/>
        </w:rPr>
        <w:t xml:space="preserve">upon a once generally accepted hypothesis of universal law. </w:t>
      </w:r>
      <w:r>
        <w:rPr>
          <w:rFonts w:ascii="Palatino" w:cs="Palatino" w:hAnsi="Palatino" w:eastAsia="Palatino"/>
          <w:b w:val="0"/>
          <w:bCs w:val="0"/>
          <w:sz w:val="22"/>
          <w:szCs w:val="22"/>
          <w:vertAlign w:val="superscript"/>
        </w:rPr>
        <w:footnoteReference w:id="2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The occasional emotional tone could lead to a misinterpretation of the otherwise in-depth knowledge which was presented in the paper. Graubard</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paper were mostly supported by extensive quotes and references, however with some unreferenced arguments, which must be assumed to be personal opinions. </w:t>
      </w:r>
      <w:r>
        <w:rPr>
          <w:rFonts w:ascii="Palatino" w:cs="Palatino" w:hAnsi="Palatino" w:eastAsia="Palatino"/>
          <w:b w:val="0"/>
          <w:bCs w:val="0"/>
          <w:sz w:val="22"/>
          <w:szCs w:val="22"/>
          <w:vertAlign w:val="superscript"/>
        </w:rPr>
        <w:footnoteReference w:id="26"/>
      </w:r>
      <w:r>
        <w:rPr>
          <w:rFonts w:ascii="Palatino" w:hAnsi="Palatino"/>
          <w:b w:val="0"/>
          <w:bCs w:val="0"/>
          <w:sz w:val="22"/>
          <w:szCs w:val="22"/>
          <w:rtl w:val="0"/>
          <w:lang w:val="en-US"/>
        </w:rPr>
        <w:t xml:space="preserve"> In contrast, Elzey</w:t>
      </w:r>
      <w:r>
        <w:rPr>
          <w:rFonts w:ascii="Palatino" w:hAnsi="Palatino" w:hint="default"/>
          <w:b w:val="0"/>
          <w:bCs w:val="0"/>
          <w:sz w:val="22"/>
          <w:szCs w:val="22"/>
          <w:rtl w:val="0"/>
          <w:lang w:val="en-US"/>
        </w:rPr>
        <w:t>’</w:t>
      </w:r>
      <w:r>
        <w:rPr>
          <w:rFonts w:ascii="Palatino" w:hAnsi="Palatino"/>
          <w:b w:val="0"/>
          <w:bCs w:val="0"/>
          <w:sz w:val="22"/>
          <w:szCs w:val="22"/>
          <w:rtl w:val="0"/>
          <w:lang w:val="en-US"/>
        </w:rPr>
        <w:t>s paper remained neutral.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cs="Palatino" w:hAnsi="Palatino" w:eastAsia="Palatino"/>
          <w:b w:val="0"/>
          <w:bCs w:val="0"/>
          <w:sz w:val="22"/>
          <w:szCs w:val="22"/>
          <w:rtl w:val="0"/>
        </w:rPr>
        <w:tab/>
        <w:t>Hennick et. al. discussed the importance of ethics in research which explore people</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beliefs and perceptions. </w:t>
      </w:r>
      <w:r>
        <w:rPr>
          <w:rFonts w:ascii="Palatino" w:cs="Palatino" w:hAnsi="Palatino" w:eastAsia="Palatino"/>
          <w:b w:val="0"/>
          <w:bCs w:val="0"/>
          <w:sz w:val="22"/>
          <w:szCs w:val="22"/>
          <w:vertAlign w:val="superscript"/>
        </w:rPr>
        <w:footnoteReference w:id="27"/>
      </w:r>
      <w:r>
        <w:rPr>
          <w:rFonts w:ascii="Palatino" w:hAnsi="Palatino"/>
          <w:b w:val="0"/>
          <w:bCs w:val="0"/>
          <w:sz w:val="22"/>
          <w:szCs w:val="22"/>
          <w:rtl w:val="0"/>
          <w:lang w:val="en-US"/>
        </w:rPr>
        <w:t xml:space="preserve"> Mavrogenis et.al. described an unprofessional comment in a review as any statement that is unethical or irrelevant, for example 1) comments being directed at the author rather than the study; 2) comments using personal opinions; and 3) unsympathetic comments. </w:t>
      </w:r>
      <w:r>
        <w:rPr>
          <w:rFonts w:ascii="Palatino" w:cs="Palatino" w:hAnsi="Palatino" w:eastAsia="Palatino"/>
          <w:b w:val="0"/>
          <w:bCs w:val="0"/>
          <w:sz w:val="22"/>
          <w:szCs w:val="22"/>
          <w:vertAlign w:val="superscript"/>
        </w:rPr>
        <w:footnoteReference w:id="28"/>
      </w:r>
      <w:r>
        <w:rPr>
          <w:rFonts w:ascii="Palatino" w:hAnsi="Palatino"/>
          <w:b w:val="0"/>
          <w:bCs w:val="0"/>
          <w:sz w:val="22"/>
          <w:szCs w:val="22"/>
          <w:rtl w:val="0"/>
          <w:lang w:val="en-US"/>
        </w:rPr>
        <w:t xml:space="preserve"> It should be considered that Graubard</w:t>
      </w:r>
      <w:r>
        <w:rPr>
          <w:rFonts w:ascii="Palatino" w:hAnsi="Palatino" w:hint="default"/>
          <w:b w:val="0"/>
          <w:bCs w:val="0"/>
          <w:sz w:val="22"/>
          <w:szCs w:val="22"/>
          <w:rtl w:val="0"/>
          <w:lang w:val="en-US"/>
        </w:rPr>
        <w:t>’</w:t>
      </w:r>
      <w:r>
        <w:rPr>
          <w:rFonts w:ascii="Palatino" w:hAnsi="Palatino"/>
          <w:b w:val="0"/>
          <w:bCs w:val="0"/>
          <w:sz w:val="22"/>
          <w:szCs w:val="22"/>
          <w:rtl w:val="0"/>
          <w:lang w:val="en-US"/>
        </w:rPr>
        <w:t>s was written 65 years ago, which may exhibit a development in the use of language and tone in scientific papers.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Both the Elzey paper and the Graubard paper reflected a similar vast and well referenced use of sources. </w:t>
        <w:tab/>
        <w:t xml:space="preserve">Bell and Waters described that a selection of literature should consider findings of others and then analyse those </w:t>
      </w:r>
      <w:r>
        <w:rPr>
          <w:rFonts w:ascii="Palatino" w:cs="Palatino" w:hAnsi="Palatino" w:eastAsia="Palatino"/>
          <w:sz w:val="22"/>
          <w:szCs w:val="22"/>
          <w:vertAlign w:val="superscript"/>
        </w:rPr>
        <w:footnoteReference w:id="29"/>
      </w:r>
      <w:r>
        <w:rPr>
          <w:rFonts w:ascii="Palatino" w:hAnsi="Palatino"/>
          <w:sz w:val="22"/>
          <w:szCs w:val="22"/>
          <w:rtl w:val="0"/>
          <w:lang w:val="en-US"/>
        </w:rPr>
        <w:t>, and both Elzey and Graubard accomplished this in their papers, though when comparing and contrasting, the Graubard paper covered a broader historical time span.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Graubard analysed and listed approximately 60 different sources, covering literature in several languages from the 1500s up until the time  when Graubard wrote his paper in 1958. The bibliography in Graubard</w:t>
      </w:r>
      <w:r>
        <w:rPr>
          <w:rFonts w:ascii="Palatino" w:hAnsi="Palatino" w:hint="default"/>
          <w:sz w:val="22"/>
          <w:szCs w:val="22"/>
          <w:rtl w:val="0"/>
          <w:lang w:val="en-US"/>
        </w:rPr>
        <w:t>’</w:t>
      </w:r>
      <w:r>
        <w:rPr>
          <w:rFonts w:ascii="Palatino" w:hAnsi="Palatino"/>
          <w:sz w:val="22"/>
          <w:szCs w:val="22"/>
          <w:rtl w:val="0"/>
          <w:lang w:val="en-US"/>
        </w:rPr>
        <w:t>s paper was a list of footnotes, and there were no footnote references in the main body of</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5"/>
          <w:footerReference w:type="default" r:id="rId16"/>
          <w:pgSz w:w="12240" w:h="15840"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the paper. This meant that in order to locate the reference of a particular footnote, it was necessary to search for this in the last pages of the paper in the bibliography. The sources were however well described and could easily be found when searching on the internet of the 21st century.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In comparison, Elzey used more than 40 sources in his analysis of the Nahua myth of the suns, they cover variations of the myth, and the sources are mainly cited in their original language </w:t>
      </w:r>
      <w:r>
        <w:rPr>
          <w:rFonts w:ascii="Palatino" w:cs="Palatino" w:hAnsi="Palatino" w:eastAsia="Palatino"/>
          <w:sz w:val="22"/>
          <w:szCs w:val="22"/>
          <w:vertAlign w:val="superscript"/>
        </w:rPr>
        <w:footnoteReference w:id="30"/>
      </w:r>
      <w:r>
        <w:rPr>
          <w:rFonts w:ascii="Palatino" w:hAnsi="Palatino"/>
          <w:sz w:val="22"/>
          <w:szCs w:val="22"/>
          <w:rtl w:val="0"/>
          <w:lang w:val="en-US"/>
        </w:rPr>
        <w:t>, covering literature from 1800s, but mainly the 1900s. As a contrast to Graubard</w:t>
      </w:r>
      <w:r>
        <w:rPr>
          <w:rFonts w:ascii="Palatino" w:hAnsi="Palatino" w:hint="default"/>
          <w:sz w:val="22"/>
          <w:szCs w:val="22"/>
          <w:rtl w:val="0"/>
          <w:lang w:val="en-US"/>
        </w:rPr>
        <w:t>’</w:t>
      </w:r>
      <w:r>
        <w:rPr>
          <w:rFonts w:ascii="Palatino" w:hAnsi="Palatino"/>
          <w:sz w:val="22"/>
          <w:szCs w:val="22"/>
          <w:rtl w:val="0"/>
          <w:lang w:val="en-US"/>
        </w:rPr>
        <w:t xml:space="preserve">s paper, there was no bibliography in the Elzey paper. Also, in contrast to the Graubard paper, the footnote reference was in the main body of the Elzey paper, and thus easier to locate sources whilst reading. However, </w:t>
      </w:r>
      <w:r>
        <w:rPr>
          <w:rFonts w:ascii="Palatino" w:hAnsi="Palatino"/>
          <w:sz w:val="22"/>
          <w:szCs w:val="22"/>
          <w:rtl w:val="0"/>
          <w:lang w:val="en-US"/>
        </w:rPr>
        <w:t xml:space="preserve">Elzey repeated sources throughout the paper, and the full reference was only given when a source was first mentioned. This made it difficult to find the full reference of a repeated source, an issue which a bibliography would have solved. </w:t>
      </w:r>
      <w:r>
        <w:rPr>
          <w:rFonts w:ascii="Palatino" w:hAnsi="Palatino"/>
          <w:sz w:val="22"/>
          <w:szCs w:val="22"/>
          <w:rtl w:val="0"/>
          <w:lang w:val="en-US"/>
        </w:rPr>
        <w:t>The sources in Elzey</w:t>
      </w:r>
      <w:r>
        <w:rPr>
          <w:rFonts w:ascii="Palatino" w:hAnsi="Palatino" w:hint="default"/>
          <w:sz w:val="22"/>
          <w:szCs w:val="22"/>
          <w:rtl w:val="0"/>
          <w:lang w:val="en-US"/>
        </w:rPr>
        <w:t>’</w:t>
      </w:r>
      <w:r>
        <w:rPr>
          <w:rFonts w:ascii="Palatino" w:hAnsi="Palatino"/>
          <w:sz w:val="22"/>
          <w:szCs w:val="22"/>
          <w:rtl w:val="0"/>
          <w:lang w:val="en-US"/>
        </w:rPr>
        <w:t xml:space="preserve">s paper further covered aspects related to the myth, for example: the function of myth </w:t>
      </w:r>
      <w:r>
        <w:rPr>
          <w:rFonts w:ascii="Palatino" w:cs="Palatino" w:hAnsi="Palatino" w:eastAsia="Palatino"/>
          <w:sz w:val="22"/>
          <w:szCs w:val="22"/>
          <w:vertAlign w:val="superscript"/>
        </w:rPr>
        <w:footnoteReference w:id="31"/>
      </w:r>
      <w:r>
        <w:rPr>
          <w:rFonts w:ascii="Palatino" w:hAnsi="Palatino"/>
          <w:sz w:val="22"/>
          <w:szCs w:val="22"/>
          <w:rtl w:val="0"/>
          <w:lang w:val="en-US"/>
        </w:rPr>
        <w:t xml:space="preserve">, cosmological symbolism </w:t>
      </w:r>
      <w:r>
        <w:rPr>
          <w:rFonts w:ascii="Palatino" w:cs="Palatino" w:hAnsi="Palatino" w:eastAsia="Palatino"/>
          <w:sz w:val="22"/>
          <w:szCs w:val="22"/>
          <w:vertAlign w:val="superscript"/>
        </w:rPr>
        <w:footnoteReference w:id="32"/>
      </w:r>
      <w:r>
        <w:rPr>
          <w:rFonts w:ascii="Palatino" w:hAnsi="Palatino"/>
          <w:sz w:val="22"/>
          <w:szCs w:val="22"/>
          <w:rtl w:val="0"/>
          <w:lang w:val="en-US"/>
        </w:rPr>
        <w:t xml:space="preserve">, poetry </w:t>
      </w:r>
      <w:r>
        <w:rPr>
          <w:rFonts w:ascii="Palatino" w:cs="Palatino" w:hAnsi="Palatino" w:eastAsia="Palatino"/>
          <w:sz w:val="22"/>
          <w:szCs w:val="22"/>
          <w:vertAlign w:val="superscript"/>
        </w:rPr>
        <w:footnoteReference w:id="33"/>
      </w:r>
      <w:r>
        <w:rPr>
          <w:rFonts w:ascii="Palatino" w:hAnsi="Palatino"/>
          <w:sz w:val="22"/>
          <w:szCs w:val="22"/>
          <w:rtl w:val="0"/>
          <w:lang w:val="en-US"/>
        </w:rPr>
        <w:t>, however there was no historical background of the Nahua people.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Conclusion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essay has </w:t>
      </w:r>
      <w:r>
        <w:rPr>
          <w:rFonts w:ascii="Palatino" w:hAnsi="Palatino"/>
          <w:sz w:val="22"/>
          <w:szCs w:val="22"/>
          <w:rtl w:val="0"/>
          <w:lang w:val="en-US"/>
        </w:rPr>
        <w:t>critically compared and contrasted two papers by Elzey and Graubard</w:t>
      </w:r>
      <w:r>
        <w:rPr>
          <w:rFonts w:ascii="Palatino" w:hAnsi="Palatino"/>
          <w:sz w:val="22"/>
          <w:szCs w:val="22"/>
          <w:rtl w:val="0"/>
          <w:lang w:val="en-US"/>
        </w:rPr>
        <w:t xml:space="preserve"> respectively</w:t>
      </w:r>
      <w:r>
        <w:rPr>
          <w:rFonts w:ascii="Palatino" w:hAnsi="Palatino"/>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4"/>
      </w:r>
      <w:r>
        <w:rPr>
          <w:rFonts w:ascii="Palatino" w:hAnsi="Palatino"/>
          <w:sz w:val="22"/>
          <w:szCs w:val="22"/>
          <w:rtl w:val="0"/>
          <w:lang w:val="en-US"/>
        </w:rPr>
        <w:t xml:space="preserve">  Both papers were presented in scientific journals, Elzey's paper was written in 1958 when he was 35 and Graubard wrote the paper in 1976 when he was 54. Both Elzey and Graubard became professor emeritus.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It was found that both studies presented in-depth and broad knowledge of the respective subjects. Both papers had defined questions/hypotheses that the authors had chosen as a structural foundation, however a broader focus could have been interesting, particularly in the Elzey paper. Neither papers had a clear writing structure, and it was challenging to locate clear conclusions as the conclusions were presented throughout the discussions and analysis in the papers.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analysis of the papers identified that the approach of Elzey, who analysed and discussed the subject with a wide range of sources, and a minimal use of quotes, offered a better flow of reading in comparison to the Graubard paper.  Both authors accomplished their intention of the papers of theoretical analysis through</w:t>
      </w:r>
      <w:r>
        <w:rPr>
          <w:rFonts w:ascii="Palatino" w:hAnsi="Palatino"/>
          <w:sz w:val="22"/>
          <w:szCs w:val="22"/>
          <w:rtl w:val="0"/>
          <w:lang w:val="en-US"/>
        </w:rPr>
        <w:t xml:space="preserve"> a broad range of literature, although Graubard covered a wider historical period.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final main finding concerned the bias and emotional approach made by Graubard, which could be contrasted with the neutral approach in the Elzey paper. The language and tone in the Graubard paper were occasionally disrupting the comprehension of the paper, and it could be argued that the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7"/>
          <w:footerReference w:type="default" r:id="rId18"/>
          <w:pgSz w:w="12240" w:h="15840"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65-year time gap since the paper was written, could be considered in relation the use of language and tone.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The insights gained from this study may be of assistance to</w:t>
      </w:r>
      <w:r>
        <w:rPr>
          <w:rFonts w:ascii="Palatino" w:hAnsi="Palatino"/>
          <w:sz w:val="22"/>
          <w:szCs w:val="22"/>
          <w:rtl w:val="0"/>
          <w:lang w:val="en-US"/>
        </w:rPr>
        <w:t xml:space="preserve"> researchers wanting to use a theological methodology, </w:t>
      </w:r>
      <w:r>
        <w:rPr>
          <w:rFonts w:ascii="Palatino" w:hAnsi="Palatino"/>
          <w:sz w:val="22"/>
          <w:szCs w:val="22"/>
          <w:rtl w:val="0"/>
          <w:lang w:val="en-US"/>
        </w:rPr>
        <w:t>particularly with regard to the structure, writing style and use of footnotes and quotes. The in-depth sharing of knowledge presented by both Elzey and Graubard through their theoretical papers with extensive use of sources are important historical pieces of work.</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9"/>
          <w:footerReference w:type="default" r:id="rId20"/>
          <w:pgSz w:w="12240" w:h="15840" w:orient="portrait"/>
          <w:pgMar w:top="1134" w:right="1134" w:bottom="1134" w:left="1134" w:header="567" w:footer="720"/>
          <w:bidi w:val="0"/>
        </w:sectPr>
      </w:pPr>
    </w:p>
    <w:p>
      <w:pPr>
        <w:pStyle w:val="Body"/>
        <w:spacing w:before="0"/>
        <w:rPr>
          <w:rFonts w:ascii="Palatino" w:cs="Palatino" w:hAnsi="Palatino" w:eastAsia="Palatino"/>
          <w:b w:val="1"/>
          <w:bCs w:val="1"/>
          <w:sz w:val="22"/>
          <w:szCs w:val="22"/>
        </w:rPr>
      </w:pPr>
      <w:r>
        <w:rPr>
          <w:rFonts w:ascii="Palatino" w:hAnsi="Palatino"/>
          <w:b w:val="1"/>
          <w:bCs w:val="1"/>
          <w:sz w:val="22"/>
          <w:szCs w:val="22"/>
          <w:rtl w:val="0"/>
          <w:lang w:val="en-US"/>
        </w:rPr>
        <w:t>Bibliography</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en-US"/>
        </w:rPr>
        <w:t xml:space="preserve">Bell, </w:t>
      </w:r>
      <w:r>
        <w:rPr>
          <w:rFonts w:ascii="Palatino" w:hAnsi="Palatino"/>
          <w:sz w:val="22"/>
          <w:szCs w:val="22"/>
          <w:rtl w:val="0"/>
          <w:lang w:val="en-US"/>
        </w:rPr>
        <w:t>Judith</w:t>
      </w:r>
      <w:r>
        <w:rPr>
          <w:rFonts w:ascii="Palatino" w:hAnsi="Palatino"/>
          <w:sz w:val="22"/>
          <w:szCs w:val="22"/>
          <w:rtl w:val="0"/>
          <w:lang w:val="en-US"/>
        </w:rPr>
        <w:t xml:space="preserve"> and Stephen Waters, </w:t>
      </w:r>
      <w:r>
        <w:rPr>
          <w:rFonts w:ascii="Palatino" w:hAnsi="Palatino"/>
          <w:i w:val="1"/>
          <w:iCs w:val="1"/>
          <w:sz w:val="22"/>
          <w:szCs w:val="22"/>
          <w:rtl w:val="0"/>
          <w:lang w:val="en-US"/>
        </w:rPr>
        <w:t>Doing Your Research Project</w:t>
      </w:r>
      <w:r>
        <w:rPr>
          <w:rFonts w:ascii="Palatino" w:hAnsi="Palatino"/>
          <w:sz w:val="22"/>
          <w:szCs w:val="22"/>
          <w:rtl w:val="0"/>
          <w:lang w:val="en-US"/>
        </w:rPr>
        <w:t>, 7</w:t>
      </w:r>
      <w:r>
        <w:rPr>
          <w:rFonts w:ascii="Palatino" w:hAnsi="Palatino"/>
          <w:sz w:val="22"/>
          <w:szCs w:val="22"/>
          <w:vertAlign w:val="superscript"/>
          <w:rtl w:val="0"/>
          <w:lang w:val="en-US"/>
        </w:rPr>
        <w:t>th</w:t>
      </w:r>
      <w:r>
        <w:rPr>
          <w:rFonts w:ascii="Palatino" w:hAnsi="Palatino"/>
          <w:sz w:val="22"/>
          <w:szCs w:val="22"/>
          <w:rtl w:val="0"/>
          <w:lang w:val="en-US"/>
        </w:rPr>
        <w:t xml:space="preserve"> edn. (London: Open University Press, McGraw-Hill Education, 2018).</w:t>
      </w:r>
    </w:p>
    <w:p>
      <w:pPr>
        <w:pStyle w:val="Body"/>
        <w:spacing w:before="0"/>
        <w:rPr>
          <w:rFonts w:ascii="Palatino" w:cs="Palatino" w:hAnsi="Palatino" w:eastAsia="Palatino"/>
          <w:sz w:val="22"/>
          <w:szCs w:val="22"/>
        </w:rPr>
      </w:pPr>
    </w:p>
    <w:p>
      <w:pPr>
        <w:pStyle w:val="Footnote"/>
        <w:rPr>
          <w:sz w:val="22"/>
          <w:szCs w:val="22"/>
        </w:rPr>
      </w:pPr>
      <w:r>
        <w:rPr>
          <w:sz w:val="22"/>
          <w:szCs w:val="22"/>
          <w:rtl w:val="0"/>
          <w:lang w:val="en-US"/>
        </w:rPr>
        <w:t xml:space="preserve">Billington, Sandra, </w:t>
      </w:r>
      <w:r>
        <w:rPr>
          <w:sz w:val="22"/>
          <w:szCs w:val="22"/>
          <w:rtl w:val="0"/>
          <w:lang w:val="en-US"/>
        </w:rPr>
        <w:t>‘</w:t>
      </w:r>
      <w:r>
        <w:rPr>
          <w:sz w:val="22"/>
          <w:szCs w:val="22"/>
          <w:rtl w:val="0"/>
          <w:lang w:val="en-US"/>
        </w:rPr>
        <w:t xml:space="preserve">The Midsummer Solstice As It Was Or Was Not, Observed In Pagan Germany, Scadinavia and Anglo-Saxon England, </w:t>
      </w:r>
      <w:r>
        <w:rPr>
          <w:i w:val="1"/>
          <w:iCs w:val="1"/>
          <w:sz w:val="22"/>
          <w:szCs w:val="22"/>
          <w:rtl w:val="0"/>
          <w:lang w:val="en-US"/>
        </w:rPr>
        <w:t>Folklore</w:t>
      </w:r>
      <w:r>
        <w:rPr>
          <w:sz w:val="22"/>
          <w:szCs w:val="22"/>
          <w:rtl w:val="0"/>
          <w:lang w:val="en-US"/>
        </w:rPr>
        <w:t>, 119, 1, 2008, 41-17, p. 44 &lt;</w:t>
      </w:r>
      <w:r>
        <w:rPr>
          <w:sz w:val="22"/>
          <w:szCs w:val="22"/>
          <w:rtl w:val="0"/>
        </w:rPr>
        <w:t>https://www.jstor.org/stable/30035459</w:t>
      </w:r>
      <w:r>
        <w:rPr>
          <w:sz w:val="22"/>
          <w:szCs w:val="22"/>
          <w:rtl w:val="0"/>
          <w:lang w:val="en-US"/>
        </w:rPr>
        <w:t>&gt; [assessed 16th October 2021].</w:t>
      </w:r>
    </w:p>
    <w:p>
      <w:pPr>
        <w:pStyle w:val="Footnote"/>
        <w:rPr>
          <w:sz w:val="22"/>
          <w:szCs w:val="22"/>
        </w:rPr>
      </w:pPr>
    </w:p>
    <w:p>
      <w:pPr>
        <w:pStyle w:val="Footnote"/>
        <w:rPr>
          <w:sz w:val="22"/>
          <w:szCs w:val="22"/>
        </w:rPr>
      </w:pPr>
      <w:r>
        <w:rPr>
          <w:sz w:val="22"/>
          <w:szCs w:val="22"/>
          <w:rtl w:val="0"/>
          <w:lang w:val="en-US"/>
        </w:rPr>
        <w:t xml:space="preserve">Chanen, David. Obituaries </w:t>
      </w:r>
      <w:r>
        <w:rPr>
          <w:sz w:val="22"/>
          <w:szCs w:val="22"/>
          <w:rtl w:val="0"/>
          <w:lang w:val="en-US"/>
        </w:rPr>
        <w:t>‘</w:t>
      </w:r>
      <w:r>
        <w:rPr>
          <w:sz w:val="22"/>
          <w:szCs w:val="22"/>
          <w:rtl w:val="0"/>
          <w:lang w:val="en-US"/>
        </w:rPr>
        <w:t xml:space="preserve">Mark Graubard professor emeritus at </w:t>
      </w:r>
      <w:r>
        <w:rPr>
          <w:sz w:val="22"/>
          <w:szCs w:val="22"/>
          <w:rtl w:val="0"/>
          <w:lang w:val="en-US"/>
        </w:rPr>
        <w:t>‘</w:t>
      </w:r>
      <w:r>
        <w:rPr>
          <w:sz w:val="22"/>
          <w:szCs w:val="22"/>
          <w:rtl w:val="0"/>
          <w:lang w:val="en-US"/>
        </w:rPr>
        <w:t>U</w:t>
      </w:r>
      <w:r>
        <w:rPr>
          <w:sz w:val="22"/>
          <w:szCs w:val="22"/>
          <w:rtl w:val="0"/>
          <w:lang w:val="en-US"/>
        </w:rPr>
        <w:t xml:space="preserve">’ </w:t>
      </w:r>
      <w:r>
        <w:rPr>
          <w:sz w:val="22"/>
          <w:szCs w:val="22"/>
          <w:rtl w:val="0"/>
          <w:lang w:val="en-US"/>
        </w:rPr>
        <w:t xml:space="preserve">dies at 88, </w:t>
      </w:r>
      <w:r>
        <w:rPr>
          <w:sz w:val="22"/>
          <w:szCs w:val="22"/>
          <w:rtl w:val="0"/>
          <w:lang w:val="en-US"/>
        </w:rPr>
        <w:t>Star Tribune Newspaper,</w:t>
      </w:r>
      <w:r>
        <w:rPr>
          <w:sz w:val="22"/>
          <w:szCs w:val="22"/>
          <w:rtl w:val="0"/>
          <w:lang w:val="en-US"/>
        </w:rPr>
        <w:t xml:space="preserve"> Tuesday 3rd November 1992, p.48 &lt;</w:t>
      </w:r>
      <w:r>
        <w:rPr>
          <w:sz w:val="22"/>
          <w:szCs w:val="22"/>
          <w:rtl w:val="0"/>
        </w:rPr>
        <w:t>https://www.newspapers.com/image/?clipping_id=9923222&amp;fcfToken=eyJhbGciOiJIUzI1NiIsInR5cCI6IkpXVCJ9.eyJmcmVlLXZpZXctaWQiOjE5MzA1NDU3NiwiaWF0IjoxNjM1MjQ3NDQ1LCJleHAiOjE2MzUzMzM4NDV9.jEmJMCInWY4a18PiYWu3o9PRyJouDh8fPpZnfj9H0jg</w:t>
      </w:r>
      <w:r>
        <w:rPr>
          <w:sz w:val="22"/>
          <w:szCs w:val="22"/>
          <w:rtl w:val="0"/>
          <w:lang w:val="en-US"/>
        </w:rPr>
        <w:t>&gt; [assessed 8th October 2021].</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rPr>
        <w:t xml:space="preserve">Elzey, Wayne, </w:t>
      </w:r>
      <w:r>
        <w:rPr>
          <w:rFonts w:ascii="Palatino" w:hAnsi="Palatino" w:hint="default"/>
          <w:sz w:val="22"/>
          <w:szCs w:val="22"/>
          <w:rtl w:val="1"/>
        </w:rPr>
        <w:t>‘</w:t>
      </w:r>
      <w:r>
        <w:rPr>
          <w:rFonts w:ascii="Palatino" w:hAnsi="Palatino"/>
          <w:sz w:val="22"/>
          <w:szCs w:val="22"/>
          <w:rtl w:val="0"/>
          <w:lang w:val="en-US"/>
        </w:rPr>
        <w:t>The Nahua Myth of the Suns: History and Cosmology in Pre-Hispanic Mexican Religions</w:t>
      </w:r>
      <w:r>
        <w:rPr>
          <w:rFonts w:ascii="Palatino" w:hAnsi="Palatino" w:hint="default"/>
          <w:sz w:val="22"/>
          <w:szCs w:val="22"/>
          <w:rtl w:val="1"/>
        </w:rPr>
        <w:t>’</w:t>
      </w:r>
      <w:r>
        <w:rPr>
          <w:rFonts w:ascii="Palatino" w:hAnsi="Palatino"/>
          <w:sz w:val="22"/>
          <w:szCs w:val="22"/>
          <w:rtl w:val="0"/>
        </w:rPr>
        <w:t xml:space="preserve">, </w:t>
      </w:r>
      <w:r>
        <w:rPr>
          <w:rFonts w:ascii="Palatino" w:hAnsi="Palatino"/>
          <w:i w:val="1"/>
          <w:iCs w:val="1"/>
          <w:sz w:val="22"/>
          <w:szCs w:val="22"/>
          <w:rtl w:val="0"/>
          <w:lang w:val="de-DE"/>
        </w:rPr>
        <w:t>Numen</w:t>
      </w:r>
      <w:r>
        <w:rPr>
          <w:rFonts w:ascii="Palatino" w:hAnsi="Palatino"/>
          <w:sz w:val="22"/>
          <w:szCs w:val="22"/>
          <w:rtl w:val="0"/>
        </w:rPr>
        <w:t xml:space="preserve"> 23:2</w:t>
      </w:r>
      <w:r>
        <w:rPr>
          <w:rFonts w:ascii="Palatino" w:hAnsi="Palatino"/>
          <w:sz w:val="22"/>
          <w:szCs w:val="22"/>
          <w:rtl w:val="0"/>
          <w:lang w:val="en-US"/>
        </w:rPr>
        <w:t xml:space="preserve">, </w:t>
      </w:r>
      <w:r>
        <w:rPr>
          <w:rFonts w:ascii="Palatino" w:hAnsi="Palatino"/>
          <w:sz w:val="22"/>
          <w:szCs w:val="22"/>
          <w:rtl w:val="0"/>
        </w:rPr>
        <w:t>1976, 114-135</w:t>
      </w:r>
      <w:r>
        <w:rPr>
          <w:rFonts w:ascii="Palatino" w:hAnsi="Palatino"/>
          <w:sz w:val="22"/>
          <w:szCs w:val="22"/>
          <w:rtl w:val="0"/>
          <w:lang w:val="en-US"/>
        </w:rPr>
        <w:t xml:space="preserve">  &lt;</w:t>
      </w:r>
      <w:r>
        <w:rPr>
          <w:rFonts w:ascii="Palatino" w:cs="Palatino" w:hAnsi="Palatino" w:eastAsia="Palatino"/>
          <w:sz w:val="22"/>
          <w:szCs w:val="22"/>
        </w:rPr>
        <w:fldChar w:fldCharType="begin" w:fldLock="0"/>
      </w:r>
      <w:r>
        <w:rPr>
          <w:rFonts w:ascii="Palatino" w:cs="Palatino" w:hAnsi="Palatino" w:eastAsia="Palatino"/>
          <w:sz w:val="22"/>
          <w:szCs w:val="22"/>
        </w:rPr>
        <w:instrText xml:space="preserve"> HYPERLINK "https://doi.org/10.2307/3269663"</w:instrText>
      </w:r>
      <w:r>
        <w:rPr>
          <w:rFonts w:ascii="Palatino" w:cs="Palatino" w:hAnsi="Palatino" w:eastAsia="Palatino"/>
          <w:sz w:val="22"/>
          <w:szCs w:val="22"/>
        </w:rPr>
        <w:fldChar w:fldCharType="separate" w:fldLock="0"/>
      </w:r>
      <w:r>
        <w:rPr>
          <w:rFonts w:ascii="Palatino" w:hAnsi="Palatino"/>
          <w:sz w:val="22"/>
          <w:szCs w:val="22"/>
          <w:rtl w:val="0"/>
          <w:lang w:val="en-US"/>
        </w:rPr>
        <w:t>https://doi.org/10.2307/3269663</w:t>
      </w:r>
      <w:r>
        <w:rPr>
          <w:rFonts w:ascii="Palatino" w:cs="Palatino" w:hAnsi="Palatino" w:eastAsia="Palatino"/>
          <w:sz w:val="22"/>
          <w:szCs w:val="22"/>
        </w:rPr>
        <w:fldChar w:fldCharType="end" w:fldLock="0"/>
      </w:r>
      <w:r>
        <w:rPr>
          <w:rFonts w:ascii="Palatino" w:hAnsi="Palatino"/>
          <w:sz w:val="22"/>
          <w:szCs w:val="22"/>
          <w:rtl w:val="0"/>
          <w:lang w:val="en-US"/>
        </w:rPr>
        <w:t>&gt; [assessed 26th October 2021].</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de-DE"/>
        </w:rPr>
        <w:t xml:space="preserve">Graubard, Mark, </w:t>
      </w:r>
      <w:r>
        <w:rPr>
          <w:rFonts w:ascii="Palatino" w:hAnsi="Palatino" w:hint="default"/>
          <w:sz w:val="22"/>
          <w:szCs w:val="22"/>
          <w:rtl w:val="1"/>
        </w:rPr>
        <w:t>‘</w:t>
      </w:r>
      <w:r>
        <w:rPr>
          <w:rFonts w:ascii="Palatino" w:hAnsi="Palatino"/>
          <w:sz w:val="22"/>
          <w:szCs w:val="22"/>
          <w:rtl w:val="0"/>
          <w:lang w:val="en-US"/>
        </w:rPr>
        <w:t>Astrology's Demise and Its Bearing on the Decline and Death of Beliefs</w:t>
      </w:r>
      <w:r>
        <w:rPr>
          <w:rFonts w:ascii="Palatino" w:hAnsi="Palatino" w:hint="default"/>
          <w:sz w:val="22"/>
          <w:szCs w:val="22"/>
          <w:rtl w:val="1"/>
        </w:rPr>
        <w:t>’</w:t>
      </w:r>
      <w:r>
        <w:rPr>
          <w:rFonts w:ascii="Palatino" w:hAnsi="Palatino"/>
          <w:sz w:val="22"/>
          <w:szCs w:val="22"/>
          <w:rtl w:val="0"/>
        </w:rPr>
        <w:t xml:space="preserve">, </w:t>
      </w:r>
      <w:r>
        <w:rPr>
          <w:rFonts w:ascii="Palatino" w:hAnsi="Palatino"/>
          <w:i w:val="1"/>
          <w:iCs w:val="1"/>
          <w:sz w:val="22"/>
          <w:szCs w:val="22"/>
          <w:rtl w:val="0"/>
        </w:rPr>
        <w:t>Osiris</w:t>
      </w:r>
      <w:r>
        <w:rPr>
          <w:rFonts w:ascii="Palatino" w:hAnsi="Palatino"/>
          <w:sz w:val="22"/>
          <w:szCs w:val="22"/>
          <w:rtl w:val="0"/>
        </w:rPr>
        <w:t xml:space="preserve"> 13, 1958,</w:t>
      </w:r>
      <w:r>
        <w:rPr>
          <w:rFonts w:ascii="Palatino" w:hAnsi="Palatino"/>
          <w:sz w:val="22"/>
          <w:szCs w:val="22"/>
          <w:rtl w:val="0"/>
          <w:lang w:val="en-US"/>
        </w:rPr>
        <w:t xml:space="preserve"> </w:t>
      </w:r>
      <w:r>
        <w:rPr>
          <w:rFonts w:ascii="Palatino" w:hAnsi="Palatino"/>
          <w:sz w:val="22"/>
          <w:szCs w:val="22"/>
          <w:rtl w:val="0"/>
        </w:rPr>
        <w:t>210</w:t>
      </w:r>
      <w:r>
        <w:rPr>
          <w:rFonts w:ascii="Palatino" w:hAnsi="Palatino" w:hint="default"/>
          <w:sz w:val="22"/>
          <w:szCs w:val="22"/>
          <w:rtl w:val="0"/>
        </w:rPr>
        <w:t>–</w:t>
      </w:r>
      <w:r>
        <w:rPr>
          <w:rFonts w:ascii="Palatino" w:hAnsi="Palatino"/>
          <w:sz w:val="22"/>
          <w:szCs w:val="22"/>
          <w:rtl w:val="0"/>
        </w:rPr>
        <w:t>261</w:t>
      </w:r>
      <w:r>
        <w:rPr>
          <w:rFonts w:ascii="Palatino" w:hAnsi="Palatino"/>
          <w:sz w:val="22"/>
          <w:szCs w:val="22"/>
          <w:rtl w:val="0"/>
          <w:lang w:val="en-US"/>
        </w:rPr>
        <w:t xml:space="preserve"> </w:t>
      </w:r>
      <w:r>
        <w:rPr>
          <w:rFonts w:ascii="Palatino" w:hAnsi="Palatino"/>
          <w:sz w:val="22"/>
          <w:szCs w:val="22"/>
          <w:rtl w:val="0"/>
          <w:lang w:val="en-US"/>
        </w:rPr>
        <w:t>&lt;https://www.jstor.org/stable/301650&gt; [assessed 26</w:t>
      </w:r>
      <w:r>
        <w:rPr>
          <w:rFonts w:ascii="Palatino" w:hAnsi="Palatino"/>
          <w:sz w:val="22"/>
          <w:szCs w:val="22"/>
          <w:rtl w:val="0"/>
          <w:lang w:val="en-US"/>
        </w:rPr>
        <w:t>th October 202</w:t>
      </w:r>
      <w:r>
        <w:rPr>
          <w:rFonts w:ascii="Palatino" w:hAnsi="Palatino"/>
          <w:sz w:val="22"/>
          <w:szCs w:val="22"/>
          <w:rtl w:val="0"/>
          <w:lang w:val="pt-PT"/>
        </w:rPr>
        <w:t>1].</w:t>
      </w:r>
    </w:p>
    <w:p>
      <w:pPr>
        <w:pStyle w:val="Body"/>
        <w:spacing w:before="0"/>
        <w:rPr>
          <w:rFonts w:ascii="Palatino" w:cs="Palatino" w:hAnsi="Palatino" w:eastAsia="Palatino"/>
          <w:sz w:val="22"/>
          <w:szCs w:val="22"/>
        </w:rPr>
      </w:pPr>
    </w:p>
    <w:p>
      <w:pPr>
        <w:pStyle w:val="Footnote"/>
        <w:rPr>
          <w:sz w:val="22"/>
          <w:szCs w:val="22"/>
        </w:rPr>
      </w:pPr>
      <w:r>
        <w:rPr>
          <w:sz w:val="22"/>
          <w:szCs w:val="22"/>
          <w:rtl w:val="0"/>
          <w:lang w:val="en-US"/>
        </w:rPr>
        <w:t xml:space="preserve">Graubard, Mark, </w:t>
      </w:r>
      <w:r>
        <w:rPr>
          <w:sz w:val="22"/>
          <w:szCs w:val="22"/>
          <w:rtl w:val="0"/>
          <w:lang w:val="en-US"/>
        </w:rPr>
        <w:t>‘</w:t>
      </w:r>
      <w:r>
        <w:rPr>
          <w:sz w:val="22"/>
          <w:szCs w:val="22"/>
          <w:rtl w:val="0"/>
          <w:lang w:val="en-US"/>
        </w:rPr>
        <w:t>Some Contemporary Observations on Ancient Superstitions</w:t>
      </w:r>
      <w:r>
        <w:rPr>
          <w:sz w:val="22"/>
          <w:szCs w:val="22"/>
          <w:rtl w:val="0"/>
          <w:lang w:val="en-US"/>
        </w:rPr>
        <w:t>’</w:t>
      </w:r>
      <w:r>
        <w:rPr>
          <w:sz w:val="22"/>
          <w:szCs w:val="22"/>
          <w:rtl w:val="0"/>
          <w:lang w:val="en-US"/>
        </w:rPr>
        <w:t xml:space="preserve">, </w:t>
      </w:r>
      <w:r>
        <w:rPr>
          <w:i w:val="1"/>
          <w:iCs w:val="1"/>
          <w:sz w:val="22"/>
          <w:szCs w:val="22"/>
          <w:rtl w:val="0"/>
          <w:lang w:val="en-US"/>
        </w:rPr>
        <w:t>The Journal of American Folklore</w:t>
      </w:r>
      <w:r>
        <w:rPr>
          <w:sz w:val="22"/>
          <w:szCs w:val="22"/>
          <w:rtl w:val="0"/>
          <w:lang w:val="en-US"/>
        </w:rPr>
        <w:t>, 59, 232, 1946, 124-133 &lt;</w:t>
      </w:r>
      <w:r>
        <w:rPr>
          <w:sz w:val="22"/>
          <w:szCs w:val="22"/>
          <w:rtl w:val="0"/>
          <w:lang w:val="en-US"/>
        </w:rPr>
        <w:t>https://doi.org/10.2307/536467</w:t>
      </w:r>
      <w:r>
        <w:rPr>
          <w:sz w:val="22"/>
          <w:szCs w:val="22"/>
          <w:rtl w:val="0"/>
          <w:lang w:val="en-US"/>
        </w:rPr>
        <w:t>&gt; [assessed 16th October 2021].</w:t>
      </w:r>
    </w:p>
    <w:p>
      <w:pPr>
        <w:pStyle w:val="Footnote"/>
        <w:rPr>
          <w:sz w:val="22"/>
          <w:szCs w:val="22"/>
        </w:rPr>
      </w:pPr>
    </w:p>
    <w:p>
      <w:pPr>
        <w:pStyle w:val="Body"/>
        <w:spacing w:before="0"/>
        <w:rPr>
          <w:rFonts w:ascii="Palatino" w:cs="Palatino" w:hAnsi="Palatino" w:eastAsia="Palatino"/>
          <w:sz w:val="22"/>
          <w:szCs w:val="22"/>
        </w:rPr>
      </w:pPr>
      <w:r>
        <w:rPr>
          <w:rFonts w:ascii="Palatino" w:hAnsi="Palatino"/>
          <w:sz w:val="22"/>
          <w:szCs w:val="22"/>
          <w:rtl w:val="0"/>
          <w:lang w:val="en-US"/>
        </w:rPr>
        <w:t xml:space="preserve">Hennick, </w:t>
      </w:r>
      <w:r>
        <w:rPr>
          <w:rFonts w:ascii="Palatino" w:hAnsi="Palatino"/>
          <w:sz w:val="22"/>
          <w:szCs w:val="22"/>
          <w:rtl w:val="0"/>
          <w:lang w:val="fr-FR"/>
        </w:rPr>
        <w:t>Monique</w:t>
      </w:r>
      <w:r>
        <w:rPr>
          <w:rFonts w:ascii="Palatino" w:hAnsi="Palatino"/>
          <w:sz w:val="22"/>
          <w:szCs w:val="22"/>
          <w:rtl w:val="0"/>
          <w:lang w:val="en-US"/>
        </w:rPr>
        <w:t xml:space="preserve">, Inge Hutter and Ajay Bailey, </w:t>
      </w:r>
      <w:r>
        <w:rPr>
          <w:rFonts w:ascii="Palatino" w:hAnsi="Palatino"/>
          <w:i w:val="1"/>
          <w:iCs w:val="1"/>
          <w:sz w:val="22"/>
          <w:szCs w:val="22"/>
          <w:rtl w:val="0"/>
          <w:lang w:val="en-US"/>
        </w:rPr>
        <w:t>Qualitative Research Methods</w:t>
      </w:r>
      <w:r>
        <w:rPr>
          <w:rFonts w:ascii="Palatino" w:hAnsi="Palatino"/>
          <w:sz w:val="22"/>
          <w:szCs w:val="22"/>
          <w:rtl w:val="0"/>
          <w:lang w:val="en-US"/>
        </w:rPr>
        <w:t>, 2</w:t>
      </w:r>
      <w:r>
        <w:rPr>
          <w:rFonts w:ascii="Palatino" w:hAnsi="Palatino"/>
          <w:sz w:val="22"/>
          <w:szCs w:val="22"/>
          <w:vertAlign w:val="superscript"/>
          <w:rtl w:val="0"/>
          <w:lang w:val="en-US"/>
        </w:rPr>
        <w:t>nd</w:t>
      </w:r>
      <w:r>
        <w:rPr>
          <w:rFonts w:ascii="Palatino" w:hAnsi="Palatino"/>
          <w:sz w:val="22"/>
          <w:szCs w:val="22"/>
          <w:rtl w:val="0"/>
          <w:lang w:val="en-US"/>
        </w:rPr>
        <w:t xml:space="preserve"> edn. (London: Sage, 2020).</w:t>
      </w:r>
    </w:p>
    <w:p>
      <w:pPr>
        <w:pStyle w:val="Footnote"/>
        <w:rPr>
          <w:sz w:val="22"/>
          <w:szCs w:val="22"/>
        </w:rPr>
      </w:pPr>
    </w:p>
    <w:p>
      <w:pPr>
        <w:pStyle w:val="Footnote"/>
        <w:rPr>
          <w:sz w:val="22"/>
          <w:szCs w:val="22"/>
        </w:rPr>
      </w:pPr>
      <w:r>
        <w:rPr>
          <w:sz w:val="22"/>
          <w:szCs w:val="22"/>
          <w:rtl w:val="0"/>
          <w:lang w:val="en-US"/>
        </w:rPr>
        <w:t xml:space="preserve">Legacy.com. Wayne Elzey </w:t>
      </w:r>
      <w:r>
        <w:rPr>
          <w:sz w:val="22"/>
          <w:szCs w:val="22"/>
          <w:rtl w:val="0"/>
          <w:lang w:val="en-US"/>
        </w:rPr>
        <w:t>News Death Notice</w:t>
      </w:r>
      <w:r>
        <w:rPr>
          <w:sz w:val="22"/>
          <w:szCs w:val="22"/>
          <w:rtl w:val="0"/>
          <w:lang w:val="en-US"/>
        </w:rPr>
        <w:t>, &lt;</w:t>
      </w:r>
      <w:r>
        <w:rPr>
          <w:sz w:val="22"/>
          <w:szCs w:val="22"/>
        </w:rPr>
        <w:fldChar w:fldCharType="begin" w:fldLock="0"/>
      </w:r>
      <w:r>
        <w:rPr>
          <w:sz w:val="22"/>
          <w:szCs w:val="22"/>
        </w:rPr>
        <w:instrText xml:space="preserve"> HYPERLINK "https://www.legacy.com/us/obituaries/hamilton/name/wayne-elzey-obituary?pid=156767141"</w:instrText>
      </w:r>
      <w:r>
        <w:rPr>
          <w:sz w:val="22"/>
          <w:szCs w:val="22"/>
        </w:rPr>
        <w:fldChar w:fldCharType="separate" w:fldLock="0"/>
      </w:r>
      <w:r>
        <w:rPr>
          <w:sz w:val="22"/>
          <w:szCs w:val="22"/>
          <w:rtl w:val="0"/>
          <w:lang w:val="en-US"/>
        </w:rPr>
        <w:t>https://www.legacy.com/us/obituaries/hamilton/name/wayne-elzey-obituary?pid=156767141</w:t>
      </w:r>
      <w:r>
        <w:rPr>
          <w:sz w:val="22"/>
          <w:szCs w:val="22"/>
        </w:rPr>
        <w:fldChar w:fldCharType="end" w:fldLock="0"/>
      </w:r>
      <w:r>
        <w:rPr>
          <w:sz w:val="22"/>
          <w:szCs w:val="22"/>
          <w:rtl w:val="0"/>
          <w:lang w:val="en-US"/>
        </w:rPr>
        <w:t>&gt; [</w:t>
      </w:r>
      <w:r>
        <w:rPr>
          <w:sz w:val="22"/>
          <w:szCs w:val="22"/>
          <w:rtl w:val="0"/>
          <w:lang w:val="en-US"/>
        </w:rPr>
        <w:t xml:space="preserve">assessed 8th </w:t>
      </w:r>
      <w:r>
        <w:rPr>
          <w:sz w:val="22"/>
          <w:szCs w:val="22"/>
          <w:rtl w:val="0"/>
          <w:lang w:val="en-US"/>
        </w:rPr>
        <w:t xml:space="preserve">October </w:t>
      </w:r>
      <w:r>
        <w:rPr>
          <w:sz w:val="22"/>
          <w:szCs w:val="22"/>
          <w:rtl w:val="0"/>
          <w:lang w:val="en-US"/>
        </w:rPr>
        <w:t>2021</w:t>
      </w:r>
      <w:r>
        <w:rPr>
          <w:sz w:val="22"/>
          <w:szCs w:val="22"/>
          <w:rtl w:val="0"/>
          <w:lang w:val="en-US"/>
        </w:rPr>
        <w:t>].</w:t>
      </w:r>
    </w:p>
    <w:p>
      <w:pPr>
        <w:pStyle w:val="Footnote"/>
        <w:rPr>
          <w:sz w:val="22"/>
          <w:szCs w:val="22"/>
        </w:rPr>
      </w:pPr>
    </w:p>
    <w:p>
      <w:pPr>
        <w:pStyle w:val="Footnote"/>
        <w:rPr>
          <w:sz w:val="22"/>
          <w:szCs w:val="22"/>
        </w:rPr>
      </w:pPr>
      <w:r>
        <w:rPr>
          <w:sz w:val="22"/>
          <w:szCs w:val="22"/>
          <w:rtl w:val="0"/>
          <w:lang w:val="en-US"/>
        </w:rPr>
        <w:t xml:space="preserve">Mavrogenis, Andreas F., Quaile, Andrew &amp; Scarlat, Marius M., </w:t>
      </w:r>
      <w:r>
        <w:rPr>
          <w:sz w:val="22"/>
          <w:szCs w:val="22"/>
          <w:rtl w:val="0"/>
          <w:lang w:val="en-US"/>
        </w:rPr>
        <w:t>‘</w:t>
      </w:r>
      <w:r>
        <w:rPr>
          <w:sz w:val="22"/>
          <w:szCs w:val="22"/>
          <w:rtl w:val="0"/>
          <w:lang w:val="en-US"/>
        </w:rPr>
        <w:t>The Good, The Bad And The Rude Peer-Review</w:t>
      </w:r>
      <w:r>
        <w:rPr>
          <w:sz w:val="22"/>
          <w:szCs w:val="22"/>
          <w:rtl w:val="0"/>
          <w:lang w:val="en-US"/>
        </w:rPr>
        <w:t>’</w:t>
      </w:r>
      <w:r>
        <w:rPr>
          <w:sz w:val="22"/>
          <w:szCs w:val="22"/>
          <w:rtl w:val="0"/>
          <w:lang w:val="en-US"/>
        </w:rPr>
        <w:t xml:space="preserve">, </w:t>
      </w:r>
      <w:r>
        <w:rPr>
          <w:i w:val="1"/>
          <w:iCs w:val="1"/>
          <w:sz w:val="22"/>
          <w:szCs w:val="22"/>
          <w:rtl w:val="0"/>
          <w:lang w:val="en-US"/>
        </w:rPr>
        <w:t>International Orthopaedics</w:t>
      </w:r>
      <w:r>
        <w:rPr>
          <w:sz w:val="22"/>
          <w:szCs w:val="22"/>
          <w:rtl w:val="0"/>
          <w:lang w:val="en-US"/>
        </w:rPr>
        <w:t xml:space="preserve"> 44, 2020, 413-415 &lt;</w:t>
      </w:r>
      <w:r>
        <w:rPr>
          <w:sz w:val="22"/>
          <w:szCs w:val="22"/>
          <w:rtl w:val="0"/>
          <w:lang w:val="en-US"/>
        </w:rPr>
        <w:t>https://doi.org/10.1007/s00264-020-04504-1</w:t>
      </w:r>
      <w:r>
        <w:rPr>
          <w:sz w:val="22"/>
          <w:szCs w:val="22"/>
          <w:rtl w:val="0"/>
          <w:lang w:val="en-US"/>
        </w:rPr>
        <w:t>&gt; [assessed 1st November 2021].</w:t>
      </w:r>
    </w:p>
    <w:p>
      <w:pPr>
        <w:pStyle w:val="Body"/>
        <w:spacing w:before="0"/>
        <w:rPr>
          <w:rFonts w:ascii="Palatino" w:cs="Palatino" w:hAnsi="Palatino" w:eastAsia="Palatino"/>
          <w:sz w:val="22"/>
          <w:szCs w:val="22"/>
        </w:rPr>
      </w:pPr>
    </w:p>
    <w:p>
      <w:pPr>
        <w:pStyle w:val="Footnote"/>
        <w:rPr>
          <w:sz w:val="22"/>
          <w:szCs w:val="22"/>
        </w:rPr>
      </w:pPr>
      <w:r>
        <w:rPr>
          <w:sz w:val="22"/>
          <w:szCs w:val="22"/>
          <w:rtl w:val="0"/>
          <w:lang w:val="en-US"/>
        </w:rPr>
        <w:t xml:space="preserve">Milbrath, Susan, </w:t>
      </w:r>
      <w:r>
        <w:rPr>
          <w:sz w:val="22"/>
          <w:szCs w:val="22"/>
          <w:rtl w:val="0"/>
          <w:lang w:val="en-US"/>
        </w:rPr>
        <w:t>‘</w:t>
      </w:r>
      <w:r>
        <w:rPr>
          <w:sz w:val="22"/>
          <w:szCs w:val="22"/>
          <w:rtl w:val="0"/>
          <w:lang w:val="en-US"/>
        </w:rPr>
        <w:t>Eclipse Imagery On The Aztec Calendar Stone</w:t>
      </w:r>
      <w:r>
        <w:rPr>
          <w:sz w:val="22"/>
          <w:szCs w:val="22"/>
          <w:rtl w:val="0"/>
          <w:lang w:val="en-US"/>
        </w:rPr>
        <w:t>’</w:t>
      </w:r>
      <w:r>
        <w:rPr>
          <w:sz w:val="22"/>
          <w:szCs w:val="22"/>
          <w:rtl w:val="0"/>
          <w:lang w:val="en-US"/>
        </w:rPr>
        <w:t xml:space="preserve">, </w:t>
      </w:r>
      <w:r>
        <w:rPr>
          <w:i w:val="1"/>
          <w:iCs w:val="1"/>
          <w:sz w:val="22"/>
          <w:szCs w:val="22"/>
          <w:rtl w:val="0"/>
          <w:lang w:val="en-US"/>
        </w:rPr>
        <w:t>Mexicon</w:t>
      </w:r>
      <w:r>
        <w:rPr>
          <w:sz w:val="22"/>
          <w:szCs w:val="22"/>
          <w:rtl w:val="0"/>
          <w:lang w:val="en-US"/>
        </w:rPr>
        <w:t>, 39, 1, 2017, p. 16-17 &lt;</w:t>
      </w:r>
      <w:r>
        <w:rPr>
          <w:sz w:val="22"/>
          <w:szCs w:val="22"/>
          <w:rtl w:val="0"/>
        </w:rPr>
        <w:t>https://www.jstor.org/stable/45163354</w:t>
      </w:r>
      <w:r>
        <w:rPr>
          <w:sz w:val="22"/>
          <w:szCs w:val="22"/>
          <w:rtl w:val="0"/>
          <w:lang w:val="en-US"/>
        </w:rPr>
        <w:t>&gt; [assessed 16th October 2021].</w:t>
      </w:r>
    </w:p>
    <w:p>
      <w:pPr>
        <w:pStyle w:val="Footnote"/>
        <w:rPr>
          <w:sz w:val="22"/>
          <w:szCs w:val="22"/>
        </w:rPr>
      </w:pPr>
    </w:p>
    <w:p>
      <w:pPr>
        <w:pStyle w:val="Footnote"/>
        <w:rPr>
          <w:sz w:val="22"/>
          <w:szCs w:val="22"/>
        </w:rPr>
      </w:pPr>
      <w:r>
        <w:rPr>
          <w:sz w:val="22"/>
          <w:szCs w:val="22"/>
          <w:rtl w:val="0"/>
          <w:lang w:val="en-US"/>
        </w:rPr>
        <w:t xml:space="preserve">Thorndike, Lynn, </w:t>
      </w:r>
      <w:r>
        <w:rPr>
          <w:sz w:val="22"/>
          <w:szCs w:val="22"/>
          <w:rtl w:val="0"/>
          <w:lang w:val="en-US"/>
        </w:rPr>
        <w:t>‘</w:t>
      </w:r>
      <w:r>
        <w:rPr>
          <w:sz w:val="22"/>
          <w:szCs w:val="22"/>
          <w:rtl w:val="0"/>
          <w:lang w:val="en-US"/>
        </w:rPr>
        <w:t>The True Place of Astrology in the History of Science</w:t>
      </w:r>
      <w:r>
        <w:rPr>
          <w:sz w:val="22"/>
          <w:szCs w:val="22"/>
          <w:rtl w:val="0"/>
          <w:lang w:val="en-US"/>
        </w:rPr>
        <w:t>’</w:t>
      </w:r>
      <w:r>
        <w:rPr>
          <w:sz w:val="22"/>
          <w:szCs w:val="22"/>
          <w:rtl w:val="0"/>
          <w:lang w:val="en-US"/>
        </w:rPr>
        <w:t xml:space="preserve">, </w:t>
      </w:r>
      <w:r>
        <w:rPr>
          <w:i w:val="1"/>
          <w:iCs w:val="1"/>
          <w:sz w:val="22"/>
          <w:szCs w:val="22"/>
          <w:rtl w:val="0"/>
          <w:lang w:val="en-US"/>
        </w:rPr>
        <w:t>Isis</w:t>
      </w:r>
      <w:r>
        <w:rPr>
          <w:sz w:val="22"/>
          <w:szCs w:val="22"/>
          <w:rtl w:val="0"/>
          <w:lang w:val="en-US"/>
        </w:rPr>
        <w:t xml:space="preserve"> 46 (3) 1955, 273-278 &lt;</w:t>
      </w:r>
      <w:r>
        <w:rPr>
          <w:sz w:val="22"/>
          <w:szCs w:val="22"/>
          <w:rtl w:val="0"/>
        </w:rPr>
        <w:t>https://www.jstor.org/stable/226346</w:t>
      </w:r>
      <w:r>
        <w:rPr>
          <w:sz w:val="22"/>
          <w:szCs w:val="22"/>
          <w:rtl w:val="0"/>
          <w:lang w:val="en-US"/>
        </w:rPr>
        <w:t>&gt; [assessed 8th October 2021].</w:t>
      </w:r>
    </w:p>
    <w:p>
      <w:pPr>
        <w:pStyle w:val="Footnote"/>
        <w:rPr>
          <w:sz w:val="22"/>
          <w:szCs w:val="22"/>
        </w:rPr>
      </w:pPr>
    </w:p>
    <w:p>
      <w:pPr>
        <w:pStyle w:val="Footnote"/>
        <w:rPr>
          <w:sz w:val="22"/>
          <w:szCs w:val="22"/>
        </w:rPr>
      </w:pPr>
      <w:r>
        <w:rPr>
          <w:sz w:val="22"/>
          <w:szCs w:val="22"/>
          <w:rtl w:val="0"/>
          <w:lang w:val="en-US"/>
        </w:rPr>
        <w:t xml:space="preserve">Watanabe, John, M., </w:t>
      </w:r>
      <w:r>
        <w:rPr>
          <w:sz w:val="22"/>
          <w:szCs w:val="22"/>
          <w:rtl w:val="0"/>
          <w:lang w:val="en-US"/>
        </w:rPr>
        <w:t>‘</w:t>
      </w:r>
      <w:r>
        <w:rPr>
          <w:sz w:val="22"/>
          <w:szCs w:val="22"/>
          <w:rtl w:val="0"/>
          <w:lang w:val="en-US"/>
        </w:rPr>
        <w:t>In The World Of The Sun: A Cognitive Model of Mayan Cosmology</w:t>
      </w:r>
      <w:r>
        <w:rPr>
          <w:sz w:val="22"/>
          <w:szCs w:val="22"/>
          <w:rtl w:val="0"/>
          <w:lang w:val="en-US"/>
        </w:rPr>
        <w:t>”</w:t>
      </w:r>
      <w:r>
        <w:rPr>
          <w:sz w:val="22"/>
          <w:szCs w:val="22"/>
          <w:rtl w:val="0"/>
          <w:lang w:val="en-US"/>
        </w:rPr>
        <w:t xml:space="preserve">, </w:t>
      </w:r>
      <w:r>
        <w:rPr>
          <w:i w:val="1"/>
          <w:iCs w:val="1"/>
          <w:sz w:val="22"/>
          <w:szCs w:val="22"/>
          <w:rtl w:val="0"/>
          <w:lang w:val="en-US"/>
        </w:rPr>
        <w:t>Man</w:t>
      </w:r>
      <w:r>
        <w:rPr>
          <w:sz w:val="22"/>
          <w:szCs w:val="22"/>
          <w:rtl w:val="0"/>
          <w:lang w:val="en-US"/>
        </w:rPr>
        <w:t>, 18, 4, 1983, 710-728 &lt;</w:t>
      </w:r>
      <w:r>
        <w:rPr>
          <w:sz w:val="22"/>
          <w:szCs w:val="22"/>
          <w:rtl w:val="0"/>
        </w:rPr>
        <w:t>https://doi-org.ezproxy.uwtsd.ac.uk/10.2307/2801904</w:t>
      </w:r>
      <w:r>
        <w:rPr>
          <w:sz w:val="22"/>
          <w:szCs w:val="22"/>
          <w:rtl w:val="0"/>
          <w:lang w:val="en-US"/>
        </w:rPr>
        <w:t>&gt; [assessed 16th October 2021].</w:t>
      </w:r>
    </w:p>
    <w:p>
      <w:pPr>
        <w:pStyle w:val="Footnote"/>
      </w:pPr>
      <w:r>
        <w:rPr>
          <w:sz w:val="22"/>
          <w:szCs w:val="22"/>
        </w:rPr>
      </w:r>
    </w:p>
    <w:sectPr>
      <w:headerReference w:type="default" r:id="rId21"/>
      <w:footerReference w:type="default" r:id="rId22"/>
      <w:pgSz w:w="12240" w:h="15840" w:orient="portrait"/>
      <w:pgMar w:top="1134" w:right="1134" w:bottom="1134" w:left="1134" w:header="567"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7.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8.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9.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Elzey, Wayne, </w:t>
      </w:r>
      <w:r>
        <w:rPr>
          <w:rFonts w:cs="Arial Unicode MS" w:eastAsia="Arial Unicode MS" w:hint="default"/>
          <w:rtl w:val="1"/>
        </w:rPr>
        <w:t>‘</w:t>
      </w:r>
      <w:r>
        <w:rPr>
          <w:rFonts w:cs="Arial Unicode MS" w:eastAsia="Arial Unicode MS"/>
          <w:rtl w:val="0"/>
          <w:lang w:val="en-US"/>
        </w:rPr>
        <w:t>The Nahua Myth of the Suns: History and Cosmology in Pre-Hispanic Mexican Religions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de-DE"/>
        </w:rPr>
        <w:t>Numen</w:t>
      </w:r>
      <w:r>
        <w:rPr>
          <w:rFonts w:cs="Arial Unicode MS" w:eastAsia="Arial Unicode MS"/>
          <w:rtl w:val="0"/>
        </w:rPr>
        <w:t xml:space="preserve"> 23:2</w:t>
      </w:r>
      <w:r>
        <w:rPr>
          <w:rFonts w:cs="Arial Unicode MS" w:eastAsia="Arial Unicode MS"/>
          <w:rtl w:val="0"/>
          <w:lang w:val="en-US"/>
        </w:rPr>
        <w:t xml:space="preserve">, </w:t>
      </w:r>
      <w:r>
        <w:rPr>
          <w:rFonts w:cs="Arial Unicode MS" w:eastAsia="Arial Unicode MS"/>
          <w:rtl w:val="0"/>
        </w:rPr>
        <w:t>1976, 114-135</w:t>
      </w:r>
      <w:r>
        <w:rPr>
          <w:rFonts w:cs="Arial Unicode MS" w:eastAsia="Arial Unicode MS"/>
          <w:rtl w:val="0"/>
          <w:lang w:val="en-US"/>
        </w:rPr>
        <w:t xml:space="preserve">  &lt;</w:t>
      </w:r>
      <w:r>
        <w:rPr/>
        <w:fldChar w:fldCharType="begin" w:fldLock="0"/>
      </w:r>
      <w:r>
        <w:instrText xml:space="preserve"> HYPERLINK "https://doi.org/10.2307/3269663"</w:instrText>
      </w:r>
      <w:r>
        <w:rPr/>
        <w:fldChar w:fldCharType="separate" w:fldLock="0"/>
      </w:r>
      <w:r>
        <w:rPr>
          <w:rFonts w:cs="Arial Unicode MS" w:eastAsia="Arial Unicode MS"/>
          <w:rtl w:val="0"/>
          <w:lang w:val="en-US"/>
        </w:rPr>
        <w:t>https://doi.org/10.2307/3269663</w:t>
      </w:r>
      <w:r>
        <w:rPr/>
        <w:fldChar w:fldCharType="end" w:fldLock="0"/>
      </w:r>
      <w:r>
        <w:rPr>
          <w:rFonts w:cs="Arial Unicode MS" w:eastAsia="Arial Unicode MS"/>
          <w:rtl w:val="0"/>
          <w:lang w:val="en-US"/>
        </w:rPr>
        <w:t>&gt; [assessed 26/10/21].</w:t>
      </w:r>
      <w:r>
        <w:rPr>
          <w:rFonts w:cs="Arial Unicode MS" w:eastAsia="Arial Unicode MS"/>
          <w:rtl w:val="0"/>
          <w:lang w:val="de-DE"/>
        </w:rPr>
        <w:t xml:space="preserve"> Graubard, Mark, </w:t>
      </w:r>
      <w:r>
        <w:rPr>
          <w:rFonts w:cs="Arial Unicode MS" w:eastAsia="Arial Unicode MS" w:hint="default"/>
          <w:rtl w:val="1"/>
        </w:rPr>
        <w:t>‘</w:t>
      </w:r>
      <w:r>
        <w:rPr>
          <w:rFonts w:cs="Arial Unicode MS" w:eastAsia="Arial Unicode MS"/>
          <w:rtl w:val="0"/>
          <w:lang w:val="en-US"/>
        </w:rPr>
        <w:t>Astrology's Demise and Its Bearing on the Decline and Death of Beliefs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rPr>
        <w:t>Osiris</w:t>
      </w:r>
      <w:r>
        <w:rPr>
          <w:rFonts w:cs="Arial Unicode MS" w:eastAsia="Arial Unicode MS"/>
          <w:rtl w:val="0"/>
        </w:rPr>
        <w:t xml:space="preserve"> 13, 1958,</w:t>
      </w:r>
      <w:r>
        <w:rPr>
          <w:rFonts w:cs="Arial Unicode MS" w:eastAsia="Arial Unicode MS"/>
          <w:rtl w:val="0"/>
          <w:lang w:val="en-US"/>
        </w:rPr>
        <w:t xml:space="preserve"> </w:t>
      </w:r>
      <w:r>
        <w:rPr>
          <w:rFonts w:cs="Arial Unicode MS" w:eastAsia="Arial Unicode MS"/>
          <w:rtl w:val="0"/>
        </w:rPr>
        <w:t>210</w:t>
      </w:r>
      <w:r>
        <w:rPr>
          <w:rFonts w:cs="Arial Unicode MS" w:eastAsia="Arial Unicode MS" w:hint="default"/>
          <w:rtl w:val="0"/>
        </w:rPr>
        <w:t>–</w:t>
      </w:r>
      <w:r>
        <w:rPr>
          <w:rFonts w:cs="Arial Unicode MS" w:eastAsia="Arial Unicode MS"/>
          <w:rtl w:val="0"/>
        </w:rPr>
        <w:t>261</w:t>
      </w:r>
      <w:r>
        <w:rPr>
          <w:rFonts w:cs="Arial Unicode MS" w:eastAsia="Arial Unicode MS"/>
          <w:rtl w:val="0"/>
          <w:lang w:val="en-US"/>
        </w:rPr>
        <w:t xml:space="preserve"> </w:t>
      </w:r>
      <w:r>
        <w:rPr>
          <w:rFonts w:cs="Arial Unicode MS" w:eastAsia="Arial Unicode MS"/>
          <w:rtl w:val="0"/>
          <w:lang w:val="en-US"/>
        </w:rPr>
        <w:t>&lt;https://www.jstor.org/stable/301650&gt; [assessed 26</w:t>
      </w:r>
      <w:r>
        <w:rPr>
          <w:rFonts w:cs="Arial Unicode MS" w:eastAsia="Arial Unicode MS"/>
          <w:rtl w:val="0"/>
          <w:lang w:val="en-US"/>
        </w:rPr>
        <w:t>th October 202</w:t>
      </w:r>
      <w:r>
        <w:rPr>
          <w:rFonts w:cs="Arial Unicode MS" w:eastAsia="Arial Unicode MS"/>
          <w:rtl w:val="0"/>
          <w:lang w:val="pt-PT"/>
        </w:rPr>
        <w:t>1].</w:t>
      </w:r>
    </w:p>
  </w:footnote>
  <w:footnote w:id="2">
    <w:p>
      <w:pPr>
        <w:pStyle w:val="Footnote"/>
        <w:bidi w:val="0"/>
      </w:pPr>
      <w:r>
        <w:rPr>
          <w:vertAlign w:val="superscript"/>
        </w:rPr>
        <w:footnoteRef/>
      </w:r>
      <w:r>
        <w:rPr>
          <w:rFonts w:cs="Arial Unicode MS" w:eastAsia="Arial Unicode MS"/>
          <w:rtl w:val="0"/>
          <w:lang w:val="en-US"/>
        </w:rPr>
        <w:t xml:space="preserve"> Judith Bell and Stephen Waters, </w:t>
      </w:r>
      <w:r>
        <w:rPr>
          <w:rFonts w:cs="Arial Unicode MS" w:eastAsia="Arial Unicode MS"/>
          <w:i w:val="1"/>
          <w:iCs w:val="1"/>
          <w:rtl w:val="0"/>
          <w:lang w:val="en-US"/>
        </w:rPr>
        <w:t>Doing Your Research Project</w:t>
      </w:r>
      <w:r>
        <w:rPr>
          <w:rFonts w:cs="Arial Unicode MS" w:eastAsia="Arial Unicode MS"/>
          <w:rtl w:val="0"/>
          <w:lang w:val="en-US"/>
        </w:rPr>
        <w:t>, 7</w:t>
      </w:r>
      <w:r>
        <w:rPr>
          <w:rFonts w:cs="Arial Unicode MS" w:eastAsia="Arial Unicode MS"/>
          <w:vertAlign w:val="superscript"/>
          <w:rtl w:val="0"/>
          <w:lang w:val="en-US"/>
        </w:rPr>
        <w:t>th</w:t>
      </w:r>
      <w:r>
        <w:rPr>
          <w:rFonts w:cs="Arial Unicode MS" w:eastAsia="Arial Unicode MS"/>
          <w:rtl w:val="0"/>
          <w:lang w:val="en-US"/>
        </w:rPr>
        <w:t xml:space="preserve"> edn. (London: Open University Press, McGraw-Hill Education, 2018), p. 289-294.</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Monique Hennick, Inge Hutter and Ajay Bailey, </w:t>
      </w:r>
      <w:r>
        <w:rPr>
          <w:rFonts w:cs="Arial Unicode MS" w:eastAsia="Arial Unicode MS"/>
          <w:i w:val="1"/>
          <w:iCs w:val="1"/>
          <w:rtl w:val="0"/>
          <w:lang w:val="en-US"/>
        </w:rPr>
        <w:t>Qualitative Research Methods</w:t>
      </w:r>
      <w:r>
        <w:rPr>
          <w:rFonts w:cs="Arial Unicode MS" w:eastAsia="Arial Unicode MS"/>
          <w:rtl w:val="0"/>
          <w:lang w:val="en-US"/>
        </w:rPr>
        <w:t>, 2</w:t>
      </w:r>
      <w:r>
        <w:rPr>
          <w:rFonts w:cs="Arial Unicode MS" w:eastAsia="Arial Unicode MS"/>
          <w:vertAlign w:val="superscript"/>
          <w:rtl w:val="0"/>
          <w:lang w:val="en-US"/>
        </w:rPr>
        <w:t>nd</w:t>
      </w:r>
      <w:r>
        <w:rPr>
          <w:rFonts w:cs="Arial Unicode MS" w:eastAsia="Arial Unicode MS"/>
          <w:rtl w:val="0"/>
          <w:lang w:val="en-US"/>
        </w:rPr>
        <w:t xml:space="preserve"> edn. (London: Sage, 2020), p. 236-237.</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Monique Hennick, Inge Hutter and Ajay Bailey, </w:t>
      </w:r>
      <w:r>
        <w:rPr>
          <w:rFonts w:cs="Arial Unicode MS" w:eastAsia="Arial Unicode MS"/>
          <w:i w:val="1"/>
          <w:iCs w:val="1"/>
          <w:rtl w:val="0"/>
          <w:lang w:val="en-US"/>
        </w:rPr>
        <w:t>Qualitative Research Methods</w:t>
      </w:r>
      <w:r>
        <w:rPr>
          <w:rFonts w:cs="Arial Unicode MS" w:eastAsia="Arial Unicode MS"/>
          <w:rtl w:val="0"/>
          <w:lang w:val="en-US"/>
        </w:rPr>
        <w:t>, 2</w:t>
      </w:r>
      <w:r>
        <w:rPr>
          <w:rFonts w:cs="Arial Unicode MS" w:eastAsia="Arial Unicode MS"/>
          <w:vertAlign w:val="superscript"/>
          <w:rtl w:val="0"/>
          <w:lang w:val="en-US"/>
        </w:rPr>
        <w:t>nd</w:t>
      </w:r>
      <w:r>
        <w:rPr>
          <w:rFonts w:cs="Arial Unicode MS" w:eastAsia="Arial Unicode MS"/>
          <w:rtl w:val="0"/>
          <w:lang w:val="en-US"/>
        </w:rPr>
        <w:t xml:space="preserve"> edn. (London: Sage, 2020), p.71.</w:t>
      </w:r>
    </w:p>
  </w:footnote>
  <w:footnote w:id="5">
    <w:p>
      <w:pPr>
        <w:pStyle w:val="Footnote"/>
        <w:bidi w:val="0"/>
      </w:pPr>
      <w:r>
        <w:rPr>
          <w:vertAlign w:val="superscript"/>
        </w:rPr>
        <w:footnoteRef/>
      </w:r>
      <w:r>
        <w:rPr>
          <w:rFonts w:cs="Arial Unicode MS" w:eastAsia="Arial Unicode MS"/>
          <w:rtl w:val="0"/>
          <w:lang w:val="en-US"/>
        </w:rPr>
        <w:t xml:space="preserve"> Wayne</w:t>
      </w:r>
      <w:r>
        <w:rPr>
          <w:rFonts w:cs="Arial Unicode MS" w:eastAsia="Arial Unicode MS"/>
          <w:rtl w:val="0"/>
          <w:lang w:val="en-US"/>
        </w:rPr>
        <w:t xml:space="preserve"> Elzey</w:t>
      </w:r>
      <w:r>
        <w:rPr>
          <w:rFonts w:cs="Arial Unicode MS" w:eastAsia="Arial Unicode MS"/>
          <w:rtl w:val="0"/>
        </w:rPr>
        <w:t xml:space="preserve">, </w:t>
      </w:r>
      <w:r>
        <w:rPr>
          <w:rFonts w:cs="Arial Unicode MS" w:eastAsia="Arial Unicode MS"/>
          <w:i w:val="1"/>
          <w:iCs w:val="1"/>
          <w:rtl w:val="0"/>
          <w:lang w:val="en-US"/>
        </w:rPr>
        <w:t>The Nahua Myth of the Suns</w:t>
      </w:r>
      <w:r>
        <w:rPr>
          <w:rFonts w:cs="Arial Unicode MS" w:eastAsia="Arial Unicode MS"/>
          <w:rtl w:val="0"/>
          <w:lang w:val="en-US"/>
        </w:rPr>
        <w:t>, p. 114.</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Legacy.com. Wayne Elzey </w:t>
      </w:r>
      <w:r>
        <w:rPr>
          <w:rFonts w:cs="Arial Unicode MS" w:eastAsia="Arial Unicode MS"/>
          <w:rtl w:val="0"/>
          <w:lang w:val="en-US"/>
        </w:rPr>
        <w:t>News Death Notice</w:t>
      </w:r>
      <w:r>
        <w:rPr>
          <w:rFonts w:cs="Arial Unicode MS" w:eastAsia="Arial Unicode MS"/>
          <w:rtl w:val="0"/>
          <w:lang w:val="en-US"/>
        </w:rPr>
        <w:t>, &lt;</w:t>
      </w:r>
      <w:r>
        <w:rPr/>
        <w:fldChar w:fldCharType="begin" w:fldLock="0"/>
      </w:r>
      <w:r>
        <w:instrText xml:space="preserve"> HYPERLINK "https://www.legacy.com/us/obituaries/hamilton/name/wayne-elzey-obituary?pid=156767141"</w:instrText>
      </w:r>
      <w:r>
        <w:rPr/>
        <w:fldChar w:fldCharType="separate" w:fldLock="0"/>
      </w:r>
      <w:r>
        <w:rPr>
          <w:rFonts w:cs="Arial Unicode MS" w:eastAsia="Arial Unicode MS"/>
          <w:rtl w:val="0"/>
          <w:lang w:val="en-US"/>
        </w:rPr>
        <w:t>https://www.legacy.com/us/obituaries/hamilton/name/wayne-elzey-obituary?pid=156767141</w:t>
      </w:r>
      <w:r>
        <w:rPr/>
        <w:fldChar w:fldCharType="end" w:fldLock="0"/>
      </w:r>
      <w:r>
        <w:rPr>
          <w:rFonts w:cs="Arial Unicode MS" w:eastAsia="Arial Unicode MS"/>
          <w:rtl w:val="0"/>
          <w:lang w:val="en-US"/>
        </w:rPr>
        <w:t xml:space="preserve">&gt; </w:t>
      </w:r>
      <w:r>
        <w:rPr>
          <w:rFonts w:cs="Arial Unicode MS" w:eastAsia="Arial Unicode MS"/>
          <w:rtl w:val="0"/>
          <w:lang w:val="en-US"/>
        </w:rPr>
        <w:t xml:space="preserve">{assessed 8th </w:t>
      </w:r>
      <w:r>
        <w:rPr>
          <w:rFonts w:cs="Arial Unicode MS" w:eastAsia="Arial Unicode MS"/>
          <w:rtl w:val="0"/>
          <w:lang w:val="en-US"/>
        </w:rPr>
        <w:t xml:space="preserve">October </w:t>
      </w:r>
      <w:r>
        <w:rPr>
          <w:rFonts w:cs="Arial Unicode MS" w:eastAsia="Arial Unicode MS"/>
          <w:rtl w:val="0"/>
          <w:lang w:val="en-US"/>
        </w:rPr>
        <w:t>2021</w:t>
      </w:r>
      <w:r>
        <w:rPr>
          <w:rFonts w:cs="Arial Unicode MS" w:eastAsia="Arial Unicode MS"/>
          <w:rtl w:val="0"/>
          <w:lang w:val="en-US"/>
        </w:rPr>
        <w:t>].</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lang w:val="en-US"/>
        </w:rPr>
        <w:t xml:space="preserve">, p. 210. Thorndike, Lynn, </w:t>
      </w:r>
      <w:r>
        <w:rPr>
          <w:rFonts w:cs="Arial Unicode MS" w:eastAsia="Arial Unicode MS" w:hint="default"/>
          <w:rtl w:val="0"/>
          <w:lang w:val="en-US"/>
        </w:rPr>
        <w:t>‘</w:t>
      </w:r>
      <w:r>
        <w:rPr>
          <w:rFonts w:cs="Arial Unicode MS" w:eastAsia="Arial Unicode MS"/>
          <w:rtl w:val="0"/>
          <w:lang w:val="en-US"/>
        </w:rPr>
        <w:t>The True Place of Astrology in the History of Science</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Isis</w:t>
      </w:r>
      <w:r>
        <w:rPr>
          <w:rFonts w:cs="Arial Unicode MS" w:eastAsia="Arial Unicode MS"/>
          <w:rtl w:val="0"/>
          <w:lang w:val="en-US"/>
        </w:rPr>
        <w:t xml:space="preserve"> 46 (3) 1955, 273-278 &lt;</w:t>
      </w:r>
      <w:r>
        <w:rPr>
          <w:rFonts w:cs="Arial Unicode MS" w:eastAsia="Arial Unicode MS"/>
          <w:rtl w:val="0"/>
        </w:rPr>
        <w:t>https://www.jstor.org/stable/226346</w:t>
      </w:r>
      <w:r>
        <w:rPr>
          <w:rFonts w:cs="Arial Unicode MS" w:eastAsia="Arial Unicode MS"/>
          <w:rtl w:val="0"/>
          <w:lang w:val="en-US"/>
        </w:rPr>
        <w:t>&gt; [assessed 8th October 2021].</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Chanen, David. Obituaries </w:t>
      </w:r>
      <w:r>
        <w:rPr>
          <w:rFonts w:cs="Arial Unicode MS" w:eastAsia="Arial Unicode MS" w:hint="default"/>
          <w:rtl w:val="0"/>
          <w:lang w:val="en-US"/>
        </w:rPr>
        <w:t>‘</w:t>
      </w:r>
      <w:r>
        <w:rPr>
          <w:rFonts w:cs="Arial Unicode MS" w:eastAsia="Arial Unicode MS"/>
          <w:rtl w:val="0"/>
          <w:lang w:val="en-US"/>
        </w:rPr>
        <w:t xml:space="preserve">Mark Graubard professor emeritus at </w:t>
      </w:r>
      <w:r>
        <w:rPr>
          <w:rFonts w:cs="Arial Unicode MS" w:eastAsia="Arial Unicode MS" w:hint="default"/>
          <w:rtl w:val="0"/>
          <w:lang w:val="en-US"/>
        </w:rPr>
        <w:t>‘</w:t>
      </w:r>
      <w:r>
        <w:rPr>
          <w:rFonts w:cs="Arial Unicode MS" w:eastAsia="Arial Unicode MS"/>
          <w:rtl w:val="0"/>
          <w:lang w:val="en-US"/>
        </w:rPr>
        <w:t>U</w:t>
      </w:r>
      <w:r>
        <w:rPr>
          <w:rFonts w:cs="Arial Unicode MS" w:eastAsia="Arial Unicode MS" w:hint="default"/>
          <w:rtl w:val="0"/>
          <w:lang w:val="en-US"/>
        </w:rPr>
        <w:t xml:space="preserve">’ </w:t>
      </w:r>
      <w:r>
        <w:rPr>
          <w:rFonts w:cs="Arial Unicode MS" w:eastAsia="Arial Unicode MS"/>
          <w:rtl w:val="0"/>
          <w:lang w:val="en-US"/>
        </w:rPr>
        <w:t xml:space="preserve">dies at 88, </w:t>
      </w:r>
      <w:r>
        <w:rPr>
          <w:rFonts w:cs="Arial Unicode MS" w:eastAsia="Arial Unicode MS"/>
          <w:rtl w:val="0"/>
          <w:lang w:val="en-US"/>
        </w:rPr>
        <w:t>Star Tribune Newspaper,</w:t>
      </w:r>
      <w:r>
        <w:rPr>
          <w:rFonts w:cs="Arial Unicode MS" w:eastAsia="Arial Unicode MS"/>
          <w:rtl w:val="0"/>
          <w:lang w:val="en-US"/>
        </w:rPr>
        <w:t xml:space="preserve"> Tuesday 3rd November 1992, p.48 &lt;</w:t>
      </w:r>
      <w:r>
        <w:rPr>
          <w:rFonts w:cs="Arial Unicode MS" w:eastAsia="Arial Unicode MS"/>
          <w:rtl w:val="0"/>
        </w:rPr>
        <w:t>https://www.newspapers.com/image/?clipping_id=9923222&amp;fcfToken=eyJhbGciOiJIUzI1NiIsInR5cCI6IkpXVCJ9.eyJmcmVlLXZpZXctaWQiOjE5MzA1NDU3NiwiaWF0IjoxNjM1MjQ3NDQ1LCJleHAiOjE2MzUzMzM4NDV9.jEmJMCInWY4a18PiYWu3o9PRyJouDh8fPpZnfj9H0jg</w:t>
      </w:r>
      <w:r>
        <w:rPr>
          <w:rFonts w:cs="Arial Unicode MS" w:eastAsia="Arial Unicode MS"/>
          <w:rtl w:val="0"/>
          <w:lang w:val="en-US"/>
        </w:rPr>
        <w:t>&gt; [assessed 8th October 2021].</w:t>
      </w:r>
    </w:p>
  </w:footnote>
  <w:footnote w:id="9">
    <w:p>
      <w:pPr>
        <w:pStyle w:val="Footnote"/>
        <w:bidi w:val="0"/>
      </w:pPr>
      <w:r>
        <w:rPr>
          <w:vertAlign w:val="superscript"/>
        </w:rPr>
        <w:footnoteRef/>
      </w:r>
      <w:r>
        <w:rPr>
          <w:rFonts w:cs="Arial Unicode MS" w:eastAsia="Arial Unicode MS"/>
          <w:rtl w:val="0"/>
          <w:lang w:val="en-US"/>
        </w:rPr>
        <w:t xml:space="preserve"> Wayne</w:t>
      </w:r>
      <w:r>
        <w:rPr>
          <w:rFonts w:cs="Arial Unicode MS" w:eastAsia="Arial Unicode MS"/>
          <w:rtl w:val="0"/>
          <w:lang w:val="en-US"/>
        </w:rPr>
        <w:t xml:space="preserve"> Elzey</w:t>
      </w:r>
      <w:r>
        <w:rPr>
          <w:rFonts w:cs="Arial Unicode MS" w:eastAsia="Arial Unicode MS"/>
          <w:rtl w:val="0"/>
        </w:rPr>
        <w:t xml:space="preserve">, </w:t>
      </w:r>
      <w:r>
        <w:rPr>
          <w:rFonts w:cs="Arial Unicode MS" w:eastAsia="Arial Unicode MS"/>
          <w:i w:val="1"/>
          <w:iCs w:val="1"/>
          <w:rtl w:val="0"/>
          <w:lang w:val="en-US"/>
        </w:rPr>
        <w:t>The Nahua Myth of the Suns</w:t>
      </w:r>
      <w:r>
        <w:rPr>
          <w:rFonts w:cs="Arial Unicode MS" w:eastAsia="Arial Unicode MS"/>
          <w:rtl w:val="0"/>
          <w:lang w:val="en-US"/>
        </w:rPr>
        <w:t>, p. 116.</w:t>
      </w:r>
    </w:p>
  </w:footnote>
  <w:footnote w:id="10">
    <w:p>
      <w:pPr>
        <w:pStyle w:val="Footnote"/>
        <w:bidi w:val="0"/>
      </w:pPr>
      <w:r>
        <w:rPr>
          <w:vertAlign w:val="superscript"/>
        </w:rPr>
        <w:footnoteRef/>
      </w:r>
      <w:r>
        <w:rPr>
          <w:rFonts w:cs="Arial Unicode MS" w:eastAsia="Arial Unicode MS"/>
          <w:rtl w:val="0"/>
          <w:lang w:val="en-US"/>
        </w:rPr>
        <w:t xml:space="preserve"> Wayne</w:t>
      </w:r>
      <w:r>
        <w:rPr>
          <w:rFonts w:cs="Arial Unicode MS" w:eastAsia="Arial Unicode MS"/>
          <w:rtl w:val="0"/>
          <w:lang w:val="en-US"/>
        </w:rPr>
        <w:t xml:space="preserve"> Elzey</w:t>
      </w:r>
      <w:r>
        <w:rPr>
          <w:rFonts w:cs="Arial Unicode MS" w:eastAsia="Arial Unicode MS"/>
          <w:rtl w:val="0"/>
        </w:rPr>
        <w:t xml:space="preserve">, </w:t>
      </w:r>
      <w:r>
        <w:rPr>
          <w:rFonts w:cs="Arial Unicode MS" w:eastAsia="Arial Unicode MS"/>
          <w:i w:val="1"/>
          <w:iCs w:val="1"/>
          <w:rtl w:val="0"/>
          <w:lang w:val="en-US"/>
        </w:rPr>
        <w:t>The Nahua Myth of the Suns</w:t>
      </w:r>
      <w:r>
        <w:rPr>
          <w:rFonts w:cs="Arial Unicode MS" w:eastAsia="Arial Unicode MS"/>
          <w:rtl w:val="0"/>
          <w:lang w:val="en-US"/>
        </w:rPr>
        <w:t>, footnote 1, p. 114-115.</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lang w:val="en-US"/>
        </w:rPr>
        <w:t>, p. 210.</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lang w:val="en-US"/>
        </w:rPr>
        <w:t>, p. 210-212.</w:t>
      </w:r>
    </w:p>
  </w:footnote>
  <w:footnote w:id="13">
    <w:p>
      <w:pPr>
        <w:pStyle w:val="Footnote"/>
        <w:bidi w:val="0"/>
      </w:pPr>
      <w:r>
        <w:rPr>
          <w:vertAlign w:val="superscript"/>
        </w:rPr>
        <w:footnoteRef/>
      </w:r>
      <w:r>
        <w:rPr>
          <w:rFonts w:cs="Arial Unicode MS" w:eastAsia="Arial Unicode MS"/>
          <w:rtl w:val="0"/>
          <w:lang w:val="en-US"/>
        </w:rPr>
        <w:t xml:space="preserve"> Wayne</w:t>
      </w:r>
      <w:r>
        <w:rPr>
          <w:rFonts w:cs="Arial Unicode MS" w:eastAsia="Arial Unicode MS"/>
          <w:rtl w:val="0"/>
          <w:lang w:val="en-US"/>
        </w:rPr>
        <w:t xml:space="preserve"> Elzey</w:t>
      </w:r>
      <w:r>
        <w:rPr>
          <w:rFonts w:cs="Arial Unicode MS" w:eastAsia="Arial Unicode MS"/>
          <w:rtl w:val="0"/>
        </w:rPr>
        <w:t xml:space="preserve">, </w:t>
      </w:r>
      <w:r>
        <w:rPr>
          <w:rFonts w:cs="Arial Unicode MS" w:eastAsia="Arial Unicode MS"/>
          <w:i w:val="1"/>
          <w:iCs w:val="1"/>
          <w:rtl w:val="0"/>
          <w:lang w:val="en-US"/>
        </w:rPr>
        <w:t>The Nahua Myth of the Suns</w:t>
      </w:r>
      <w:r>
        <w:rPr>
          <w:rFonts w:cs="Arial Unicode MS" w:eastAsia="Arial Unicode MS"/>
          <w:rtl w:val="0"/>
          <w:lang w:val="en-US"/>
        </w:rPr>
        <w:t>, p. 116.</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lang w:val="en-US"/>
        </w:rPr>
        <w:t>, p. 210.</w:t>
      </w:r>
    </w:p>
  </w:footnote>
  <w:footnote w:id="1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Watanabe, John, M., </w:t>
      </w:r>
      <w:r>
        <w:rPr>
          <w:rFonts w:cs="Arial Unicode MS" w:eastAsia="Arial Unicode MS" w:hint="default"/>
          <w:rtl w:val="0"/>
          <w:lang w:val="en-US"/>
        </w:rPr>
        <w:t>‘</w:t>
      </w:r>
      <w:r>
        <w:rPr>
          <w:rFonts w:cs="Arial Unicode MS" w:eastAsia="Arial Unicode MS"/>
          <w:rtl w:val="0"/>
          <w:lang w:val="en-US"/>
        </w:rPr>
        <w:t>In The World Of The Sun: A Cognitive Model of Mayan Cosmology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Man</w:t>
      </w:r>
      <w:r>
        <w:rPr>
          <w:rFonts w:cs="Arial Unicode MS" w:eastAsia="Arial Unicode MS"/>
          <w:rtl w:val="0"/>
          <w:lang w:val="en-US"/>
        </w:rPr>
        <w:t>, 18, 4, 1983, 710-728 &lt;</w:t>
      </w:r>
      <w:r>
        <w:rPr>
          <w:rFonts w:cs="Arial Unicode MS" w:eastAsia="Arial Unicode MS"/>
          <w:rtl w:val="0"/>
        </w:rPr>
        <w:t>https://doi-org.ezproxy.uwtsd.ac.uk/10.2307/2801904</w:t>
      </w:r>
      <w:r>
        <w:rPr>
          <w:rFonts w:cs="Arial Unicode MS" w:eastAsia="Arial Unicode MS"/>
          <w:rtl w:val="0"/>
          <w:lang w:val="en-US"/>
        </w:rPr>
        <w:t>&gt; [assessed 16th October 2021].</w:t>
      </w:r>
    </w:p>
  </w:footnote>
  <w:footnote w:id="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lang w:val="en-US"/>
        </w:rPr>
        <w:t>, p. 210-212.</w:t>
      </w:r>
    </w:p>
  </w:footnote>
  <w:footnote w:id="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Graubard, Mark, </w:t>
      </w:r>
      <w:r>
        <w:rPr>
          <w:rFonts w:cs="Arial Unicode MS" w:eastAsia="Arial Unicode MS" w:hint="default"/>
          <w:rtl w:val="0"/>
          <w:lang w:val="en-US"/>
        </w:rPr>
        <w:t>‘</w:t>
      </w:r>
      <w:r>
        <w:rPr>
          <w:rFonts w:cs="Arial Unicode MS" w:eastAsia="Arial Unicode MS"/>
          <w:rtl w:val="0"/>
          <w:lang w:val="en-US"/>
        </w:rPr>
        <w:t>Some Contemporary Observations on Ancient Superstitions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The Journal of American Folklore</w:t>
      </w:r>
      <w:r>
        <w:rPr>
          <w:rFonts w:cs="Arial Unicode MS" w:eastAsia="Arial Unicode MS"/>
          <w:rtl w:val="0"/>
          <w:lang w:val="en-US"/>
        </w:rPr>
        <w:t>, 59, 232, 1946, 124-133 &lt;</w:t>
      </w:r>
      <w:r>
        <w:rPr>
          <w:rFonts w:cs="Arial Unicode MS" w:eastAsia="Arial Unicode MS"/>
          <w:rtl w:val="0"/>
          <w:lang w:val="en-US"/>
        </w:rPr>
        <w:t>https://doi.org/10.2307/536467</w:t>
      </w:r>
      <w:r>
        <w:rPr>
          <w:rFonts w:cs="Arial Unicode MS" w:eastAsia="Arial Unicode MS"/>
          <w:rtl w:val="0"/>
          <w:lang w:val="en-US"/>
        </w:rPr>
        <w:t>&gt; [assessed 16th October 2021].</w:t>
      </w:r>
    </w:p>
  </w:footnote>
  <w:footnote w:id="18">
    <w:p>
      <w:pPr>
        <w:pStyle w:val="Footnote"/>
        <w:bidi w:val="0"/>
      </w:pPr>
      <w:r>
        <w:rPr>
          <w:vertAlign w:val="superscript"/>
        </w:rPr>
        <w:footnoteRef/>
      </w:r>
      <w:r>
        <w:rPr>
          <w:rFonts w:cs="Arial Unicode MS" w:eastAsia="Arial Unicode MS"/>
          <w:rtl w:val="0"/>
          <w:lang w:val="en-US"/>
        </w:rPr>
        <w:t xml:space="preserve"> Wayne</w:t>
      </w:r>
      <w:r>
        <w:rPr>
          <w:rFonts w:cs="Arial Unicode MS" w:eastAsia="Arial Unicode MS"/>
          <w:rtl w:val="0"/>
          <w:lang w:val="en-US"/>
        </w:rPr>
        <w:t xml:space="preserve"> Elzey</w:t>
      </w:r>
      <w:r>
        <w:rPr>
          <w:rFonts w:cs="Arial Unicode MS" w:eastAsia="Arial Unicode MS"/>
          <w:rtl w:val="0"/>
        </w:rPr>
        <w:t xml:space="preserve">, </w:t>
      </w:r>
      <w:r>
        <w:rPr>
          <w:rFonts w:cs="Arial Unicode MS" w:eastAsia="Arial Unicode MS"/>
          <w:i w:val="1"/>
          <w:iCs w:val="1"/>
          <w:rtl w:val="0"/>
          <w:lang w:val="en-US"/>
        </w:rPr>
        <w:t>The Nahua Myth of the Suns</w:t>
      </w:r>
      <w:r>
        <w:rPr>
          <w:rFonts w:cs="Arial Unicode MS" w:eastAsia="Arial Unicode MS"/>
          <w:rtl w:val="0"/>
          <w:lang w:val="en-US"/>
        </w:rPr>
        <w:t>, p. 117, p. 128.</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Milbrath, Susan, </w:t>
      </w:r>
      <w:r>
        <w:rPr>
          <w:rFonts w:cs="Arial Unicode MS" w:eastAsia="Arial Unicode MS" w:hint="default"/>
          <w:rtl w:val="0"/>
          <w:lang w:val="en-US"/>
        </w:rPr>
        <w:t>‘</w:t>
      </w:r>
      <w:r>
        <w:rPr>
          <w:rFonts w:cs="Arial Unicode MS" w:eastAsia="Arial Unicode MS"/>
          <w:rtl w:val="0"/>
          <w:lang w:val="en-US"/>
        </w:rPr>
        <w:t>Eclipse Imagery On The Aztec Calendar Stone</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Mexicon</w:t>
      </w:r>
      <w:r>
        <w:rPr>
          <w:rFonts w:cs="Arial Unicode MS" w:eastAsia="Arial Unicode MS"/>
          <w:rtl w:val="0"/>
          <w:lang w:val="en-US"/>
        </w:rPr>
        <w:t>, 39, 1, 2017, p. 16-17 &lt;</w:t>
      </w:r>
      <w:r>
        <w:rPr>
          <w:rFonts w:cs="Arial Unicode MS" w:eastAsia="Arial Unicode MS"/>
          <w:rtl w:val="0"/>
        </w:rPr>
        <w:t>https://www.jstor.org/stable/45163354</w:t>
      </w:r>
      <w:r>
        <w:rPr>
          <w:rFonts w:cs="Arial Unicode MS" w:eastAsia="Arial Unicode MS"/>
          <w:rtl w:val="0"/>
          <w:lang w:val="en-US"/>
        </w:rPr>
        <w:t>&gt; [assessed 16th October 2021].</w:t>
      </w:r>
    </w:p>
  </w:footnote>
  <w:footnote w:id="20">
    <w:p>
      <w:pPr>
        <w:pStyle w:val="Footnote"/>
        <w:bidi w:val="0"/>
      </w:pPr>
      <w:r>
        <w:rPr>
          <w:vertAlign w:val="superscript"/>
        </w:rPr>
        <w:footnoteRef/>
      </w:r>
      <w:r>
        <w:rPr>
          <w:rFonts w:cs="Arial Unicode MS" w:eastAsia="Arial Unicode MS"/>
          <w:rtl w:val="0"/>
          <w:lang w:val="en-US"/>
        </w:rPr>
        <w:t xml:space="preserve"> Wayne</w:t>
      </w:r>
      <w:r>
        <w:rPr>
          <w:rFonts w:cs="Arial Unicode MS" w:eastAsia="Arial Unicode MS"/>
          <w:rtl w:val="0"/>
          <w:lang w:val="en-US"/>
        </w:rPr>
        <w:t xml:space="preserve"> Elzey</w:t>
      </w:r>
      <w:r>
        <w:rPr>
          <w:rFonts w:cs="Arial Unicode MS" w:eastAsia="Arial Unicode MS"/>
          <w:rtl w:val="0"/>
        </w:rPr>
        <w:t xml:space="preserve">, </w:t>
      </w:r>
      <w:r>
        <w:rPr>
          <w:rFonts w:cs="Arial Unicode MS" w:eastAsia="Arial Unicode MS"/>
          <w:i w:val="1"/>
          <w:iCs w:val="1"/>
          <w:rtl w:val="0"/>
          <w:lang w:val="en-US"/>
        </w:rPr>
        <w:t>The Nahua Myth of the Suns</w:t>
      </w:r>
      <w:r>
        <w:rPr>
          <w:rFonts w:cs="Arial Unicode MS" w:eastAsia="Arial Unicode MS"/>
          <w:rtl w:val="0"/>
          <w:lang w:val="en-US"/>
        </w:rPr>
        <w:t>, p. 116, p. 132-133.</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Billington, Sandra, </w:t>
      </w:r>
      <w:r>
        <w:rPr>
          <w:rFonts w:cs="Arial Unicode MS" w:eastAsia="Arial Unicode MS" w:hint="default"/>
          <w:rtl w:val="0"/>
          <w:lang w:val="en-US"/>
        </w:rPr>
        <w:t>‘</w:t>
      </w:r>
      <w:r>
        <w:rPr>
          <w:rFonts w:cs="Arial Unicode MS" w:eastAsia="Arial Unicode MS"/>
          <w:rtl w:val="0"/>
          <w:lang w:val="en-US"/>
        </w:rPr>
        <w:t xml:space="preserve">The Midsummer Solstice As It Was Or Was Not, Observed In Pagan Germany, Scadinavia and Anglo-Saxon England, </w:t>
      </w:r>
      <w:r>
        <w:rPr>
          <w:rFonts w:cs="Arial Unicode MS" w:eastAsia="Arial Unicode MS"/>
          <w:i w:val="1"/>
          <w:iCs w:val="1"/>
          <w:rtl w:val="0"/>
          <w:lang w:val="en-US"/>
        </w:rPr>
        <w:t>Folklore</w:t>
      </w:r>
      <w:r>
        <w:rPr>
          <w:rFonts w:cs="Arial Unicode MS" w:eastAsia="Arial Unicode MS"/>
          <w:rtl w:val="0"/>
          <w:lang w:val="en-US"/>
        </w:rPr>
        <w:t>, 119, 1, 2008, 41-17, p. 44 &lt;</w:t>
      </w:r>
      <w:r>
        <w:rPr>
          <w:rFonts w:cs="Arial Unicode MS" w:eastAsia="Arial Unicode MS"/>
          <w:rtl w:val="0"/>
        </w:rPr>
        <w:t>https://www.jstor.org/stable/30035459</w:t>
      </w:r>
      <w:r>
        <w:rPr>
          <w:rFonts w:cs="Arial Unicode MS" w:eastAsia="Arial Unicode MS"/>
          <w:rtl w:val="0"/>
          <w:lang w:val="en-US"/>
        </w:rPr>
        <w:t>&gt; [assessed 16th October 2021].</w:t>
      </w:r>
    </w:p>
  </w:footnote>
  <w:footnote w:id="2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lang w:val="en-US"/>
        </w:rPr>
        <w:t>, p. 210.</w:t>
      </w:r>
    </w:p>
  </w:footnote>
  <w:footnote w:id="23">
    <w:p>
      <w:pPr>
        <w:pStyle w:val="Footnote"/>
        <w:bidi w:val="0"/>
      </w:pPr>
      <w:r>
        <w:rPr>
          <w:vertAlign w:val="superscript"/>
        </w:rPr>
        <w:footnoteRef/>
      </w:r>
      <w:r>
        <w:rPr>
          <w:rFonts w:cs="Arial Unicode MS" w:eastAsia="Arial Unicode MS"/>
          <w:rtl w:val="0"/>
          <w:lang w:val="en-US"/>
        </w:rPr>
        <w:t xml:space="preserve"> Lynn</w:t>
      </w:r>
      <w:r>
        <w:rPr>
          <w:rFonts w:cs="Arial Unicode MS" w:eastAsia="Arial Unicode MS"/>
          <w:rtl w:val="0"/>
          <w:lang w:val="en-US"/>
        </w:rPr>
        <w:t xml:space="preserve"> Thorndike</w:t>
      </w:r>
      <w:r>
        <w:rPr>
          <w:rFonts w:cs="Arial Unicode MS" w:eastAsia="Arial Unicode MS"/>
          <w:rtl w:val="0"/>
        </w:rPr>
        <w:t xml:space="preserve">, </w:t>
      </w:r>
      <w:r>
        <w:rPr>
          <w:rFonts w:cs="Arial Unicode MS" w:eastAsia="Arial Unicode MS"/>
          <w:i w:val="1"/>
          <w:iCs w:val="1"/>
          <w:rtl w:val="0"/>
          <w:lang w:val="en-US"/>
        </w:rPr>
        <w:t>The True Place of Astrology</w:t>
      </w:r>
      <w:r>
        <w:rPr>
          <w:rFonts w:cs="Arial Unicode MS" w:eastAsia="Arial Unicode MS"/>
          <w:rtl w:val="0"/>
          <w:lang w:val="en-US"/>
        </w:rPr>
        <w:t>, p. 276.</w:t>
      </w:r>
    </w:p>
  </w:footnote>
  <w:footnote w:id="2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lang w:val="en-US"/>
        </w:rPr>
        <w:t>, p. 210, 216, 222, 223, 224, 230, 231, 241, 245, 247, 249, 251, 253.</w:t>
      </w:r>
    </w:p>
  </w:footnote>
  <w:footnote w:id="25">
    <w:p>
      <w:pPr>
        <w:pStyle w:val="Footnote"/>
        <w:bidi w:val="0"/>
      </w:pPr>
      <w:r>
        <w:rPr>
          <w:vertAlign w:val="superscript"/>
        </w:rPr>
        <w:footnoteRef/>
      </w:r>
      <w:r>
        <w:rPr>
          <w:rFonts w:cs="Arial Unicode MS" w:eastAsia="Arial Unicode MS"/>
          <w:rtl w:val="0"/>
          <w:lang w:val="en-US"/>
        </w:rPr>
        <w:t xml:space="preserve"> Lynn</w:t>
      </w:r>
      <w:r>
        <w:rPr>
          <w:rFonts w:cs="Arial Unicode MS" w:eastAsia="Arial Unicode MS"/>
          <w:rtl w:val="0"/>
          <w:lang w:val="en-US"/>
        </w:rPr>
        <w:t xml:space="preserve"> Thorndike</w:t>
      </w:r>
      <w:r>
        <w:rPr>
          <w:rFonts w:cs="Arial Unicode MS" w:eastAsia="Arial Unicode MS"/>
          <w:rtl w:val="0"/>
        </w:rPr>
        <w:t xml:space="preserve">, </w:t>
      </w:r>
      <w:r>
        <w:rPr>
          <w:rFonts w:cs="Arial Unicode MS" w:eastAsia="Arial Unicode MS"/>
          <w:i w:val="1"/>
          <w:iCs w:val="1"/>
          <w:rtl w:val="0"/>
          <w:lang w:val="en-US"/>
        </w:rPr>
        <w:t>The True Place of Astrology</w:t>
      </w:r>
      <w:r>
        <w:rPr>
          <w:rFonts w:cs="Arial Unicode MS" w:eastAsia="Arial Unicode MS"/>
          <w:rtl w:val="0"/>
          <w:lang w:val="en-US"/>
        </w:rPr>
        <w:t>, p. 276.</w:t>
      </w:r>
    </w:p>
  </w:footnote>
  <w:footnote w:id="26">
    <w:p>
      <w:pPr>
        <w:pStyle w:val="Footnote"/>
        <w:bidi w:val="0"/>
      </w:pPr>
      <w:r>
        <w:rPr>
          <w:vertAlign w:val="superscript"/>
        </w:rPr>
        <w:footnoteRef/>
      </w:r>
      <w:r>
        <w:rPr>
          <w:rFonts w:cs="Arial Unicode MS" w:eastAsia="Arial Unicode MS"/>
          <w:rtl w:val="0"/>
          <w:lang w:val="en-US"/>
        </w:rPr>
        <w:t xml:space="preserve"> 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lang w:val="en-US"/>
        </w:rPr>
        <w:t>, p. 210, 216, 222, 224, 245, 247, 251, 253.</w:t>
      </w:r>
    </w:p>
  </w:footnote>
  <w:footnote w:id="2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Hennick et.al., </w:t>
      </w:r>
      <w:r>
        <w:rPr>
          <w:rFonts w:cs="Arial Unicode MS" w:eastAsia="Arial Unicode MS"/>
          <w:i w:val="1"/>
          <w:iCs w:val="1"/>
          <w:rtl w:val="0"/>
          <w:lang w:val="en-US"/>
        </w:rPr>
        <w:t>Qualitative Research Methods, p. 71.</w:t>
      </w:r>
    </w:p>
  </w:footnote>
  <w:footnote w:id="2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Mavrogenis, Andreas F., Quaile, Andrew &amp; Scarlat, Marius M., </w:t>
      </w:r>
      <w:r>
        <w:rPr>
          <w:rFonts w:cs="Arial Unicode MS" w:eastAsia="Arial Unicode MS" w:hint="default"/>
          <w:rtl w:val="0"/>
          <w:lang w:val="en-US"/>
        </w:rPr>
        <w:t>‘</w:t>
      </w:r>
      <w:r>
        <w:rPr>
          <w:rFonts w:cs="Arial Unicode MS" w:eastAsia="Arial Unicode MS"/>
          <w:rtl w:val="0"/>
          <w:lang w:val="en-US"/>
        </w:rPr>
        <w:t>The Good, The Bad And The Rude Peer-Review</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International Orthopaedics</w:t>
      </w:r>
      <w:r>
        <w:rPr>
          <w:rFonts w:cs="Arial Unicode MS" w:eastAsia="Arial Unicode MS"/>
          <w:rtl w:val="0"/>
          <w:lang w:val="en-US"/>
        </w:rPr>
        <w:t xml:space="preserve"> 44, 2020, 413-415, p. 414 </w:t>
      </w:r>
      <w:r>
        <w:rPr>
          <w:rFonts w:cs="Arial Unicode MS" w:eastAsia="Arial Unicode MS"/>
          <w:rtl w:val="0"/>
          <w:lang w:val="en-US"/>
        </w:rPr>
        <w:t>&lt;https://doi.org/10.1007/s00264-020-04504-1&gt; [assessed 1st November 2021]</w:t>
      </w:r>
      <w:r>
        <w:rPr>
          <w:rFonts w:cs="Arial Unicode MS" w:eastAsia="Arial Unicode MS"/>
          <w:rtl w:val="0"/>
          <w:lang w:val="en-US"/>
        </w:rPr>
        <w:t>.</w:t>
      </w:r>
    </w:p>
  </w:footnote>
  <w:footnote w:id="2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Bell and Waters, </w:t>
      </w:r>
      <w:r>
        <w:rPr>
          <w:rFonts w:cs="Arial Unicode MS" w:eastAsia="Arial Unicode MS"/>
          <w:i w:val="1"/>
          <w:iCs w:val="1"/>
          <w:rtl w:val="0"/>
          <w:lang w:val="en-US"/>
        </w:rPr>
        <w:t>Doing Your Research Project</w:t>
      </w:r>
      <w:r>
        <w:rPr>
          <w:rFonts w:cs="Arial Unicode MS" w:eastAsia="Arial Unicode MS"/>
          <w:rtl w:val="0"/>
          <w:lang w:val="en-US"/>
        </w:rPr>
        <w:t>, p. 124-136.</w:t>
      </w:r>
    </w:p>
  </w:footnote>
  <w:footnote w:id="3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lang w:val="en-US"/>
        </w:rPr>
        <w:t>, p. 211-212.</w:t>
      </w:r>
    </w:p>
  </w:footnote>
  <w:footnote w:id="31">
    <w:p>
      <w:pPr>
        <w:pStyle w:val="Footnote"/>
        <w:bidi w:val="0"/>
      </w:pPr>
      <w:r>
        <w:rPr>
          <w:vertAlign w:val="superscript"/>
        </w:rPr>
        <w:footnoteRef/>
      </w:r>
      <w:r>
        <w:rPr>
          <w:rFonts w:cs="Arial Unicode MS" w:eastAsia="Arial Unicode MS"/>
          <w:rtl w:val="0"/>
          <w:lang w:val="en-US"/>
        </w:rPr>
        <w:t xml:space="preserve"> Wayne</w:t>
      </w:r>
      <w:r>
        <w:rPr>
          <w:rFonts w:cs="Arial Unicode MS" w:eastAsia="Arial Unicode MS"/>
          <w:rtl w:val="0"/>
          <w:lang w:val="en-US"/>
        </w:rPr>
        <w:t xml:space="preserve"> Elzey</w:t>
      </w:r>
      <w:r>
        <w:rPr>
          <w:rFonts w:cs="Arial Unicode MS" w:eastAsia="Arial Unicode MS"/>
          <w:rtl w:val="0"/>
        </w:rPr>
        <w:t xml:space="preserve">, </w:t>
      </w:r>
      <w:r>
        <w:rPr>
          <w:rFonts w:cs="Arial Unicode MS" w:eastAsia="Arial Unicode MS"/>
          <w:i w:val="1"/>
          <w:iCs w:val="1"/>
          <w:rtl w:val="0"/>
          <w:lang w:val="en-US"/>
        </w:rPr>
        <w:t>The Nahua Myth of the Suns</w:t>
      </w:r>
      <w:r>
        <w:rPr>
          <w:rFonts w:cs="Arial Unicode MS" w:eastAsia="Arial Unicode MS"/>
          <w:rtl w:val="0"/>
          <w:lang w:val="en-US"/>
        </w:rPr>
        <w:t>, p. 116.</w:t>
      </w:r>
    </w:p>
  </w:footnote>
  <w:footnote w:id="32">
    <w:p>
      <w:pPr>
        <w:pStyle w:val="Footnote"/>
        <w:bidi w:val="0"/>
      </w:pPr>
      <w:r>
        <w:rPr>
          <w:vertAlign w:val="superscript"/>
        </w:rPr>
        <w:footnoteRef/>
      </w:r>
      <w:r>
        <w:rPr>
          <w:rFonts w:cs="Arial Unicode MS" w:eastAsia="Arial Unicode MS"/>
          <w:rtl w:val="0"/>
          <w:lang w:val="en-US"/>
        </w:rPr>
        <w:t xml:space="preserve"> Wayne</w:t>
      </w:r>
      <w:r>
        <w:rPr>
          <w:rFonts w:cs="Arial Unicode MS" w:eastAsia="Arial Unicode MS"/>
          <w:rtl w:val="0"/>
          <w:lang w:val="en-US"/>
        </w:rPr>
        <w:t xml:space="preserve"> Elzey</w:t>
      </w:r>
      <w:r>
        <w:rPr>
          <w:rFonts w:cs="Arial Unicode MS" w:eastAsia="Arial Unicode MS"/>
          <w:rtl w:val="0"/>
        </w:rPr>
        <w:t xml:space="preserve">, </w:t>
      </w:r>
      <w:r>
        <w:rPr>
          <w:rFonts w:cs="Arial Unicode MS" w:eastAsia="Arial Unicode MS"/>
          <w:i w:val="1"/>
          <w:iCs w:val="1"/>
          <w:rtl w:val="0"/>
          <w:lang w:val="en-US"/>
        </w:rPr>
        <w:t>The Nahua Myth of the Suns</w:t>
      </w:r>
      <w:r>
        <w:rPr>
          <w:rFonts w:cs="Arial Unicode MS" w:eastAsia="Arial Unicode MS"/>
          <w:rtl w:val="0"/>
          <w:lang w:val="en-US"/>
        </w:rPr>
        <w:t>, p. 134.</w:t>
      </w:r>
    </w:p>
  </w:footnote>
  <w:footnote w:id="3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34">
    <w:p>
      <w:pPr>
        <w:pStyle w:val="Footnote"/>
        <w:bidi w:val="0"/>
      </w:pPr>
      <w:r>
        <w:rPr>
          <w:vertAlign w:val="superscript"/>
        </w:rPr>
        <w:footnoteRef/>
      </w:r>
      <w:r>
        <w:rPr>
          <w:rFonts w:cs="Arial Unicode MS" w:eastAsia="Arial Unicode MS"/>
          <w:rtl w:val="0"/>
          <w:lang w:val="en-US"/>
        </w:rPr>
        <w:t xml:space="preserve"> Wayne Elzey, </w:t>
      </w:r>
      <w:r>
        <w:rPr>
          <w:rFonts w:cs="Arial Unicode MS" w:eastAsia="Arial Unicode MS"/>
          <w:i w:val="1"/>
          <w:iCs w:val="1"/>
          <w:rtl w:val="0"/>
          <w:lang w:val="en-US"/>
        </w:rPr>
        <w:t>The Nahua Myth of the Suns</w:t>
      </w:r>
      <w:r>
        <w:rPr>
          <w:rFonts w:cs="Arial Unicode MS" w:eastAsia="Arial Unicode MS"/>
          <w:i w:val="1"/>
          <w:iCs w:val="1"/>
          <w:rtl w:val="0"/>
          <w:lang w:val="en-US"/>
        </w:rPr>
        <w:t xml:space="preserve">. </w:t>
      </w:r>
      <w:r>
        <w:rPr>
          <w:rFonts w:cs="Arial Unicode MS" w:eastAsia="Arial Unicode MS"/>
          <w:rtl w:val="0"/>
          <w:lang w:val="en-US"/>
        </w:rPr>
        <w:t xml:space="preserve">Mark </w:t>
      </w:r>
      <w:r>
        <w:rPr>
          <w:rFonts w:cs="Arial Unicode MS" w:eastAsia="Arial Unicode MS"/>
          <w:rtl w:val="0"/>
          <w:lang w:val="de-DE"/>
        </w:rPr>
        <w:t xml:space="preserve">Graubard, </w:t>
      </w:r>
      <w:r>
        <w:rPr>
          <w:rFonts w:cs="Arial Unicode MS" w:eastAsia="Arial Unicode MS"/>
          <w:i w:val="1"/>
          <w:iCs w:val="1"/>
          <w:rtl w:val="0"/>
          <w:lang w:val="en-US"/>
        </w:rPr>
        <w:t>Astrology's Demise</w:t>
      </w:r>
      <w:r>
        <w:rPr>
          <w:rFonts w:cs="Arial Unicode MS" w:eastAsia="Arial Unicode MS"/>
          <w:rtl w:val="0"/>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1"/>
      <w:keepLines w:val="0"/>
      <w:pageBreakBefore w:val="0"/>
      <w:widowControl w:val="1"/>
      <w:shd w:val="clear" w:color="auto" w:fill="auto"/>
      <w:suppressAutoHyphens w:val="0"/>
      <w:bidi w:val="0"/>
      <w:spacing w:before="0" w:after="0" w:line="240" w:lineRule="auto"/>
      <w:ind w:left="720" w:right="0" w:firstLine="0"/>
      <w:jc w:val="both"/>
      <w:outlineLvl w:val="2"/>
    </w:pP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Palatino" w:hAnsi="Palatino" w:eastAsia="Palatino"/>
      <w:b w:val="0"/>
      <w:bCs w:val="0"/>
      <w:i w:val="0"/>
      <w:iCs w:val="0"/>
      <w:caps w:val="0"/>
      <w:smallCaps w:val="0"/>
      <w:strike w:val="0"/>
      <w:dstrike w:val="0"/>
      <w:outline w:val="0"/>
      <w:color w:val="000000"/>
      <w:spacing w:val="0"/>
      <w:kern w:val="0"/>
      <w:position w:val="0"/>
      <w:sz w:val="18"/>
      <w:szCs w:val="18"/>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header" Target="header7.xml"/><Relationship Id="rId18" Type="http://schemas.openxmlformats.org/officeDocument/2006/relationships/footer" Target="footer7.xml"/><Relationship Id="rId19" Type="http://schemas.openxmlformats.org/officeDocument/2006/relationships/header" Target="header8.xml"/><Relationship Id="rId20" Type="http://schemas.openxmlformats.org/officeDocument/2006/relationships/footer" Target="footer8.xml"/><Relationship Id="rId21" Type="http://schemas.openxmlformats.org/officeDocument/2006/relationships/header" Target="header9.xml"/><Relationship Id="rId22" Type="http://schemas.openxmlformats.org/officeDocument/2006/relationships/footer" Target="footer9.xml"/><Relationship Id="rId23" Type="http://schemas.openxmlformats.org/officeDocument/2006/relationships/footnotes" Target="footnotes.xml"/><Relationship Id="rId2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