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EC5292" w14:textId="77777777" w:rsidR="00135FFB" w:rsidRPr="00B818AF" w:rsidRDefault="00135FFB" w:rsidP="00013636">
      <w:pPr>
        <w:rPr>
          <w:rFonts w:ascii="Arial" w:hAnsi="Arial" w:cs="Arial"/>
        </w:rPr>
      </w:pPr>
      <w:bookmarkStart w:id="0" w:name="_Hlk147143055"/>
    </w:p>
    <w:p w14:paraId="38227C78" w14:textId="77777777" w:rsidR="003125B5" w:rsidRPr="00B818AF" w:rsidRDefault="003125B5" w:rsidP="00013636">
      <w:pPr>
        <w:rPr>
          <w:rFonts w:ascii="Arial" w:hAnsi="Arial" w:cs="Arial"/>
        </w:rPr>
      </w:pPr>
    </w:p>
    <w:p w14:paraId="5F8E6C3B" w14:textId="77777777" w:rsidR="003125B5" w:rsidRPr="00B818AF" w:rsidRDefault="003125B5" w:rsidP="00013636">
      <w:pPr>
        <w:rPr>
          <w:rFonts w:ascii="Arial" w:hAnsi="Arial" w:cs="Arial"/>
        </w:rPr>
      </w:pPr>
    </w:p>
    <w:p w14:paraId="317F8CA4" w14:textId="77777777" w:rsidR="003125B5" w:rsidRPr="00B818AF" w:rsidRDefault="003125B5" w:rsidP="003125B5">
      <w:pPr>
        <w:jc w:val="center"/>
        <w:rPr>
          <w:rFonts w:ascii="Arial" w:hAnsi="Arial" w:cs="Arial"/>
          <w:b/>
          <w:bCs/>
          <w:sz w:val="32"/>
          <w:szCs w:val="32"/>
        </w:rPr>
      </w:pPr>
    </w:p>
    <w:p w14:paraId="054344C7" w14:textId="77777777" w:rsidR="003125B5" w:rsidRPr="00B818AF" w:rsidRDefault="003125B5" w:rsidP="003125B5">
      <w:pPr>
        <w:jc w:val="center"/>
        <w:rPr>
          <w:rFonts w:ascii="Arial" w:hAnsi="Arial" w:cs="Arial"/>
          <w:b/>
          <w:bCs/>
          <w:sz w:val="32"/>
          <w:szCs w:val="32"/>
        </w:rPr>
      </w:pPr>
    </w:p>
    <w:p w14:paraId="00B22791" w14:textId="77777777" w:rsidR="003125B5" w:rsidRPr="00B818AF" w:rsidRDefault="003125B5" w:rsidP="003125B5">
      <w:pPr>
        <w:jc w:val="center"/>
        <w:rPr>
          <w:rFonts w:ascii="Arial" w:hAnsi="Arial" w:cs="Arial"/>
          <w:b/>
          <w:bCs/>
          <w:sz w:val="32"/>
          <w:szCs w:val="32"/>
        </w:rPr>
      </w:pPr>
    </w:p>
    <w:p w14:paraId="21FD1673" w14:textId="77777777" w:rsidR="003125B5" w:rsidRPr="00B818AF" w:rsidRDefault="003125B5" w:rsidP="003125B5">
      <w:pPr>
        <w:jc w:val="center"/>
        <w:rPr>
          <w:rFonts w:ascii="Arial" w:hAnsi="Arial" w:cs="Arial"/>
          <w:b/>
          <w:bCs/>
          <w:sz w:val="32"/>
          <w:szCs w:val="32"/>
        </w:rPr>
      </w:pPr>
    </w:p>
    <w:p w14:paraId="05530B27" w14:textId="77777777" w:rsidR="003125B5" w:rsidRPr="00B818AF" w:rsidRDefault="003125B5" w:rsidP="003125B5">
      <w:pPr>
        <w:jc w:val="center"/>
        <w:rPr>
          <w:rFonts w:ascii="Arial" w:hAnsi="Arial" w:cs="Arial"/>
          <w:b/>
          <w:bCs/>
          <w:sz w:val="32"/>
          <w:szCs w:val="32"/>
        </w:rPr>
      </w:pPr>
    </w:p>
    <w:p w14:paraId="6557DC48" w14:textId="76AF5F09" w:rsidR="003125B5" w:rsidRPr="00B818AF" w:rsidRDefault="003125B5" w:rsidP="003125B5">
      <w:pPr>
        <w:jc w:val="center"/>
        <w:rPr>
          <w:rFonts w:ascii="Arial" w:hAnsi="Arial" w:cs="Arial"/>
          <w:b/>
          <w:bCs/>
          <w:sz w:val="32"/>
          <w:szCs w:val="32"/>
        </w:rPr>
      </w:pPr>
      <w:r w:rsidRPr="00B818AF">
        <w:rPr>
          <w:rFonts w:ascii="Arial" w:hAnsi="Arial" w:cs="Arial"/>
          <w:b/>
          <w:bCs/>
          <w:sz w:val="32"/>
          <w:szCs w:val="32"/>
        </w:rPr>
        <w:t>BA Business Management</w:t>
      </w:r>
    </w:p>
    <w:p w14:paraId="096C41FA" w14:textId="77777777" w:rsidR="003125B5" w:rsidRPr="00B818AF" w:rsidRDefault="003125B5" w:rsidP="003125B5">
      <w:pPr>
        <w:jc w:val="center"/>
        <w:rPr>
          <w:rFonts w:ascii="Arial" w:hAnsi="Arial" w:cs="Arial"/>
          <w:b/>
          <w:bCs/>
          <w:sz w:val="32"/>
          <w:szCs w:val="32"/>
        </w:rPr>
      </w:pPr>
      <w:r w:rsidRPr="00B818AF">
        <w:rPr>
          <w:rFonts w:ascii="Arial" w:hAnsi="Arial" w:cs="Arial"/>
          <w:b/>
          <w:bCs/>
          <w:sz w:val="32"/>
          <w:szCs w:val="32"/>
        </w:rPr>
        <w:t>International Financial Management</w:t>
      </w:r>
    </w:p>
    <w:p w14:paraId="75DAF583" w14:textId="5DDF94AF" w:rsidR="003125B5" w:rsidRDefault="003125B5" w:rsidP="003125B5">
      <w:pPr>
        <w:jc w:val="center"/>
        <w:rPr>
          <w:rFonts w:ascii="Arial" w:hAnsi="Arial" w:cs="Arial"/>
          <w:b/>
          <w:bCs/>
          <w:sz w:val="32"/>
          <w:szCs w:val="32"/>
        </w:rPr>
      </w:pPr>
      <w:r w:rsidRPr="00B818AF">
        <w:rPr>
          <w:rFonts w:ascii="Arial" w:hAnsi="Arial" w:cs="Arial"/>
          <w:b/>
          <w:bCs/>
          <w:sz w:val="32"/>
          <w:szCs w:val="32"/>
        </w:rPr>
        <w:t>LCBB6002</w:t>
      </w:r>
    </w:p>
    <w:p w14:paraId="4DA48990" w14:textId="3525F832" w:rsidR="0065624D" w:rsidRDefault="0065624D" w:rsidP="003125B5">
      <w:pPr>
        <w:jc w:val="center"/>
        <w:rPr>
          <w:rFonts w:ascii="Arial" w:hAnsi="Arial" w:cs="Arial"/>
          <w:b/>
          <w:bCs/>
          <w:sz w:val="32"/>
          <w:szCs w:val="32"/>
        </w:rPr>
      </w:pPr>
      <w:r>
        <w:rPr>
          <w:rFonts w:ascii="Arial" w:hAnsi="Arial" w:cs="Arial"/>
          <w:b/>
          <w:bCs/>
          <w:sz w:val="32"/>
          <w:szCs w:val="32"/>
        </w:rPr>
        <w:t>Student name</w:t>
      </w:r>
      <w:r w:rsidR="009C379A">
        <w:rPr>
          <w:rFonts w:ascii="Arial" w:hAnsi="Arial" w:cs="Arial"/>
          <w:b/>
          <w:bCs/>
          <w:sz w:val="32"/>
          <w:szCs w:val="32"/>
        </w:rPr>
        <w:t xml:space="preserve">: Anastasia Slepuhin </w:t>
      </w:r>
    </w:p>
    <w:p w14:paraId="4096D17A" w14:textId="4EBF685E" w:rsidR="009C379A" w:rsidRPr="00B818AF" w:rsidRDefault="009C379A" w:rsidP="003125B5">
      <w:pPr>
        <w:jc w:val="center"/>
        <w:rPr>
          <w:rFonts w:ascii="Arial" w:hAnsi="Arial" w:cs="Arial"/>
          <w:b/>
          <w:bCs/>
          <w:sz w:val="32"/>
          <w:szCs w:val="32"/>
        </w:rPr>
      </w:pPr>
      <w:r>
        <w:rPr>
          <w:rFonts w:ascii="Arial" w:hAnsi="Arial" w:cs="Arial"/>
          <w:b/>
          <w:bCs/>
          <w:sz w:val="32"/>
          <w:szCs w:val="32"/>
        </w:rPr>
        <w:t xml:space="preserve">Student </w:t>
      </w:r>
      <w:r w:rsidR="005D3EB0">
        <w:rPr>
          <w:rFonts w:ascii="Arial" w:hAnsi="Arial" w:cs="Arial"/>
          <w:b/>
          <w:bCs/>
          <w:sz w:val="32"/>
          <w:szCs w:val="32"/>
        </w:rPr>
        <w:t>ID: 2013044.</w:t>
      </w:r>
    </w:p>
    <w:p w14:paraId="6C0999E0" w14:textId="77777777" w:rsidR="003125B5" w:rsidRPr="00B818AF" w:rsidRDefault="003125B5" w:rsidP="00013636">
      <w:pPr>
        <w:rPr>
          <w:rFonts w:ascii="Arial" w:hAnsi="Arial" w:cs="Arial"/>
        </w:rPr>
      </w:pPr>
    </w:p>
    <w:p w14:paraId="476106CF" w14:textId="77777777" w:rsidR="003125B5" w:rsidRPr="00B818AF" w:rsidRDefault="003125B5" w:rsidP="00013636">
      <w:pPr>
        <w:rPr>
          <w:rFonts w:ascii="Arial" w:hAnsi="Arial" w:cs="Arial"/>
        </w:rPr>
      </w:pPr>
    </w:p>
    <w:p w14:paraId="704F0458" w14:textId="77777777" w:rsidR="003125B5" w:rsidRPr="00B818AF" w:rsidRDefault="003125B5" w:rsidP="00013636">
      <w:pPr>
        <w:rPr>
          <w:rFonts w:ascii="Arial" w:hAnsi="Arial" w:cs="Arial"/>
        </w:rPr>
      </w:pPr>
    </w:p>
    <w:p w14:paraId="2266994F" w14:textId="77777777" w:rsidR="003125B5" w:rsidRPr="00B818AF" w:rsidRDefault="003125B5" w:rsidP="00013636">
      <w:pPr>
        <w:rPr>
          <w:rFonts w:ascii="Arial" w:hAnsi="Arial" w:cs="Arial"/>
        </w:rPr>
      </w:pPr>
    </w:p>
    <w:p w14:paraId="5514308F" w14:textId="77777777" w:rsidR="003125B5" w:rsidRPr="00B818AF" w:rsidRDefault="003125B5" w:rsidP="00013636">
      <w:pPr>
        <w:rPr>
          <w:rFonts w:ascii="Arial" w:hAnsi="Arial" w:cs="Arial"/>
        </w:rPr>
      </w:pPr>
    </w:p>
    <w:p w14:paraId="0297B505" w14:textId="77777777" w:rsidR="003125B5" w:rsidRPr="00B818AF" w:rsidRDefault="003125B5" w:rsidP="00013636">
      <w:pPr>
        <w:rPr>
          <w:rFonts w:ascii="Arial" w:hAnsi="Arial" w:cs="Arial"/>
        </w:rPr>
      </w:pPr>
    </w:p>
    <w:p w14:paraId="110836D8" w14:textId="77777777" w:rsidR="003125B5" w:rsidRPr="00B818AF" w:rsidRDefault="003125B5" w:rsidP="00013636">
      <w:pPr>
        <w:rPr>
          <w:rFonts w:ascii="Arial" w:hAnsi="Arial" w:cs="Arial"/>
        </w:rPr>
      </w:pPr>
    </w:p>
    <w:p w14:paraId="032CAE87" w14:textId="77777777" w:rsidR="003125B5" w:rsidRPr="00B818AF" w:rsidRDefault="003125B5" w:rsidP="00013636">
      <w:pPr>
        <w:rPr>
          <w:rFonts w:ascii="Arial" w:hAnsi="Arial" w:cs="Arial"/>
        </w:rPr>
      </w:pPr>
    </w:p>
    <w:p w14:paraId="263D2553" w14:textId="77777777" w:rsidR="003125B5" w:rsidRPr="00B818AF" w:rsidRDefault="003125B5" w:rsidP="00013636">
      <w:pPr>
        <w:rPr>
          <w:rFonts w:ascii="Arial" w:hAnsi="Arial" w:cs="Arial"/>
        </w:rPr>
      </w:pPr>
    </w:p>
    <w:sdt>
      <w:sdtPr>
        <w:rPr>
          <w:rFonts w:ascii="Arial" w:eastAsiaTheme="minorHAnsi" w:hAnsi="Arial" w:cs="Arial"/>
          <w:color w:val="auto"/>
          <w:kern w:val="2"/>
          <w:sz w:val="24"/>
          <w:szCs w:val="22"/>
          <w14:ligatures w14:val="standardContextual"/>
        </w:rPr>
        <w:id w:val="-1534337779"/>
        <w:docPartObj>
          <w:docPartGallery w:val="Table of Contents"/>
          <w:docPartUnique/>
        </w:docPartObj>
      </w:sdtPr>
      <w:sdtEndPr>
        <w:rPr>
          <w:b/>
          <w:bCs/>
          <w:noProof/>
        </w:rPr>
      </w:sdtEndPr>
      <w:sdtContent>
        <w:p w14:paraId="064F5B6C" w14:textId="59FDC920" w:rsidR="009C7BC4" w:rsidRPr="00B818AF" w:rsidRDefault="00BD41A0" w:rsidP="00114255">
          <w:pPr>
            <w:pStyle w:val="TOCHeading"/>
            <w:rPr>
              <w:rFonts w:ascii="Arial" w:hAnsi="Arial" w:cs="Arial"/>
              <w:b/>
            </w:rPr>
          </w:pPr>
          <w:r w:rsidRPr="00B818AF">
            <w:rPr>
              <w:rFonts w:ascii="Arial" w:hAnsi="Arial" w:cs="Arial"/>
              <w:b/>
            </w:rPr>
            <w:t xml:space="preserve">Table of </w:t>
          </w:r>
          <w:r w:rsidR="009C7BC4" w:rsidRPr="00B818AF">
            <w:rPr>
              <w:rFonts w:ascii="Arial" w:hAnsi="Arial" w:cs="Arial"/>
              <w:b/>
            </w:rPr>
            <w:t>Content</w:t>
          </w:r>
        </w:p>
        <w:p w14:paraId="5954F470" w14:textId="54F034DF" w:rsidR="00594B35" w:rsidRDefault="009C7BC4">
          <w:pPr>
            <w:pStyle w:val="TOC1"/>
            <w:tabs>
              <w:tab w:val="right" w:leader="dot" w:pos="9350"/>
            </w:tabs>
            <w:rPr>
              <w:rFonts w:asciiTheme="minorHAnsi" w:eastAsiaTheme="minorEastAsia" w:hAnsiTheme="minorHAnsi"/>
              <w:noProof/>
              <w:sz w:val="22"/>
              <w:lang w:val="en-US"/>
            </w:rPr>
          </w:pPr>
          <w:r w:rsidRPr="00B818AF">
            <w:rPr>
              <w:rFonts w:ascii="Arial" w:hAnsi="Arial" w:cs="Arial"/>
            </w:rPr>
            <w:fldChar w:fldCharType="begin"/>
          </w:r>
          <w:r w:rsidRPr="00B818AF">
            <w:rPr>
              <w:rFonts w:ascii="Arial" w:hAnsi="Arial" w:cs="Arial"/>
            </w:rPr>
            <w:instrText xml:space="preserve"> TOC \o "1-3" \h \z \u </w:instrText>
          </w:r>
          <w:r w:rsidRPr="00B818AF">
            <w:rPr>
              <w:rFonts w:ascii="Arial" w:hAnsi="Arial" w:cs="Arial"/>
            </w:rPr>
            <w:fldChar w:fldCharType="separate"/>
          </w:r>
          <w:hyperlink w:anchor="_Toc153808472" w:history="1">
            <w:r w:rsidR="00594B35" w:rsidRPr="00997063">
              <w:rPr>
                <w:rStyle w:val="Hyperlink"/>
                <w:rFonts w:ascii="Arial" w:hAnsi="Arial" w:cs="Arial"/>
                <w:noProof/>
              </w:rPr>
              <w:t>Strategies to Manage Foreign Exchange Risk</w:t>
            </w:r>
            <w:r w:rsidR="00594B35">
              <w:rPr>
                <w:noProof/>
                <w:webHidden/>
              </w:rPr>
              <w:tab/>
            </w:r>
            <w:r w:rsidR="00594B35">
              <w:rPr>
                <w:noProof/>
                <w:webHidden/>
              </w:rPr>
              <w:fldChar w:fldCharType="begin"/>
            </w:r>
            <w:r w:rsidR="00594B35">
              <w:rPr>
                <w:noProof/>
                <w:webHidden/>
              </w:rPr>
              <w:instrText xml:space="preserve"> PAGEREF _Toc153808472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2B324601" w14:textId="6507212D" w:rsidR="00594B35" w:rsidRDefault="003E31CA">
          <w:pPr>
            <w:pStyle w:val="TOC1"/>
            <w:tabs>
              <w:tab w:val="right" w:leader="dot" w:pos="9350"/>
            </w:tabs>
            <w:rPr>
              <w:rFonts w:asciiTheme="minorHAnsi" w:eastAsiaTheme="minorEastAsia" w:hAnsiTheme="minorHAnsi"/>
              <w:noProof/>
              <w:sz w:val="22"/>
              <w:lang w:val="en-US"/>
            </w:rPr>
          </w:pPr>
          <w:hyperlink w:anchor="_Toc153808473" w:history="1">
            <w:r w:rsidR="00594B35" w:rsidRPr="00997063">
              <w:rPr>
                <w:rStyle w:val="Hyperlink"/>
                <w:rFonts w:ascii="Arial" w:hAnsi="Arial" w:cs="Arial"/>
                <w:noProof/>
              </w:rPr>
              <w:t>Introduction</w:t>
            </w:r>
            <w:r w:rsidR="00594B35">
              <w:rPr>
                <w:noProof/>
                <w:webHidden/>
              </w:rPr>
              <w:tab/>
            </w:r>
            <w:r w:rsidR="00594B35">
              <w:rPr>
                <w:noProof/>
                <w:webHidden/>
              </w:rPr>
              <w:fldChar w:fldCharType="begin"/>
            </w:r>
            <w:r w:rsidR="00594B35">
              <w:rPr>
                <w:noProof/>
                <w:webHidden/>
              </w:rPr>
              <w:instrText xml:space="preserve"> PAGEREF _Toc153808473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42B45B9F" w14:textId="56DC9639" w:rsidR="00594B35" w:rsidRDefault="003E31CA">
          <w:pPr>
            <w:pStyle w:val="TOC1"/>
            <w:tabs>
              <w:tab w:val="right" w:leader="dot" w:pos="9350"/>
            </w:tabs>
            <w:rPr>
              <w:rFonts w:asciiTheme="minorHAnsi" w:eastAsiaTheme="minorEastAsia" w:hAnsiTheme="minorHAnsi"/>
              <w:noProof/>
              <w:sz w:val="22"/>
              <w:lang w:val="en-US"/>
            </w:rPr>
          </w:pPr>
          <w:hyperlink w:anchor="_Toc153808474" w:history="1">
            <w:r w:rsidR="00594B35" w:rsidRPr="00997063">
              <w:rPr>
                <w:rStyle w:val="Hyperlink"/>
                <w:rFonts w:ascii="Arial" w:hAnsi="Arial" w:cs="Arial"/>
                <w:noProof/>
              </w:rPr>
              <w:t>Strategies</w:t>
            </w:r>
            <w:r w:rsidR="00594B35">
              <w:rPr>
                <w:noProof/>
                <w:webHidden/>
              </w:rPr>
              <w:tab/>
            </w:r>
            <w:r w:rsidR="00594B35">
              <w:rPr>
                <w:noProof/>
                <w:webHidden/>
              </w:rPr>
              <w:fldChar w:fldCharType="begin"/>
            </w:r>
            <w:r w:rsidR="00594B35">
              <w:rPr>
                <w:noProof/>
                <w:webHidden/>
              </w:rPr>
              <w:instrText xml:space="preserve"> PAGEREF _Toc153808474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1C2BB2A3" w14:textId="41213507" w:rsidR="00594B35" w:rsidRDefault="003E31CA">
          <w:pPr>
            <w:pStyle w:val="TOC2"/>
            <w:tabs>
              <w:tab w:val="right" w:leader="dot" w:pos="9350"/>
            </w:tabs>
            <w:rPr>
              <w:rFonts w:asciiTheme="minorHAnsi" w:eastAsiaTheme="minorEastAsia" w:hAnsiTheme="minorHAnsi"/>
              <w:noProof/>
              <w:sz w:val="22"/>
              <w:lang w:val="en-US"/>
            </w:rPr>
          </w:pPr>
          <w:hyperlink w:anchor="_Toc153808475" w:history="1">
            <w:r w:rsidR="00594B35" w:rsidRPr="00997063">
              <w:rPr>
                <w:rStyle w:val="Hyperlink"/>
                <w:rFonts w:ascii="Arial" w:hAnsi="Arial" w:cs="Arial"/>
                <w:noProof/>
              </w:rPr>
              <w:t>a. Currency forwards and futures:</w:t>
            </w:r>
            <w:r w:rsidR="00594B35">
              <w:rPr>
                <w:noProof/>
                <w:webHidden/>
              </w:rPr>
              <w:tab/>
            </w:r>
            <w:r w:rsidR="00594B35">
              <w:rPr>
                <w:noProof/>
                <w:webHidden/>
              </w:rPr>
              <w:fldChar w:fldCharType="begin"/>
            </w:r>
            <w:r w:rsidR="00594B35">
              <w:rPr>
                <w:noProof/>
                <w:webHidden/>
              </w:rPr>
              <w:instrText xml:space="preserve"> PAGEREF _Toc153808475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5370E2D1" w14:textId="0DCE9AF3" w:rsidR="00594B35" w:rsidRDefault="003E31CA">
          <w:pPr>
            <w:pStyle w:val="TOC2"/>
            <w:tabs>
              <w:tab w:val="right" w:leader="dot" w:pos="9350"/>
            </w:tabs>
            <w:rPr>
              <w:rFonts w:asciiTheme="minorHAnsi" w:eastAsiaTheme="minorEastAsia" w:hAnsiTheme="minorHAnsi"/>
              <w:noProof/>
              <w:sz w:val="22"/>
              <w:lang w:val="en-US"/>
            </w:rPr>
          </w:pPr>
          <w:hyperlink w:anchor="_Toc153808476" w:history="1">
            <w:r w:rsidR="00594B35" w:rsidRPr="00997063">
              <w:rPr>
                <w:rStyle w:val="Hyperlink"/>
                <w:rFonts w:ascii="Arial" w:hAnsi="Arial" w:cs="Arial"/>
                <w:noProof/>
              </w:rPr>
              <w:t>b. Currency Options:</w:t>
            </w:r>
            <w:r w:rsidR="00594B35">
              <w:rPr>
                <w:noProof/>
                <w:webHidden/>
              </w:rPr>
              <w:tab/>
            </w:r>
            <w:r w:rsidR="00594B35">
              <w:rPr>
                <w:noProof/>
                <w:webHidden/>
              </w:rPr>
              <w:fldChar w:fldCharType="begin"/>
            </w:r>
            <w:r w:rsidR="00594B35">
              <w:rPr>
                <w:noProof/>
                <w:webHidden/>
              </w:rPr>
              <w:instrText xml:space="preserve"> PAGEREF _Toc153808476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2CBA5055" w14:textId="541733FE" w:rsidR="00594B35" w:rsidRDefault="003E31CA">
          <w:pPr>
            <w:pStyle w:val="TOC2"/>
            <w:tabs>
              <w:tab w:val="right" w:leader="dot" w:pos="9350"/>
            </w:tabs>
            <w:rPr>
              <w:rFonts w:asciiTheme="minorHAnsi" w:eastAsiaTheme="minorEastAsia" w:hAnsiTheme="minorHAnsi"/>
              <w:noProof/>
              <w:sz w:val="22"/>
              <w:lang w:val="en-US"/>
            </w:rPr>
          </w:pPr>
          <w:hyperlink w:anchor="_Toc153808477" w:history="1">
            <w:r w:rsidR="00594B35" w:rsidRPr="00997063">
              <w:rPr>
                <w:rStyle w:val="Hyperlink"/>
                <w:rFonts w:ascii="Arial" w:hAnsi="Arial" w:cs="Arial"/>
                <w:noProof/>
              </w:rPr>
              <w:t>c. Risk Sharing Agreements:</w:t>
            </w:r>
            <w:r w:rsidR="00594B35">
              <w:rPr>
                <w:noProof/>
                <w:webHidden/>
              </w:rPr>
              <w:tab/>
            </w:r>
            <w:r w:rsidR="00594B35">
              <w:rPr>
                <w:noProof/>
                <w:webHidden/>
              </w:rPr>
              <w:fldChar w:fldCharType="begin"/>
            </w:r>
            <w:r w:rsidR="00594B35">
              <w:rPr>
                <w:noProof/>
                <w:webHidden/>
              </w:rPr>
              <w:instrText xml:space="preserve"> PAGEREF _Toc153808477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02A88FA5" w14:textId="080CDA81" w:rsidR="00594B35" w:rsidRDefault="003E31CA">
          <w:pPr>
            <w:pStyle w:val="TOC2"/>
            <w:tabs>
              <w:tab w:val="right" w:leader="dot" w:pos="9350"/>
            </w:tabs>
            <w:rPr>
              <w:rFonts w:asciiTheme="minorHAnsi" w:eastAsiaTheme="minorEastAsia" w:hAnsiTheme="minorHAnsi"/>
              <w:noProof/>
              <w:sz w:val="22"/>
              <w:lang w:val="en-US"/>
            </w:rPr>
          </w:pPr>
          <w:hyperlink w:anchor="_Toc153808478" w:history="1">
            <w:r w:rsidR="00594B35" w:rsidRPr="00997063">
              <w:rPr>
                <w:rStyle w:val="Hyperlink"/>
                <w:rFonts w:ascii="Arial" w:hAnsi="Arial" w:cs="Arial"/>
                <w:noProof/>
              </w:rPr>
              <w:t>d. Currency Diversification:</w:t>
            </w:r>
            <w:r w:rsidR="00594B35">
              <w:rPr>
                <w:noProof/>
                <w:webHidden/>
              </w:rPr>
              <w:tab/>
            </w:r>
            <w:r w:rsidR="00594B35">
              <w:rPr>
                <w:noProof/>
                <w:webHidden/>
              </w:rPr>
              <w:fldChar w:fldCharType="begin"/>
            </w:r>
            <w:r w:rsidR="00594B35">
              <w:rPr>
                <w:noProof/>
                <w:webHidden/>
              </w:rPr>
              <w:instrText xml:space="preserve"> PAGEREF _Toc153808478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179B5A5A" w14:textId="39D7896F" w:rsidR="00594B35" w:rsidRDefault="003E31CA">
          <w:pPr>
            <w:pStyle w:val="TOC2"/>
            <w:tabs>
              <w:tab w:val="right" w:leader="dot" w:pos="9350"/>
            </w:tabs>
            <w:rPr>
              <w:rFonts w:asciiTheme="minorHAnsi" w:eastAsiaTheme="minorEastAsia" w:hAnsiTheme="minorHAnsi"/>
              <w:noProof/>
              <w:sz w:val="22"/>
              <w:lang w:val="en-US"/>
            </w:rPr>
          </w:pPr>
          <w:hyperlink w:anchor="_Toc153808479" w:history="1">
            <w:r w:rsidR="00594B35" w:rsidRPr="00997063">
              <w:rPr>
                <w:rStyle w:val="Hyperlink"/>
                <w:rFonts w:ascii="Arial" w:hAnsi="Arial" w:cs="Arial"/>
                <w:noProof/>
              </w:rPr>
              <w:t>e. Natural Hedging:</w:t>
            </w:r>
            <w:r w:rsidR="00594B35">
              <w:rPr>
                <w:noProof/>
                <w:webHidden/>
              </w:rPr>
              <w:tab/>
            </w:r>
            <w:r w:rsidR="00594B35">
              <w:rPr>
                <w:noProof/>
                <w:webHidden/>
              </w:rPr>
              <w:fldChar w:fldCharType="begin"/>
            </w:r>
            <w:r w:rsidR="00594B35">
              <w:rPr>
                <w:noProof/>
                <w:webHidden/>
              </w:rPr>
              <w:instrText xml:space="preserve"> PAGEREF _Toc153808479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3DE5E505" w14:textId="417F0B7D" w:rsidR="00594B35" w:rsidRDefault="003E31CA">
          <w:pPr>
            <w:pStyle w:val="TOC2"/>
            <w:tabs>
              <w:tab w:val="right" w:leader="dot" w:pos="9350"/>
            </w:tabs>
            <w:rPr>
              <w:rFonts w:asciiTheme="minorHAnsi" w:eastAsiaTheme="minorEastAsia" w:hAnsiTheme="minorHAnsi"/>
              <w:noProof/>
              <w:sz w:val="22"/>
              <w:lang w:val="en-US"/>
            </w:rPr>
          </w:pPr>
          <w:hyperlink w:anchor="_Toc153808480" w:history="1">
            <w:r w:rsidR="00594B35" w:rsidRPr="00997063">
              <w:rPr>
                <w:rStyle w:val="Hyperlink"/>
                <w:rFonts w:ascii="Arial" w:hAnsi="Arial" w:cs="Arial"/>
                <w:noProof/>
              </w:rPr>
              <w:t>f. Leading and Lagging:</w:t>
            </w:r>
            <w:r w:rsidR="00594B35">
              <w:rPr>
                <w:noProof/>
                <w:webHidden/>
              </w:rPr>
              <w:tab/>
            </w:r>
            <w:r w:rsidR="00594B35">
              <w:rPr>
                <w:noProof/>
                <w:webHidden/>
              </w:rPr>
              <w:fldChar w:fldCharType="begin"/>
            </w:r>
            <w:r w:rsidR="00594B35">
              <w:rPr>
                <w:noProof/>
                <w:webHidden/>
              </w:rPr>
              <w:instrText xml:space="preserve"> PAGEREF _Toc153808480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378FD5BF" w14:textId="48307B47" w:rsidR="00594B35" w:rsidRDefault="003E31CA">
          <w:pPr>
            <w:pStyle w:val="TOC2"/>
            <w:tabs>
              <w:tab w:val="right" w:leader="dot" w:pos="9350"/>
            </w:tabs>
            <w:rPr>
              <w:rFonts w:asciiTheme="minorHAnsi" w:eastAsiaTheme="minorEastAsia" w:hAnsiTheme="minorHAnsi"/>
              <w:noProof/>
              <w:sz w:val="22"/>
              <w:lang w:val="en-US"/>
            </w:rPr>
          </w:pPr>
          <w:hyperlink w:anchor="_Toc153808481" w:history="1">
            <w:r w:rsidR="00594B35" w:rsidRPr="00997063">
              <w:rPr>
                <w:rStyle w:val="Hyperlink"/>
                <w:rFonts w:ascii="Arial" w:hAnsi="Arial" w:cs="Arial"/>
                <w:noProof/>
              </w:rPr>
              <w:t>g. Cross Currency Swaps:</w:t>
            </w:r>
            <w:r w:rsidR="00594B35">
              <w:rPr>
                <w:noProof/>
                <w:webHidden/>
              </w:rPr>
              <w:tab/>
            </w:r>
            <w:r w:rsidR="00594B35">
              <w:rPr>
                <w:noProof/>
                <w:webHidden/>
              </w:rPr>
              <w:fldChar w:fldCharType="begin"/>
            </w:r>
            <w:r w:rsidR="00594B35">
              <w:rPr>
                <w:noProof/>
                <w:webHidden/>
              </w:rPr>
              <w:instrText xml:space="preserve"> PAGEREF _Toc153808481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2407CD91" w14:textId="72DE45CF" w:rsidR="00594B35" w:rsidRDefault="003E31CA">
          <w:pPr>
            <w:pStyle w:val="TOC2"/>
            <w:tabs>
              <w:tab w:val="right" w:leader="dot" w:pos="9350"/>
            </w:tabs>
            <w:rPr>
              <w:rFonts w:asciiTheme="minorHAnsi" w:eastAsiaTheme="minorEastAsia" w:hAnsiTheme="minorHAnsi"/>
              <w:noProof/>
              <w:sz w:val="22"/>
              <w:lang w:val="en-US"/>
            </w:rPr>
          </w:pPr>
          <w:hyperlink w:anchor="_Toc153808482" w:history="1">
            <w:r w:rsidR="00594B35" w:rsidRPr="00997063">
              <w:rPr>
                <w:rStyle w:val="Hyperlink"/>
                <w:rFonts w:ascii="Arial" w:hAnsi="Arial" w:cs="Arial"/>
                <w:noProof/>
              </w:rPr>
              <w:t>h. Local Financing:</w:t>
            </w:r>
            <w:r w:rsidR="00594B35">
              <w:rPr>
                <w:noProof/>
                <w:webHidden/>
              </w:rPr>
              <w:tab/>
            </w:r>
            <w:r w:rsidR="00594B35">
              <w:rPr>
                <w:noProof/>
                <w:webHidden/>
              </w:rPr>
              <w:fldChar w:fldCharType="begin"/>
            </w:r>
            <w:r w:rsidR="00594B35">
              <w:rPr>
                <w:noProof/>
                <w:webHidden/>
              </w:rPr>
              <w:instrText xml:space="preserve"> PAGEREF _Toc153808482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5A65EA99" w14:textId="4ADEC43A" w:rsidR="00594B35" w:rsidRDefault="003E31CA">
          <w:pPr>
            <w:pStyle w:val="TOC1"/>
            <w:tabs>
              <w:tab w:val="right" w:leader="dot" w:pos="9350"/>
            </w:tabs>
            <w:rPr>
              <w:rFonts w:asciiTheme="minorHAnsi" w:eastAsiaTheme="minorEastAsia" w:hAnsiTheme="minorHAnsi"/>
              <w:noProof/>
              <w:sz w:val="22"/>
              <w:lang w:val="en-US"/>
            </w:rPr>
          </w:pPr>
          <w:hyperlink w:anchor="_Toc153808483" w:history="1">
            <w:r w:rsidR="00594B35" w:rsidRPr="00997063">
              <w:rPr>
                <w:rStyle w:val="Hyperlink"/>
                <w:rFonts w:ascii="Arial" w:hAnsi="Arial" w:cs="Arial"/>
                <w:noProof/>
              </w:rPr>
              <w:t>Conclusion</w:t>
            </w:r>
            <w:r w:rsidR="00594B35">
              <w:rPr>
                <w:noProof/>
                <w:webHidden/>
              </w:rPr>
              <w:tab/>
            </w:r>
            <w:r w:rsidR="00594B35">
              <w:rPr>
                <w:noProof/>
                <w:webHidden/>
              </w:rPr>
              <w:fldChar w:fldCharType="begin"/>
            </w:r>
            <w:r w:rsidR="00594B35">
              <w:rPr>
                <w:noProof/>
                <w:webHidden/>
              </w:rPr>
              <w:instrText xml:space="preserve"> PAGEREF _Toc153808483 \h </w:instrText>
            </w:r>
            <w:r w:rsidR="00594B35">
              <w:rPr>
                <w:noProof/>
                <w:webHidden/>
              </w:rPr>
            </w:r>
            <w:r w:rsidR="00594B35">
              <w:rPr>
                <w:noProof/>
                <w:webHidden/>
              </w:rPr>
              <w:fldChar w:fldCharType="separate"/>
            </w:r>
            <w:r w:rsidR="00594B35">
              <w:rPr>
                <w:noProof/>
                <w:webHidden/>
              </w:rPr>
              <w:t>3</w:t>
            </w:r>
            <w:r w:rsidR="00594B35">
              <w:rPr>
                <w:noProof/>
                <w:webHidden/>
              </w:rPr>
              <w:fldChar w:fldCharType="end"/>
            </w:r>
          </w:hyperlink>
        </w:p>
        <w:p w14:paraId="12E5CEE5" w14:textId="121245EB" w:rsidR="00594B35" w:rsidRDefault="003E31CA">
          <w:pPr>
            <w:pStyle w:val="TOC1"/>
            <w:tabs>
              <w:tab w:val="right" w:leader="dot" w:pos="9350"/>
            </w:tabs>
            <w:rPr>
              <w:rFonts w:asciiTheme="minorHAnsi" w:eastAsiaTheme="minorEastAsia" w:hAnsiTheme="minorHAnsi"/>
              <w:noProof/>
              <w:sz w:val="22"/>
              <w:lang w:val="en-US"/>
            </w:rPr>
          </w:pPr>
          <w:hyperlink w:anchor="_Toc153808484" w:history="1">
            <w:r w:rsidR="00594B35" w:rsidRPr="00997063">
              <w:rPr>
                <w:rStyle w:val="Hyperlink"/>
                <w:rFonts w:ascii="Arial" w:hAnsi="Arial" w:cs="Arial"/>
                <w:noProof/>
              </w:rPr>
              <w:t>References</w:t>
            </w:r>
            <w:r w:rsidR="00594B35">
              <w:rPr>
                <w:noProof/>
                <w:webHidden/>
              </w:rPr>
              <w:tab/>
            </w:r>
            <w:r w:rsidR="00594B35">
              <w:rPr>
                <w:noProof/>
                <w:webHidden/>
              </w:rPr>
              <w:fldChar w:fldCharType="begin"/>
            </w:r>
            <w:r w:rsidR="00594B35">
              <w:rPr>
                <w:noProof/>
                <w:webHidden/>
              </w:rPr>
              <w:instrText xml:space="preserve"> PAGEREF _Toc153808484 \h </w:instrText>
            </w:r>
            <w:r w:rsidR="00594B35">
              <w:rPr>
                <w:noProof/>
                <w:webHidden/>
              </w:rPr>
            </w:r>
            <w:r w:rsidR="00594B35">
              <w:rPr>
                <w:noProof/>
                <w:webHidden/>
              </w:rPr>
              <w:fldChar w:fldCharType="separate"/>
            </w:r>
            <w:r w:rsidR="00594B35">
              <w:rPr>
                <w:noProof/>
                <w:webHidden/>
              </w:rPr>
              <w:t>4</w:t>
            </w:r>
            <w:r w:rsidR="00594B35">
              <w:rPr>
                <w:noProof/>
                <w:webHidden/>
              </w:rPr>
              <w:fldChar w:fldCharType="end"/>
            </w:r>
          </w:hyperlink>
        </w:p>
        <w:p w14:paraId="2D72E9FE" w14:textId="153EDC78" w:rsidR="009C7BC4" w:rsidRPr="00B818AF" w:rsidRDefault="009C7BC4">
          <w:pPr>
            <w:rPr>
              <w:rFonts w:ascii="Arial" w:hAnsi="Arial" w:cs="Arial"/>
            </w:rPr>
          </w:pPr>
          <w:r w:rsidRPr="00B818AF">
            <w:rPr>
              <w:rFonts w:ascii="Arial" w:hAnsi="Arial" w:cs="Arial"/>
              <w:b/>
              <w:bCs/>
              <w:noProof/>
            </w:rPr>
            <w:fldChar w:fldCharType="end"/>
          </w:r>
        </w:p>
      </w:sdtContent>
    </w:sdt>
    <w:p w14:paraId="64A70BF8" w14:textId="77777777" w:rsidR="009C7BC4" w:rsidRPr="00B818AF" w:rsidRDefault="009C7BC4" w:rsidP="00686D35">
      <w:pPr>
        <w:pStyle w:val="Heading1"/>
        <w:jc w:val="center"/>
        <w:rPr>
          <w:rFonts w:ascii="Arial" w:hAnsi="Arial" w:cs="Arial"/>
        </w:rPr>
      </w:pPr>
    </w:p>
    <w:p w14:paraId="79536E23" w14:textId="77777777" w:rsidR="009C7BC4" w:rsidRPr="00B818AF" w:rsidRDefault="009C7BC4" w:rsidP="00686D35">
      <w:pPr>
        <w:pStyle w:val="Heading1"/>
        <w:jc w:val="center"/>
        <w:rPr>
          <w:rFonts w:ascii="Arial" w:hAnsi="Arial" w:cs="Arial"/>
        </w:rPr>
      </w:pPr>
    </w:p>
    <w:p w14:paraId="131DA8B9" w14:textId="77777777" w:rsidR="009C7BC4" w:rsidRPr="00B818AF" w:rsidRDefault="009C7BC4" w:rsidP="00686D35">
      <w:pPr>
        <w:pStyle w:val="Heading1"/>
        <w:jc w:val="center"/>
        <w:rPr>
          <w:rFonts w:ascii="Arial" w:hAnsi="Arial" w:cs="Arial"/>
        </w:rPr>
      </w:pPr>
    </w:p>
    <w:p w14:paraId="3B28ECFA" w14:textId="77777777" w:rsidR="009C7BC4" w:rsidRPr="00B818AF" w:rsidRDefault="009C7BC4" w:rsidP="00686D35">
      <w:pPr>
        <w:pStyle w:val="Heading1"/>
        <w:jc w:val="center"/>
        <w:rPr>
          <w:rFonts w:ascii="Arial" w:hAnsi="Arial" w:cs="Arial"/>
        </w:rPr>
      </w:pPr>
    </w:p>
    <w:p w14:paraId="6FA7858F" w14:textId="77777777" w:rsidR="00C1099D" w:rsidRPr="00B818AF" w:rsidRDefault="00C1099D" w:rsidP="00C1099D">
      <w:pPr>
        <w:rPr>
          <w:rFonts w:ascii="Arial" w:hAnsi="Arial" w:cs="Arial"/>
        </w:rPr>
      </w:pPr>
    </w:p>
    <w:p w14:paraId="78B9A272" w14:textId="77777777" w:rsidR="003125B5" w:rsidRPr="00B818AF" w:rsidRDefault="003125B5" w:rsidP="00C1099D">
      <w:pPr>
        <w:rPr>
          <w:rFonts w:ascii="Arial" w:hAnsi="Arial" w:cs="Arial"/>
        </w:rPr>
      </w:pPr>
    </w:p>
    <w:p w14:paraId="6625184F" w14:textId="77777777" w:rsidR="003125B5" w:rsidRPr="00B818AF" w:rsidRDefault="003125B5" w:rsidP="00C1099D">
      <w:pPr>
        <w:rPr>
          <w:rFonts w:ascii="Arial" w:hAnsi="Arial" w:cs="Arial"/>
        </w:rPr>
      </w:pPr>
    </w:p>
    <w:p w14:paraId="08AC3906" w14:textId="50BF204C" w:rsidR="00686D35" w:rsidRPr="00B818AF" w:rsidRDefault="00DB104B" w:rsidP="00DB104B">
      <w:pPr>
        <w:pStyle w:val="Heading1"/>
        <w:jc w:val="center"/>
        <w:rPr>
          <w:rFonts w:ascii="Arial" w:hAnsi="Arial" w:cs="Arial"/>
        </w:rPr>
      </w:pPr>
      <w:bookmarkStart w:id="1" w:name="_Toc153808472"/>
      <w:r w:rsidRPr="00B818AF">
        <w:rPr>
          <w:rFonts w:ascii="Arial" w:hAnsi="Arial" w:cs="Arial"/>
        </w:rPr>
        <w:lastRenderedPageBreak/>
        <w:t>Strategies to Manage Foreign Exchange Risk</w:t>
      </w:r>
      <w:bookmarkEnd w:id="1"/>
    </w:p>
    <w:p w14:paraId="1A0184D7" w14:textId="62372AF0" w:rsidR="00917738" w:rsidRPr="00B818AF" w:rsidRDefault="00DB104B" w:rsidP="003125B5">
      <w:pPr>
        <w:pStyle w:val="Heading1"/>
        <w:rPr>
          <w:rFonts w:ascii="Arial" w:hAnsi="Arial" w:cs="Arial"/>
        </w:rPr>
      </w:pPr>
      <w:bookmarkStart w:id="2" w:name="_Toc153808473"/>
      <w:r w:rsidRPr="00B818AF">
        <w:rPr>
          <w:rFonts w:ascii="Arial" w:hAnsi="Arial" w:cs="Arial"/>
        </w:rPr>
        <w:t>Introduction</w:t>
      </w:r>
      <w:bookmarkEnd w:id="2"/>
    </w:p>
    <w:p w14:paraId="6D589884" w14:textId="1405070C" w:rsidR="008D6E2A" w:rsidRDefault="008D6E2A" w:rsidP="00DB104B">
      <w:pPr>
        <w:rPr>
          <w:rFonts w:ascii="Arial" w:hAnsi="Arial" w:cs="Arial"/>
        </w:rPr>
      </w:pPr>
      <w:r>
        <w:rPr>
          <w:rFonts w:ascii="Arial" w:hAnsi="Arial" w:cs="Arial"/>
        </w:rPr>
        <w:t xml:space="preserve">In International Financial Management (IFM), management of the exposure to foreign exchange risks is considered one of the most important tasks. Multinational Corporations (MNC) based in UK adopt different strategies to manage foreign exchange risks and the strategies are influenced by factors such as risk tolerance, nature of business and industry dynamics. Multiple strategies are often used at the same time to </w:t>
      </w:r>
      <w:proofErr w:type="spellStart"/>
      <w:r>
        <w:rPr>
          <w:rFonts w:ascii="Arial" w:hAnsi="Arial" w:cs="Arial"/>
        </w:rPr>
        <w:t>minimize</w:t>
      </w:r>
      <w:proofErr w:type="spellEnd"/>
      <w:r>
        <w:rPr>
          <w:rFonts w:ascii="Arial" w:hAnsi="Arial" w:cs="Arial"/>
        </w:rPr>
        <w:t xml:space="preserve"> the foreign exchange risk. </w:t>
      </w:r>
    </w:p>
    <w:p w14:paraId="07DED5D4" w14:textId="1FEC04D8" w:rsidR="00594B35" w:rsidRDefault="00594B35" w:rsidP="00DB104B">
      <w:pPr>
        <w:rPr>
          <w:rFonts w:ascii="Arial" w:hAnsi="Arial" w:cs="Arial"/>
        </w:rPr>
      </w:pPr>
      <w:r>
        <w:rPr>
          <w:rFonts w:ascii="Arial" w:hAnsi="Arial" w:cs="Arial"/>
          <w:noProof/>
        </w:rPr>
        <w:drawing>
          <wp:anchor distT="0" distB="0" distL="114300" distR="114300" simplePos="0" relativeHeight="251658240" behindDoc="0" locked="0" layoutInCell="1" allowOverlap="1" wp14:anchorId="1FBD1C7C" wp14:editId="78C076DC">
            <wp:simplePos x="0" y="0"/>
            <wp:positionH relativeFrom="page">
              <wp:posOffset>1951990</wp:posOffset>
            </wp:positionH>
            <wp:positionV relativeFrom="paragraph">
              <wp:posOffset>193675</wp:posOffset>
            </wp:positionV>
            <wp:extent cx="3667125" cy="2353855"/>
            <wp:effectExtent l="0" t="0" r="0" b="8890"/>
            <wp:wrapNone/>
            <wp:docPr id="281710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10526" name="Picture 281710526"/>
                    <pic:cNvPicPr/>
                  </pic:nvPicPr>
                  <pic:blipFill>
                    <a:blip r:embed="rId8">
                      <a:extLst>
                        <a:ext uri="{28A0092B-C50C-407E-A947-70E740481C1C}">
                          <a14:useLocalDpi xmlns:a14="http://schemas.microsoft.com/office/drawing/2010/main" val="0"/>
                        </a:ext>
                      </a:extLst>
                    </a:blip>
                    <a:stretch>
                      <a:fillRect/>
                    </a:stretch>
                  </pic:blipFill>
                  <pic:spPr>
                    <a:xfrm>
                      <a:off x="0" y="0"/>
                      <a:ext cx="3667125" cy="2353855"/>
                    </a:xfrm>
                    <a:prstGeom prst="rect">
                      <a:avLst/>
                    </a:prstGeom>
                  </pic:spPr>
                </pic:pic>
              </a:graphicData>
            </a:graphic>
            <wp14:sizeRelH relativeFrom="margin">
              <wp14:pctWidth>0</wp14:pctWidth>
            </wp14:sizeRelH>
            <wp14:sizeRelV relativeFrom="margin">
              <wp14:pctHeight>0</wp14:pctHeight>
            </wp14:sizeRelV>
          </wp:anchor>
        </w:drawing>
      </w:r>
    </w:p>
    <w:p w14:paraId="1BB38CC7" w14:textId="77777777" w:rsidR="00594B35" w:rsidRDefault="00594B35" w:rsidP="00DB104B">
      <w:pPr>
        <w:rPr>
          <w:rFonts w:ascii="Arial" w:hAnsi="Arial" w:cs="Arial"/>
        </w:rPr>
      </w:pPr>
    </w:p>
    <w:p w14:paraId="53855E14" w14:textId="77777777" w:rsidR="00594B35" w:rsidRDefault="00594B35" w:rsidP="00DB104B">
      <w:pPr>
        <w:rPr>
          <w:rFonts w:ascii="Arial" w:hAnsi="Arial" w:cs="Arial"/>
        </w:rPr>
      </w:pPr>
    </w:p>
    <w:p w14:paraId="3309AA59" w14:textId="77777777" w:rsidR="00594B35" w:rsidRDefault="00594B35" w:rsidP="00DB104B">
      <w:pPr>
        <w:rPr>
          <w:rFonts w:ascii="Arial" w:hAnsi="Arial" w:cs="Arial"/>
        </w:rPr>
      </w:pPr>
    </w:p>
    <w:p w14:paraId="2A055DE7" w14:textId="77777777" w:rsidR="00594B35" w:rsidRDefault="00594B35" w:rsidP="00DB104B">
      <w:pPr>
        <w:rPr>
          <w:rFonts w:ascii="Arial" w:hAnsi="Arial" w:cs="Arial"/>
        </w:rPr>
      </w:pPr>
    </w:p>
    <w:p w14:paraId="2886BB79" w14:textId="77777777" w:rsidR="00594B35" w:rsidRDefault="00594B35" w:rsidP="00DB104B">
      <w:pPr>
        <w:rPr>
          <w:rFonts w:ascii="Arial" w:hAnsi="Arial" w:cs="Arial"/>
        </w:rPr>
      </w:pPr>
    </w:p>
    <w:p w14:paraId="26F77835" w14:textId="77777777" w:rsidR="00594B35" w:rsidRDefault="00594B35" w:rsidP="00DB104B">
      <w:pPr>
        <w:rPr>
          <w:rFonts w:ascii="Arial" w:hAnsi="Arial" w:cs="Arial"/>
        </w:rPr>
      </w:pPr>
    </w:p>
    <w:p w14:paraId="782EB81B" w14:textId="77777777" w:rsidR="00594B35" w:rsidRDefault="00594B35" w:rsidP="00DB104B">
      <w:pPr>
        <w:rPr>
          <w:rFonts w:ascii="Arial" w:hAnsi="Arial" w:cs="Arial"/>
        </w:rPr>
      </w:pPr>
    </w:p>
    <w:p w14:paraId="37EE82B4" w14:textId="7C232222" w:rsidR="00594B35" w:rsidRPr="00B818AF" w:rsidRDefault="00594B35" w:rsidP="00DB104B">
      <w:pPr>
        <w:rPr>
          <w:rFonts w:ascii="Arial" w:hAnsi="Arial" w:cs="Arial"/>
        </w:rPr>
      </w:pPr>
      <w:r>
        <w:rPr>
          <w:rFonts w:ascii="Arial" w:hAnsi="Arial" w:cs="Arial"/>
        </w:rPr>
        <w:t xml:space="preserve">GBP (Pound Sterling) faced increasing volatility against US Dollar since the start of Russian invasion of Ukraine and highlights the importance of foreign exchange risk management by the Multinational Corporations based in UK. </w:t>
      </w:r>
    </w:p>
    <w:p w14:paraId="6B124D8B" w14:textId="69C9F7C7" w:rsidR="00DB104B" w:rsidRPr="00B818AF" w:rsidRDefault="00DB104B" w:rsidP="003125B5">
      <w:pPr>
        <w:pStyle w:val="Heading1"/>
        <w:rPr>
          <w:rFonts w:ascii="Arial" w:hAnsi="Arial" w:cs="Arial"/>
        </w:rPr>
      </w:pPr>
      <w:bookmarkStart w:id="3" w:name="_Toc153808474"/>
      <w:r w:rsidRPr="00B818AF">
        <w:rPr>
          <w:rFonts w:ascii="Arial" w:hAnsi="Arial" w:cs="Arial"/>
        </w:rPr>
        <w:lastRenderedPageBreak/>
        <w:t>Strategies</w:t>
      </w:r>
      <w:bookmarkEnd w:id="3"/>
    </w:p>
    <w:p w14:paraId="0EE713F4" w14:textId="514EB0A3" w:rsidR="00CE75A7" w:rsidRPr="00B818AF" w:rsidRDefault="00CE75A7" w:rsidP="003125B5">
      <w:pPr>
        <w:pStyle w:val="Heading2"/>
        <w:rPr>
          <w:rFonts w:ascii="Arial" w:hAnsi="Arial" w:cs="Arial"/>
        </w:rPr>
      </w:pPr>
      <w:bookmarkStart w:id="4" w:name="_Toc153808475"/>
      <w:r w:rsidRPr="00B818AF">
        <w:rPr>
          <w:rFonts w:ascii="Arial" w:hAnsi="Arial" w:cs="Arial"/>
        </w:rPr>
        <w:t>a. Currency forwards and futures:</w:t>
      </w:r>
      <w:bookmarkEnd w:id="4"/>
    </w:p>
    <w:p w14:paraId="20D08E21" w14:textId="3C42BDB4" w:rsidR="00B818AF" w:rsidRPr="00B818AF" w:rsidRDefault="00B818AF" w:rsidP="00B818AF">
      <w:pPr>
        <w:jc w:val="center"/>
        <w:rPr>
          <w:rFonts w:ascii="Arial" w:hAnsi="Arial" w:cs="Arial"/>
          <w:i/>
        </w:rPr>
      </w:pPr>
      <w:r w:rsidRPr="00B818AF">
        <w:rPr>
          <w:rFonts w:ascii="Arial" w:hAnsi="Arial" w:cs="Arial"/>
          <w:noProof/>
        </w:rPr>
        <w:drawing>
          <wp:inline distT="0" distB="0" distL="0" distR="0" wp14:anchorId="0CDB55BC" wp14:editId="6F73915B">
            <wp:extent cx="4514850" cy="2214978"/>
            <wp:effectExtent l="0" t="0" r="0" b="0"/>
            <wp:docPr id="628580563" name="Picture 1" descr="Currency Forward | MillTechF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rency Forward | MillTechFX"/>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17885" cy="2216467"/>
                    </a:xfrm>
                    <a:prstGeom prst="rect">
                      <a:avLst/>
                    </a:prstGeom>
                    <a:noFill/>
                    <a:ln>
                      <a:noFill/>
                    </a:ln>
                  </pic:spPr>
                </pic:pic>
              </a:graphicData>
            </a:graphic>
          </wp:inline>
        </w:drawing>
      </w:r>
    </w:p>
    <w:p w14:paraId="4DBDE489" w14:textId="483523AB" w:rsidR="00B818AF" w:rsidRPr="00B818AF" w:rsidRDefault="00B818AF" w:rsidP="00B818AF">
      <w:pPr>
        <w:jc w:val="center"/>
        <w:rPr>
          <w:rFonts w:ascii="Arial" w:hAnsi="Arial" w:cs="Arial"/>
          <w:i/>
        </w:rPr>
      </w:pPr>
      <w:r w:rsidRPr="00B818AF">
        <w:rPr>
          <w:rFonts w:ascii="Arial" w:hAnsi="Arial" w:cs="Arial"/>
          <w:i/>
        </w:rPr>
        <w:t>Source: Blanchard (2021)</w:t>
      </w:r>
    </w:p>
    <w:bookmarkEnd w:id="0"/>
    <w:p w14:paraId="02C38314" w14:textId="79669F37" w:rsidR="008D6E2A" w:rsidRPr="00B818AF" w:rsidRDefault="008D6E2A" w:rsidP="005E3C8C">
      <w:pPr>
        <w:rPr>
          <w:rFonts w:ascii="Arial" w:hAnsi="Arial" w:cs="Arial"/>
        </w:rPr>
      </w:pPr>
      <w:r w:rsidRPr="008D6E2A">
        <w:rPr>
          <w:rFonts w:ascii="Arial" w:hAnsi="Arial" w:cs="Arial"/>
          <w:i/>
          <w:iCs/>
        </w:rPr>
        <w:t>Description:</w:t>
      </w:r>
      <w:r>
        <w:rPr>
          <w:rFonts w:ascii="Arial" w:hAnsi="Arial" w:cs="Arial"/>
        </w:rPr>
        <w:t xml:space="preserve"> Multinational Corporations can lock in an exchange rate for a transaction in a future date by using forward and future contracts. These contracts warrant hedging against risk from changes in the currency exchange rate (</w:t>
      </w:r>
      <w:proofErr w:type="spellStart"/>
      <w:r w:rsidRPr="00B818AF">
        <w:rPr>
          <w:rFonts w:ascii="Arial" w:hAnsi="Arial" w:cs="Arial"/>
        </w:rPr>
        <w:t>Dornbusch</w:t>
      </w:r>
      <w:proofErr w:type="spellEnd"/>
      <w:r>
        <w:rPr>
          <w:rFonts w:ascii="Arial" w:hAnsi="Arial" w:cs="Arial"/>
        </w:rPr>
        <w:t xml:space="preserve">, 2021). </w:t>
      </w:r>
      <w:r w:rsidRPr="008D6E2A">
        <w:rPr>
          <w:rFonts w:ascii="Arial" w:hAnsi="Arial" w:cs="Arial"/>
          <w:i/>
          <w:iCs/>
        </w:rPr>
        <w:t>Example:</w:t>
      </w:r>
      <w:r>
        <w:rPr>
          <w:rFonts w:ascii="Arial" w:hAnsi="Arial" w:cs="Arial"/>
        </w:rPr>
        <w:t xml:space="preserve"> Multinational Corporations based in UK may use currency forwards and futures that are traded on the foreign exchange market to manage their risks. Rolls Royce, </w:t>
      </w:r>
      <w:r w:rsidRPr="00B818AF">
        <w:rPr>
          <w:rFonts w:ascii="Arial" w:hAnsi="Arial" w:cs="Arial"/>
        </w:rPr>
        <w:t>a British luxury car manufacturer</w:t>
      </w:r>
      <w:r>
        <w:rPr>
          <w:rFonts w:ascii="Arial" w:hAnsi="Arial" w:cs="Arial"/>
        </w:rPr>
        <w:t xml:space="preserve">, uses forward contracts to counterweight the company’s revenue exposure </w:t>
      </w:r>
      <w:r w:rsidR="00F265A3">
        <w:rPr>
          <w:rFonts w:ascii="Arial" w:hAnsi="Arial" w:cs="Arial"/>
        </w:rPr>
        <w:t xml:space="preserve">that arises from its sales in the American market in US Dollar. </w:t>
      </w:r>
    </w:p>
    <w:p w14:paraId="0E99482F" w14:textId="1FD60758" w:rsidR="00F013AD" w:rsidRPr="00B818AF" w:rsidRDefault="00F013AD" w:rsidP="00B818AF">
      <w:pPr>
        <w:ind w:left="720"/>
        <w:rPr>
          <w:rFonts w:ascii="Arial" w:hAnsi="Arial" w:cs="Arial"/>
        </w:rPr>
      </w:pPr>
      <w:r w:rsidRPr="00B818AF">
        <w:rPr>
          <w:rFonts w:ascii="Arial" w:hAnsi="Arial" w:cs="Arial"/>
          <w:i/>
        </w:rPr>
        <w:t xml:space="preserve">Pros: </w:t>
      </w:r>
      <w:r w:rsidRPr="00B818AF">
        <w:rPr>
          <w:rFonts w:ascii="Arial" w:hAnsi="Arial" w:cs="Arial"/>
        </w:rPr>
        <w:t xml:space="preserve">Forwards and futures are effective in hedging for known currency exposures and locking in rates for future transactions. They are particularly useful for managing short term transaction alignments. </w:t>
      </w:r>
    </w:p>
    <w:p w14:paraId="54FCF23E" w14:textId="288C5198" w:rsidR="00A360B9" w:rsidRPr="00B818AF" w:rsidRDefault="00A360B9" w:rsidP="00B818AF">
      <w:pPr>
        <w:ind w:left="720"/>
        <w:rPr>
          <w:rFonts w:ascii="Arial" w:hAnsi="Arial" w:cs="Arial"/>
        </w:rPr>
      </w:pPr>
      <w:r w:rsidRPr="00B818AF">
        <w:rPr>
          <w:rFonts w:ascii="Arial" w:hAnsi="Arial" w:cs="Arial"/>
          <w:i/>
        </w:rPr>
        <w:t xml:space="preserve">Cons: </w:t>
      </w:r>
      <w:r w:rsidRPr="00B818AF">
        <w:rPr>
          <w:rFonts w:ascii="Arial" w:hAnsi="Arial" w:cs="Arial"/>
        </w:rPr>
        <w:t>The downside of futures and forwards is they limit upside if exchange rates move favourably. They also expose companies to credit risks as they will require working capital to offset adverse rate movements</w:t>
      </w:r>
      <w:r w:rsidR="003125B5" w:rsidRPr="00B818AF">
        <w:rPr>
          <w:rFonts w:ascii="Arial" w:hAnsi="Arial" w:cs="Arial"/>
        </w:rPr>
        <w:t xml:space="preserve"> (Blanchard, 2021)</w:t>
      </w:r>
      <w:r w:rsidRPr="00B818AF">
        <w:rPr>
          <w:rFonts w:ascii="Arial" w:hAnsi="Arial" w:cs="Arial"/>
        </w:rPr>
        <w:t xml:space="preserve">. </w:t>
      </w:r>
    </w:p>
    <w:p w14:paraId="67866C46" w14:textId="77777777" w:rsidR="006E435F" w:rsidRPr="00B818AF" w:rsidRDefault="006E435F" w:rsidP="003125B5">
      <w:pPr>
        <w:pStyle w:val="Heading2"/>
        <w:rPr>
          <w:rFonts w:ascii="Arial" w:hAnsi="Arial" w:cs="Arial"/>
        </w:rPr>
      </w:pPr>
      <w:r w:rsidRPr="00B818AF">
        <w:rPr>
          <w:rFonts w:ascii="Arial" w:hAnsi="Arial" w:cs="Arial"/>
        </w:rPr>
        <w:t xml:space="preserve"> </w:t>
      </w:r>
      <w:bookmarkStart w:id="5" w:name="_Toc153808476"/>
      <w:r w:rsidRPr="00B818AF">
        <w:rPr>
          <w:rFonts w:ascii="Arial" w:hAnsi="Arial" w:cs="Arial"/>
        </w:rPr>
        <w:t>b. Currency Options:</w:t>
      </w:r>
      <w:bookmarkEnd w:id="5"/>
    </w:p>
    <w:p w14:paraId="69AE824E" w14:textId="5037F91F" w:rsidR="0078703C" w:rsidRPr="00B818AF" w:rsidRDefault="006E435F" w:rsidP="005E3C8C">
      <w:pPr>
        <w:rPr>
          <w:rFonts w:ascii="Arial" w:hAnsi="Arial" w:cs="Arial"/>
        </w:rPr>
      </w:pPr>
      <w:r w:rsidRPr="00B818AF">
        <w:rPr>
          <w:rFonts w:ascii="Arial" w:hAnsi="Arial" w:cs="Arial"/>
          <w:i/>
        </w:rPr>
        <w:t>Description:</w:t>
      </w:r>
      <w:r w:rsidR="00B818AF">
        <w:rPr>
          <w:rFonts w:ascii="Arial" w:hAnsi="Arial" w:cs="Arial"/>
          <w:i/>
        </w:rPr>
        <w:t xml:space="preserve"> </w:t>
      </w:r>
      <w:r w:rsidR="002265EE" w:rsidRPr="002265EE">
        <w:rPr>
          <w:rFonts w:ascii="Arial" w:hAnsi="Arial" w:cs="Arial"/>
          <w:iCs/>
        </w:rPr>
        <w:t xml:space="preserve">Apart from forwards and futures contracts, option contracts such as Put and Call options are also used by MNCs and option contracts offer more flexibility if the exchange rate moves in a favourable direction. </w:t>
      </w:r>
      <w:r w:rsidR="0078703C" w:rsidRPr="00B818AF">
        <w:rPr>
          <w:rFonts w:ascii="Arial" w:hAnsi="Arial" w:cs="Arial"/>
          <w:i/>
        </w:rPr>
        <w:t xml:space="preserve">Example: </w:t>
      </w:r>
      <w:r w:rsidR="0078703C" w:rsidRPr="00B818AF">
        <w:rPr>
          <w:rFonts w:ascii="Arial" w:hAnsi="Arial" w:cs="Arial"/>
        </w:rPr>
        <w:t xml:space="preserve">UK MNCs such as BP Plc use </w:t>
      </w:r>
      <w:r w:rsidR="0078703C" w:rsidRPr="00B818AF">
        <w:rPr>
          <w:rFonts w:ascii="Arial" w:hAnsi="Arial" w:cs="Arial"/>
        </w:rPr>
        <w:lastRenderedPageBreak/>
        <w:t>option contracts to insure itself against negative exp</w:t>
      </w:r>
      <w:r w:rsidR="00580322" w:rsidRPr="00B818AF">
        <w:rPr>
          <w:rFonts w:ascii="Arial" w:hAnsi="Arial" w:cs="Arial"/>
        </w:rPr>
        <w:t xml:space="preserve">osure. For example, BP </w:t>
      </w:r>
      <w:r w:rsidR="0078703C" w:rsidRPr="00B818AF">
        <w:rPr>
          <w:rFonts w:ascii="Arial" w:hAnsi="Arial" w:cs="Arial"/>
        </w:rPr>
        <w:t xml:space="preserve">bought put options in 2003 to limit its downside if the British pound depreciated below $1.48. </w:t>
      </w:r>
    </w:p>
    <w:p w14:paraId="4EF8A96D" w14:textId="78E5588A" w:rsidR="00A360B9" w:rsidRPr="00B818AF" w:rsidRDefault="00A360B9" w:rsidP="00B818AF">
      <w:pPr>
        <w:ind w:left="720"/>
        <w:rPr>
          <w:rFonts w:ascii="Arial" w:hAnsi="Arial" w:cs="Arial"/>
        </w:rPr>
      </w:pPr>
      <w:r w:rsidRPr="00B818AF">
        <w:rPr>
          <w:rFonts w:ascii="Arial" w:hAnsi="Arial" w:cs="Arial"/>
          <w:i/>
        </w:rPr>
        <w:t xml:space="preserve">Pros: </w:t>
      </w:r>
      <w:r w:rsidRPr="00B818AF">
        <w:rPr>
          <w:rFonts w:ascii="Arial" w:hAnsi="Arial" w:cs="Arial"/>
        </w:rPr>
        <w:t xml:space="preserve">The benefit of currency options is </w:t>
      </w:r>
      <w:r w:rsidR="00580322" w:rsidRPr="00B818AF">
        <w:rPr>
          <w:rFonts w:ascii="Arial" w:hAnsi="Arial" w:cs="Arial"/>
        </w:rPr>
        <w:t>they allow</w:t>
      </w:r>
      <w:r w:rsidRPr="00B818AF">
        <w:rPr>
          <w:rFonts w:ascii="Arial" w:hAnsi="Arial" w:cs="Arial"/>
        </w:rPr>
        <w:t xml:space="preserve"> companies to participate in positive currency fl</w:t>
      </w:r>
      <w:r w:rsidR="00580322" w:rsidRPr="00B818AF">
        <w:rPr>
          <w:rFonts w:ascii="Arial" w:hAnsi="Arial" w:cs="Arial"/>
        </w:rPr>
        <w:t>uctuations while also limiting</w:t>
      </w:r>
      <w:r w:rsidRPr="00B818AF">
        <w:rPr>
          <w:rFonts w:ascii="Arial" w:hAnsi="Arial" w:cs="Arial"/>
        </w:rPr>
        <w:t xml:space="preserve"> the downside. This provides flexibility which is lacking in forward and future contracts. </w:t>
      </w:r>
    </w:p>
    <w:p w14:paraId="496F540F" w14:textId="3233F822" w:rsidR="00A360B9" w:rsidRPr="00B818AF" w:rsidRDefault="00A360B9" w:rsidP="00B818AF">
      <w:pPr>
        <w:ind w:left="720"/>
        <w:rPr>
          <w:rFonts w:ascii="Arial" w:hAnsi="Arial" w:cs="Arial"/>
        </w:rPr>
      </w:pPr>
      <w:r w:rsidRPr="00B818AF">
        <w:rPr>
          <w:rFonts w:ascii="Arial" w:hAnsi="Arial" w:cs="Arial"/>
          <w:i/>
        </w:rPr>
        <w:t xml:space="preserve">Cons: </w:t>
      </w:r>
      <w:r w:rsidRPr="00B818AF">
        <w:rPr>
          <w:rFonts w:ascii="Arial" w:hAnsi="Arial" w:cs="Arial"/>
        </w:rPr>
        <w:t xml:space="preserve">Companies need to pay an option premium to purchase options and the transaction cost is also generally higher and hence reduces cost effectiveness for the MNCs. They also require significant expertise to value and time option purchase optimally.  </w:t>
      </w:r>
    </w:p>
    <w:p w14:paraId="75FF2D02" w14:textId="057E862C" w:rsidR="0078703C" w:rsidRPr="00B818AF" w:rsidRDefault="0078703C" w:rsidP="003125B5">
      <w:pPr>
        <w:pStyle w:val="Heading2"/>
        <w:rPr>
          <w:rFonts w:ascii="Arial" w:hAnsi="Arial" w:cs="Arial"/>
        </w:rPr>
      </w:pPr>
      <w:bookmarkStart w:id="6" w:name="_Toc153808477"/>
      <w:r w:rsidRPr="00B818AF">
        <w:rPr>
          <w:rFonts w:ascii="Arial" w:hAnsi="Arial" w:cs="Arial"/>
        </w:rPr>
        <w:t>c. Risk Sharing Agreements:</w:t>
      </w:r>
      <w:bookmarkEnd w:id="6"/>
    </w:p>
    <w:p w14:paraId="7F6EE1AE" w14:textId="349B083C" w:rsidR="0078703C" w:rsidRPr="00B818AF" w:rsidRDefault="0078703C" w:rsidP="005E3C8C">
      <w:pPr>
        <w:rPr>
          <w:rFonts w:ascii="Arial" w:hAnsi="Arial" w:cs="Arial"/>
        </w:rPr>
      </w:pPr>
      <w:r w:rsidRPr="00B818AF">
        <w:rPr>
          <w:rFonts w:ascii="Arial" w:hAnsi="Arial" w:cs="Arial"/>
          <w:i/>
        </w:rPr>
        <w:t xml:space="preserve">Description: </w:t>
      </w:r>
      <w:r w:rsidRPr="00B818AF">
        <w:rPr>
          <w:rFonts w:ascii="Arial" w:hAnsi="Arial" w:cs="Arial"/>
        </w:rPr>
        <w:t xml:space="preserve">MNCs can formulate risk sharing agreements with its suppliers and customers in the contract terms. </w:t>
      </w:r>
      <w:r w:rsidRPr="00B818AF">
        <w:rPr>
          <w:rFonts w:ascii="Arial" w:hAnsi="Arial" w:cs="Arial"/>
          <w:i/>
        </w:rPr>
        <w:t xml:space="preserve">Example: </w:t>
      </w:r>
      <w:proofErr w:type="spellStart"/>
      <w:r w:rsidRPr="00B818AF">
        <w:rPr>
          <w:rFonts w:ascii="Arial" w:hAnsi="Arial" w:cs="Arial"/>
        </w:rPr>
        <w:t>Diaego</w:t>
      </w:r>
      <w:proofErr w:type="spellEnd"/>
      <w:r w:rsidRPr="00B818AF">
        <w:rPr>
          <w:rFonts w:ascii="Arial" w:hAnsi="Arial" w:cs="Arial"/>
        </w:rPr>
        <w:t xml:space="preserve"> which is a British multinational alcoholic beverage company </w:t>
      </w:r>
      <w:r w:rsidR="00980A65" w:rsidRPr="00B818AF">
        <w:rPr>
          <w:rFonts w:ascii="Arial" w:hAnsi="Arial" w:cs="Arial"/>
        </w:rPr>
        <w:t xml:space="preserve">puts negotiated price escalation clauses in the contracts with their overseas vendors. This ensures </w:t>
      </w:r>
      <w:proofErr w:type="spellStart"/>
      <w:r w:rsidR="00980A65" w:rsidRPr="00B818AF">
        <w:rPr>
          <w:rFonts w:ascii="Arial" w:hAnsi="Arial" w:cs="Arial"/>
        </w:rPr>
        <w:t>Diaego’s</w:t>
      </w:r>
      <w:proofErr w:type="spellEnd"/>
      <w:r w:rsidR="00980A65" w:rsidRPr="00B818AF">
        <w:rPr>
          <w:rFonts w:ascii="Arial" w:hAnsi="Arial" w:cs="Arial"/>
        </w:rPr>
        <w:t xml:space="preserve"> profit margin is protected if the GBP declines. Similar contractual protections can be put in place if foreign currencies held in overseas territories by the UK companies fall in value. </w:t>
      </w:r>
    </w:p>
    <w:p w14:paraId="4066A904" w14:textId="385932CA" w:rsidR="00195BB2" w:rsidRPr="00B818AF" w:rsidRDefault="00195BB2" w:rsidP="00B818AF">
      <w:pPr>
        <w:ind w:left="720"/>
        <w:rPr>
          <w:rFonts w:ascii="Arial" w:hAnsi="Arial" w:cs="Arial"/>
        </w:rPr>
      </w:pPr>
      <w:r w:rsidRPr="00B818AF">
        <w:rPr>
          <w:rFonts w:ascii="Arial" w:hAnsi="Arial" w:cs="Arial"/>
          <w:i/>
        </w:rPr>
        <w:t xml:space="preserve">Pros: </w:t>
      </w:r>
      <w:r w:rsidRPr="00B818AF">
        <w:rPr>
          <w:rFonts w:ascii="Arial" w:hAnsi="Arial" w:cs="Arial"/>
        </w:rPr>
        <w:t xml:space="preserve">This strategy allows MNCs to include exchange rate variability in the contracts with suppliers or customers and doesn’t require them to bear full exposure. It also reduces cash flow uncertainty for the </w:t>
      </w:r>
      <w:proofErr w:type="spellStart"/>
      <w:r w:rsidRPr="00B818AF">
        <w:rPr>
          <w:rFonts w:ascii="Arial" w:hAnsi="Arial" w:cs="Arial"/>
        </w:rPr>
        <w:t>organization</w:t>
      </w:r>
      <w:proofErr w:type="spellEnd"/>
      <w:r w:rsidRPr="00B818AF">
        <w:rPr>
          <w:rFonts w:ascii="Arial" w:hAnsi="Arial" w:cs="Arial"/>
        </w:rPr>
        <w:t xml:space="preserve">. </w:t>
      </w:r>
    </w:p>
    <w:p w14:paraId="664000AC" w14:textId="4DC9800A" w:rsidR="00195BB2" w:rsidRPr="00B818AF" w:rsidRDefault="00195BB2" w:rsidP="00B818AF">
      <w:pPr>
        <w:ind w:left="720"/>
        <w:rPr>
          <w:rFonts w:ascii="Arial" w:hAnsi="Arial" w:cs="Arial"/>
        </w:rPr>
      </w:pPr>
      <w:r w:rsidRPr="00B818AF">
        <w:rPr>
          <w:rFonts w:ascii="Arial" w:hAnsi="Arial" w:cs="Arial"/>
          <w:i/>
        </w:rPr>
        <w:t xml:space="preserve">Cons: </w:t>
      </w:r>
      <w:r w:rsidRPr="00B818AF">
        <w:rPr>
          <w:rFonts w:ascii="Arial" w:hAnsi="Arial" w:cs="Arial"/>
        </w:rPr>
        <w:t>MNC may be exposed to counterparty risk in su</w:t>
      </w:r>
      <w:r w:rsidR="00580322" w:rsidRPr="00B818AF">
        <w:rPr>
          <w:rFonts w:ascii="Arial" w:hAnsi="Arial" w:cs="Arial"/>
        </w:rPr>
        <w:t xml:space="preserve">ch contracts. Counterparties </w:t>
      </w:r>
      <w:r w:rsidRPr="00B818AF">
        <w:rPr>
          <w:rFonts w:ascii="Arial" w:hAnsi="Arial" w:cs="Arial"/>
        </w:rPr>
        <w:t xml:space="preserve">overseas may not have the financial capacity or corporate stability to honour the agreements if the currencies fluctuate too much. From time to time, contracts may require renegotiations. </w:t>
      </w:r>
    </w:p>
    <w:p w14:paraId="2A115C08" w14:textId="7D7DA501" w:rsidR="00980A65" w:rsidRPr="00B818AF" w:rsidRDefault="00980A65" w:rsidP="003125B5">
      <w:pPr>
        <w:pStyle w:val="Heading2"/>
        <w:rPr>
          <w:rFonts w:ascii="Arial" w:hAnsi="Arial" w:cs="Arial"/>
        </w:rPr>
      </w:pPr>
      <w:bookmarkStart w:id="7" w:name="_Toc153808478"/>
      <w:r w:rsidRPr="00B818AF">
        <w:rPr>
          <w:rFonts w:ascii="Arial" w:hAnsi="Arial" w:cs="Arial"/>
        </w:rPr>
        <w:t>d. Currency Diversification:</w:t>
      </w:r>
      <w:bookmarkEnd w:id="7"/>
    </w:p>
    <w:p w14:paraId="75F7D44C" w14:textId="3A97B6DF" w:rsidR="00980A65" w:rsidRPr="00B818AF" w:rsidRDefault="00980A65" w:rsidP="00980A65">
      <w:pPr>
        <w:rPr>
          <w:rFonts w:ascii="Arial" w:hAnsi="Arial" w:cs="Arial"/>
        </w:rPr>
      </w:pPr>
      <w:r w:rsidRPr="00B818AF">
        <w:rPr>
          <w:rFonts w:ascii="Arial" w:hAnsi="Arial" w:cs="Arial"/>
          <w:i/>
        </w:rPr>
        <w:t xml:space="preserve">Description: </w:t>
      </w:r>
      <w:r w:rsidRPr="00B818AF">
        <w:rPr>
          <w:rFonts w:ascii="Arial" w:hAnsi="Arial" w:cs="Arial"/>
        </w:rPr>
        <w:t xml:space="preserve">UK MNCs operate in many different countries and one way they can manage their exposure to foreign currency risks is by maintaining a globally diversified portfolio of currencies. This will diversify the firm’s existing currency portfolio and firm wide exposure to foreign exchange risks </w:t>
      </w:r>
      <w:r w:rsidR="00580322" w:rsidRPr="00B818AF">
        <w:rPr>
          <w:rFonts w:ascii="Arial" w:hAnsi="Arial" w:cs="Arial"/>
        </w:rPr>
        <w:t>will be</w:t>
      </w:r>
      <w:r w:rsidRPr="00B818AF">
        <w:rPr>
          <w:rFonts w:ascii="Arial" w:hAnsi="Arial" w:cs="Arial"/>
        </w:rPr>
        <w:t xml:space="preserve"> managed</w:t>
      </w:r>
      <w:r w:rsidR="003125B5" w:rsidRPr="00B818AF">
        <w:rPr>
          <w:rFonts w:ascii="Arial" w:hAnsi="Arial" w:cs="Arial"/>
        </w:rPr>
        <w:t xml:space="preserve"> (</w:t>
      </w:r>
      <w:proofErr w:type="spellStart"/>
      <w:r w:rsidR="003125B5" w:rsidRPr="00B818AF">
        <w:rPr>
          <w:rFonts w:ascii="Arial" w:hAnsi="Arial" w:cs="Arial"/>
        </w:rPr>
        <w:t>Dornbusch</w:t>
      </w:r>
      <w:proofErr w:type="spellEnd"/>
      <w:r w:rsidR="003125B5" w:rsidRPr="00B818AF">
        <w:rPr>
          <w:rFonts w:ascii="Arial" w:hAnsi="Arial" w:cs="Arial"/>
        </w:rPr>
        <w:t xml:space="preserve"> et al., 2021)</w:t>
      </w:r>
      <w:r w:rsidRPr="00B818AF">
        <w:rPr>
          <w:rFonts w:ascii="Arial" w:hAnsi="Arial" w:cs="Arial"/>
        </w:rPr>
        <w:t xml:space="preserve">. Example: MNCs such as Procter &amp; Gamble hold foreign currency cash assets in their portfolio. They work as a </w:t>
      </w:r>
      <w:r w:rsidRPr="00B818AF">
        <w:rPr>
          <w:rFonts w:ascii="Arial" w:hAnsi="Arial" w:cs="Arial"/>
        </w:rPr>
        <w:lastRenderedPageBreak/>
        <w:t xml:space="preserve">hedge against imported input costs. Studies have shown many UK MNCs follow currency diversification strategy and almost a third of UK firm holdings are in non-sterling currencies. </w:t>
      </w:r>
    </w:p>
    <w:p w14:paraId="10ACBEC2" w14:textId="7C09E7EE" w:rsidR="00195BB2" w:rsidRPr="00B818AF" w:rsidRDefault="00195BB2" w:rsidP="00B818AF">
      <w:pPr>
        <w:ind w:left="720"/>
        <w:rPr>
          <w:rFonts w:ascii="Arial" w:hAnsi="Arial" w:cs="Arial"/>
        </w:rPr>
      </w:pPr>
      <w:r w:rsidRPr="00B818AF">
        <w:rPr>
          <w:rFonts w:ascii="Arial" w:hAnsi="Arial" w:cs="Arial"/>
          <w:i/>
        </w:rPr>
        <w:t xml:space="preserve">Pros: </w:t>
      </w:r>
      <w:r w:rsidRPr="00B818AF">
        <w:rPr>
          <w:rFonts w:ascii="Arial" w:hAnsi="Arial" w:cs="Arial"/>
        </w:rPr>
        <w:t xml:space="preserve">This strategy works as a natural hedge against Foreign Exchange swings and transaction obligations. </w:t>
      </w:r>
    </w:p>
    <w:p w14:paraId="251043E8" w14:textId="645CDCC5" w:rsidR="00195BB2" w:rsidRPr="00B818AF" w:rsidRDefault="00195BB2" w:rsidP="00B818AF">
      <w:pPr>
        <w:ind w:left="720"/>
        <w:rPr>
          <w:rFonts w:ascii="Arial" w:hAnsi="Arial" w:cs="Arial"/>
        </w:rPr>
      </w:pPr>
      <w:r w:rsidRPr="00B818AF">
        <w:rPr>
          <w:rFonts w:ascii="Arial" w:hAnsi="Arial" w:cs="Arial"/>
          <w:i/>
        </w:rPr>
        <w:t xml:space="preserve">Cons: </w:t>
      </w:r>
      <w:r w:rsidRPr="00B818AF">
        <w:rPr>
          <w:rFonts w:ascii="Arial" w:hAnsi="Arial" w:cs="Arial"/>
        </w:rPr>
        <w:t xml:space="preserve">This strategy adds to the complexity in currency accounting, forwards overlay and cash flow coordination. The company still incurs gains/losses albeit with a lower net exposure. </w:t>
      </w:r>
    </w:p>
    <w:p w14:paraId="61BEED36" w14:textId="1879A1A3" w:rsidR="00725AA3" w:rsidRPr="00B818AF" w:rsidRDefault="00725AA3" w:rsidP="003125B5">
      <w:pPr>
        <w:pStyle w:val="Heading2"/>
        <w:rPr>
          <w:rFonts w:ascii="Arial" w:hAnsi="Arial" w:cs="Arial"/>
        </w:rPr>
      </w:pPr>
      <w:bookmarkStart w:id="8" w:name="_Toc153808479"/>
      <w:r w:rsidRPr="00B818AF">
        <w:rPr>
          <w:rFonts w:ascii="Arial" w:hAnsi="Arial" w:cs="Arial"/>
        </w:rPr>
        <w:t>e. Natural Hedging:</w:t>
      </w:r>
      <w:bookmarkEnd w:id="8"/>
    </w:p>
    <w:p w14:paraId="1780183A" w14:textId="16EEE6F5" w:rsidR="00725AA3" w:rsidRPr="00B818AF" w:rsidRDefault="00725AA3" w:rsidP="00725AA3">
      <w:pPr>
        <w:rPr>
          <w:rFonts w:ascii="Arial" w:hAnsi="Arial" w:cs="Arial"/>
        </w:rPr>
      </w:pPr>
      <w:r w:rsidRPr="00B818AF">
        <w:rPr>
          <w:rFonts w:ascii="Arial" w:hAnsi="Arial" w:cs="Arial"/>
          <w:i/>
        </w:rPr>
        <w:t xml:space="preserve">Description: </w:t>
      </w:r>
      <w:r w:rsidRPr="00B818AF">
        <w:rPr>
          <w:rFonts w:ascii="Arial" w:hAnsi="Arial" w:cs="Arial"/>
        </w:rPr>
        <w:t xml:space="preserve">Natural hedging is when a company matches its currency revenues with currency costs. If a </w:t>
      </w:r>
      <w:r w:rsidR="00580322" w:rsidRPr="00B818AF">
        <w:rPr>
          <w:rFonts w:ascii="Arial" w:hAnsi="Arial" w:cs="Arial"/>
        </w:rPr>
        <w:t>company based in</w:t>
      </w:r>
      <w:r w:rsidRPr="00B818AF">
        <w:rPr>
          <w:rFonts w:ascii="Arial" w:hAnsi="Arial" w:cs="Arial"/>
        </w:rPr>
        <w:t xml:space="preserve"> UK generates its revenues in US Dollars but also incurs all its expenses in US Dollars, it can be considered a natural hedge against fluctuations in the GBP/USD exchange rate. </w:t>
      </w:r>
      <w:r w:rsidRPr="00B818AF">
        <w:rPr>
          <w:rFonts w:ascii="Arial" w:hAnsi="Arial" w:cs="Arial"/>
          <w:i/>
        </w:rPr>
        <w:t xml:space="preserve">Example: </w:t>
      </w:r>
      <w:r w:rsidRPr="00B818AF">
        <w:rPr>
          <w:rFonts w:ascii="Arial" w:hAnsi="Arial" w:cs="Arial"/>
        </w:rPr>
        <w:t>If a British pharmaceutical company exports its drugs to the United States, it will receive revenue in US Dollars.</w:t>
      </w:r>
      <w:r w:rsidR="008E2AC0">
        <w:rPr>
          <w:rFonts w:ascii="Arial" w:hAnsi="Arial" w:cs="Arial"/>
        </w:rPr>
        <w:t xml:space="preserve"> If the same pharmaceutical company also pays its expenses in US Dollars, then this will be categorised as natural hedging strategy. </w:t>
      </w:r>
    </w:p>
    <w:p w14:paraId="5059F3E3" w14:textId="679868EC" w:rsidR="008E2AC0" w:rsidRPr="008E2AC0" w:rsidRDefault="00725AA3" w:rsidP="008E2AC0">
      <w:pPr>
        <w:ind w:left="720"/>
        <w:rPr>
          <w:rFonts w:ascii="Arial" w:hAnsi="Arial" w:cs="Arial"/>
        </w:rPr>
      </w:pPr>
      <w:r w:rsidRPr="00B818AF">
        <w:rPr>
          <w:rFonts w:ascii="Arial" w:hAnsi="Arial" w:cs="Arial"/>
          <w:i/>
        </w:rPr>
        <w:t xml:space="preserve">Pros: </w:t>
      </w:r>
      <w:r w:rsidR="008E2AC0">
        <w:rPr>
          <w:rFonts w:ascii="Arial" w:hAnsi="Arial" w:cs="Arial"/>
          <w:iCs/>
        </w:rPr>
        <w:t xml:space="preserve">Natural hedging is a simpler foreign exchange risk management strategy as it aligns both the revenue and expenses under the same currency. Natural hedging strategy doesn’t require use of financial instruments and costs of these instruments. </w:t>
      </w:r>
    </w:p>
    <w:p w14:paraId="0CC1F042" w14:textId="5FFFE139" w:rsidR="00725AA3" w:rsidRPr="008E2AC0" w:rsidRDefault="00725AA3" w:rsidP="008E2AC0">
      <w:pPr>
        <w:ind w:left="720"/>
        <w:rPr>
          <w:rFonts w:ascii="Arial" w:hAnsi="Arial" w:cs="Arial"/>
          <w:iCs/>
        </w:rPr>
      </w:pPr>
      <w:r w:rsidRPr="00B818AF">
        <w:rPr>
          <w:rFonts w:ascii="Arial" w:hAnsi="Arial" w:cs="Arial"/>
          <w:i/>
        </w:rPr>
        <w:t xml:space="preserve">Cons: </w:t>
      </w:r>
      <w:r w:rsidR="008E2AC0">
        <w:rPr>
          <w:rFonts w:ascii="Arial" w:hAnsi="Arial" w:cs="Arial"/>
          <w:iCs/>
        </w:rPr>
        <w:t xml:space="preserve">MNCs may face challenges to align revenue and costs in the same currency due to supply chain deficiency, business strategy and local regulations. This strategy may also limit flexibility of the </w:t>
      </w:r>
      <w:proofErr w:type="spellStart"/>
      <w:r w:rsidR="008E2AC0">
        <w:rPr>
          <w:rFonts w:ascii="Arial" w:hAnsi="Arial" w:cs="Arial"/>
          <w:iCs/>
        </w:rPr>
        <w:t>organization</w:t>
      </w:r>
      <w:proofErr w:type="spellEnd"/>
      <w:r w:rsidR="008E2AC0">
        <w:rPr>
          <w:rFonts w:ascii="Arial" w:hAnsi="Arial" w:cs="Arial"/>
          <w:iCs/>
        </w:rPr>
        <w:t xml:space="preserve"> in managing its foreign exchange risk</w:t>
      </w:r>
      <w:r w:rsidR="003125B5" w:rsidRPr="00B818AF">
        <w:rPr>
          <w:rFonts w:ascii="Arial" w:hAnsi="Arial" w:cs="Arial"/>
        </w:rPr>
        <w:t xml:space="preserve"> (</w:t>
      </w:r>
      <w:proofErr w:type="spellStart"/>
      <w:r w:rsidR="003125B5" w:rsidRPr="00B818AF">
        <w:rPr>
          <w:rFonts w:ascii="Arial" w:hAnsi="Arial" w:cs="Arial"/>
        </w:rPr>
        <w:t>Eun</w:t>
      </w:r>
      <w:proofErr w:type="spellEnd"/>
      <w:r w:rsidR="003125B5" w:rsidRPr="00B818AF">
        <w:rPr>
          <w:rFonts w:ascii="Arial" w:hAnsi="Arial" w:cs="Arial"/>
        </w:rPr>
        <w:t xml:space="preserve"> et al., 2024)</w:t>
      </w:r>
      <w:r w:rsidRPr="00B818AF">
        <w:rPr>
          <w:rFonts w:ascii="Arial" w:hAnsi="Arial" w:cs="Arial"/>
        </w:rPr>
        <w:t xml:space="preserve">. </w:t>
      </w:r>
    </w:p>
    <w:p w14:paraId="072ACBCD" w14:textId="1FB73ED5" w:rsidR="00725AA3" w:rsidRPr="00B818AF" w:rsidRDefault="00725AA3" w:rsidP="003125B5">
      <w:pPr>
        <w:pStyle w:val="Heading2"/>
        <w:rPr>
          <w:rFonts w:ascii="Arial" w:hAnsi="Arial" w:cs="Arial"/>
        </w:rPr>
      </w:pPr>
      <w:bookmarkStart w:id="9" w:name="_Toc153808480"/>
      <w:r w:rsidRPr="00B818AF">
        <w:rPr>
          <w:rFonts w:ascii="Arial" w:hAnsi="Arial" w:cs="Arial"/>
        </w:rPr>
        <w:t>f. Leading and Lagging:</w:t>
      </w:r>
      <w:bookmarkEnd w:id="9"/>
    </w:p>
    <w:p w14:paraId="5B14E0C9" w14:textId="357FCF68" w:rsidR="008E2AC0" w:rsidRDefault="008E2AC0" w:rsidP="008E2AC0">
      <w:pPr>
        <w:rPr>
          <w:rFonts w:ascii="Arial" w:hAnsi="Arial" w:cs="Arial"/>
        </w:rPr>
      </w:pPr>
      <w:r w:rsidRPr="00B818AF">
        <w:rPr>
          <w:rFonts w:ascii="Arial" w:hAnsi="Arial" w:cs="Arial"/>
        </w:rPr>
        <w:t>Leading and Lagging strategy requires</w:t>
      </w:r>
      <w:r w:rsidR="00E623C6">
        <w:rPr>
          <w:rFonts w:ascii="Arial" w:hAnsi="Arial" w:cs="Arial"/>
        </w:rPr>
        <w:t xml:space="preserve"> an MNC to</w:t>
      </w:r>
      <w:r w:rsidRPr="00B818AF">
        <w:rPr>
          <w:rFonts w:ascii="Arial" w:hAnsi="Arial" w:cs="Arial"/>
        </w:rPr>
        <w:t xml:space="preserve"> adjust the timing of receipts</w:t>
      </w:r>
      <w:r>
        <w:rPr>
          <w:rFonts w:ascii="Arial" w:hAnsi="Arial" w:cs="Arial"/>
        </w:rPr>
        <w:t xml:space="preserve"> and payments</w:t>
      </w:r>
      <w:r w:rsidRPr="00B818AF">
        <w:rPr>
          <w:rFonts w:ascii="Arial" w:hAnsi="Arial" w:cs="Arial"/>
        </w:rPr>
        <w:t xml:space="preserve"> to </w:t>
      </w:r>
      <w:r w:rsidR="00E623C6">
        <w:rPr>
          <w:rFonts w:ascii="Arial" w:hAnsi="Arial" w:cs="Arial"/>
        </w:rPr>
        <w:t xml:space="preserve">manage foreign exposure risk. An MNC may try to hasten the receipt of foreign currency or delay the payment of foreign currency liabilities if they adopt leading and lagging strategy </w:t>
      </w:r>
      <w:r w:rsidR="00E623C6" w:rsidRPr="00B818AF">
        <w:rPr>
          <w:rFonts w:ascii="Arial" w:hAnsi="Arial" w:cs="Arial"/>
        </w:rPr>
        <w:t>(Madura &amp; Fox, 2023).</w:t>
      </w:r>
      <w:r w:rsidR="00E623C6">
        <w:rPr>
          <w:rFonts w:ascii="Arial" w:hAnsi="Arial" w:cs="Arial"/>
        </w:rPr>
        <w:t xml:space="preserve"> </w:t>
      </w:r>
      <w:r w:rsidR="00E623C6" w:rsidRPr="00B818AF">
        <w:rPr>
          <w:rFonts w:ascii="Arial" w:hAnsi="Arial" w:cs="Arial"/>
          <w:i/>
        </w:rPr>
        <w:t>Example:</w:t>
      </w:r>
      <w:r w:rsidR="00E623C6">
        <w:rPr>
          <w:rFonts w:ascii="Arial" w:hAnsi="Arial" w:cs="Arial"/>
          <w:iCs/>
        </w:rPr>
        <w:t xml:space="preserve"> A multinational retailer based in UK </w:t>
      </w:r>
      <w:r w:rsidR="00E623C6">
        <w:rPr>
          <w:rFonts w:ascii="Arial" w:hAnsi="Arial" w:cs="Arial"/>
          <w:iCs/>
        </w:rPr>
        <w:lastRenderedPageBreak/>
        <w:t xml:space="preserve">can negotiate with its foreign suppliers </w:t>
      </w:r>
      <w:r w:rsidR="00E623C6">
        <w:rPr>
          <w:rFonts w:ascii="Arial" w:hAnsi="Arial" w:cs="Arial"/>
        </w:rPr>
        <w:t xml:space="preserve">to extend the payment date of its liabilities or hasten collections of receivables from foreign customers to manage its cash flows with foreign exchange rate predictions. </w:t>
      </w:r>
    </w:p>
    <w:p w14:paraId="4311CC2E" w14:textId="422D63E9" w:rsidR="00F13ABA" w:rsidRPr="007C4EF8" w:rsidRDefault="00725AA3" w:rsidP="007C4EF8">
      <w:pPr>
        <w:ind w:left="720"/>
        <w:rPr>
          <w:rFonts w:ascii="Arial" w:hAnsi="Arial" w:cs="Arial"/>
        </w:rPr>
      </w:pPr>
      <w:r w:rsidRPr="00B818AF">
        <w:rPr>
          <w:rFonts w:ascii="Arial" w:hAnsi="Arial" w:cs="Arial"/>
          <w:i/>
        </w:rPr>
        <w:t xml:space="preserve">Pros: </w:t>
      </w:r>
      <w:r w:rsidR="00F13ABA">
        <w:rPr>
          <w:rFonts w:ascii="Arial" w:hAnsi="Arial" w:cs="Arial"/>
          <w:iCs/>
        </w:rPr>
        <w:t xml:space="preserve">Leading and Lagging strategy is an effective strategy in cash flow management for the short term. Prediction of a favourable exchange rate movement can </w:t>
      </w:r>
      <w:r w:rsidR="007C4EF8">
        <w:rPr>
          <w:rFonts w:ascii="Arial" w:hAnsi="Arial" w:cs="Arial"/>
          <w:iCs/>
        </w:rPr>
        <w:t xml:space="preserve">also be </w:t>
      </w:r>
      <w:proofErr w:type="spellStart"/>
      <w:r w:rsidR="007C4EF8">
        <w:rPr>
          <w:rFonts w:ascii="Arial" w:hAnsi="Arial" w:cs="Arial"/>
          <w:iCs/>
        </w:rPr>
        <w:t>capitalized</w:t>
      </w:r>
      <w:proofErr w:type="spellEnd"/>
      <w:r w:rsidR="007C4EF8">
        <w:rPr>
          <w:rFonts w:ascii="Arial" w:hAnsi="Arial" w:cs="Arial"/>
          <w:iCs/>
        </w:rPr>
        <w:t xml:space="preserve"> by MNCs by using Leading and Lagging strategy. </w:t>
      </w:r>
    </w:p>
    <w:p w14:paraId="69761CC2" w14:textId="0010DCC7" w:rsidR="007C4EF8" w:rsidRPr="007C4EF8" w:rsidRDefault="00725AA3" w:rsidP="007C4EF8">
      <w:pPr>
        <w:ind w:left="720"/>
        <w:rPr>
          <w:rFonts w:ascii="Arial" w:hAnsi="Arial" w:cs="Arial"/>
        </w:rPr>
      </w:pPr>
      <w:r w:rsidRPr="00B818AF">
        <w:rPr>
          <w:rFonts w:ascii="Arial" w:hAnsi="Arial" w:cs="Arial"/>
          <w:i/>
        </w:rPr>
        <w:t xml:space="preserve">Cons: </w:t>
      </w:r>
      <w:r w:rsidR="007C4EF8">
        <w:rPr>
          <w:rFonts w:ascii="Arial" w:hAnsi="Arial" w:cs="Arial"/>
          <w:iCs/>
        </w:rPr>
        <w:t xml:space="preserve">Negotiations with suppliers and customers can be difficult and may damage relationship between the </w:t>
      </w:r>
      <w:proofErr w:type="spellStart"/>
      <w:r w:rsidR="007C4EF8">
        <w:rPr>
          <w:rFonts w:ascii="Arial" w:hAnsi="Arial" w:cs="Arial"/>
          <w:iCs/>
        </w:rPr>
        <w:t>organization</w:t>
      </w:r>
      <w:proofErr w:type="spellEnd"/>
      <w:r w:rsidR="007C4EF8">
        <w:rPr>
          <w:rFonts w:ascii="Arial" w:hAnsi="Arial" w:cs="Arial"/>
          <w:iCs/>
        </w:rPr>
        <w:t xml:space="preserve"> and them. Also, an </w:t>
      </w:r>
      <w:proofErr w:type="spellStart"/>
      <w:r w:rsidR="007C4EF8">
        <w:rPr>
          <w:rFonts w:ascii="Arial" w:hAnsi="Arial" w:cs="Arial"/>
          <w:iCs/>
        </w:rPr>
        <w:t>organization</w:t>
      </w:r>
      <w:proofErr w:type="spellEnd"/>
      <w:r w:rsidR="007C4EF8">
        <w:rPr>
          <w:rFonts w:ascii="Arial" w:hAnsi="Arial" w:cs="Arial"/>
          <w:iCs/>
        </w:rPr>
        <w:t xml:space="preserve"> without substantial bargaining power will not be able to successfully implement this strategy </w:t>
      </w:r>
      <w:r w:rsidR="007C4EF8" w:rsidRPr="00B818AF">
        <w:rPr>
          <w:rFonts w:ascii="Arial" w:hAnsi="Arial" w:cs="Arial"/>
        </w:rPr>
        <w:t>(</w:t>
      </w:r>
      <w:proofErr w:type="spellStart"/>
      <w:r w:rsidR="007C4EF8" w:rsidRPr="00B818AF">
        <w:rPr>
          <w:rFonts w:ascii="Arial" w:hAnsi="Arial" w:cs="Arial"/>
        </w:rPr>
        <w:t>SIDDAIAH</w:t>
      </w:r>
      <w:proofErr w:type="spellEnd"/>
      <w:r w:rsidR="007C4EF8" w:rsidRPr="00B818AF">
        <w:rPr>
          <w:rFonts w:ascii="Arial" w:hAnsi="Arial" w:cs="Arial"/>
        </w:rPr>
        <w:t>, 2015).</w:t>
      </w:r>
    </w:p>
    <w:p w14:paraId="5672F40B" w14:textId="0F1A4D97" w:rsidR="00725AA3" w:rsidRPr="00B818AF" w:rsidRDefault="00725AA3" w:rsidP="003125B5">
      <w:pPr>
        <w:pStyle w:val="Heading2"/>
        <w:rPr>
          <w:rFonts w:ascii="Arial" w:hAnsi="Arial" w:cs="Arial"/>
        </w:rPr>
      </w:pPr>
      <w:bookmarkStart w:id="10" w:name="_Toc153808481"/>
      <w:r w:rsidRPr="00B818AF">
        <w:rPr>
          <w:rFonts w:ascii="Arial" w:hAnsi="Arial" w:cs="Arial"/>
        </w:rPr>
        <w:t>g. Cross Currency Swaps:</w:t>
      </w:r>
      <w:bookmarkEnd w:id="10"/>
    </w:p>
    <w:p w14:paraId="07878EEB" w14:textId="34D7B522" w:rsidR="008A04E4" w:rsidRPr="008A04E4" w:rsidRDefault="008A04E4" w:rsidP="00725AA3">
      <w:pPr>
        <w:rPr>
          <w:rFonts w:ascii="Arial" w:hAnsi="Arial" w:cs="Arial"/>
        </w:rPr>
      </w:pPr>
      <w:r w:rsidRPr="008A04E4">
        <w:rPr>
          <w:rFonts w:ascii="Arial" w:hAnsi="Arial" w:cs="Arial"/>
          <w:i/>
          <w:iCs/>
        </w:rPr>
        <w:t>Description:</w:t>
      </w:r>
      <w:r>
        <w:rPr>
          <w:rFonts w:ascii="Arial" w:hAnsi="Arial" w:cs="Arial"/>
          <w:i/>
          <w:iCs/>
        </w:rPr>
        <w:t xml:space="preserve"> </w:t>
      </w:r>
      <w:r>
        <w:rPr>
          <w:rFonts w:ascii="Arial" w:hAnsi="Arial" w:cs="Arial"/>
        </w:rPr>
        <w:t xml:space="preserve">MNCs based in UK can swap interest payments and principal from one currency to by using cross currency swaps. This strategy is effective in lowering the cost of foreign capital. </w:t>
      </w:r>
      <w:r w:rsidRPr="008A04E4">
        <w:rPr>
          <w:rFonts w:ascii="Arial" w:hAnsi="Arial" w:cs="Arial"/>
          <w:i/>
          <w:iCs/>
        </w:rPr>
        <w:t>Example</w:t>
      </w:r>
      <w:r>
        <w:rPr>
          <w:rFonts w:ascii="Arial" w:hAnsi="Arial" w:cs="Arial"/>
          <w:i/>
          <w:iCs/>
        </w:rPr>
        <w:t xml:space="preserve">: </w:t>
      </w:r>
      <w:r>
        <w:rPr>
          <w:rFonts w:ascii="Arial" w:hAnsi="Arial" w:cs="Arial"/>
        </w:rPr>
        <w:t xml:space="preserve">Shell Plc, a British Multinational oil and gas company, can use cross currency swaps to achieve the goal of lowering the borrowing costs of foreign capital and also to manage foreign exchange risk. </w:t>
      </w:r>
    </w:p>
    <w:p w14:paraId="604D1575" w14:textId="3065FD45" w:rsidR="008A04E4" w:rsidRPr="00594B35" w:rsidRDefault="00725AA3" w:rsidP="00594B35">
      <w:pPr>
        <w:ind w:left="720"/>
        <w:rPr>
          <w:rFonts w:ascii="Arial" w:hAnsi="Arial" w:cs="Arial"/>
        </w:rPr>
      </w:pPr>
      <w:r w:rsidRPr="00B818AF">
        <w:rPr>
          <w:rFonts w:ascii="Arial" w:hAnsi="Arial" w:cs="Arial"/>
          <w:i/>
        </w:rPr>
        <w:t xml:space="preserve">Pros: </w:t>
      </w:r>
      <w:r w:rsidR="008A04E4">
        <w:rPr>
          <w:rFonts w:ascii="Arial" w:hAnsi="Arial" w:cs="Arial"/>
          <w:iCs/>
        </w:rPr>
        <w:t xml:space="preserve">Cross currency swaps allow MNCs to borrow at a lower cost in their preferred currencies. This strategy is effective when the </w:t>
      </w:r>
      <w:proofErr w:type="spellStart"/>
      <w:r w:rsidR="008A04E4">
        <w:rPr>
          <w:rFonts w:ascii="Arial" w:hAnsi="Arial" w:cs="Arial"/>
          <w:iCs/>
        </w:rPr>
        <w:t>organization’s</w:t>
      </w:r>
      <w:proofErr w:type="spellEnd"/>
      <w:r w:rsidR="008A04E4">
        <w:rPr>
          <w:rFonts w:ascii="Arial" w:hAnsi="Arial" w:cs="Arial"/>
          <w:iCs/>
        </w:rPr>
        <w:t xml:space="preserve"> currency of its cash flows is different from the currency of financing sources. MNCs can also ensure certainty of cash flow </w:t>
      </w:r>
      <w:r w:rsidR="00594B35">
        <w:rPr>
          <w:rFonts w:ascii="Arial" w:hAnsi="Arial" w:cs="Arial"/>
          <w:iCs/>
        </w:rPr>
        <w:t xml:space="preserve">by using this strategy. These strategies can also be used to manage foreign exchange risk arising from capital investments and acquisition in foreign countries. This will facilitate companies to reduce foreign exchange risk in their foreign debt.  </w:t>
      </w:r>
    </w:p>
    <w:p w14:paraId="5F0BC62F" w14:textId="5ECA03AD" w:rsidR="00725AA3" w:rsidRPr="00B818AF" w:rsidRDefault="00725AA3" w:rsidP="00B818AF">
      <w:pPr>
        <w:ind w:left="720"/>
        <w:rPr>
          <w:rFonts w:ascii="Arial" w:hAnsi="Arial" w:cs="Arial"/>
        </w:rPr>
      </w:pPr>
      <w:r w:rsidRPr="00B818AF">
        <w:rPr>
          <w:rFonts w:ascii="Arial" w:hAnsi="Arial" w:cs="Arial"/>
          <w:i/>
        </w:rPr>
        <w:t xml:space="preserve">Cons: </w:t>
      </w:r>
      <w:r w:rsidR="00594B35">
        <w:rPr>
          <w:rFonts w:ascii="Arial" w:hAnsi="Arial" w:cs="Arial"/>
        </w:rPr>
        <w:t xml:space="preserve">MNCs may face counterparty risk and require working capital as a result of using this strategy. </w:t>
      </w:r>
      <w:r w:rsidRPr="00B818AF">
        <w:rPr>
          <w:rFonts w:ascii="Arial" w:hAnsi="Arial" w:cs="Arial"/>
        </w:rPr>
        <w:t xml:space="preserve">Deploying this strategy requires significant expertise to structure optimally and understand embedded risks like fixing conversion rates. This strategy can also result in on-going fair value adjustments affecting earnings and causing the </w:t>
      </w:r>
      <w:proofErr w:type="spellStart"/>
      <w:r w:rsidRPr="00B818AF">
        <w:rPr>
          <w:rFonts w:ascii="Arial" w:hAnsi="Arial" w:cs="Arial"/>
        </w:rPr>
        <w:t>organizations</w:t>
      </w:r>
      <w:proofErr w:type="spellEnd"/>
      <w:r w:rsidRPr="00B818AF">
        <w:rPr>
          <w:rFonts w:ascii="Arial" w:hAnsi="Arial" w:cs="Arial"/>
        </w:rPr>
        <w:t xml:space="preserve"> earnings to become volatile</w:t>
      </w:r>
      <w:r w:rsidR="003125B5" w:rsidRPr="00B818AF">
        <w:rPr>
          <w:rFonts w:ascii="Arial" w:hAnsi="Arial" w:cs="Arial"/>
        </w:rPr>
        <w:t xml:space="preserve"> (Williamson, 2020)</w:t>
      </w:r>
      <w:r w:rsidRPr="00B818AF">
        <w:rPr>
          <w:rFonts w:ascii="Arial" w:hAnsi="Arial" w:cs="Arial"/>
        </w:rPr>
        <w:t xml:space="preserve">. </w:t>
      </w:r>
    </w:p>
    <w:p w14:paraId="452B36DA" w14:textId="7130ED2A" w:rsidR="00980A65" w:rsidRPr="00B818AF" w:rsidRDefault="00725AA3" w:rsidP="003125B5">
      <w:pPr>
        <w:pStyle w:val="Heading2"/>
        <w:rPr>
          <w:rFonts w:ascii="Arial" w:hAnsi="Arial" w:cs="Arial"/>
        </w:rPr>
      </w:pPr>
      <w:bookmarkStart w:id="11" w:name="_Toc153808482"/>
      <w:r w:rsidRPr="00B818AF">
        <w:rPr>
          <w:rFonts w:ascii="Arial" w:hAnsi="Arial" w:cs="Arial"/>
        </w:rPr>
        <w:lastRenderedPageBreak/>
        <w:t>h</w:t>
      </w:r>
      <w:r w:rsidR="00980A65" w:rsidRPr="00B818AF">
        <w:rPr>
          <w:rFonts w:ascii="Arial" w:hAnsi="Arial" w:cs="Arial"/>
        </w:rPr>
        <w:t>. Local Financing:</w:t>
      </w:r>
      <w:bookmarkEnd w:id="11"/>
    </w:p>
    <w:p w14:paraId="62F89D51" w14:textId="638C5D17" w:rsidR="00281BB9" w:rsidRPr="00B818AF" w:rsidRDefault="00980A65" w:rsidP="00980A65">
      <w:pPr>
        <w:rPr>
          <w:rFonts w:ascii="Arial" w:hAnsi="Arial" w:cs="Arial"/>
        </w:rPr>
      </w:pPr>
      <w:r w:rsidRPr="00B818AF">
        <w:rPr>
          <w:rFonts w:ascii="Arial" w:hAnsi="Arial" w:cs="Arial"/>
          <w:i/>
        </w:rPr>
        <w:t xml:space="preserve">Description: </w:t>
      </w:r>
      <w:r w:rsidRPr="00B818AF">
        <w:rPr>
          <w:rFonts w:ascii="Arial" w:hAnsi="Arial" w:cs="Arial"/>
        </w:rPr>
        <w:t>MNCs can also choose to use the local capital market instead of the foreign capital market to raise debt and equi</w:t>
      </w:r>
      <w:r w:rsidR="00281BB9" w:rsidRPr="00B818AF">
        <w:rPr>
          <w:rFonts w:ascii="Arial" w:hAnsi="Arial" w:cs="Arial"/>
        </w:rPr>
        <w:t xml:space="preserve">ty financing which will offset exposure to overseas assets. </w:t>
      </w:r>
      <w:r w:rsidR="00281BB9" w:rsidRPr="00B818AF">
        <w:rPr>
          <w:rFonts w:ascii="Arial" w:hAnsi="Arial" w:cs="Arial"/>
          <w:i/>
        </w:rPr>
        <w:t xml:space="preserve">Example: </w:t>
      </w:r>
      <w:r w:rsidR="00281BB9" w:rsidRPr="00B818AF">
        <w:rPr>
          <w:rFonts w:ascii="Arial" w:hAnsi="Arial" w:cs="Arial"/>
        </w:rPr>
        <w:t>If Barclays issue</w:t>
      </w:r>
      <w:r w:rsidR="00EF6BAD" w:rsidRPr="00B818AF">
        <w:rPr>
          <w:rFonts w:ascii="Arial" w:hAnsi="Arial" w:cs="Arial"/>
        </w:rPr>
        <w:t>s</w:t>
      </w:r>
      <w:r w:rsidR="00281BB9" w:rsidRPr="00B818AF">
        <w:rPr>
          <w:rFonts w:ascii="Arial" w:hAnsi="Arial" w:cs="Arial"/>
        </w:rPr>
        <w:t xml:space="preserve"> a bond in local denominated currency, this can be considered a strategy of local financing to manage foreign exchange risk. </w:t>
      </w:r>
    </w:p>
    <w:p w14:paraId="43B9AC5D" w14:textId="1AF6BB09" w:rsidR="00195BB2" w:rsidRPr="00B818AF" w:rsidRDefault="00195BB2" w:rsidP="00B818AF">
      <w:pPr>
        <w:ind w:left="720"/>
        <w:rPr>
          <w:rFonts w:ascii="Arial" w:hAnsi="Arial" w:cs="Arial"/>
        </w:rPr>
      </w:pPr>
      <w:r w:rsidRPr="00B818AF">
        <w:rPr>
          <w:rFonts w:ascii="Arial" w:hAnsi="Arial" w:cs="Arial"/>
          <w:i/>
        </w:rPr>
        <w:t xml:space="preserve">Pros: </w:t>
      </w:r>
      <w:r w:rsidR="00696126" w:rsidRPr="00B818AF">
        <w:rPr>
          <w:rFonts w:ascii="Arial" w:hAnsi="Arial" w:cs="Arial"/>
        </w:rPr>
        <w:t xml:space="preserve">Raising capital and loans in local currency protects parent company’s financial statements and debt capacity. </w:t>
      </w:r>
      <w:r w:rsidRPr="00B818AF">
        <w:rPr>
          <w:rFonts w:ascii="Arial" w:hAnsi="Arial" w:cs="Arial"/>
        </w:rPr>
        <w:t xml:space="preserve"> </w:t>
      </w:r>
    </w:p>
    <w:p w14:paraId="3209F99C" w14:textId="34774EAF" w:rsidR="00195BB2" w:rsidRPr="00B818AF" w:rsidRDefault="00195BB2" w:rsidP="00B818AF">
      <w:pPr>
        <w:ind w:left="720"/>
        <w:rPr>
          <w:rFonts w:ascii="Arial" w:hAnsi="Arial" w:cs="Arial"/>
        </w:rPr>
      </w:pPr>
      <w:r w:rsidRPr="00B818AF">
        <w:rPr>
          <w:rFonts w:ascii="Arial" w:hAnsi="Arial" w:cs="Arial"/>
          <w:i/>
        </w:rPr>
        <w:t xml:space="preserve">Cons: </w:t>
      </w:r>
      <w:r w:rsidR="00696126" w:rsidRPr="00B818AF">
        <w:rPr>
          <w:rFonts w:ascii="Arial" w:hAnsi="Arial" w:cs="Arial"/>
        </w:rPr>
        <w:t xml:space="preserve">This can be more expensive than </w:t>
      </w:r>
      <w:proofErr w:type="spellStart"/>
      <w:r w:rsidR="00696126" w:rsidRPr="00B818AF">
        <w:rPr>
          <w:rFonts w:ascii="Arial" w:hAnsi="Arial" w:cs="Arial"/>
        </w:rPr>
        <w:t>centralized</w:t>
      </w:r>
      <w:proofErr w:type="spellEnd"/>
      <w:r w:rsidR="00696126" w:rsidRPr="00B818AF">
        <w:rPr>
          <w:rFonts w:ascii="Arial" w:hAnsi="Arial" w:cs="Arial"/>
        </w:rPr>
        <w:t xml:space="preserve"> financing in UK based parent’s currency. This also likely going to relinquish some control over overseas subsidiaries’ capital budgeting and management. </w:t>
      </w:r>
      <w:r w:rsidRPr="00B818AF">
        <w:rPr>
          <w:rFonts w:ascii="Arial" w:hAnsi="Arial" w:cs="Arial"/>
        </w:rPr>
        <w:t xml:space="preserve"> </w:t>
      </w:r>
    </w:p>
    <w:p w14:paraId="0FDD0B78" w14:textId="1A1122E5" w:rsidR="00114255" w:rsidRPr="00B818AF" w:rsidRDefault="00725AA3" w:rsidP="00725AA3">
      <w:pPr>
        <w:pStyle w:val="Heading1"/>
        <w:rPr>
          <w:rFonts w:ascii="Arial" w:hAnsi="Arial" w:cs="Arial"/>
        </w:rPr>
      </w:pPr>
      <w:bookmarkStart w:id="12" w:name="_Toc153808483"/>
      <w:r w:rsidRPr="00B818AF">
        <w:rPr>
          <w:rFonts w:ascii="Arial" w:hAnsi="Arial" w:cs="Arial"/>
        </w:rPr>
        <w:t>Conclusion</w:t>
      </w:r>
      <w:bookmarkEnd w:id="12"/>
    </w:p>
    <w:p w14:paraId="1E745DC6" w14:textId="41195A3A" w:rsidR="00725AA3" w:rsidRPr="00B818AF" w:rsidRDefault="00725AA3" w:rsidP="00725AA3">
      <w:pPr>
        <w:rPr>
          <w:rFonts w:ascii="Arial" w:hAnsi="Arial" w:cs="Arial"/>
        </w:rPr>
      </w:pPr>
      <w:r w:rsidRPr="00B818AF">
        <w:rPr>
          <w:rFonts w:ascii="Arial" w:hAnsi="Arial" w:cs="Arial"/>
        </w:rPr>
        <w:t>In practice. MNCs based in UK use a combination of these strategies to create a robust risk management framework to shield against foreign exchange risks. The effectiveness of these strategies depend</w:t>
      </w:r>
      <w:r w:rsidR="00EF6BAD" w:rsidRPr="00B818AF">
        <w:rPr>
          <w:rFonts w:ascii="Arial" w:hAnsi="Arial" w:cs="Arial"/>
        </w:rPr>
        <w:t>s</w:t>
      </w:r>
      <w:r w:rsidRPr="00B818AF">
        <w:rPr>
          <w:rFonts w:ascii="Arial" w:hAnsi="Arial" w:cs="Arial"/>
        </w:rPr>
        <w:t xml:space="preserve"> on the specific circumstances of the company, risk tolerance of the company and the nature of the MNC’s overseas operations. MNCs also regularly review and adjust their strategies in response to change</w:t>
      </w:r>
      <w:r w:rsidR="00EF6BAD" w:rsidRPr="00B818AF">
        <w:rPr>
          <w:rFonts w:ascii="Arial" w:hAnsi="Arial" w:cs="Arial"/>
        </w:rPr>
        <w:t>s</w:t>
      </w:r>
      <w:r w:rsidRPr="00B818AF">
        <w:rPr>
          <w:rFonts w:ascii="Arial" w:hAnsi="Arial" w:cs="Arial"/>
        </w:rPr>
        <w:t xml:space="preserve"> in market conditions, global economic factors, geopolitical changes and business dynamics. The dynamic nature of the international foreign exchange market requires a proactive and adaptive approach by the MNCs to successfully manage risk against foreign exchange volatility. </w:t>
      </w:r>
    </w:p>
    <w:p w14:paraId="5B073C7A" w14:textId="77777777" w:rsidR="00AD192E" w:rsidRDefault="00AD192E" w:rsidP="00725AA3">
      <w:pPr>
        <w:rPr>
          <w:rFonts w:ascii="Arial" w:hAnsi="Arial" w:cs="Arial"/>
        </w:rPr>
        <w:sectPr w:rsidR="00AD192E" w:rsidSect="00FF4149">
          <w:pgSz w:w="12240" w:h="15840"/>
          <w:pgMar w:top="1440" w:right="1440" w:bottom="1440" w:left="1440" w:header="720" w:footer="720" w:gutter="0"/>
          <w:cols w:space="720"/>
          <w:docGrid w:linePitch="360"/>
        </w:sectPr>
      </w:pPr>
    </w:p>
    <w:p w14:paraId="60347F2E" w14:textId="760CDB5B" w:rsidR="00114255" w:rsidRPr="00B818AF" w:rsidRDefault="00114255" w:rsidP="00114255">
      <w:pPr>
        <w:pStyle w:val="Heading1"/>
        <w:rPr>
          <w:rFonts w:ascii="Arial" w:hAnsi="Arial" w:cs="Arial"/>
        </w:rPr>
      </w:pPr>
      <w:bookmarkStart w:id="13" w:name="_Toc153808484"/>
      <w:r w:rsidRPr="00B818AF">
        <w:rPr>
          <w:rFonts w:ascii="Arial" w:hAnsi="Arial" w:cs="Arial"/>
        </w:rPr>
        <w:lastRenderedPageBreak/>
        <w:t>References</w:t>
      </w:r>
      <w:bookmarkEnd w:id="13"/>
    </w:p>
    <w:p w14:paraId="7C4A9E35" w14:textId="77777777" w:rsidR="006D7118" w:rsidRPr="00B818AF" w:rsidRDefault="006D7118" w:rsidP="006D7118">
      <w:pPr>
        <w:rPr>
          <w:rFonts w:ascii="Arial" w:hAnsi="Arial" w:cs="Arial"/>
        </w:rPr>
      </w:pPr>
      <w:r w:rsidRPr="00B818AF">
        <w:rPr>
          <w:rFonts w:ascii="Arial" w:hAnsi="Arial" w:cs="Arial"/>
        </w:rPr>
        <w:t xml:space="preserve">Blanchard, O. (2021) Macroeconomics. Harlow (Gran </w:t>
      </w:r>
      <w:proofErr w:type="spellStart"/>
      <w:r w:rsidRPr="00B818AF">
        <w:rPr>
          <w:rFonts w:ascii="Arial" w:hAnsi="Arial" w:cs="Arial"/>
        </w:rPr>
        <w:t>Bretaña</w:t>
      </w:r>
      <w:proofErr w:type="spellEnd"/>
      <w:r w:rsidRPr="00B818AF">
        <w:rPr>
          <w:rFonts w:ascii="Arial" w:hAnsi="Arial" w:cs="Arial"/>
        </w:rPr>
        <w:t xml:space="preserve">): Pearson. </w:t>
      </w:r>
    </w:p>
    <w:p w14:paraId="55A44BC4" w14:textId="77777777" w:rsidR="006D7118" w:rsidRPr="00B818AF" w:rsidRDefault="006D7118" w:rsidP="006D7118">
      <w:pPr>
        <w:rPr>
          <w:rFonts w:ascii="Arial" w:hAnsi="Arial" w:cs="Arial"/>
        </w:rPr>
      </w:pPr>
      <w:proofErr w:type="spellStart"/>
      <w:r w:rsidRPr="00B818AF">
        <w:rPr>
          <w:rFonts w:ascii="Arial" w:hAnsi="Arial" w:cs="Arial"/>
        </w:rPr>
        <w:t>Dornbusch</w:t>
      </w:r>
      <w:proofErr w:type="spellEnd"/>
      <w:r w:rsidRPr="00B818AF">
        <w:rPr>
          <w:rFonts w:ascii="Arial" w:hAnsi="Arial" w:cs="Arial"/>
        </w:rPr>
        <w:t xml:space="preserve">, R. et al. (2021) Macroeconomics. Toronto, Ontario: McGraw Hill. </w:t>
      </w:r>
    </w:p>
    <w:p w14:paraId="1AFB896E" w14:textId="77777777" w:rsidR="006D7118" w:rsidRPr="00B818AF" w:rsidRDefault="006D7118" w:rsidP="006D7118">
      <w:pPr>
        <w:rPr>
          <w:rFonts w:ascii="Arial" w:hAnsi="Arial" w:cs="Arial"/>
        </w:rPr>
      </w:pPr>
      <w:proofErr w:type="spellStart"/>
      <w:r w:rsidRPr="00B818AF">
        <w:rPr>
          <w:rFonts w:ascii="Arial" w:hAnsi="Arial" w:cs="Arial"/>
        </w:rPr>
        <w:t>Eun</w:t>
      </w:r>
      <w:proofErr w:type="spellEnd"/>
      <w:r w:rsidRPr="00B818AF">
        <w:rPr>
          <w:rFonts w:ascii="Arial" w:hAnsi="Arial" w:cs="Arial"/>
        </w:rPr>
        <w:t xml:space="preserve">, C.S. et al. (2024) International Financial Management. New York, NY: McGraw Hill. </w:t>
      </w:r>
    </w:p>
    <w:p w14:paraId="3ED3F1AA" w14:textId="77777777" w:rsidR="006D7118" w:rsidRPr="00B818AF" w:rsidRDefault="006D7118" w:rsidP="006D7118">
      <w:pPr>
        <w:rPr>
          <w:rFonts w:ascii="Arial" w:hAnsi="Arial" w:cs="Arial"/>
        </w:rPr>
      </w:pPr>
      <w:r w:rsidRPr="00B818AF">
        <w:rPr>
          <w:rFonts w:ascii="Arial" w:hAnsi="Arial" w:cs="Arial"/>
        </w:rPr>
        <w:t xml:space="preserve">Madura, J. and Fox, R. (2023) International Financial Management. United Kingdom: </w:t>
      </w:r>
      <w:proofErr w:type="spellStart"/>
      <w:r w:rsidRPr="00B818AF">
        <w:rPr>
          <w:rFonts w:ascii="Arial" w:hAnsi="Arial" w:cs="Arial"/>
        </w:rPr>
        <w:t>CENGAGE</w:t>
      </w:r>
      <w:proofErr w:type="spellEnd"/>
      <w:r w:rsidRPr="00B818AF">
        <w:rPr>
          <w:rFonts w:ascii="Arial" w:hAnsi="Arial" w:cs="Arial"/>
        </w:rPr>
        <w:t xml:space="preserve"> LEARNING EMEA. </w:t>
      </w:r>
    </w:p>
    <w:p w14:paraId="63EAE324" w14:textId="77777777" w:rsidR="006D7118" w:rsidRPr="00B818AF" w:rsidRDefault="006D7118" w:rsidP="006D7118">
      <w:pPr>
        <w:rPr>
          <w:rFonts w:ascii="Arial" w:hAnsi="Arial" w:cs="Arial"/>
        </w:rPr>
      </w:pPr>
      <w:proofErr w:type="spellStart"/>
      <w:r w:rsidRPr="00B818AF">
        <w:rPr>
          <w:rFonts w:ascii="Arial" w:hAnsi="Arial" w:cs="Arial"/>
        </w:rPr>
        <w:t>SIDDAIAH</w:t>
      </w:r>
      <w:proofErr w:type="spellEnd"/>
      <w:r w:rsidRPr="00B818AF">
        <w:rPr>
          <w:rFonts w:ascii="Arial" w:hAnsi="Arial" w:cs="Arial"/>
        </w:rPr>
        <w:t xml:space="preserve">, T. (2015) International Financial Management. PEARSON EDUCATION INDIA. </w:t>
      </w:r>
    </w:p>
    <w:p w14:paraId="40FD737A" w14:textId="4518DADB" w:rsidR="00350102" w:rsidRPr="00B818AF" w:rsidRDefault="006D7118" w:rsidP="006D7118">
      <w:pPr>
        <w:rPr>
          <w:rFonts w:ascii="Arial" w:hAnsi="Arial" w:cs="Arial"/>
        </w:rPr>
      </w:pPr>
      <w:r w:rsidRPr="00B818AF">
        <w:rPr>
          <w:rFonts w:ascii="Arial" w:hAnsi="Arial" w:cs="Arial"/>
        </w:rPr>
        <w:t>Williamson, S.D. (2020) Macroeconomics. North York, Ontario: Pearson.</w:t>
      </w:r>
    </w:p>
    <w:sectPr w:rsidR="00350102" w:rsidRPr="00B818A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2BF3A" w14:textId="77777777" w:rsidR="00FF4149" w:rsidRDefault="00FF4149" w:rsidP="007611FC">
      <w:pPr>
        <w:spacing w:after="0" w:line="240" w:lineRule="auto"/>
      </w:pPr>
      <w:r>
        <w:separator/>
      </w:r>
    </w:p>
  </w:endnote>
  <w:endnote w:type="continuationSeparator" w:id="0">
    <w:p w14:paraId="14987B24" w14:textId="77777777" w:rsidR="00FF4149" w:rsidRDefault="00FF4149" w:rsidP="007611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DC0827" w14:textId="77777777" w:rsidR="00FF4149" w:rsidRDefault="00FF4149" w:rsidP="007611FC">
      <w:pPr>
        <w:spacing w:after="0" w:line="240" w:lineRule="auto"/>
      </w:pPr>
      <w:r>
        <w:separator/>
      </w:r>
    </w:p>
  </w:footnote>
  <w:footnote w:type="continuationSeparator" w:id="0">
    <w:p w14:paraId="7C719C68" w14:textId="77777777" w:rsidR="00FF4149" w:rsidRDefault="00FF4149" w:rsidP="007611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1275A"/>
    <w:multiLevelType w:val="hybridMultilevel"/>
    <w:tmpl w:val="B9C8D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563B88"/>
    <w:multiLevelType w:val="hybridMultilevel"/>
    <w:tmpl w:val="445CDE26"/>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49E7642A"/>
    <w:multiLevelType w:val="hybridMultilevel"/>
    <w:tmpl w:val="90463E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F7C023B"/>
    <w:multiLevelType w:val="hybridMultilevel"/>
    <w:tmpl w:val="F89E90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CAC05F5"/>
    <w:multiLevelType w:val="hybridMultilevel"/>
    <w:tmpl w:val="778467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193105E"/>
    <w:multiLevelType w:val="hybridMultilevel"/>
    <w:tmpl w:val="1F1E35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62436FD5"/>
    <w:multiLevelType w:val="hybridMultilevel"/>
    <w:tmpl w:val="1D4664E4"/>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624E042C"/>
    <w:multiLevelType w:val="hybridMultilevel"/>
    <w:tmpl w:val="C9C2A40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2760A5F"/>
    <w:multiLevelType w:val="hybridMultilevel"/>
    <w:tmpl w:val="4538E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06776F6"/>
    <w:multiLevelType w:val="hybridMultilevel"/>
    <w:tmpl w:val="3D0A3390"/>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B681648"/>
    <w:multiLevelType w:val="hybridMultilevel"/>
    <w:tmpl w:val="FE440F0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9430978">
    <w:abstractNumId w:val="2"/>
  </w:num>
  <w:num w:numId="2" w16cid:durableId="110437433">
    <w:abstractNumId w:val="9"/>
  </w:num>
  <w:num w:numId="3" w16cid:durableId="1393843039">
    <w:abstractNumId w:val="1"/>
  </w:num>
  <w:num w:numId="4" w16cid:durableId="424959266">
    <w:abstractNumId w:val="7"/>
  </w:num>
  <w:num w:numId="5" w16cid:durableId="1824731282">
    <w:abstractNumId w:val="6"/>
  </w:num>
  <w:num w:numId="6" w16cid:durableId="57411103">
    <w:abstractNumId w:val="8"/>
  </w:num>
  <w:num w:numId="7" w16cid:durableId="1997566901">
    <w:abstractNumId w:val="4"/>
  </w:num>
  <w:num w:numId="8" w16cid:durableId="109277720">
    <w:abstractNumId w:val="10"/>
  </w:num>
  <w:num w:numId="9" w16cid:durableId="1734157654">
    <w:abstractNumId w:val="3"/>
  </w:num>
  <w:num w:numId="10" w16cid:durableId="1525553371">
    <w:abstractNumId w:val="0"/>
  </w:num>
  <w:num w:numId="11" w16cid:durableId="32552180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C3749"/>
    <w:rsid w:val="000025D4"/>
    <w:rsid w:val="000025E8"/>
    <w:rsid w:val="00013636"/>
    <w:rsid w:val="000B7D6B"/>
    <w:rsid w:val="000D63A0"/>
    <w:rsid w:val="000E0E77"/>
    <w:rsid w:val="000E7728"/>
    <w:rsid w:val="000E786C"/>
    <w:rsid w:val="000F08DF"/>
    <w:rsid w:val="000F5833"/>
    <w:rsid w:val="00100C38"/>
    <w:rsid w:val="00114255"/>
    <w:rsid w:val="00114F8F"/>
    <w:rsid w:val="00132170"/>
    <w:rsid w:val="00135FFB"/>
    <w:rsid w:val="00162E71"/>
    <w:rsid w:val="00170086"/>
    <w:rsid w:val="00182B9F"/>
    <w:rsid w:val="00195BB2"/>
    <w:rsid w:val="001B60D4"/>
    <w:rsid w:val="001B7E98"/>
    <w:rsid w:val="001E1839"/>
    <w:rsid w:val="001F7514"/>
    <w:rsid w:val="002265EE"/>
    <w:rsid w:val="00236880"/>
    <w:rsid w:val="0024268D"/>
    <w:rsid w:val="00281BB9"/>
    <w:rsid w:val="002B5139"/>
    <w:rsid w:val="002C2BA9"/>
    <w:rsid w:val="002C3749"/>
    <w:rsid w:val="002D3508"/>
    <w:rsid w:val="002E01BD"/>
    <w:rsid w:val="003125B5"/>
    <w:rsid w:val="003247C8"/>
    <w:rsid w:val="00343B35"/>
    <w:rsid w:val="00350102"/>
    <w:rsid w:val="0037342A"/>
    <w:rsid w:val="00381B5D"/>
    <w:rsid w:val="003A4217"/>
    <w:rsid w:val="003B5A25"/>
    <w:rsid w:val="003B5AA0"/>
    <w:rsid w:val="003C57DE"/>
    <w:rsid w:val="003D6C11"/>
    <w:rsid w:val="003E31CA"/>
    <w:rsid w:val="00420823"/>
    <w:rsid w:val="0043694B"/>
    <w:rsid w:val="004403B5"/>
    <w:rsid w:val="004471E3"/>
    <w:rsid w:val="0045402B"/>
    <w:rsid w:val="00455E59"/>
    <w:rsid w:val="004864FC"/>
    <w:rsid w:val="00487831"/>
    <w:rsid w:val="004B3C64"/>
    <w:rsid w:val="004C0BA4"/>
    <w:rsid w:val="004F6F8D"/>
    <w:rsid w:val="00510408"/>
    <w:rsid w:val="00517081"/>
    <w:rsid w:val="00521D01"/>
    <w:rsid w:val="00547D1B"/>
    <w:rsid w:val="00553396"/>
    <w:rsid w:val="00575D51"/>
    <w:rsid w:val="00580322"/>
    <w:rsid w:val="00590F3F"/>
    <w:rsid w:val="00594B35"/>
    <w:rsid w:val="005B73E5"/>
    <w:rsid w:val="005C0373"/>
    <w:rsid w:val="005D3EB0"/>
    <w:rsid w:val="005E3C8C"/>
    <w:rsid w:val="00602086"/>
    <w:rsid w:val="00635C1B"/>
    <w:rsid w:val="00650498"/>
    <w:rsid w:val="00651A30"/>
    <w:rsid w:val="0065624D"/>
    <w:rsid w:val="00680CC8"/>
    <w:rsid w:val="0068587D"/>
    <w:rsid w:val="00686D35"/>
    <w:rsid w:val="0069231A"/>
    <w:rsid w:val="0069448C"/>
    <w:rsid w:val="00696126"/>
    <w:rsid w:val="006C2E6E"/>
    <w:rsid w:val="006D7118"/>
    <w:rsid w:val="006E435F"/>
    <w:rsid w:val="00712BB2"/>
    <w:rsid w:val="00725AA3"/>
    <w:rsid w:val="00741A15"/>
    <w:rsid w:val="007611FC"/>
    <w:rsid w:val="00762459"/>
    <w:rsid w:val="00772B8C"/>
    <w:rsid w:val="00785775"/>
    <w:rsid w:val="0078703C"/>
    <w:rsid w:val="007A4913"/>
    <w:rsid w:val="007C4EF8"/>
    <w:rsid w:val="00806E3F"/>
    <w:rsid w:val="00820F3A"/>
    <w:rsid w:val="00821F62"/>
    <w:rsid w:val="00854C87"/>
    <w:rsid w:val="00875B3D"/>
    <w:rsid w:val="008944E7"/>
    <w:rsid w:val="008A04E4"/>
    <w:rsid w:val="008A697B"/>
    <w:rsid w:val="008D6E2A"/>
    <w:rsid w:val="008E27FD"/>
    <w:rsid w:val="008E2AC0"/>
    <w:rsid w:val="00917738"/>
    <w:rsid w:val="00951CD8"/>
    <w:rsid w:val="0096291E"/>
    <w:rsid w:val="009677B1"/>
    <w:rsid w:val="00980A65"/>
    <w:rsid w:val="00987186"/>
    <w:rsid w:val="00990A4C"/>
    <w:rsid w:val="009C2575"/>
    <w:rsid w:val="009C379A"/>
    <w:rsid w:val="009C7BC4"/>
    <w:rsid w:val="00A017C0"/>
    <w:rsid w:val="00A24906"/>
    <w:rsid w:val="00A360B9"/>
    <w:rsid w:val="00A950FC"/>
    <w:rsid w:val="00A95AE3"/>
    <w:rsid w:val="00AA30FE"/>
    <w:rsid w:val="00AC7512"/>
    <w:rsid w:val="00AD192E"/>
    <w:rsid w:val="00AD42DB"/>
    <w:rsid w:val="00B04867"/>
    <w:rsid w:val="00B20504"/>
    <w:rsid w:val="00B24541"/>
    <w:rsid w:val="00B41B26"/>
    <w:rsid w:val="00B818AF"/>
    <w:rsid w:val="00B85864"/>
    <w:rsid w:val="00B95CE8"/>
    <w:rsid w:val="00BA4C2A"/>
    <w:rsid w:val="00BB6A67"/>
    <w:rsid w:val="00BC299A"/>
    <w:rsid w:val="00BD41A0"/>
    <w:rsid w:val="00C1099D"/>
    <w:rsid w:val="00C12BEA"/>
    <w:rsid w:val="00C20B96"/>
    <w:rsid w:val="00C35ED8"/>
    <w:rsid w:val="00C85016"/>
    <w:rsid w:val="00CE23D1"/>
    <w:rsid w:val="00CE75A7"/>
    <w:rsid w:val="00D57653"/>
    <w:rsid w:val="00D770DB"/>
    <w:rsid w:val="00D904F7"/>
    <w:rsid w:val="00DA3D46"/>
    <w:rsid w:val="00DB104B"/>
    <w:rsid w:val="00DB736A"/>
    <w:rsid w:val="00DC69FF"/>
    <w:rsid w:val="00DE66F9"/>
    <w:rsid w:val="00DE6ECD"/>
    <w:rsid w:val="00DE7AA6"/>
    <w:rsid w:val="00E17293"/>
    <w:rsid w:val="00E36AA9"/>
    <w:rsid w:val="00E623C6"/>
    <w:rsid w:val="00E665DD"/>
    <w:rsid w:val="00E66DB1"/>
    <w:rsid w:val="00ED6CDB"/>
    <w:rsid w:val="00EF6BAD"/>
    <w:rsid w:val="00F013AD"/>
    <w:rsid w:val="00F05549"/>
    <w:rsid w:val="00F13ABA"/>
    <w:rsid w:val="00F265A3"/>
    <w:rsid w:val="00F37985"/>
    <w:rsid w:val="00F405C4"/>
    <w:rsid w:val="00F578CD"/>
    <w:rsid w:val="00F8280F"/>
    <w:rsid w:val="00FB44BD"/>
    <w:rsid w:val="00FE1324"/>
    <w:rsid w:val="00FF414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57EA7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008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611FC"/>
    <w:pPr>
      <w:keepNext/>
      <w:keepLines/>
      <w:spacing w:after="0"/>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917738"/>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125B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33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6Colourful">
    <w:name w:val="List Table 6 Colorful"/>
    <w:basedOn w:val="TableNormal"/>
    <w:uiPriority w:val="51"/>
    <w:rsid w:val="00553396"/>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2E01BD"/>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customStyle="1" w:styleId="Heading1Char">
    <w:name w:val="Heading 1 Char"/>
    <w:basedOn w:val="DefaultParagraphFont"/>
    <w:link w:val="Heading1"/>
    <w:uiPriority w:val="9"/>
    <w:rsid w:val="007611FC"/>
    <w:rPr>
      <w:rFonts w:ascii="Times New Roman" w:eastAsiaTheme="majorEastAsia" w:hAnsi="Times New Roman" w:cstheme="majorBidi"/>
      <w:b/>
      <w:color w:val="2F5496" w:themeColor="accent1" w:themeShade="BF"/>
      <w:sz w:val="28"/>
      <w:szCs w:val="32"/>
    </w:rPr>
  </w:style>
  <w:style w:type="paragraph" w:styleId="Header">
    <w:name w:val="header"/>
    <w:basedOn w:val="Normal"/>
    <w:link w:val="HeaderChar"/>
    <w:uiPriority w:val="99"/>
    <w:unhideWhenUsed/>
    <w:rsid w:val="007611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611FC"/>
    <w:rPr>
      <w:rFonts w:ascii="Times New Roman" w:hAnsi="Times New Roman"/>
      <w:sz w:val="24"/>
    </w:rPr>
  </w:style>
  <w:style w:type="paragraph" w:styleId="Footer">
    <w:name w:val="footer"/>
    <w:basedOn w:val="Normal"/>
    <w:link w:val="FooterChar"/>
    <w:uiPriority w:val="99"/>
    <w:unhideWhenUsed/>
    <w:rsid w:val="007611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611FC"/>
    <w:rPr>
      <w:rFonts w:ascii="Times New Roman" w:hAnsi="Times New Roman"/>
      <w:sz w:val="24"/>
    </w:rPr>
  </w:style>
  <w:style w:type="paragraph" w:styleId="NormalWeb">
    <w:name w:val="Normal (Web)"/>
    <w:basedOn w:val="Normal"/>
    <w:uiPriority w:val="99"/>
    <w:semiHidden/>
    <w:unhideWhenUsed/>
    <w:rsid w:val="009C7BC4"/>
    <w:pPr>
      <w:spacing w:before="100" w:beforeAutospacing="1" w:after="100" w:afterAutospacing="1" w:line="240" w:lineRule="auto"/>
      <w:jc w:val="left"/>
    </w:pPr>
    <w:rPr>
      <w:rFonts w:eastAsia="Times New Roman" w:cs="Times New Roman"/>
      <w:kern w:val="0"/>
      <w:szCs w:val="24"/>
      <w14:ligatures w14:val="none"/>
    </w:rPr>
  </w:style>
  <w:style w:type="paragraph" w:styleId="ListParagraph">
    <w:name w:val="List Paragraph"/>
    <w:basedOn w:val="Normal"/>
    <w:uiPriority w:val="34"/>
    <w:qFormat/>
    <w:rsid w:val="009C7BC4"/>
    <w:pPr>
      <w:ind w:left="720"/>
      <w:contextualSpacing/>
    </w:pPr>
  </w:style>
  <w:style w:type="paragraph" w:styleId="TOCHeading">
    <w:name w:val="TOC Heading"/>
    <w:basedOn w:val="Heading1"/>
    <w:next w:val="Normal"/>
    <w:uiPriority w:val="39"/>
    <w:unhideWhenUsed/>
    <w:qFormat/>
    <w:rsid w:val="009C7BC4"/>
    <w:pPr>
      <w:spacing w:before="240" w:line="259" w:lineRule="auto"/>
      <w:jc w:val="left"/>
      <w:outlineLvl w:val="9"/>
    </w:pPr>
    <w:rPr>
      <w:rFonts w:asciiTheme="majorHAnsi" w:hAnsiTheme="majorHAnsi"/>
      <w:b w:val="0"/>
      <w:kern w:val="0"/>
      <w:sz w:val="32"/>
      <w14:ligatures w14:val="none"/>
    </w:rPr>
  </w:style>
  <w:style w:type="paragraph" w:styleId="TOC1">
    <w:name w:val="toc 1"/>
    <w:basedOn w:val="Normal"/>
    <w:next w:val="Normal"/>
    <w:autoRedefine/>
    <w:uiPriority w:val="39"/>
    <w:unhideWhenUsed/>
    <w:rsid w:val="009C7BC4"/>
    <w:pPr>
      <w:spacing w:after="100"/>
    </w:pPr>
  </w:style>
  <w:style w:type="character" w:styleId="Hyperlink">
    <w:name w:val="Hyperlink"/>
    <w:basedOn w:val="DefaultParagraphFont"/>
    <w:uiPriority w:val="99"/>
    <w:unhideWhenUsed/>
    <w:rsid w:val="009C7BC4"/>
    <w:rPr>
      <w:color w:val="0563C1" w:themeColor="hyperlink"/>
      <w:u w:val="single"/>
    </w:rPr>
  </w:style>
  <w:style w:type="character" w:customStyle="1" w:styleId="Heading2Char">
    <w:name w:val="Heading 2 Char"/>
    <w:basedOn w:val="DefaultParagraphFont"/>
    <w:link w:val="Heading2"/>
    <w:uiPriority w:val="9"/>
    <w:rsid w:val="00917738"/>
    <w:rPr>
      <w:rFonts w:ascii="Times New Roman" w:eastAsiaTheme="majorEastAsia" w:hAnsi="Times New Roman" w:cstheme="majorBidi"/>
      <w:color w:val="2F5496" w:themeColor="accent1" w:themeShade="BF"/>
      <w:sz w:val="26"/>
      <w:szCs w:val="26"/>
      <w:lang w:val="en-GB"/>
    </w:rPr>
  </w:style>
  <w:style w:type="paragraph" w:styleId="TOC2">
    <w:name w:val="toc 2"/>
    <w:basedOn w:val="Normal"/>
    <w:next w:val="Normal"/>
    <w:autoRedefine/>
    <w:uiPriority w:val="39"/>
    <w:unhideWhenUsed/>
    <w:rsid w:val="00E36AA9"/>
    <w:pPr>
      <w:spacing w:after="100"/>
      <w:ind w:left="240"/>
    </w:pPr>
  </w:style>
  <w:style w:type="character" w:customStyle="1" w:styleId="Heading3Char">
    <w:name w:val="Heading 3 Char"/>
    <w:basedOn w:val="DefaultParagraphFont"/>
    <w:link w:val="Heading3"/>
    <w:uiPriority w:val="9"/>
    <w:rsid w:val="003125B5"/>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3125B5"/>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7974">
      <w:bodyDiv w:val="1"/>
      <w:marLeft w:val="0"/>
      <w:marRight w:val="0"/>
      <w:marTop w:val="0"/>
      <w:marBottom w:val="0"/>
      <w:divBdr>
        <w:top w:val="none" w:sz="0" w:space="0" w:color="auto"/>
        <w:left w:val="none" w:sz="0" w:space="0" w:color="auto"/>
        <w:bottom w:val="none" w:sz="0" w:space="0" w:color="auto"/>
        <w:right w:val="none" w:sz="0" w:space="0" w:color="auto"/>
      </w:divBdr>
    </w:div>
    <w:div w:id="40909936">
      <w:bodyDiv w:val="1"/>
      <w:marLeft w:val="0"/>
      <w:marRight w:val="0"/>
      <w:marTop w:val="0"/>
      <w:marBottom w:val="0"/>
      <w:divBdr>
        <w:top w:val="none" w:sz="0" w:space="0" w:color="auto"/>
        <w:left w:val="none" w:sz="0" w:space="0" w:color="auto"/>
        <w:bottom w:val="none" w:sz="0" w:space="0" w:color="auto"/>
        <w:right w:val="none" w:sz="0" w:space="0" w:color="auto"/>
      </w:divBdr>
    </w:div>
    <w:div w:id="52968197">
      <w:bodyDiv w:val="1"/>
      <w:marLeft w:val="0"/>
      <w:marRight w:val="0"/>
      <w:marTop w:val="0"/>
      <w:marBottom w:val="0"/>
      <w:divBdr>
        <w:top w:val="none" w:sz="0" w:space="0" w:color="auto"/>
        <w:left w:val="none" w:sz="0" w:space="0" w:color="auto"/>
        <w:bottom w:val="none" w:sz="0" w:space="0" w:color="auto"/>
        <w:right w:val="none" w:sz="0" w:space="0" w:color="auto"/>
      </w:divBdr>
    </w:div>
    <w:div w:id="266154623">
      <w:bodyDiv w:val="1"/>
      <w:marLeft w:val="0"/>
      <w:marRight w:val="0"/>
      <w:marTop w:val="0"/>
      <w:marBottom w:val="0"/>
      <w:divBdr>
        <w:top w:val="none" w:sz="0" w:space="0" w:color="auto"/>
        <w:left w:val="none" w:sz="0" w:space="0" w:color="auto"/>
        <w:bottom w:val="none" w:sz="0" w:space="0" w:color="auto"/>
        <w:right w:val="none" w:sz="0" w:space="0" w:color="auto"/>
      </w:divBdr>
    </w:div>
    <w:div w:id="306011562">
      <w:bodyDiv w:val="1"/>
      <w:marLeft w:val="0"/>
      <w:marRight w:val="0"/>
      <w:marTop w:val="0"/>
      <w:marBottom w:val="0"/>
      <w:divBdr>
        <w:top w:val="none" w:sz="0" w:space="0" w:color="auto"/>
        <w:left w:val="none" w:sz="0" w:space="0" w:color="auto"/>
        <w:bottom w:val="none" w:sz="0" w:space="0" w:color="auto"/>
        <w:right w:val="none" w:sz="0" w:space="0" w:color="auto"/>
      </w:divBdr>
    </w:div>
    <w:div w:id="418521270">
      <w:bodyDiv w:val="1"/>
      <w:marLeft w:val="0"/>
      <w:marRight w:val="0"/>
      <w:marTop w:val="0"/>
      <w:marBottom w:val="0"/>
      <w:divBdr>
        <w:top w:val="none" w:sz="0" w:space="0" w:color="auto"/>
        <w:left w:val="none" w:sz="0" w:space="0" w:color="auto"/>
        <w:bottom w:val="none" w:sz="0" w:space="0" w:color="auto"/>
        <w:right w:val="none" w:sz="0" w:space="0" w:color="auto"/>
      </w:divBdr>
    </w:div>
    <w:div w:id="492722076">
      <w:bodyDiv w:val="1"/>
      <w:marLeft w:val="0"/>
      <w:marRight w:val="0"/>
      <w:marTop w:val="0"/>
      <w:marBottom w:val="0"/>
      <w:divBdr>
        <w:top w:val="none" w:sz="0" w:space="0" w:color="auto"/>
        <w:left w:val="none" w:sz="0" w:space="0" w:color="auto"/>
        <w:bottom w:val="none" w:sz="0" w:space="0" w:color="auto"/>
        <w:right w:val="none" w:sz="0" w:space="0" w:color="auto"/>
      </w:divBdr>
    </w:div>
    <w:div w:id="631640156">
      <w:bodyDiv w:val="1"/>
      <w:marLeft w:val="0"/>
      <w:marRight w:val="0"/>
      <w:marTop w:val="0"/>
      <w:marBottom w:val="0"/>
      <w:divBdr>
        <w:top w:val="none" w:sz="0" w:space="0" w:color="auto"/>
        <w:left w:val="none" w:sz="0" w:space="0" w:color="auto"/>
        <w:bottom w:val="none" w:sz="0" w:space="0" w:color="auto"/>
        <w:right w:val="none" w:sz="0" w:space="0" w:color="auto"/>
      </w:divBdr>
    </w:div>
    <w:div w:id="773287129">
      <w:bodyDiv w:val="1"/>
      <w:marLeft w:val="0"/>
      <w:marRight w:val="0"/>
      <w:marTop w:val="0"/>
      <w:marBottom w:val="0"/>
      <w:divBdr>
        <w:top w:val="none" w:sz="0" w:space="0" w:color="auto"/>
        <w:left w:val="none" w:sz="0" w:space="0" w:color="auto"/>
        <w:bottom w:val="none" w:sz="0" w:space="0" w:color="auto"/>
        <w:right w:val="none" w:sz="0" w:space="0" w:color="auto"/>
      </w:divBdr>
    </w:div>
    <w:div w:id="810947063">
      <w:bodyDiv w:val="1"/>
      <w:marLeft w:val="0"/>
      <w:marRight w:val="0"/>
      <w:marTop w:val="0"/>
      <w:marBottom w:val="0"/>
      <w:divBdr>
        <w:top w:val="none" w:sz="0" w:space="0" w:color="auto"/>
        <w:left w:val="none" w:sz="0" w:space="0" w:color="auto"/>
        <w:bottom w:val="none" w:sz="0" w:space="0" w:color="auto"/>
        <w:right w:val="none" w:sz="0" w:space="0" w:color="auto"/>
      </w:divBdr>
    </w:div>
    <w:div w:id="881207326">
      <w:bodyDiv w:val="1"/>
      <w:marLeft w:val="0"/>
      <w:marRight w:val="0"/>
      <w:marTop w:val="0"/>
      <w:marBottom w:val="0"/>
      <w:divBdr>
        <w:top w:val="none" w:sz="0" w:space="0" w:color="auto"/>
        <w:left w:val="none" w:sz="0" w:space="0" w:color="auto"/>
        <w:bottom w:val="none" w:sz="0" w:space="0" w:color="auto"/>
        <w:right w:val="none" w:sz="0" w:space="0" w:color="auto"/>
      </w:divBdr>
    </w:div>
    <w:div w:id="926305907">
      <w:bodyDiv w:val="1"/>
      <w:marLeft w:val="0"/>
      <w:marRight w:val="0"/>
      <w:marTop w:val="0"/>
      <w:marBottom w:val="0"/>
      <w:divBdr>
        <w:top w:val="none" w:sz="0" w:space="0" w:color="auto"/>
        <w:left w:val="none" w:sz="0" w:space="0" w:color="auto"/>
        <w:bottom w:val="none" w:sz="0" w:space="0" w:color="auto"/>
        <w:right w:val="none" w:sz="0" w:space="0" w:color="auto"/>
      </w:divBdr>
    </w:div>
    <w:div w:id="1120495522">
      <w:bodyDiv w:val="1"/>
      <w:marLeft w:val="0"/>
      <w:marRight w:val="0"/>
      <w:marTop w:val="0"/>
      <w:marBottom w:val="0"/>
      <w:divBdr>
        <w:top w:val="none" w:sz="0" w:space="0" w:color="auto"/>
        <w:left w:val="none" w:sz="0" w:space="0" w:color="auto"/>
        <w:bottom w:val="none" w:sz="0" w:space="0" w:color="auto"/>
        <w:right w:val="none" w:sz="0" w:space="0" w:color="auto"/>
      </w:divBdr>
    </w:div>
    <w:div w:id="1259217992">
      <w:bodyDiv w:val="1"/>
      <w:marLeft w:val="0"/>
      <w:marRight w:val="0"/>
      <w:marTop w:val="0"/>
      <w:marBottom w:val="0"/>
      <w:divBdr>
        <w:top w:val="none" w:sz="0" w:space="0" w:color="auto"/>
        <w:left w:val="none" w:sz="0" w:space="0" w:color="auto"/>
        <w:bottom w:val="none" w:sz="0" w:space="0" w:color="auto"/>
        <w:right w:val="none" w:sz="0" w:space="0" w:color="auto"/>
      </w:divBdr>
    </w:div>
    <w:div w:id="1325402727">
      <w:bodyDiv w:val="1"/>
      <w:marLeft w:val="0"/>
      <w:marRight w:val="0"/>
      <w:marTop w:val="0"/>
      <w:marBottom w:val="0"/>
      <w:divBdr>
        <w:top w:val="none" w:sz="0" w:space="0" w:color="auto"/>
        <w:left w:val="none" w:sz="0" w:space="0" w:color="auto"/>
        <w:bottom w:val="none" w:sz="0" w:space="0" w:color="auto"/>
        <w:right w:val="none" w:sz="0" w:space="0" w:color="auto"/>
      </w:divBdr>
    </w:div>
    <w:div w:id="1560945654">
      <w:bodyDiv w:val="1"/>
      <w:marLeft w:val="0"/>
      <w:marRight w:val="0"/>
      <w:marTop w:val="0"/>
      <w:marBottom w:val="0"/>
      <w:divBdr>
        <w:top w:val="none" w:sz="0" w:space="0" w:color="auto"/>
        <w:left w:val="none" w:sz="0" w:space="0" w:color="auto"/>
        <w:bottom w:val="none" w:sz="0" w:space="0" w:color="auto"/>
        <w:right w:val="none" w:sz="0" w:space="0" w:color="auto"/>
      </w:divBdr>
    </w:div>
    <w:div w:id="1561821053">
      <w:bodyDiv w:val="1"/>
      <w:marLeft w:val="0"/>
      <w:marRight w:val="0"/>
      <w:marTop w:val="0"/>
      <w:marBottom w:val="0"/>
      <w:divBdr>
        <w:top w:val="none" w:sz="0" w:space="0" w:color="auto"/>
        <w:left w:val="none" w:sz="0" w:space="0" w:color="auto"/>
        <w:bottom w:val="none" w:sz="0" w:space="0" w:color="auto"/>
        <w:right w:val="none" w:sz="0" w:space="0" w:color="auto"/>
      </w:divBdr>
    </w:div>
    <w:div w:id="1565410662">
      <w:bodyDiv w:val="1"/>
      <w:marLeft w:val="0"/>
      <w:marRight w:val="0"/>
      <w:marTop w:val="0"/>
      <w:marBottom w:val="0"/>
      <w:divBdr>
        <w:top w:val="none" w:sz="0" w:space="0" w:color="auto"/>
        <w:left w:val="none" w:sz="0" w:space="0" w:color="auto"/>
        <w:bottom w:val="none" w:sz="0" w:space="0" w:color="auto"/>
        <w:right w:val="none" w:sz="0" w:space="0" w:color="auto"/>
      </w:divBdr>
    </w:div>
    <w:div w:id="1683163972">
      <w:bodyDiv w:val="1"/>
      <w:marLeft w:val="0"/>
      <w:marRight w:val="0"/>
      <w:marTop w:val="0"/>
      <w:marBottom w:val="0"/>
      <w:divBdr>
        <w:top w:val="none" w:sz="0" w:space="0" w:color="auto"/>
        <w:left w:val="none" w:sz="0" w:space="0" w:color="auto"/>
        <w:bottom w:val="none" w:sz="0" w:space="0" w:color="auto"/>
        <w:right w:val="none" w:sz="0" w:space="0" w:color="auto"/>
      </w:divBdr>
    </w:div>
    <w:div w:id="1736470760">
      <w:bodyDiv w:val="1"/>
      <w:marLeft w:val="0"/>
      <w:marRight w:val="0"/>
      <w:marTop w:val="0"/>
      <w:marBottom w:val="0"/>
      <w:divBdr>
        <w:top w:val="none" w:sz="0" w:space="0" w:color="auto"/>
        <w:left w:val="none" w:sz="0" w:space="0" w:color="auto"/>
        <w:bottom w:val="none" w:sz="0" w:space="0" w:color="auto"/>
        <w:right w:val="none" w:sz="0" w:space="0" w:color="auto"/>
      </w:divBdr>
    </w:div>
    <w:div w:id="1786536411">
      <w:bodyDiv w:val="1"/>
      <w:marLeft w:val="0"/>
      <w:marRight w:val="0"/>
      <w:marTop w:val="0"/>
      <w:marBottom w:val="0"/>
      <w:divBdr>
        <w:top w:val="none" w:sz="0" w:space="0" w:color="auto"/>
        <w:left w:val="none" w:sz="0" w:space="0" w:color="auto"/>
        <w:bottom w:val="none" w:sz="0" w:space="0" w:color="auto"/>
        <w:right w:val="none" w:sz="0" w:space="0" w:color="auto"/>
      </w:divBdr>
    </w:div>
    <w:div w:id="1956518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38E1E-63E8-46E7-B780-7668A5CAA8E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1705</Words>
  <Characters>9725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2024-01-01T19:09:00Z</dcterms:created>
  <dcterms:modified xsi:type="dcterms:W3CDTF">2024-01-01T19:09:00Z</dcterms:modified>
</cp:coreProperties>
</file>