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C2BDE" w14:textId="77777777" w:rsidR="00A53A40" w:rsidRPr="00C65367" w:rsidRDefault="00A53A40" w:rsidP="003A5F2A">
      <w:pPr>
        <w:spacing w:line="480" w:lineRule="auto"/>
        <w:rPr>
          <w:rFonts w:ascii="Times New Roman" w:hAnsi="Times New Roman" w:cs="Times New Roman"/>
          <w:b/>
          <w:sz w:val="32"/>
          <w:szCs w:val="32"/>
        </w:rPr>
      </w:pPr>
    </w:p>
    <w:p w14:paraId="4E8BA489" w14:textId="77777777" w:rsidR="00A53A40" w:rsidRPr="00C65367" w:rsidRDefault="00A53A40" w:rsidP="003A5F2A">
      <w:pPr>
        <w:spacing w:line="480" w:lineRule="auto"/>
        <w:rPr>
          <w:rFonts w:ascii="Times New Roman" w:hAnsi="Times New Roman" w:cs="Times New Roman"/>
          <w:b/>
          <w:sz w:val="32"/>
          <w:szCs w:val="32"/>
        </w:rPr>
      </w:pPr>
    </w:p>
    <w:p w14:paraId="5E340125" w14:textId="77777777" w:rsidR="00A53A40" w:rsidRPr="00C65367" w:rsidRDefault="00A53A40" w:rsidP="003A5F2A">
      <w:pPr>
        <w:spacing w:line="480" w:lineRule="auto"/>
        <w:rPr>
          <w:rFonts w:ascii="Times New Roman" w:hAnsi="Times New Roman" w:cs="Times New Roman"/>
          <w:b/>
          <w:sz w:val="32"/>
          <w:szCs w:val="32"/>
        </w:rPr>
      </w:pPr>
      <w:r w:rsidRPr="00C65367">
        <w:rPr>
          <w:rFonts w:ascii="Times New Roman" w:hAnsi="Times New Roman" w:cs="Times New Roman"/>
          <w:b/>
          <w:sz w:val="32"/>
          <w:szCs w:val="32"/>
        </w:rPr>
        <w:t>Report –a supply &amp;sourcing plan for the Trinity restaurant 'coronation menu.'</w:t>
      </w:r>
    </w:p>
    <w:p w14:paraId="0C1CDF6E" w14:textId="77777777" w:rsidR="00A53A40" w:rsidRDefault="00A53A40" w:rsidP="003A5F2A">
      <w:pPr>
        <w:spacing w:line="480" w:lineRule="auto"/>
        <w:rPr>
          <w:rFonts w:ascii="Times New Roman" w:hAnsi="Times New Roman" w:cs="Times New Roman"/>
          <w:b/>
          <w:sz w:val="24"/>
          <w:szCs w:val="24"/>
        </w:rPr>
      </w:pPr>
    </w:p>
    <w:p w14:paraId="4AB44385" w14:textId="77777777" w:rsidR="00A53A40" w:rsidRPr="00A4559D" w:rsidRDefault="00A53A40" w:rsidP="003A5F2A">
      <w:pPr>
        <w:rPr>
          <w:rFonts w:ascii="Times" w:hAnsi="Times" w:cs="Times New Roman"/>
          <w:b/>
          <w:sz w:val="24"/>
          <w:szCs w:val="24"/>
        </w:rPr>
      </w:pPr>
      <w:r w:rsidRPr="00A4559D">
        <w:rPr>
          <w:rFonts w:ascii="Times" w:hAnsi="Times" w:cs="Times New Roman"/>
          <w:b/>
          <w:sz w:val="24"/>
          <w:szCs w:val="24"/>
        </w:rPr>
        <w:br w:type="page"/>
      </w:r>
    </w:p>
    <w:p w14:paraId="008F26E1" w14:textId="77777777" w:rsidR="00A53A40" w:rsidRPr="00A4559D" w:rsidRDefault="00A53A40" w:rsidP="003A5F2A">
      <w:pPr>
        <w:spacing w:line="480" w:lineRule="auto"/>
        <w:rPr>
          <w:rFonts w:ascii="Times" w:hAnsi="Times" w:cs="Times New Roman"/>
          <w:b/>
          <w:sz w:val="24"/>
          <w:szCs w:val="24"/>
        </w:rPr>
      </w:pPr>
      <w:r w:rsidRPr="00A4559D">
        <w:rPr>
          <w:rFonts w:ascii="Times" w:hAnsi="Times" w:cs="Times New Roman"/>
          <w:b/>
          <w:sz w:val="24"/>
          <w:szCs w:val="24"/>
        </w:rPr>
        <w:t>Report –a supply &amp;sourcing plan for the Trinity restaurant 'coronation menu.'</w:t>
      </w:r>
    </w:p>
    <w:p w14:paraId="0ED325E3"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Introduction:</w:t>
      </w:r>
    </w:p>
    <w:p w14:paraId="55612605"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The Coronation Menu has been carefully curated for the imminent coronation event in May 2023 at Trinity Restaurant, placed in Langland Bay near Swansea, Wales. This menu provides a memorable dining revel for the eighty guests attending the occasion</w:t>
      </w:r>
      <w:r w:rsidRPr="00A4559D">
        <w:rPr>
          <w:rFonts w:ascii="Times" w:hAnsi="Times"/>
          <w:sz w:val="24"/>
          <w:szCs w:val="24"/>
        </w:rPr>
        <w:t xml:space="preserve"> </w:t>
      </w:r>
      <w:r w:rsidRPr="00A4559D">
        <w:rPr>
          <w:rFonts w:ascii="Times" w:hAnsi="Times" w:cs="Times New Roman"/>
          <w:sz w:val="24"/>
          <w:szCs w:val="24"/>
        </w:rPr>
        <w:t xml:space="preserve">(www.trinityvillage). The menu carries regionally sourced elements, highlighting Wales's rich culinary history while ensuring the best flavors. In this record, we can speak about the marketing aspects of the eating place, conduct a SWOT evaluation, analyze the sourcing of products consisting of suppliers, and </w:t>
      </w:r>
      <w:proofErr w:type="gramStart"/>
      <w:r w:rsidRPr="00A4559D">
        <w:rPr>
          <w:rFonts w:ascii="Times" w:hAnsi="Times" w:cs="Times New Roman"/>
          <w:sz w:val="24"/>
          <w:szCs w:val="24"/>
        </w:rPr>
        <w:t>give an explanation for</w:t>
      </w:r>
      <w:proofErr w:type="gramEnd"/>
      <w:r w:rsidRPr="00A4559D">
        <w:rPr>
          <w:rFonts w:ascii="Times" w:hAnsi="Times" w:cs="Times New Roman"/>
          <w:sz w:val="24"/>
          <w:szCs w:val="24"/>
        </w:rPr>
        <w:t xml:space="preserve"> the reasoning behind menu advent and supplier choice.</w:t>
      </w:r>
    </w:p>
    <w:p w14:paraId="0AFC67C5"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Marketing Analysis:</w:t>
      </w:r>
    </w:p>
    <w:p w14:paraId="1025B98D"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SWOT Analysis:</w:t>
      </w:r>
    </w:p>
    <w:p w14:paraId="124C068E"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Strengths:</w:t>
      </w:r>
    </w:p>
    <w:p w14:paraId="09A42F22"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Trinity Restaurant advantages from its vicinity in Langland Bay, a picturesque coastal city famous for its natural splendor. The fascinating environment entices each nearby citizens and tourists, imparting a unique and appealing putting for the restaurant</w:t>
      </w:r>
      <w:r w:rsidRPr="00A4559D">
        <w:rPr>
          <w:rFonts w:ascii="Times" w:hAnsi="Times"/>
          <w:sz w:val="24"/>
          <w:szCs w:val="24"/>
        </w:rPr>
        <w:t xml:space="preserve"> </w:t>
      </w:r>
      <w:r w:rsidRPr="00A4559D">
        <w:rPr>
          <w:rFonts w:ascii="Times" w:hAnsi="Times" w:cs="Times New Roman"/>
          <w:sz w:val="24"/>
          <w:szCs w:val="24"/>
        </w:rPr>
        <w:t>(</w:t>
      </w:r>
      <w:proofErr w:type="spellStart"/>
      <w:r w:rsidRPr="00A4559D">
        <w:rPr>
          <w:rFonts w:ascii="Times" w:hAnsi="Times" w:cs="Times New Roman"/>
          <w:sz w:val="24"/>
          <w:szCs w:val="24"/>
        </w:rPr>
        <w:t>Vespia</w:t>
      </w:r>
      <w:proofErr w:type="spellEnd"/>
      <w:r w:rsidRPr="00A4559D">
        <w:rPr>
          <w:rFonts w:ascii="Times" w:hAnsi="Times" w:cs="Times New Roman"/>
          <w:sz w:val="24"/>
          <w:szCs w:val="24"/>
        </w:rPr>
        <w:t>, 2021).</w:t>
      </w:r>
    </w:p>
    <w:p w14:paraId="7AB0F201"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The establishment has built a strong recognition for its first-rate cuisine, attentive carrier, and stylish environment. Customers continuously praise the meals' satisfaction, the workforce's attentiveness, and the general dining revel at Trinity Restaurant</w:t>
      </w:r>
      <w:r w:rsidRPr="00A4559D">
        <w:rPr>
          <w:rFonts w:ascii="Times" w:hAnsi="Times"/>
          <w:sz w:val="24"/>
          <w:szCs w:val="24"/>
        </w:rPr>
        <w:t xml:space="preserve"> </w:t>
      </w:r>
      <w:r w:rsidRPr="00A4559D">
        <w:rPr>
          <w:rFonts w:ascii="Times" w:hAnsi="Times" w:cs="Times New Roman"/>
          <w:sz w:val="24"/>
          <w:szCs w:val="24"/>
        </w:rPr>
        <w:t>(</w:t>
      </w:r>
      <w:proofErr w:type="spellStart"/>
      <w:r w:rsidRPr="00A4559D">
        <w:rPr>
          <w:rFonts w:ascii="Times" w:hAnsi="Times" w:cs="Times New Roman"/>
          <w:sz w:val="24"/>
          <w:szCs w:val="24"/>
        </w:rPr>
        <w:t>Kickfin</w:t>
      </w:r>
      <w:proofErr w:type="spellEnd"/>
      <w:r w:rsidRPr="00A4559D">
        <w:rPr>
          <w:rFonts w:ascii="Times" w:hAnsi="Times" w:cs="Times New Roman"/>
          <w:sz w:val="24"/>
          <w:szCs w:val="24"/>
        </w:rPr>
        <w:t>, 2021). The Coronation Menu gives a tremendous opportunity for the eating place to show off its creativity and culinary knowledge. This unique menu lets the cooks craft revolutionary and delightful dishes that highlight their competencies and provoke guests.</w:t>
      </w:r>
    </w:p>
    <w:p w14:paraId="71411B94"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Weaknesses:</w:t>
      </w:r>
    </w:p>
    <w:p w14:paraId="69CBE956"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The confined seating potential of the most uncomplicated 80 guests poses a venture throughout the coronation event. With a potentially wide variety of attendees, efficient table control and careful planning will ensure a clean dining environment and accommodate all visitors</w:t>
      </w:r>
      <w:r w:rsidRPr="00A4559D">
        <w:rPr>
          <w:rFonts w:ascii="Times" w:hAnsi="Times"/>
          <w:sz w:val="24"/>
          <w:szCs w:val="24"/>
        </w:rPr>
        <w:t xml:space="preserve"> </w:t>
      </w:r>
      <w:r w:rsidRPr="00A4559D">
        <w:rPr>
          <w:rFonts w:ascii="Times" w:hAnsi="Times" w:cs="Times New Roman"/>
          <w:sz w:val="24"/>
          <w:szCs w:val="24"/>
        </w:rPr>
        <w:t>(</w:t>
      </w:r>
      <w:proofErr w:type="spellStart"/>
      <w:r w:rsidRPr="00A4559D">
        <w:rPr>
          <w:rFonts w:ascii="Times" w:hAnsi="Times" w:cs="Times New Roman"/>
          <w:sz w:val="24"/>
          <w:szCs w:val="24"/>
        </w:rPr>
        <w:t>Biaett</w:t>
      </w:r>
      <w:proofErr w:type="spellEnd"/>
      <w:r w:rsidRPr="00A4559D">
        <w:rPr>
          <w:rFonts w:ascii="Times" w:hAnsi="Times" w:cs="Times New Roman"/>
          <w:sz w:val="24"/>
          <w:szCs w:val="24"/>
        </w:rPr>
        <w:t>).</w:t>
      </w:r>
    </w:p>
    <w:p w14:paraId="4EC369B9"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The seasonality of Langland Bay can result in fluctuations in patron demand over the 12 months. The eating place desires to expect and adapt to those adjustments by adjusting menu offerings and enforcing focused advertising techniques to attract clients during off-height seasons</w:t>
      </w:r>
      <w:r w:rsidRPr="00A4559D">
        <w:rPr>
          <w:rFonts w:ascii="Times" w:hAnsi="Times"/>
          <w:sz w:val="24"/>
          <w:szCs w:val="24"/>
        </w:rPr>
        <w:t xml:space="preserve"> </w:t>
      </w:r>
      <w:r w:rsidRPr="00A4559D">
        <w:rPr>
          <w:rFonts w:ascii="Times" w:hAnsi="Times" w:cs="Times New Roman"/>
          <w:sz w:val="24"/>
          <w:szCs w:val="24"/>
        </w:rPr>
        <w:t>(</w:t>
      </w:r>
      <w:proofErr w:type="spellStart"/>
      <w:r w:rsidRPr="00A4559D">
        <w:rPr>
          <w:rFonts w:ascii="Times" w:hAnsi="Times" w:cs="Times New Roman"/>
          <w:sz w:val="24"/>
          <w:szCs w:val="24"/>
        </w:rPr>
        <w:t>Kowalewski</w:t>
      </w:r>
      <w:proofErr w:type="spellEnd"/>
      <w:r w:rsidRPr="00A4559D">
        <w:rPr>
          <w:rFonts w:ascii="Times" w:hAnsi="Times" w:cs="Times New Roman"/>
          <w:sz w:val="24"/>
          <w:szCs w:val="24"/>
        </w:rPr>
        <w:t>, 2023). By addressing these strengths and weaknesses, Trinity Restaurant can capitalize on its fine attributes, consisting of its perfect region and extraordinary recognition, while mitigating challenges related to seating capability and seasonality.</w:t>
      </w:r>
    </w:p>
    <w:p w14:paraId="39BBC41C"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Opportunities:</w:t>
      </w:r>
    </w:p>
    <w:p w14:paraId="735F4135"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Hosting a prestigious occasion like the coronation presents a platform to draw new customers and generate wonderful word-of-mouth. Collaborating with local media retailers and influencers can increase the eating place's visibility and reach a broader target audience (Lofton et al., 2022, 396). Collaboration with neighborhood providers and farmers can toughen the eating place's dedication to sustainability and sell local produce.</w:t>
      </w:r>
    </w:p>
    <w:p w14:paraId="285582B2"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Creating partnerships with neighborhood occasion planners or wedding ceremony venues can cause extra catering possibilities beyond the coronation occasion (Finch et al., 2023). Expanding the restaurant's online presence via social media and a person-pleasant website can entice a broader purchaser base. Overall, Trinity Restaurant's region in Langland Bay gives a positive backdrop for the coronation event. The eating place can be a top-quality eating destination during the coronation festivities by leveraging its strengths, addressing weaknesses, capitalizing on opportunities, and mitigating threats.</w:t>
      </w:r>
    </w:p>
    <w:p w14:paraId="7383A47A"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Threats:</w:t>
      </w:r>
    </w:p>
    <w:p w14:paraId="1C49D6E8"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Competition from other upscale eating places inside the region may additionally affect customer choices. Economic fluctuations and converting client choices affect overall eating place performance (Bang et al., 2022). Supply chain disruptions can pose demanding situations in sourcing outstanding elements for the Coronation Menu. Fluctuating food fees and availability can affect price management and menu planning (Osman et al., 2023, 741). Changing policies and health recommendations related to the COVID-19 pandemic may affect the restaurant's operations and consumer confidence.</w:t>
      </w:r>
    </w:p>
    <w:p w14:paraId="57C63C0D"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Sourcing of Produce and Supplier Selection:</w:t>
      </w:r>
    </w:p>
    <w:p w14:paraId="6AFA9A48"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To ensure the best and support local producers, Trinity Restaurant will prioritize sourcing substances from legitimate providers inside the place. The following suppliers have been chosen based on their dedication to sustainable practices, reliability, and the freshness of their produce:</w:t>
      </w:r>
    </w:p>
    <w:p w14:paraId="2AFDBB03"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Seafood:</w:t>
      </w:r>
    </w:p>
    <w:p w14:paraId="62FC297F"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Supplier: Bayshore Seafoods</w:t>
      </w:r>
    </w:p>
    <w:p w14:paraId="7ED0CAF2"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Reasoning: Bayshore Seafoods, placed in Swansea, is famous for its wide variety of sustainably stuck seafood. Their clean and nearby lobster, mussels, and oysters align flawlessly with the coastal region of Trinity Restaurant, ensuring excellent taste and niceness (</w:t>
      </w:r>
      <w:proofErr w:type="spellStart"/>
      <w:r w:rsidRPr="00A4559D">
        <w:rPr>
          <w:rFonts w:ascii="Times" w:hAnsi="Times" w:cs="Times New Roman"/>
          <w:sz w:val="24"/>
          <w:szCs w:val="24"/>
        </w:rPr>
        <w:t>Garriga</w:t>
      </w:r>
      <w:proofErr w:type="spellEnd"/>
      <w:r w:rsidRPr="00A4559D">
        <w:rPr>
          <w:rFonts w:ascii="Times" w:hAnsi="Times" w:cs="Times New Roman"/>
          <w:sz w:val="24"/>
          <w:szCs w:val="24"/>
        </w:rPr>
        <w:t xml:space="preserve"> et al.).</w:t>
      </w:r>
    </w:p>
    <w:p w14:paraId="2B068FA4" w14:textId="77777777" w:rsidR="00A53A40" w:rsidRPr="00A4559D" w:rsidRDefault="00A53A40" w:rsidP="003A5F2A">
      <w:pPr>
        <w:spacing w:line="480" w:lineRule="auto"/>
        <w:ind w:left="360"/>
        <w:rPr>
          <w:rFonts w:ascii="Times" w:hAnsi="Times" w:cs="Times New Roman"/>
          <w:sz w:val="24"/>
          <w:szCs w:val="24"/>
        </w:rPr>
      </w:pPr>
      <w:r w:rsidRPr="00A4559D">
        <w:rPr>
          <w:rFonts w:ascii="Times" w:hAnsi="Times" w:cs="Times New Roman"/>
          <w:sz w:val="24"/>
          <w:szCs w:val="24"/>
        </w:rPr>
        <w:t>Meat and Poultry:</w:t>
      </w:r>
    </w:p>
    <w:p w14:paraId="35C14572"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Supplier: Gower Butchers</w:t>
      </w:r>
    </w:p>
    <w:p w14:paraId="5291E919"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 xml:space="preserve">Reasoning: Gower Butchers, situated inside the Gower Peninsula, gives domestically sourced, brilliant meats. Their pasture-fed Welsh lamb may be the centerpiece of the </w:t>
      </w:r>
      <w:proofErr w:type="gramStart"/>
      <w:r w:rsidRPr="00A4559D">
        <w:rPr>
          <w:rFonts w:ascii="Times" w:hAnsi="Times" w:cs="Times New Roman"/>
          <w:sz w:val="24"/>
          <w:szCs w:val="24"/>
        </w:rPr>
        <w:t>principle</w:t>
      </w:r>
      <w:proofErr w:type="gramEnd"/>
      <w:r w:rsidRPr="00A4559D">
        <w:rPr>
          <w:rFonts w:ascii="Times" w:hAnsi="Times" w:cs="Times New Roman"/>
          <w:sz w:val="24"/>
          <w:szCs w:val="24"/>
        </w:rPr>
        <w:t xml:space="preserve"> route, reflecting the place's wealthy culinary heritage (Somasundaram et al.).</w:t>
      </w:r>
    </w:p>
    <w:p w14:paraId="42A8573F" w14:textId="77777777" w:rsidR="00A53A40" w:rsidRPr="00A4559D" w:rsidRDefault="00A53A40" w:rsidP="003A5F2A">
      <w:pPr>
        <w:spacing w:line="480" w:lineRule="auto"/>
        <w:ind w:left="360"/>
        <w:rPr>
          <w:rFonts w:ascii="Times" w:hAnsi="Times" w:cs="Times New Roman"/>
          <w:sz w:val="24"/>
          <w:szCs w:val="24"/>
        </w:rPr>
      </w:pPr>
      <w:r w:rsidRPr="00A4559D">
        <w:rPr>
          <w:rFonts w:ascii="Times" w:hAnsi="Times" w:cs="Times New Roman"/>
          <w:sz w:val="24"/>
          <w:szCs w:val="24"/>
        </w:rPr>
        <w:t>Vegetables and Herbs:</w:t>
      </w:r>
    </w:p>
    <w:p w14:paraId="4F27ECB2"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Supplier: Green Valley Farm</w:t>
      </w:r>
    </w:p>
    <w:p w14:paraId="49B03637"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Reasoning: Green Valley Farm, located inside the Gower Peninsula, offers several seasonal vegetables and herbs. Their dedication to organic farming strategies guarantees clean and flavorsome produce for the menu's dishes (</w:t>
      </w:r>
      <w:proofErr w:type="spellStart"/>
      <w:r w:rsidRPr="00A4559D">
        <w:rPr>
          <w:rFonts w:ascii="Times" w:hAnsi="Times" w:cs="Times New Roman"/>
          <w:sz w:val="24"/>
          <w:szCs w:val="24"/>
        </w:rPr>
        <w:t>Hanak</w:t>
      </w:r>
      <w:proofErr w:type="spellEnd"/>
      <w:r w:rsidRPr="00A4559D">
        <w:rPr>
          <w:rFonts w:ascii="Times" w:hAnsi="Times" w:cs="Times New Roman"/>
          <w:sz w:val="24"/>
          <w:szCs w:val="24"/>
        </w:rPr>
        <w:t xml:space="preserve"> et al.).</w:t>
      </w:r>
    </w:p>
    <w:p w14:paraId="081CB5C0" w14:textId="77777777" w:rsidR="00A53A40" w:rsidRPr="00A4559D" w:rsidRDefault="00A53A40" w:rsidP="003A5F2A">
      <w:pPr>
        <w:spacing w:line="480" w:lineRule="auto"/>
        <w:ind w:left="360"/>
        <w:rPr>
          <w:rFonts w:ascii="Times" w:hAnsi="Times" w:cs="Times New Roman"/>
          <w:sz w:val="24"/>
          <w:szCs w:val="24"/>
        </w:rPr>
      </w:pPr>
      <w:r w:rsidRPr="00A4559D">
        <w:rPr>
          <w:rFonts w:ascii="Times" w:hAnsi="Times" w:cs="Times New Roman"/>
          <w:sz w:val="24"/>
          <w:szCs w:val="24"/>
        </w:rPr>
        <w:t>Dairy and Cheese:</w:t>
      </w:r>
    </w:p>
    <w:p w14:paraId="50752B17"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Supplier: Carmarthenshire Creamery</w:t>
      </w:r>
    </w:p>
    <w:p w14:paraId="3A02EEDE" w14:textId="77777777" w:rsidR="00A53A40" w:rsidRPr="00A4559D" w:rsidRDefault="00A53A40" w:rsidP="003A5F2A">
      <w:pPr>
        <w:pStyle w:val="ListParagraph"/>
        <w:numPr>
          <w:ilvl w:val="0"/>
          <w:numId w:val="1"/>
        </w:numPr>
        <w:spacing w:line="480" w:lineRule="auto"/>
        <w:rPr>
          <w:rFonts w:ascii="Times" w:hAnsi="Times" w:cs="Times New Roman"/>
          <w:sz w:val="24"/>
          <w:szCs w:val="24"/>
        </w:rPr>
      </w:pPr>
      <w:r w:rsidRPr="00A4559D">
        <w:rPr>
          <w:rFonts w:ascii="Times" w:hAnsi="Times" w:cs="Times New Roman"/>
          <w:sz w:val="24"/>
          <w:szCs w:val="24"/>
        </w:rPr>
        <w:t xml:space="preserve">Reasoning: Carmarthenshire Creamery is understood for its award-prevailing artisanal cheeses, consisting of </w:t>
      </w:r>
      <w:proofErr w:type="spellStart"/>
      <w:r w:rsidRPr="00A4559D">
        <w:rPr>
          <w:rFonts w:ascii="Times" w:hAnsi="Times" w:cs="Times New Roman"/>
          <w:sz w:val="24"/>
          <w:szCs w:val="24"/>
        </w:rPr>
        <w:t>Caerphilly</w:t>
      </w:r>
      <w:proofErr w:type="spellEnd"/>
      <w:r w:rsidRPr="00A4559D">
        <w:rPr>
          <w:rFonts w:ascii="Times" w:hAnsi="Times" w:cs="Times New Roman"/>
          <w:sz w:val="24"/>
          <w:szCs w:val="24"/>
        </w:rPr>
        <w:t xml:space="preserve"> and Welsh Cheddar (Hodge,2021). The inclusion of these cheeses inside the menu highlights the location's dairy lifestyle and adds an exceptional touch to the eating revel.</w:t>
      </w:r>
    </w:p>
    <w:p w14:paraId="1D928880"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Menu</w:t>
      </w:r>
    </w:p>
    <w:tbl>
      <w:tblPr>
        <w:tblStyle w:val="TableGrid"/>
        <w:tblW w:w="0" w:type="auto"/>
        <w:tblLook w:val="04A0" w:firstRow="1" w:lastRow="0" w:firstColumn="1" w:lastColumn="0" w:noHBand="0" w:noVBand="1"/>
      </w:tblPr>
      <w:tblGrid>
        <w:gridCol w:w="4085"/>
        <w:gridCol w:w="5265"/>
      </w:tblGrid>
      <w:tr w:rsidR="00A53A40" w:rsidRPr="00A4559D" w14:paraId="13CC3D84" w14:textId="77777777" w:rsidTr="00A2732C">
        <w:tc>
          <w:tcPr>
            <w:tcW w:w="12950" w:type="dxa"/>
            <w:gridSpan w:val="2"/>
          </w:tcPr>
          <w:p w14:paraId="198B65C7"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Starter</w:t>
            </w:r>
          </w:p>
        </w:tc>
      </w:tr>
      <w:tr w:rsidR="00A53A40" w:rsidRPr="00A4559D" w14:paraId="4D2767B2" w14:textId="77777777" w:rsidTr="00A2732C">
        <w:tc>
          <w:tcPr>
            <w:tcW w:w="6475" w:type="dxa"/>
          </w:tcPr>
          <w:p w14:paraId="1D60A99A"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Langland Bay Crab Salad with Citrus Vinaigrette and Watercress</w:t>
            </w:r>
          </w:p>
        </w:tc>
        <w:tc>
          <w:tcPr>
            <w:tcW w:w="6475" w:type="dxa"/>
          </w:tcPr>
          <w:p w14:paraId="205738B6"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0F80389E" wp14:editId="4508B2A8">
                  <wp:extent cx="1847850" cy="2466975"/>
                  <wp:effectExtent l="0" t="0" r="0" b="9525"/>
                  <wp:docPr id="4" name="Picture 4" descr="A picture containing dish, food, salad,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sh, food, salad, frui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1847850" cy="2466975"/>
                          </a:xfrm>
                          <a:prstGeom prst="rect">
                            <a:avLst/>
                          </a:prstGeom>
                          <a:noFill/>
                        </pic:spPr>
                      </pic:pic>
                    </a:graphicData>
                  </a:graphic>
                </wp:inline>
              </w:drawing>
            </w:r>
          </w:p>
        </w:tc>
      </w:tr>
      <w:tr w:rsidR="00A53A40" w:rsidRPr="00A4559D" w14:paraId="3CE8FF63" w14:textId="77777777" w:rsidTr="00A2732C">
        <w:tc>
          <w:tcPr>
            <w:tcW w:w="6475" w:type="dxa"/>
          </w:tcPr>
          <w:p w14:paraId="7BC1FFBC"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Carmarthenshire Welsh Rarebit with Leeks and Crispy Bacon</w:t>
            </w:r>
          </w:p>
        </w:tc>
        <w:tc>
          <w:tcPr>
            <w:tcW w:w="6475" w:type="dxa"/>
          </w:tcPr>
          <w:p w14:paraId="5C7CDAF6"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79BAA5C7" wp14:editId="0876BFD4">
                  <wp:extent cx="2381250" cy="1914525"/>
                  <wp:effectExtent l="0" t="0" r="0" b="9525"/>
                  <wp:docPr id="3" name="Picture 3" descr="A picture containing food, dish, baked goods, cuis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food, dish, baked goods, cuisi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381250" cy="1914525"/>
                          </a:xfrm>
                          <a:prstGeom prst="rect">
                            <a:avLst/>
                          </a:prstGeom>
                          <a:noFill/>
                        </pic:spPr>
                      </pic:pic>
                    </a:graphicData>
                  </a:graphic>
                </wp:inline>
              </w:drawing>
            </w:r>
          </w:p>
        </w:tc>
      </w:tr>
      <w:tr w:rsidR="00A53A40" w:rsidRPr="00A4559D" w14:paraId="7FD6EDA7" w14:textId="77777777" w:rsidTr="00A2732C">
        <w:tc>
          <w:tcPr>
            <w:tcW w:w="6475" w:type="dxa"/>
          </w:tcPr>
          <w:p w14:paraId="519A41A5" w14:textId="77777777" w:rsidR="00A53A40" w:rsidRPr="00A4559D" w:rsidRDefault="00A53A40" w:rsidP="003A5F2A">
            <w:pPr>
              <w:spacing w:line="480" w:lineRule="auto"/>
              <w:rPr>
                <w:rFonts w:ascii="Times" w:hAnsi="Times" w:cs="Times New Roman"/>
                <w:sz w:val="24"/>
                <w:szCs w:val="24"/>
              </w:rPr>
            </w:pPr>
            <w:proofErr w:type="spellStart"/>
            <w:r w:rsidRPr="00A4559D">
              <w:rPr>
                <w:rFonts w:ascii="Times" w:hAnsi="Times" w:cs="Times New Roman"/>
                <w:sz w:val="24"/>
                <w:szCs w:val="24"/>
              </w:rPr>
              <w:t>Caerphilly</w:t>
            </w:r>
            <w:proofErr w:type="spellEnd"/>
            <w:r w:rsidRPr="00A4559D">
              <w:rPr>
                <w:rFonts w:ascii="Times" w:hAnsi="Times" w:cs="Times New Roman"/>
                <w:sz w:val="24"/>
                <w:szCs w:val="24"/>
              </w:rPr>
              <w:t xml:space="preserve"> Cheese and Leek Tartlets with a Tomato Chutney</w:t>
            </w:r>
          </w:p>
        </w:tc>
        <w:tc>
          <w:tcPr>
            <w:tcW w:w="6475" w:type="dxa"/>
          </w:tcPr>
          <w:p w14:paraId="25D53820"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4EA9D725" wp14:editId="64AF89F2">
                  <wp:extent cx="2466975" cy="1847850"/>
                  <wp:effectExtent l="0" t="0" r="9525" b="0"/>
                  <wp:docPr id="2" name="Picture 2" descr="A plate of food on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late of food on a table&#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466975" cy="1847850"/>
                          </a:xfrm>
                          <a:prstGeom prst="rect">
                            <a:avLst/>
                          </a:prstGeom>
                          <a:noFill/>
                        </pic:spPr>
                      </pic:pic>
                    </a:graphicData>
                  </a:graphic>
                </wp:inline>
              </w:drawing>
            </w:r>
          </w:p>
        </w:tc>
      </w:tr>
      <w:tr w:rsidR="00A53A40" w:rsidRPr="00A4559D" w14:paraId="1096EC17" w14:textId="77777777" w:rsidTr="00A2732C">
        <w:tc>
          <w:tcPr>
            <w:tcW w:w="6475" w:type="dxa"/>
          </w:tcPr>
          <w:p w14:paraId="73680B30"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Confit Duck Rillette with Toasted Brioche and Spiced Plum Compote</w:t>
            </w:r>
          </w:p>
        </w:tc>
        <w:tc>
          <w:tcPr>
            <w:tcW w:w="6475" w:type="dxa"/>
          </w:tcPr>
          <w:p w14:paraId="79822373"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3D4BEB25" wp14:editId="2488C94D">
                  <wp:extent cx="2076450" cy="2200275"/>
                  <wp:effectExtent l="0" t="0" r="0" b="9525"/>
                  <wp:docPr id="1" name="Picture 1" descr="A plate of food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late of food on a tabl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2076450" cy="2200275"/>
                          </a:xfrm>
                          <a:prstGeom prst="rect">
                            <a:avLst/>
                          </a:prstGeom>
                          <a:noFill/>
                        </pic:spPr>
                      </pic:pic>
                    </a:graphicData>
                  </a:graphic>
                </wp:inline>
              </w:drawing>
            </w:r>
          </w:p>
        </w:tc>
      </w:tr>
    </w:tbl>
    <w:p w14:paraId="08EBE4D5" w14:textId="77777777" w:rsidR="00A53A40" w:rsidRPr="00A4559D" w:rsidRDefault="00A53A40" w:rsidP="003A5F2A">
      <w:pPr>
        <w:spacing w:line="480" w:lineRule="auto"/>
        <w:rPr>
          <w:rFonts w:ascii="Times" w:hAnsi="Times" w:cs="Times New Roman"/>
          <w:sz w:val="24"/>
          <w:szCs w:val="24"/>
        </w:rPr>
      </w:pPr>
    </w:p>
    <w:p w14:paraId="5CB674E0"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Main course</w:t>
      </w:r>
    </w:p>
    <w:tbl>
      <w:tblPr>
        <w:tblStyle w:val="TableGrid"/>
        <w:tblW w:w="0" w:type="auto"/>
        <w:tblLook w:val="04A0" w:firstRow="1" w:lastRow="0" w:firstColumn="1" w:lastColumn="0" w:noHBand="0" w:noVBand="1"/>
      </w:tblPr>
      <w:tblGrid>
        <w:gridCol w:w="3985"/>
        <w:gridCol w:w="5365"/>
      </w:tblGrid>
      <w:tr w:rsidR="00A53A40" w:rsidRPr="00A4559D" w14:paraId="77060759" w14:textId="77777777" w:rsidTr="00A2732C">
        <w:tc>
          <w:tcPr>
            <w:tcW w:w="6475" w:type="dxa"/>
          </w:tcPr>
          <w:p w14:paraId="5EAEA9BD"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 xml:space="preserve">Roasted </w:t>
            </w:r>
            <w:proofErr w:type="spellStart"/>
            <w:r w:rsidRPr="00A4559D">
              <w:rPr>
                <w:rFonts w:ascii="Times" w:hAnsi="Times" w:cs="Times New Roman"/>
                <w:sz w:val="24"/>
                <w:szCs w:val="24"/>
              </w:rPr>
              <w:t>Pembrokeshire</w:t>
            </w:r>
            <w:proofErr w:type="spellEnd"/>
            <w:r w:rsidRPr="00A4559D">
              <w:rPr>
                <w:rFonts w:ascii="Times" w:hAnsi="Times" w:cs="Times New Roman"/>
                <w:sz w:val="24"/>
                <w:szCs w:val="24"/>
              </w:rPr>
              <w:t xml:space="preserve"> Beef Tenderloin with Fondant Potatoes, Wilted Greens, and Red Wine Jus</w:t>
            </w:r>
          </w:p>
        </w:tc>
        <w:tc>
          <w:tcPr>
            <w:tcW w:w="6475" w:type="dxa"/>
          </w:tcPr>
          <w:p w14:paraId="6DB294DE"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2E9F672A" wp14:editId="34458815">
                  <wp:extent cx="1743075" cy="2619375"/>
                  <wp:effectExtent l="0" t="0" r="9525" b="9525"/>
                  <wp:docPr id="8" name="Picture 8" descr="A plate of meat and green bea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late of meat and green beans&#10;&#10;Description automatically generated with low confidence"/>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743075" cy="2619375"/>
                          </a:xfrm>
                          <a:prstGeom prst="rect">
                            <a:avLst/>
                          </a:prstGeom>
                          <a:noFill/>
                        </pic:spPr>
                      </pic:pic>
                    </a:graphicData>
                  </a:graphic>
                </wp:inline>
              </w:drawing>
            </w:r>
          </w:p>
        </w:tc>
      </w:tr>
      <w:tr w:rsidR="00A53A40" w:rsidRPr="00A4559D" w14:paraId="1036BD91" w14:textId="77777777" w:rsidTr="00A2732C">
        <w:tc>
          <w:tcPr>
            <w:tcW w:w="6475" w:type="dxa"/>
          </w:tcPr>
          <w:p w14:paraId="3D54E787"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Pan-Seared Sea Bass with Laverbread Crushed Potatoes, Asparagus Spears, and Lemon Butter Sauce</w:t>
            </w:r>
          </w:p>
        </w:tc>
        <w:tc>
          <w:tcPr>
            <w:tcW w:w="6475" w:type="dxa"/>
          </w:tcPr>
          <w:p w14:paraId="7D430C2B"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6A824E97" wp14:editId="240DE334">
                  <wp:extent cx="2143125" cy="2143125"/>
                  <wp:effectExtent l="0" t="0" r="9525" b="9525"/>
                  <wp:docPr id="7" name="Picture 7" descr="A picture containing cuisine, food, dish, reci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uisine, food, dish, recip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2143125" cy="2143125"/>
                          </a:xfrm>
                          <a:prstGeom prst="rect">
                            <a:avLst/>
                          </a:prstGeom>
                          <a:noFill/>
                        </pic:spPr>
                      </pic:pic>
                    </a:graphicData>
                  </a:graphic>
                </wp:inline>
              </w:drawing>
            </w:r>
          </w:p>
        </w:tc>
      </w:tr>
      <w:tr w:rsidR="00A53A40" w:rsidRPr="00A4559D" w14:paraId="35451CB9" w14:textId="77777777" w:rsidTr="00A2732C">
        <w:tc>
          <w:tcPr>
            <w:tcW w:w="6475" w:type="dxa"/>
          </w:tcPr>
          <w:p w14:paraId="1F132564"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Braised Welsh Lamb Shank with Minted Pea Puree, Caramelized Shallots, and Rosemary Jus</w:t>
            </w:r>
          </w:p>
        </w:tc>
        <w:tc>
          <w:tcPr>
            <w:tcW w:w="6475" w:type="dxa"/>
          </w:tcPr>
          <w:p w14:paraId="3C8E2C45"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43D20E64" wp14:editId="6C7EFDA0">
                  <wp:extent cx="1847850" cy="2466975"/>
                  <wp:effectExtent l="0" t="0" r="0" b="9525"/>
                  <wp:docPr id="6" name="Picture 6" descr="A picture containing food, plate, cuisine,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food, plate, cuisine, dish&#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847850" cy="2466975"/>
                          </a:xfrm>
                          <a:prstGeom prst="rect">
                            <a:avLst/>
                          </a:prstGeom>
                          <a:noFill/>
                        </pic:spPr>
                      </pic:pic>
                    </a:graphicData>
                  </a:graphic>
                </wp:inline>
              </w:drawing>
            </w:r>
          </w:p>
        </w:tc>
      </w:tr>
      <w:tr w:rsidR="00A53A40" w:rsidRPr="00A4559D" w14:paraId="0670B056" w14:textId="77777777" w:rsidTr="00A2732C">
        <w:tc>
          <w:tcPr>
            <w:tcW w:w="6475" w:type="dxa"/>
          </w:tcPr>
          <w:p w14:paraId="376BADE3"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Vegetarian Option: Wild Mushroom Risotto with Truffle Oil and Parmesan Crisps</w:t>
            </w:r>
          </w:p>
        </w:tc>
        <w:tc>
          <w:tcPr>
            <w:tcW w:w="6475" w:type="dxa"/>
          </w:tcPr>
          <w:p w14:paraId="38FABEA6"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5ED4C129" wp14:editId="23031A3D">
                  <wp:extent cx="2609850" cy="1752600"/>
                  <wp:effectExtent l="0" t="0" r="0" b="0"/>
                  <wp:docPr id="5" name="Picture 5" descr="A bowl of food next to a bottle of oi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owl of food next to a bottle of oil&#10;&#10;Description automatically generated with medium confidence"/>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2609850" cy="1752600"/>
                          </a:xfrm>
                          <a:prstGeom prst="rect">
                            <a:avLst/>
                          </a:prstGeom>
                          <a:noFill/>
                        </pic:spPr>
                      </pic:pic>
                    </a:graphicData>
                  </a:graphic>
                </wp:inline>
              </w:drawing>
            </w:r>
          </w:p>
        </w:tc>
      </w:tr>
    </w:tbl>
    <w:p w14:paraId="2C299867" w14:textId="77777777" w:rsidR="00A53A40" w:rsidRPr="00A4559D" w:rsidRDefault="00A53A40" w:rsidP="003A5F2A">
      <w:pPr>
        <w:spacing w:line="480" w:lineRule="auto"/>
        <w:rPr>
          <w:rFonts w:ascii="Times" w:hAnsi="Times" w:cs="Times New Roman"/>
          <w:sz w:val="24"/>
          <w:szCs w:val="24"/>
        </w:rPr>
      </w:pPr>
    </w:p>
    <w:p w14:paraId="52C873FE" w14:textId="77777777" w:rsidR="00A53A40" w:rsidRPr="00A4559D" w:rsidRDefault="00A53A40" w:rsidP="003A5F2A">
      <w:pPr>
        <w:spacing w:line="480" w:lineRule="auto"/>
        <w:rPr>
          <w:rFonts w:ascii="Times" w:hAnsi="Times" w:cs="Times New Roman"/>
          <w:b/>
          <w:sz w:val="24"/>
          <w:szCs w:val="24"/>
        </w:rPr>
      </w:pPr>
      <w:r w:rsidRPr="00A4559D">
        <w:rPr>
          <w:rFonts w:ascii="Times" w:hAnsi="Times" w:cs="Times New Roman"/>
          <w:b/>
          <w:sz w:val="24"/>
          <w:szCs w:val="24"/>
        </w:rPr>
        <w:t>Dessert</w:t>
      </w:r>
    </w:p>
    <w:tbl>
      <w:tblPr>
        <w:tblStyle w:val="TableGrid"/>
        <w:tblW w:w="0" w:type="auto"/>
        <w:tblLook w:val="04A0" w:firstRow="1" w:lastRow="0" w:firstColumn="1" w:lastColumn="0" w:noHBand="0" w:noVBand="1"/>
      </w:tblPr>
      <w:tblGrid>
        <w:gridCol w:w="3976"/>
        <w:gridCol w:w="5374"/>
      </w:tblGrid>
      <w:tr w:rsidR="00A53A40" w:rsidRPr="00A4559D" w14:paraId="72B5DDFF" w14:textId="77777777" w:rsidTr="00A2732C">
        <w:tc>
          <w:tcPr>
            <w:tcW w:w="3976" w:type="dxa"/>
          </w:tcPr>
          <w:p w14:paraId="6F16C989"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Sticky Toffee Pudding with Salted Caramel Sauce and Clotted Cream</w:t>
            </w:r>
          </w:p>
        </w:tc>
        <w:tc>
          <w:tcPr>
            <w:tcW w:w="5374" w:type="dxa"/>
          </w:tcPr>
          <w:p w14:paraId="583E8D0C"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49124F8E" wp14:editId="5E82D9AB">
                  <wp:extent cx="2466975" cy="1847850"/>
                  <wp:effectExtent l="0" t="0" r="9525" b="0"/>
                  <wp:docPr id="12" name="Picture 12" descr="A dessert with ice cream on to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essert with ice cream on top&#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466975" cy="1847850"/>
                          </a:xfrm>
                          <a:prstGeom prst="rect">
                            <a:avLst/>
                          </a:prstGeom>
                          <a:noFill/>
                        </pic:spPr>
                      </pic:pic>
                    </a:graphicData>
                  </a:graphic>
                </wp:inline>
              </w:drawing>
            </w:r>
          </w:p>
        </w:tc>
      </w:tr>
      <w:tr w:rsidR="00A53A40" w:rsidRPr="00A4559D" w14:paraId="505E6C5A" w14:textId="77777777" w:rsidTr="00A2732C">
        <w:tc>
          <w:tcPr>
            <w:tcW w:w="3976" w:type="dxa"/>
          </w:tcPr>
          <w:p w14:paraId="46127B45"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 xml:space="preserve">Bara </w:t>
            </w:r>
            <w:proofErr w:type="spellStart"/>
            <w:r w:rsidRPr="00A4559D">
              <w:rPr>
                <w:rFonts w:ascii="Times" w:hAnsi="Times" w:cs="Times New Roman"/>
                <w:sz w:val="24"/>
                <w:szCs w:val="24"/>
              </w:rPr>
              <w:t>Brith</w:t>
            </w:r>
            <w:proofErr w:type="spellEnd"/>
            <w:r w:rsidRPr="00A4559D">
              <w:rPr>
                <w:rFonts w:ascii="Times" w:hAnsi="Times" w:cs="Times New Roman"/>
                <w:sz w:val="24"/>
                <w:szCs w:val="24"/>
              </w:rPr>
              <w:t xml:space="preserve"> Bread and Butter Pudding with Whiskey Custard</w:t>
            </w:r>
          </w:p>
        </w:tc>
        <w:tc>
          <w:tcPr>
            <w:tcW w:w="5374" w:type="dxa"/>
          </w:tcPr>
          <w:p w14:paraId="4E0FD4AA"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5CE56237" wp14:editId="66F5C3CD">
                  <wp:extent cx="2466975" cy="1847850"/>
                  <wp:effectExtent l="0" t="0" r="9525" b="0"/>
                  <wp:docPr id="11" name="Picture 11" descr="A bowl of food with a spo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owl of food with a spoon&#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466975" cy="1847850"/>
                          </a:xfrm>
                          <a:prstGeom prst="rect">
                            <a:avLst/>
                          </a:prstGeom>
                          <a:noFill/>
                        </pic:spPr>
                      </pic:pic>
                    </a:graphicData>
                  </a:graphic>
                </wp:inline>
              </w:drawing>
            </w:r>
          </w:p>
        </w:tc>
      </w:tr>
      <w:tr w:rsidR="00A53A40" w:rsidRPr="00A4559D" w14:paraId="0D2241C2" w14:textId="77777777" w:rsidTr="00A2732C">
        <w:tc>
          <w:tcPr>
            <w:tcW w:w="3976" w:type="dxa"/>
          </w:tcPr>
          <w:p w14:paraId="516F966E"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Raspberry Eton Mess with Fresh Berries and Whipped Cream</w:t>
            </w:r>
          </w:p>
        </w:tc>
        <w:tc>
          <w:tcPr>
            <w:tcW w:w="5374" w:type="dxa"/>
          </w:tcPr>
          <w:p w14:paraId="40EADCB7"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7D6577EB" wp14:editId="38B67A84">
                  <wp:extent cx="2143125" cy="2143125"/>
                  <wp:effectExtent l="0" t="0" r="9525" b="9525"/>
                  <wp:docPr id="10" name="Picture 10" descr="A picture containing sweetness, berry, dairy, fr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sweetness, berry, dairy, frui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143125" cy="2143125"/>
                          </a:xfrm>
                          <a:prstGeom prst="rect">
                            <a:avLst/>
                          </a:prstGeom>
                          <a:noFill/>
                        </pic:spPr>
                      </pic:pic>
                    </a:graphicData>
                  </a:graphic>
                </wp:inline>
              </w:drawing>
            </w:r>
          </w:p>
        </w:tc>
      </w:tr>
      <w:tr w:rsidR="00A53A40" w:rsidRPr="00A4559D" w14:paraId="4826D10C" w14:textId="77777777" w:rsidTr="00A2732C">
        <w:tc>
          <w:tcPr>
            <w:tcW w:w="3976" w:type="dxa"/>
          </w:tcPr>
          <w:p w14:paraId="76416AD1"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 xml:space="preserve">Dark Chocolate and Orange Tart with Candied Orange Peel </w:t>
            </w:r>
          </w:p>
        </w:tc>
        <w:tc>
          <w:tcPr>
            <w:tcW w:w="5374" w:type="dxa"/>
          </w:tcPr>
          <w:p w14:paraId="46ABCEBC"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noProof/>
                <w:sz w:val="24"/>
                <w:szCs w:val="24"/>
              </w:rPr>
              <w:drawing>
                <wp:inline distT="0" distB="0" distL="0" distR="0" wp14:anchorId="4B86F571" wp14:editId="1382C193">
                  <wp:extent cx="1743075" cy="2619375"/>
                  <wp:effectExtent l="0" t="0" r="9525" b="9525"/>
                  <wp:docPr id="9" name="Picture 9" descr="A picture containing fruit, grapefruit, clementine,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fruit, grapefruit, clementine, foo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743075" cy="2619375"/>
                          </a:xfrm>
                          <a:prstGeom prst="rect">
                            <a:avLst/>
                          </a:prstGeom>
                          <a:noFill/>
                        </pic:spPr>
                      </pic:pic>
                    </a:graphicData>
                  </a:graphic>
                </wp:inline>
              </w:drawing>
            </w:r>
          </w:p>
        </w:tc>
      </w:tr>
    </w:tbl>
    <w:p w14:paraId="142E8F88" w14:textId="77777777" w:rsidR="00A53A40" w:rsidRPr="00A4559D" w:rsidRDefault="00A53A40" w:rsidP="003A5F2A">
      <w:pPr>
        <w:spacing w:line="480" w:lineRule="auto"/>
        <w:rPr>
          <w:rFonts w:ascii="Times" w:hAnsi="Times" w:cs="Times New Roman"/>
          <w:sz w:val="24"/>
          <w:szCs w:val="24"/>
        </w:rPr>
      </w:pPr>
    </w:p>
    <w:p w14:paraId="59450389"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Cultural and Provenance Considerations:</w:t>
      </w:r>
    </w:p>
    <w:p w14:paraId="47A58246"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To enhance the cultural authenticity of the Coronation Menu, Trinity Restaurant will paint closely with the suppliers to achieve ingredients that adhere to standard Welsh farming and manufacturing strategies (Mills, 2019). This consists of sourcing organic and unfastened-range hens from a local farm that upholds ethical and sustainable practices. By prioritizing those providers, the restaurant not only supports neighborhood businesses but additionally guarantees that the menu aligns with the cultural values of the vicinity (Nascimento,2023).</w:t>
      </w:r>
    </w:p>
    <w:p w14:paraId="338399A9"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In addition to the culinary factors, Trinity Restaurant will pay homage to Welsh history through the choice of drinks. The menu will function as sparkling wines and still wines produced utilizing a local winery, showcasing Welsh vineyards' growing satisfaction and recognition (Genovese, 2023). Craft breweries within the vicinity will offer a selection of regionally brewed beers and ales, permitting visitors to enjoy the flavors of the place in their drink alternatives.</w:t>
      </w:r>
    </w:p>
    <w:p w14:paraId="5AAAC741"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The Trinity Restaurant's Coronation Menu goal is to create a dining revel that goes beyond the food itself. By incorporating neighborhood ingredients and participating with regional providers, the menu celebrates Wales's cultural, historical past, and traditions (Broadway et al., 2019, 10). This commitment to provenance no longer most effectively enhances the authenticity of the dishes; however, it also supports the neighborhood financial system and fosters a sense of pride among guests who can have fun with the region's flavors.</w:t>
      </w:r>
    </w:p>
    <w:p w14:paraId="64AAE0CD" w14:textId="77777777" w:rsidR="00A53A40" w:rsidRPr="00A4559D" w:rsidRDefault="00A53A40" w:rsidP="003A5F2A">
      <w:pPr>
        <w:spacing w:line="480" w:lineRule="auto"/>
        <w:rPr>
          <w:rFonts w:ascii="Times" w:hAnsi="Times" w:cs="Times New Roman"/>
          <w:sz w:val="24"/>
          <w:szCs w:val="24"/>
        </w:rPr>
      </w:pPr>
      <w:r w:rsidRPr="00A4559D">
        <w:rPr>
          <w:rFonts w:ascii="Times" w:hAnsi="Times" w:cs="Times New Roman"/>
          <w:sz w:val="24"/>
          <w:szCs w:val="24"/>
        </w:rPr>
        <w:t>Conclusion:</w:t>
      </w:r>
    </w:p>
    <w:p w14:paraId="0A7F10A9"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The supply and sourcing plan for Trinity Restaurant's Coronation Menu considers the SWOT analysis of the restaurant's region and consumer base. The chosen suppliers align with the restaurant's commitment to sustainability, first-rate, and helping local manufacturers. The menu showcases first-rate Welsh cuisine, incorporating cultural elements and highlighting the provenance of the elements. By offering a superb eating revel rooted in the culinary traditions of Wales, Trinity Restaurant's goal is to make the coronation occasion memorable for all attendees. In addition to the sourcing plan, Trinity Restaurant may even emphasize the importance of presentation and provider during the coronation event. The culinary team will paint closely with the front-of-house workers to ensure seamless coordination and impeccable execution of each dish. Special interest will be given to the visible enchantment of the plates, incorporating garnishes and artistic touches that enhance the general dining experience. To create a sense of exclusivity and anticipation, Trinity Restaurant will provide a confined variety of reservations for the Coronation Menu. This approach will create a feeling of exclusivity and ensure that each visitor gets customized interest and is a great provider for the occasion.</w:t>
      </w:r>
    </w:p>
    <w:p w14:paraId="47AEE45B"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In terms of advertising, Trinity Restaurant will leverage its sturdy online presence and social media platforms to generate buzz and sell the Coronation Menu. Engaging with influencers, partnering with local media shops, and showcasing behind-the-scenes glimpses of menu coaching will help create excitement and entice a broader target market. The eating place can even collaborate with local occasion organizers and hotels to offer package deals, including accommodation and dining enjoy at Trinity Restaurant. This strategic partnership will not only grow the restaurant's visibility but also entice visitors attending the coronation from out of town.</w:t>
      </w:r>
    </w:p>
    <w:p w14:paraId="1B7B6368" w14:textId="77777777" w:rsidR="00A53A40" w:rsidRPr="00A4559D" w:rsidRDefault="00A53A40" w:rsidP="003A5F2A">
      <w:pPr>
        <w:spacing w:line="480" w:lineRule="auto"/>
        <w:ind w:firstLine="720"/>
        <w:rPr>
          <w:rFonts w:ascii="Times" w:hAnsi="Times" w:cs="Times New Roman"/>
          <w:sz w:val="24"/>
          <w:szCs w:val="24"/>
        </w:rPr>
      </w:pPr>
      <w:r w:rsidRPr="00A4559D">
        <w:rPr>
          <w:rFonts w:ascii="Times" w:hAnsi="Times" w:cs="Times New Roman"/>
          <w:sz w:val="24"/>
          <w:szCs w:val="24"/>
        </w:rPr>
        <w:t>Overall, the delivery and sourcing plan, combined with careful attention to presentation, carrier, and advertising efforts, will ensure that Trinity Restaurant's Coronation Menu turns into a highlight of the occasion. By imparting a memorable culinary enjoy rooted in Welsh traditions, the restaurant goals to leave an enduring impact on guests and, in addition, solidify its recognition as a gold-standard eating destination in Langland Bay.</w:t>
      </w:r>
    </w:p>
    <w:p w14:paraId="67A15948" w14:textId="77777777" w:rsidR="00A53A40" w:rsidRPr="00A4559D" w:rsidRDefault="00A53A40" w:rsidP="003A5F2A">
      <w:pPr>
        <w:rPr>
          <w:rFonts w:ascii="Times" w:hAnsi="Times" w:cs="Times New Roman"/>
          <w:b/>
          <w:sz w:val="24"/>
          <w:szCs w:val="24"/>
        </w:rPr>
      </w:pPr>
      <w:r w:rsidRPr="00A4559D">
        <w:rPr>
          <w:rFonts w:ascii="Times" w:hAnsi="Times" w:cs="Times New Roman"/>
          <w:b/>
          <w:sz w:val="24"/>
          <w:szCs w:val="24"/>
        </w:rPr>
        <w:br w:type="page"/>
      </w:r>
    </w:p>
    <w:p w14:paraId="33EB0A74" w14:textId="77777777" w:rsidR="00A53A40" w:rsidRDefault="00A53A40" w:rsidP="003A5F2A">
      <w:pPr>
        <w:spacing w:line="480" w:lineRule="auto"/>
        <w:ind w:firstLine="720"/>
        <w:rPr>
          <w:rFonts w:ascii="Times New Roman" w:hAnsi="Times New Roman" w:cs="Times New Roman"/>
          <w:b/>
          <w:sz w:val="24"/>
          <w:szCs w:val="24"/>
        </w:rPr>
      </w:pPr>
      <w:r w:rsidRPr="00AE6EB5">
        <w:rPr>
          <w:rFonts w:ascii="Times New Roman" w:hAnsi="Times New Roman" w:cs="Times New Roman"/>
          <w:b/>
          <w:sz w:val="24"/>
          <w:szCs w:val="24"/>
        </w:rPr>
        <w:t>References</w:t>
      </w:r>
    </w:p>
    <w:p w14:paraId="5AFCE22D"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 xml:space="preserve">Bang, D., Choi, K. and Kim, A.J., 2022. Does the Michelin effect exist? An empirical study on the effects of Michelin stars. </w:t>
      </w:r>
      <w:r w:rsidRPr="00C65367">
        <w:rPr>
          <w:rFonts w:ascii="Arial" w:hAnsi="Arial" w:cs="Arial"/>
          <w:i/>
          <w:iCs/>
          <w:color w:val="222222"/>
          <w:sz w:val="20"/>
          <w:szCs w:val="20"/>
          <w:shd w:val="clear" w:color="auto" w:fill="FFFFFF"/>
        </w:rPr>
        <w:t>International Journal of Contemporary Hospitality Management</w:t>
      </w:r>
      <w:r w:rsidRPr="006025C1">
        <w:rPr>
          <w:rFonts w:ascii="Arial" w:hAnsi="Arial" w:cs="Arial"/>
          <w:color w:val="222222"/>
          <w:sz w:val="20"/>
          <w:szCs w:val="20"/>
          <w:shd w:val="clear" w:color="auto" w:fill="FFFFFF"/>
        </w:rPr>
        <w:t>.</w:t>
      </w:r>
      <w:r w:rsidRPr="006025C1">
        <w:t xml:space="preserve"> </w:t>
      </w:r>
      <w:hyperlink r:id="rId22" w:history="1">
        <w:r w:rsidRPr="006025C1">
          <w:rPr>
            <w:rStyle w:val="Hyperlink"/>
            <w:rFonts w:ascii="Arial" w:hAnsi="Arial" w:cs="Arial"/>
            <w:sz w:val="20"/>
            <w:szCs w:val="20"/>
            <w:shd w:val="clear" w:color="auto" w:fill="FFFFFF"/>
          </w:rPr>
          <w:t>https://www.emerald.com/insight/content/doi/10.1108/IJCHM-08-2021-1025/full/html</w:t>
        </w:r>
      </w:hyperlink>
    </w:p>
    <w:p w14:paraId="327DB09D"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proofErr w:type="spellStart"/>
      <w:r w:rsidRPr="006025C1">
        <w:rPr>
          <w:rFonts w:ascii="Arial" w:hAnsi="Arial" w:cs="Arial"/>
          <w:color w:val="222222"/>
          <w:sz w:val="20"/>
          <w:szCs w:val="20"/>
          <w:shd w:val="clear" w:color="auto" w:fill="FFFFFF"/>
        </w:rPr>
        <w:t>Biaett</w:t>
      </w:r>
      <w:proofErr w:type="spellEnd"/>
      <w:r w:rsidRPr="006025C1">
        <w:rPr>
          <w:rFonts w:ascii="Arial" w:hAnsi="Arial" w:cs="Arial"/>
          <w:color w:val="222222"/>
          <w:sz w:val="20"/>
          <w:szCs w:val="20"/>
          <w:shd w:val="clear" w:color="auto" w:fill="FFFFFF"/>
        </w:rPr>
        <w:t>, V. (n.d.). Basic Logistics - Festival &amp; Event Operations (chapter 4). www.academia.edu. [online] Available at: https://www.academia.edu/36558463/Basic_Logistics_Festival_and_Event_Operations_chapter_4_ [Accessed 16 Jun. 2023].</w:t>
      </w:r>
    </w:p>
    <w:p w14:paraId="1AED4FD4"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Broadway, M., Antunes, L. and Broadway, J., 2019. Food Tourism in a Marginal Agricultural Region: The Case of Michigan's Upper Peninsula. </w:t>
      </w:r>
      <w:r w:rsidRPr="006025C1">
        <w:rPr>
          <w:rFonts w:ascii="Arial" w:hAnsi="Arial" w:cs="Arial"/>
          <w:i/>
          <w:iCs/>
          <w:color w:val="222222"/>
          <w:sz w:val="20"/>
          <w:szCs w:val="20"/>
          <w:shd w:val="clear" w:color="auto" w:fill="FFFFFF"/>
        </w:rPr>
        <w:t>Journal of Gastronomy and Tourism</w:t>
      </w:r>
      <w:r w:rsidRPr="006025C1">
        <w:rPr>
          <w:rFonts w:ascii="Arial" w:hAnsi="Arial" w:cs="Arial"/>
          <w:color w:val="222222"/>
          <w:sz w:val="20"/>
          <w:szCs w:val="20"/>
          <w:shd w:val="clear" w:color="auto" w:fill="FFFFFF"/>
        </w:rPr>
        <w:t>, </w:t>
      </w:r>
      <w:r w:rsidRPr="006025C1">
        <w:rPr>
          <w:rFonts w:ascii="Arial" w:hAnsi="Arial" w:cs="Arial"/>
          <w:i/>
          <w:iCs/>
          <w:color w:val="222222"/>
          <w:sz w:val="20"/>
          <w:szCs w:val="20"/>
          <w:shd w:val="clear" w:color="auto" w:fill="FFFFFF"/>
        </w:rPr>
        <w:t>4</w:t>
      </w:r>
      <w:r w:rsidRPr="006025C1">
        <w:rPr>
          <w:rFonts w:ascii="Arial" w:hAnsi="Arial" w:cs="Arial"/>
          <w:color w:val="222222"/>
          <w:sz w:val="20"/>
          <w:szCs w:val="20"/>
          <w:shd w:val="clear" w:color="auto" w:fill="FFFFFF"/>
        </w:rPr>
        <w:t>(1), pp.1-12.</w:t>
      </w:r>
      <w:r w:rsidRPr="00AE6EB5">
        <w:t xml:space="preserve"> </w:t>
      </w:r>
      <w:hyperlink r:id="rId23" w:history="1">
        <w:r w:rsidRPr="006025C1">
          <w:rPr>
            <w:rStyle w:val="Hyperlink"/>
            <w:rFonts w:ascii="Arial" w:hAnsi="Arial" w:cs="Arial"/>
            <w:sz w:val="20"/>
            <w:szCs w:val="20"/>
            <w:shd w:val="clear" w:color="auto" w:fill="FFFFFF"/>
          </w:rPr>
          <w:t>https://www.ingentaconnect.com/content/cog/gat/2019/00000004/00000001/art00001</w:t>
        </w:r>
      </w:hyperlink>
    </w:p>
    <w:p w14:paraId="1D1C34DC"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Finch, A., Gaetano, I. and Rutter, J., 2023. How can events help build connected, happy, and thriving communities?</w:t>
      </w:r>
      <w:r w:rsidRPr="006025C1">
        <w:t xml:space="preserve"> </w:t>
      </w:r>
      <w:hyperlink r:id="rId24" w:history="1">
        <w:r w:rsidRPr="006025C1">
          <w:rPr>
            <w:rStyle w:val="Hyperlink"/>
            <w:rFonts w:ascii="Arial" w:hAnsi="Arial" w:cs="Arial"/>
            <w:sz w:val="20"/>
            <w:szCs w:val="20"/>
            <w:shd w:val="clear" w:color="auto" w:fill="FFFFFF"/>
          </w:rPr>
          <w:t>https://eprints.icstudies.org.uk/id/eprint/411/</w:t>
        </w:r>
      </w:hyperlink>
    </w:p>
    <w:p w14:paraId="5E24A247"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proofErr w:type="spellStart"/>
      <w:r w:rsidRPr="006025C1">
        <w:rPr>
          <w:rFonts w:ascii="Arial" w:hAnsi="Arial" w:cs="Arial"/>
          <w:color w:val="222222"/>
          <w:sz w:val="20"/>
          <w:szCs w:val="20"/>
          <w:shd w:val="clear" w:color="auto" w:fill="FFFFFF"/>
        </w:rPr>
        <w:t>Garriga</w:t>
      </w:r>
      <w:proofErr w:type="spellEnd"/>
      <w:r w:rsidRPr="006025C1">
        <w:rPr>
          <w:rFonts w:ascii="Arial" w:hAnsi="Arial" w:cs="Arial"/>
          <w:color w:val="222222"/>
          <w:sz w:val="20"/>
          <w:szCs w:val="20"/>
          <w:shd w:val="clear" w:color="auto" w:fill="FFFFFF"/>
        </w:rPr>
        <w:t xml:space="preserve">, J.L., Ros, A., Snell, E., </w:t>
      </w:r>
      <w:proofErr w:type="spellStart"/>
      <w:r w:rsidRPr="006025C1">
        <w:rPr>
          <w:rFonts w:ascii="Arial" w:hAnsi="Arial" w:cs="Arial"/>
          <w:color w:val="222222"/>
          <w:sz w:val="20"/>
          <w:szCs w:val="20"/>
          <w:shd w:val="clear" w:color="auto" w:fill="FFFFFF"/>
        </w:rPr>
        <w:t>Fromme</w:t>
      </w:r>
      <w:proofErr w:type="spellEnd"/>
      <w:r w:rsidRPr="006025C1">
        <w:rPr>
          <w:rFonts w:ascii="Arial" w:hAnsi="Arial" w:cs="Arial"/>
          <w:color w:val="222222"/>
          <w:sz w:val="20"/>
          <w:szCs w:val="20"/>
          <w:shd w:val="clear" w:color="auto" w:fill="FFFFFF"/>
        </w:rPr>
        <w:t>, P., Hunter, M., Müller-</w:t>
      </w:r>
      <w:proofErr w:type="spellStart"/>
      <w:r w:rsidRPr="006025C1">
        <w:rPr>
          <w:rFonts w:ascii="Arial" w:hAnsi="Arial" w:cs="Arial"/>
          <w:color w:val="222222"/>
          <w:sz w:val="20"/>
          <w:szCs w:val="20"/>
          <w:shd w:val="clear" w:color="auto" w:fill="FFFFFF"/>
        </w:rPr>
        <w:t>Werkmeister</w:t>
      </w:r>
      <w:proofErr w:type="spellEnd"/>
      <w:r w:rsidRPr="006025C1">
        <w:rPr>
          <w:rFonts w:ascii="Arial" w:hAnsi="Arial" w:cs="Arial"/>
          <w:color w:val="222222"/>
          <w:sz w:val="20"/>
          <w:szCs w:val="20"/>
          <w:shd w:val="clear" w:color="auto" w:fill="FFFFFF"/>
        </w:rPr>
        <w:t xml:space="preserve">, H. and Pollack, L., 2023 </w:t>
      </w:r>
      <w:proofErr w:type="spellStart"/>
      <w:r w:rsidRPr="006025C1">
        <w:rPr>
          <w:rFonts w:ascii="Arial" w:hAnsi="Arial" w:cs="Arial"/>
          <w:color w:val="222222"/>
          <w:sz w:val="20"/>
          <w:szCs w:val="20"/>
          <w:shd w:val="clear" w:color="auto" w:fill="FFFFFF"/>
        </w:rPr>
        <w:t>BioXFEL</w:t>
      </w:r>
      <w:proofErr w:type="spellEnd"/>
      <w:r w:rsidRPr="006025C1">
        <w:rPr>
          <w:rFonts w:ascii="Arial" w:hAnsi="Arial" w:cs="Arial"/>
          <w:color w:val="222222"/>
          <w:sz w:val="20"/>
          <w:szCs w:val="20"/>
          <w:shd w:val="clear" w:color="auto" w:fill="FFFFFF"/>
        </w:rPr>
        <w:t xml:space="preserve"> 10th International Conference San Juan, Puerto Rico Welcome Packet.</w:t>
      </w:r>
      <w:r w:rsidRPr="006025C1">
        <w:t xml:space="preserve"> </w:t>
      </w:r>
      <w:hyperlink r:id="rId25" w:history="1">
        <w:r w:rsidRPr="006025C1">
          <w:rPr>
            <w:rStyle w:val="Hyperlink"/>
            <w:rFonts w:ascii="Arial" w:hAnsi="Arial" w:cs="Arial"/>
            <w:sz w:val="20"/>
            <w:szCs w:val="20"/>
            <w:shd w:val="clear" w:color="auto" w:fill="FFFFFF"/>
          </w:rPr>
          <w:t>https://bioxfel.org/site/media/2023%20Conference%20Booklet%20.pdf</w:t>
        </w:r>
      </w:hyperlink>
    </w:p>
    <w:p w14:paraId="3E726D23"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Genovese, P. (2023). </w:t>
      </w:r>
      <w:r w:rsidRPr="006025C1">
        <w:rPr>
          <w:rFonts w:ascii="Arial" w:hAnsi="Arial" w:cs="Arial"/>
          <w:i/>
          <w:iCs/>
          <w:color w:val="222222"/>
          <w:sz w:val="20"/>
          <w:szCs w:val="20"/>
          <w:shd w:val="clear" w:color="auto" w:fill="FFFFFF"/>
        </w:rPr>
        <w:t>The Ultimate Guide to the Jersey Shore: Where to Eat, What to Do, and Much More</w:t>
      </w:r>
      <w:r w:rsidRPr="006025C1">
        <w:rPr>
          <w:rFonts w:ascii="Arial" w:hAnsi="Arial" w:cs="Arial"/>
          <w:color w:val="222222"/>
          <w:sz w:val="20"/>
          <w:szCs w:val="20"/>
          <w:shd w:val="clear" w:color="auto" w:fill="FFFFFF"/>
        </w:rPr>
        <w:t>. Rutgers University Press.</w:t>
      </w:r>
      <w:r w:rsidRPr="00AE6EB5">
        <w:t xml:space="preserve"> </w:t>
      </w:r>
      <w:hyperlink r:id="rId26" w:anchor="v=onepage&amp;q&amp;f=false" w:history="1">
        <w:r w:rsidRPr="006025C1">
          <w:rPr>
            <w:rStyle w:val="Hyperlink"/>
            <w:rFonts w:ascii="Arial" w:hAnsi="Arial" w:cs="Arial"/>
            <w:sz w:val="20"/>
            <w:szCs w:val="20"/>
            <w:shd w:val="clear" w:color="auto" w:fill="FFFFFF"/>
          </w:rPr>
          <w:t>https://books.google.co.ke/books?hl=en&amp;lr=&amp;id=I-SzEAAAQBAJ&amp;oi=fnd&amp;pg=PT7&amp;dq=Trinity+Restaurant+will+pay+homage+to+Welsh+history+through+the+choice+of+drinks.+The+menu+will+function+sparkling+wines+and+still+wines+produced+by+means+of+a+local+winery,+showcasing+the+growing+satisfactory+and+recog&amp;ots=hKPhEYUv6i&amp;sig=HOz4aWBZU4_xf9tCYJe_pIIL2w8&amp;redir_esc=y#v=onepage&amp;q&amp;f=false</w:t>
        </w:r>
      </w:hyperlink>
    </w:p>
    <w:p w14:paraId="46D1AE68"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proofErr w:type="spellStart"/>
      <w:r w:rsidRPr="006025C1">
        <w:rPr>
          <w:rFonts w:ascii="Arial" w:hAnsi="Arial" w:cs="Arial"/>
          <w:color w:val="222222"/>
          <w:sz w:val="20"/>
          <w:szCs w:val="20"/>
          <w:shd w:val="clear" w:color="auto" w:fill="FFFFFF"/>
        </w:rPr>
        <w:t>Hanak</w:t>
      </w:r>
      <w:proofErr w:type="spellEnd"/>
      <w:r w:rsidRPr="006025C1">
        <w:rPr>
          <w:rFonts w:ascii="Arial" w:hAnsi="Arial" w:cs="Arial"/>
          <w:color w:val="222222"/>
          <w:sz w:val="20"/>
          <w:szCs w:val="20"/>
          <w:shd w:val="clear" w:color="auto" w:fill="FFFFFF"/>
        </w:rPr>
        <w:t>, E., Escriva-</w:t>
      </w:r>
      <w:proofErr w:type="spellStart"/>
      <w:r w:rsidRPr="006025C1">
        <w:rPr>
          <w:rFonts w:ascii="Arial" w:hAnsi="Arial" w:cs="Arial"/>
          <w:color w:val="222222"/>
          <w:sz w:val="20"/>
          <w:szCs w:val="20"/>
          <w:shd w:val="clear" w:color="auto" w:fill="FFFFFF"/>
        </w:rPr>
        <w:t>Bou</w:t>
      </w:r>
      <w:proofErr w:type="spellEnd"/>
      <w:r w:rsidRPr="006025C1">
        <w:rPr>
          <w:rFonts w:ascii="Arial" w:hAnsi="Arial" w:cs="Arial"/>
          <w:color w:val="222222"/>
          <w:sz w:val="20"/>
          <w:szCs w:val="20"/>
          <w:shd w:val="clear" w:color="auto" w:fill="FFFFFF"/>
        </w:rPr>
        <w:t xml:space="preserve">, A., Gray, B., Green, S., Harter, T., </w:t>
      </w:r>
      <w:proofErr w:type="spellStart"/>
      <w:r w:rsidRPr="006025C1">
        <w:rPr>
          <w:rFonts w:ascii="Arial" w:hAnsi="Arial" w:cs="Arial"/>
          <w:color w:val="222222"/>
          <w:sz w:val="20"/>
          <w:szCs w:val="20"/>
          <w:shd w:val="clear" w:color="auto" w:fill="FFFFFF"/>
        </w:rPr>
        <w:t>Jezdimirovic</w:t>
      </w:r>
      <w:proofErr w:type="spellEnd"/>
      <w:r w:rsidRPr="006025C1">
        <w:rPr>
          <w:rFonts w:ascii="Arial" w:hAnsi="Arial" w:cs="Arial"/>
          <w:color w:val="222222"/>
          <w:sz w:val="20"/>
          <w:szCs w:val="20"/>
          <w:shd w:val="clear" w:color="auto" w:fill="FFFFFF"/>
        </w:rPr>
        <w:t>, J., Lund, J., Medellín-</w:t>
      </w:r>
      <w:proofErr w:type="spellStart"/>
      <w:r w:rsidRPr="006025C1">
        <w:rPr>
          <w:rFonts w:ascii="Arial" w:hAnsi="Arial" w:cs="Arial"/>
          <w:color w:val="222222"/>
          <w:sz w:val="20"/>
          <w:szCs w:val="20"/>
          <w:shd w:val="clear" w:color="auto" w:fill="FFFFFF"/>
        </w:rPr>
        <w:t>Azuara</w:t>
      </w:r>
      <w:proofErr w:type="spellEnd"/>
      <w:r w:rsidRPr="006025C1">
        <w:rPr>
          <w:rFonts w:ascii="Arial" w:hAnsi="Arial" w:cs="Arial"/>
          <w:color w:val="222222"/>
          <w:sz w:val="20"/>
          <w:szCs w:val="20"/>
          <w:shd w:val="clear" w:color="auto" w:fill="FFFFFF"/>
        </w:rPr>
        <w:t xml:space="preserve">, J., Moyle, P. and </w:t>
      </w:r>
      <w:proofErr w:type="spellStart"/>
      <w:r w:rsidRPr="006025C1">
        <w:rPr>
          <w:rFonts w:ascii="Arial" w:hAnsi="Arial" w:cs="Arial"/>
          <w:color w:val="222222"/>
          <w:sz w:val="20"/>
          <w:szCs w:val="20"/>
          <w:shd w:val="clear" w:color="auto" w:fill="FFFFFF"/>
        </w:rPr>
        <w:t>Seavy</w:t>
      </w:r>
      <w:proofErr w:type="spellEnd"/>
      <w:r w:rsidRPr="006025C1">
        <w:rPr>
          <w:rFonts w:ascii="Arial" w:hAnsi="Arial" w:cs="Arial"/>
          <w:color w:val="222222"/>
          <w:sz w:val="20"/>
          <w:szCs w:val="20"/>
          <w:shd w:val="clear" w:color="auto" w:fill="FFFFFF"/>
        </w:rPr>
        <w:t>, N., 2019. Water and the future of the San Joaquin Valley. Public Policy Institute of California, 100.</w:t>
      </w:r>
      <w:r w:rsidRPr="00AE6EB5">
        <w:t xml:space="preserve"> </w:t>
      </w:r>
      <w:hyperlink r:id="rId27" w:history="1">
        <w:r w:rsidRPr="006025C1">
          <w:rPr>
            <w:rStyle w:val="Hyperlink"/>
            <w:rFonts w:ascii="Arial" w:hAnsi="Arial" w:cs="Arial"/>
            <w:sz w:val="20"/>
            <w:szCs w:val="20"/>
            <w:shd w:val="clear" w:color="auto" w:fill="FFFFFF"/>
          </w:rPr>
          <w:t>https://www.ppic.org/wp-content/uploads/water-and-the-future-of-the-san-joaquin-valley-overview.pdf</w:t>
        </w:r>
      </w:hyperlink>
    </w:p>
    <w:p w14:paraId="751CABB0"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 xml:space="preserve">Hodge, J., 2021. Carmarthen to Fishguard </w:t>
      </w:r>
      <w:proofErr w:type="spellStart"/>
      <w:r w:rsidRPr="006025C1">
        <w:rPr>
          <w:rFonts w:ascii="Arial" w:hAnsi="Arial" w:cs="Arial"/>
          <w:color w:val="222222"/>
          <w:sz w:val="20"/>
          <w:szCs w:val="20"/>
          <w:shd w:val="clear" w:color="auto" w:fill="FFFFFF"/>
        </w:rPr>
        <w:t>Harbour</w:t>
      </w:r>
      <w:proofErr w:type="spellEnd"/>
      <w:r w:rsidRPr="006025C1">
        <w:rPr>
          <w:rFonts w:ascii="Arial" w:hAnsi="Arial" w:cs="Arial"/>
          <w:color w:val="222222"/>
          <w:sz w:val="20"/>
          <w:szCs w:val="20"/>
          <w:shd w:val="clear" w:color="auto" w:fill="FFFFFF"/>
        </w:rPr>
        <w:t>. Pen and Sword Transport.</w:t>
      </w:r>
      <w:r w:rsidRPr="00AE6EB5">
        <w:t xml:space="preserve"> </w:t>
      </w:r>
      <w:hyperlink r:id="rId28" w:anchor="v=onepage&amp;q=Carmarthenshire%20Creamery&amp;f=false" w:history="1">
        <w:r w:rsidRPr="006025C1">
          <w:rPr>
            <w:rStyle w:val="Hyperlink"/>
            <w:rFonts w:ascii="Arial" w:hAnsi="Arial" w:cs="Arial"/>
            <w:sz w:val="20"/>
            <w:szCs w:val="20"/>
            <w:shd w:val="clear" w:color="auto" w:fill="FFFFFF"/>
          </w:rPr>
          <w:t>https://books.google.co.ke/books?hl=en&amp;lr=&amp;id=Ibk8EAAAQBAJ&amp;oi=fnd&amp;pg=PP1&amp;dq=Carmarthenshire+Creamery&amp;ots=Cvr3sYZqr1&amp;sig=IYJcxkSwpU6STUUBtlW2QXsqcY4&amp;redir_esc=y#v=onepage&amp;q=Carmarthenshire%20Creamery&amp;f=false</w:t>
        </w:r>
      </w:hyperlink>
    </w:p>
    <w:p w14:paraId="67F36BF5"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proofErr w:type="spellStart"/>
      <w:r w:rsidRPr="006025C1">
        <w:rPr>
          <w:rFonts w:ascii="Arial" w:hAnsi="Arial" w:cs="Arial"/>
          <w:color w:val="222222"/>
          <w:sz w:val="20"/>
          <w:szCs w:val="20"/>
          <w:shd w:val="clear" w:color="auto" w:fill="FFFFFF"/>
        </w:rPr>
        <w:t>Kickin</w:t>
      </w:r>
      <w:proofErr w:type="spellEnd"/>
      <w:r w:rsidRPr="006025C1">
        <w:rPr>
          <w:rFonts w:ascii="Arial" w:hAnsi="Arial" w:cs="Arial"/>
          <w:color w:val="222222"/>
          <w:sz w:val="20"/>
          <w:szCs w:val="20"/>
          <w:shd w:val="clear" w:color="auto" w:fill="FFFFFF"/>
        </w:rPr>
        <w:t>. (2021</w:t>
      </w:r>
      <w:r w:rsidRPr="00C65367">
        <w:rPr>
          <w:rFonts w:ascii="Arial" w:hAnsi="Arial" w:cs="Arial"/>
          <w:i/>
          <w:iCs/>
          <w:color w:val="222222"/>
          <w:sz w:val="20"/>
          <w:szCs w:val="20"/>
          <w:shd w:val="clear" w:color="auto" w:fill="FFFFFF"/>
        </w:rPr>
        <w:t>). Restaurant Menu Planning: Strategies and Tips to Optimize Your</w:t>
      </w:r>
      <w:r w:rsidRPr="006025C1">
        <w:rPr>
          <w:rFonts w:ascii="Arial" w:hAnsi="Arial" w:cs="Arial"/>
          <w:color w:val="222222"/>
          <w:sz w:val="20"/>
          <w:szCs w:val="20"/>
          <w:shd w:val="clear" w:color="auto" w:fill="FFFFFF"/>
        </w:rPr>
        <w:t xml:space="preserve"> Menu. [online] Available at: </w:t>
      </w:r>
      <w:hyperlink r:id="rId29" w:history="1">
        <w:r w:rsidRPr="006025C1">
          <w:rPr>
            <w:rStyle w:val="Hyperlink"/>
            <w:rFonts w:ascii="Arial" w:hAnsi="Arial" w:cs="Arial"/>
            <w:sz w:val="20"/>
            <w:szCs w:val="20"/>
            <w:shd w:val="clear" w:color="auto" w:fill="FFFFFF"/>
          </w:rPr>
          <w:t>https://kickfin.com/blog/restaurant-menu-planning/</w:t>
        </w:r>
      </w:hyperlink>
      <w:r w:rsidRPr="006025C1">
        <w:rPr>
          <w:rFonts w:ascii="Arial" w:hAnsi="Arial" w:cs="Arial"/>
          <w:color w:val="222222"/>
          <w:sz w:val="20"/>
          <w:szCs w:val="20"/>
          <w:shd w:val="clear" w:color="auto" w:fill="FFFFFF"/>
        </w:rPr>
        <w:t>.</w:t>
      </w:r>
    </w:p>
    <w:p w14:paraId="00817AF0"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proofErr w:type="spellStart"/>
      <w:r w:rsidRPr="006025C1">
        <w:rPr>
          <w:rFonts w:ascii="Arial" w:hAnsi="Arial" w:cs="Arial"/>
          <w:color w:val="222222"/>
          <w:sz w:val="20"/>
          <w:szCs w:val="20"/>
          <w:shd w:val="clear" w:color="auto" w:fill="FFFFFF"/>
        </w:rPr>
        <w:t>Kowalewski</w:t>
      </w:r>
      <w:proofErr w:type="spellEnd"/>
      <w:r w:rsidRPr="006025C1">
        <w:rPr>
          <w:rFonts w:ascii="Arial" w:hAnsi="Arial" w:cs="Arial"/>
          <w:color w:val="222222"/>
          <w:sz w:val="20"/>
          <w:szCs w:val="20"/>
          <w:shd w:val="clear" w:color="auto" w:fill="FFFFFF"/>
        </w:rPr>
        <w:t xml:space="preserve">, C. (2023). Restaurant Marketing Plan: Ideas &amp; Strategies. [online] </w:t>
      </w:r>
      <w:proofErr w:type="spellStart"/>
      <w:r w:rsidRPr="006025C1">
        <w:rPr>
          <w:rFonts w:ascii="Arial" w:hAnsi="Arial" w:cs="Arial"/>
          <w:color w:val="222222"/>
          <w:sz w:val="20"/>
          <w:szCs w:val="20"/>
          <w:shd w:val="clear" w:color="auto" w:fill="FFFFFF"/>
        </w:rPr>
        <w:t>TouchBistro</w:t>
      </w:r>
      <w:proofErr w:type="spellEnd"/>
      <w:r w:rsidRPr="006025C1">
        <w:rPr>
          <w:rFonts w:ascii="Arial" w:hAnsi="Arial" w:cs="Arial"/>
          <w:color w:val="222222"/>
          <w:sz w:val="20"/>
          <w:szCs w:val="20"/>
          <w:shd w:val="clear" w:color="auto" w:fill="FFFFFF"/>
        </w:rPr>
        <w:t xml:space="preserve">. Available at: </w:t>
      </w:r>
      <w:hyperlink r:id="rId30" w:history="1">
        <w:r w:rsidRPr="006025C1">
          <w:rPr>
            <w:rStyle w:val="Hyperlink"/>
            <w:rFonts w:ascii="Arial" w:hAnsi="Arial" w:cs="Arial"/>
            <w:sz w:val="20"/>
            <w:szCs w:val="20"/>
            <w:shd w:val="clear" w:color="auto" w:fill="FFFFFF"/>
          </w:rPr>
          <w:t>https://www.touchbistro.com/blog/restaurant-marketing-plan-ideas-strategies/</w:t>
        </w:r>
      </w:hyperlink>
      <w:r w:rsidRPr="006025C1">
        <w:rPr>
          <w:rFonts w:ascii="Arial" w:hAnsi="Arial" w:cs="Arial"/>
          <w:color w:val="222222"/>
          <w:sz w:val="20"/>
          <w:szCs w:val="20"/>
          <w:shd w:val="clear" w:color="auto" w:fill="FFFFFF"/>
        </w:rPr>
        <w:t>.</w:t>
      </w:r>
    </w:p>
    <w:p w14:paraId="0255F001"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 xml:space="preserve">Lofton, S., Kersten, M., </w:t>
      </w:r>
      <w:proofErr w:type="spellStart"/>
      <w:r w:rsidRPr="006025C1">
        <w:rPr>
          <w:rFonts w:ascii="Arial" w:hAnsi="Arial" w:cs="Arial"/>
          <w:color w:val="222222"/>
          <w:sz w:val="20"/>
          <w:szCs w:val="20"/>
          <w:shd w:val="clear" w:color="auto" w:fill="FFFFFF"/>
        </w:rPr>
        <w:t>Lubimbi</w:t>
      </w:r>
      <w:proofErr w:type="spellEnd"/>
      <w:r w:rsidRPr="006025C1">
        <w:rPr>
          <w:rFonts w:ascii="Arial" w:hAnsi="Arial" w:cs="Arial"/>
          <w:color w:val="222222"/>
          <w:sz w:val="20"/>
          <w:szCs w:val="20"/>
          <w:shd w:val="clear" w:color="auto" w:fill="FFFFFF"/>
        </w:rPr>
        <w:t xml:space="preserve">, N. and </w:t>
      </w:r>
      <w:proofErr w:type="spellStart"/>
      <w:r w:rsidRPr="006025C1">
        <w:rPr>
          <w:rFonts w:ascii="Arial" w:hAnsi="Arial" w:cs="Arial"/>
          <w:color w:val="222222"/>
          <w:sz w:val="20"/>
          <w:szCs w:val="20"/>
          <w:shd w:val="clear" w:color="auto" w:fill="FFFFFF"/>
        </w:rPr>
        <w:t>Odoms</w:t>
      </w:r>
      <w:proofErr w:type="spellEnd"/>
      <w:r w:rsidRPr="006025C1">
        <w:rPr>
          <w:rFonts w:ascii="Arial" w:hAnsi="Arial" w:cs="Arial"/>
          <w:color w:val="222222"/>
          <w:sz w:val="20"/>
          <w:szCs w:val="20"/>
          <w:shd w:val="clear" w:color="auto" w:fill="FFFFFF"/>
        </w:rPr>
        <w:t>-Young, A., 2022. How can community capacity building in urban agriculture improve food access in predominantly Black communities? Journal of Community Practice, 30(4), pp.395-417.</w:t>
      </w:r>
      <w:r w:rsidRPr="006025C1">
        <w:t xml:space="preserve"> </w:t>
      </w:r>
      <w:hyperlink r:id="rId31" w:history="1">
        <w:r w:rsidRPr="006025C1">
          <w:rPr>
            <w:rStyle w:val="Hyperlink"/>
            <w:rFonts w:ascii="Arial" w:hAnsi="Arial" w:cs="Arial"/>
            <w:sz w:val="20"/>
            <w:szCs w:val="20"/>
            <w:shd w:val="clear" w:color="auto" w:fill="FFFFFF"/>
          </w:rPr>
          <w:t>https://www.tandfonline.com/doi/abs/10.1080/10705422.2022.2138667</w:t>
        </w:r>
      </w:hyperlink>
    </w:p>
    <w:p w14:paraId="35E50D4A"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Mills, S., 2019. The Dawn of the Drone: From the Back-Room Boys of World War One. Casemate.</w:t>
      </w:r>
      <w:r w:rsidRPr="00AE6EB5">
        <w:t xml:space="preserve"> </w:t>
      </w:r>
      <w:hyperlink r:id="rId32" w:anchor="v=onepage&amp;q&amp;f=false" w:history="1">
        <w:r w:rsidRPr="006025C1">
          <w:rPr>
            <w:rStyle w:val="Hyperlink"/>
            <w:rFonts w:ascii="Arial" w:hAnsi="Arial" w:cs="Arial"/>
            <w:sz w:val="20"/>
            <w:szCs w:val="20"/>
            <w:shd w:val="clear" w:color="auto" w:fill="FFFFFF"/>
          </w:rPr>
          <w:t>https://books.google.co.ke/books?hl=en&amp;lr=&amp;id=eXzKDwAAQBAJ&amp;oi=fnd&amp;pg=PP1&amp;dq=To+enhance+the+cultural+authenticity+of+the+Coronation+Menu,+Trinity+Restaurant+will+paintings+closely+with+the+suppliers+to+achieve+ingredients+that+adhere+to+standard+Welsh+farming+and+manufacturing+strategies&amp;ots=Li2NPVktf-&amp;sig=pZFV0RA5JMRfQvDwRRo-nAJgX5o&amp;redir_esc=y#v=onepage&amp;q&amp;f=false</w:t>
        </w:r>
      </w:hyperlink>
    </w:p>
    <w:p w14:paraId="2F3B9454"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Nascimento, M.A., 2023. Sustainable restaurants in Barcelona: From popular cuisine to sustainable gourmet menus. International Journal of Gastronomy and Food Science, 32, p.100700.</w:t>
      </w:r>
      <w:r w:rsidRPr="00AE6EB5">
        <w:t xml:space="preserve"> </w:t>
      </w:r>
      <w:hyperlink r:id="rId33" w:history="1">
        <w:r w:rsidRPr="006025C1">
          <w:rPr>
            <w:rStyle w:val="Hyperlink"/>
            <w:rFonts w:ascii="Arial" w:hAnsi="Arial" w:cs="Arial"/>
            <w:sz w:val="20"/>
            <w:szCs w:val="20"/>
            <w:shd w:val="clear" w:color="auto" w:fill="FFFFFF"/>
          </w:rPr>
          <w:t>https://www.sciencedirect.com/science/article/abs/pii/S1878450X23000422</w:t>
        </w:r>
      </w:hyperlink>
    </w:p>
    <w:p w14:paraId="1BB62DD7"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 xml:space="preserve">Osman, A.I., Chen, L., Yang, M., </w:t>
      </w:r>
      <w:proofErr w:type="spellStart"/>
      <w:r w:rsidRPr="006025C1">
        <w:rPr>
          <w:rFonts w:ascii="Arial" w:hAnsi="Arial" w:cs="Arial"/>
          <w:color w:val="222222"/>
          <w:sz w:val="20"/>
          <w:szCs w:val="20"/>
          <w:shd w:val="clear" w:color="auto" w:fill="FFFFFF"/>
        </w:rPr>
        <w:t>Msigwa</w:t>
      </w:r>
      <w:proofErr w:type="spellEnd"/>
      <w:r w:rsidRPr="006025C1">
        <w:rPr>
          <w:rFonts w:ascii="Arial" w:hAnsi="Arial" w:cs="Arial"/>
          <w:color w:val="222222"/>
          <w:sz w:val="20"/>
          <w:szCs w:val="20"/>
          <w:shd w:val="clear" w:color="auto" w:fill="FFFFFF"/>
        </w:rPr>
        <w:t xml:space="preserve">, G., </w:t>
      </w:r>
      <w:proofErr w:type="spellStart"/>
      <w:r w:rsidRPr="006025C1">
        <w:rPr>
          <w:rFonts w:ascii="Arial" w:hAnsi="Arial" w:cs="Arial"/>
          <w:color w:val="222222"/>
          <w:sz w:val="20"/>
          <w:szCs w:val="20"/>
          <w:shd w:val="clear" w:color="auto" w:fill="FFFFFF"/>
        </w:rPr>
        <w:t>Farghali</w:t>
      </w:r>
      <w:proofErr w:type="spellEnd"/>
      <w:r w:rsidRPr="006025C1">
        <w:rPr>
          <w:rFonts w:ascii="Arial" w:hAnsi="Arial" w:cs="Arial"/>
          <w:color w:val="222222"/>
          <w:sz w:val="20"/>
          <w:szCs w:val="20"/>
          <w:shd w:val="clear" w:color="auto" w:fill="FFFFFF"/>
        </w:rPr>
        <w:t xml:space="preserve">, M., </w:t>
      </w:r>
      <w:proofErr w:type="spellStart"/>
      <w:r w:rsidRPr="006025C1">
        <w:rPr>
          <w:rFonts w:ascii="Arial" w:hAnsi="Arial" w:cs="Arial"/>
          <w:color w:val="222222"/>
          <w:sz w:val="20"/>
          <w:szCs w:val="20"/>
          <w:shd w:val="clear" w:color="auto" w:fill="FFFFFF"/>
        </w:rPr>
        <w:t>Fawzy</w:t>
      </w:r>
      <w:proofErr w:type="spellEnd"/>
      <w:r w:rsidRPr="006025C1">
        <w:rPr>
          <w:rFonts w:ascii="Arial" w:hAnsi="Arial" w:cs="Arial"/>
          <w:color w:val="222222"/>
          <w:sz w:val="20"/>
          <w:szCs w:val="20"/>
          <w:shd w:val="clear" w:color="auto" w:fill="FFFFFF"/>
        </w:rPr>
        <w:t xml:space="preserve">, S., Rooney, D.W. and Yap, P.S., 2023. Cost, environmental impact, and resilience of renewable energy under a changing climate: a review. Environmental </w:t>
      </w:r>
      <w:r w:rsidRPr="00C65367">
        <w:rPr>
          <w:rFonts w:ascii="Arial" w:hAnsi="Arial" w:cs="Arial"/>
          <w:i/>
          <w:iCs/>
          <w:color w:val="222222"/>
          <w:sz w:val="20"/>
          <w:szCs w:val="20"/>
          <w:shd w:val="clear" w:color="auto" w:fill="FFFFFF"/>
        </w:rPr>
        <w:t>Chemistry Letters</w:t>
      </w:r>
      <w:r w:rsidRPr="006025C1">
        <w:rPr>
          <w:rFonts w:ascii="Arial" w:hAnsi="Arial" w:cs="Arial"/>
          <w:color w:val="222222"/>
          <w:sz w:val="20"/>
          <w:szCs w:val="20"/>
          <w:shd w:val="clear" w:color="auto" w:fill="FFFFFF"/>
        </w:rPr>
        <w:t>, 21(2), pp.741-764.</w:t>
      </w:r>
      <w:r w:rsidRPr="006025C1">
        <w:t xml:space="preserve"> </w:t>
      </w:r>
      <w:hyperlink r:id="rId34" w:history="1">
        <w:r w:rsidRPr="006025C1">
          <w:rPr>
            <w:rStyle w:val="Hyperlink"/>
            <w:rFonts w:ascii="Arial" w:hAnsi="Arial" w:cs="Arial"/>
            <w:sz w:val="20"/>
            <w:szCs w:val="20"/>
            <w:shd w:val="clear" w:color="auto" w:fill="FFFFFF"/>
          </w:rPr>
          <w:t>https://link.springer.com/article/10.1007/s10311-022-01532-8</w:t>
        </w:r>
      </w:hyperlink>
    </w:p>
    <w:p w14:paraId="370943FC"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 xml:space="preserve">Somasundaram, V., Ridnour, L.A., Cheng, R.Y., </w:t>
      </w:r>
      <w:proofErr w:type="spellStart"/>
      <w:r w:rsidRPr="006025C1">
        <w:rPr>
          <w:rFonts w:ascii="Arial" w:hAnsi="Arial" w:cs="Arial"/>
          <w:color w:val="222222"/>
          <w:sz w:val="20"/>
          <w:szCs w:val="20"/>
          <w:shd w:val="clear" w:color="auto" w:fill="FFFFFF"/>
        </w:rPr>
        <w:t>Walke</w:t>
      </w:r>
      <w:proofErr w:type="spellEnd"/>
      <w:r w:rsidRPr="006025C1">
        <w:rPr>
          <w:rFonts w:ascii="Arial" w:hAnsi="Arial" w:cs="Arial"/>
          <w:color w:val="222222"/>
          <w:sz w:val="20"/>
          <w:szCs w:val="20"/>
          <w:shd w:val="clear" w:color="auto" w:fill="FFFFFF"/>
        </w:rPr>
        <w:t xml:space="preserve">, A.J., </w:t>
      </w:r>
      <w:proofErr w:type="spellStart"/>
      <w:r w:rsidRPr="006025C1">
        <w:rPr>
          <w:rFonts w:ascii="Arial" w:hAnsi="Arial" w:cs="Arial"/>
          <w:color w:val="222222"/>
          <w:sz w:val="20"/>
          <w:szCs w:val="20"/>
          <w:shd w:val="clear" w:color="auto" w:fill="FFFFFF"/>
        </w:rPr>
        <w:t>Kedei</w:t>
      </w:r>
      <w:proofErr w:type="spellEnd"/>
      <w:r w:rsidRPr="006025C1">
        <w:rPr>
          <w:rFonts w:ascii="Arial" w:hAnsi="Arial" w:cs="Arial"/>
          <w:color w:val="222222"/>
          <w:sz w:val="20"/>
          <w:szCs w:val="20"/>
          <w:shd w:val="clear" w:color="auto" w:fill="FFFFFF"/>
        </w:rPr>
        <w:t xml:space="preserve">, N., Bhattacharyya, D.D., Wink, A.L., Edmondson, E.F., Butcher, D., Warner, A.C. and Dorsey, T.H., 2022. Systemic Nos2 Depletion and Cox inhibition limits TNBC disease progression and alters lymphoid cell spatial orientation and density. </w:t>
      </w:r>
      <w:r w:rsidRPr="00C65367">
        <w:rPr>
          <w:rFonts w:ascii="Arial" w:hAnsi="Arial" w:cs="Arial"/>
          <w:i/>
          <w:iCs/>
          <w:color w:val="222222"/>
          <w:sz w:val="20"/>
          <w:szCs w:val="20"/>
          <w:shd w:val="clear" w:color="auto" w:fill="FFFFFF"/>
        </w:rPr>
        <w:t>Redox Biology,</w:t>
      </w:r>
      <w:r w:rsidRPr="006025C1">
        <w:rPr>
          <w:rFonts w:ascii="Arial" w:hAnsi="Arial" w:cs="Arial"/>
          <w:color w:val="222222"/>
          <w:sz w:val="20"/>
          <w:szCs w:val="20"/>
          <w:shd w:val="clear" w:color="auto" w:fill="FFFFFF"/>
        </w:rPr>
        <w:t xml:space="preserve"> 58, p.102529.</w:t>
      </w:r>
      <w:r w:rsidRPr="006025C1">
        <w:t xml:space="preserve"> </w:t>
      </w:r>
      <w:hyperlink r:id="rId35" w:history="1">
        <w:r w:rsidRPr="006025C1">
          <w:rPr>
            <w:rStyle w:val="Hyperlink"/>
            <w:rFonts w:ascii="Arial" w:hAnsi="Arial" w:cs="Arial"/>
            <w:sz w:val="20"/>
            <w:szCs w:val="20"/>
            <w:shd w:val="clear" w:color="auto" w:fill="FFFFFF"/>
          </w:rPr>
          <w:t>https://www.sciencedirect.com/science/article/pii/S2213231722003019</w:t>
        </w:r>
      </w:hyperlink>
    </w:p>
    <w:p w14:paraId="7981DAD5"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proofErr w:type="spellStart"/>
      <w:r w:rsidRPr="006025C1">
        <w:rPr>
          <w:rFonts w:ascii="Arial" w:hAnsi="Arial" w:cs="Arial"/>
          <w:color w:val="222222"/>
          <w:sz w:val="20"/>
          <w:szCs w:val="20"/>
          <w:shd w:val="clear" w:color="auto" w:fill="FFFFFF"/>
        </w:rPr>
        <w:t>Vespia</w:t>
      </w:r>
      <w:proofErr w:type="spellEnd"/>
      <w:r w:rsidRPr="006025C1">
        <w:rPr>
          <w:rFonts w:ascii="Arial" w:hAnsi="Arial" w:cs="Arial"/>
          <w:color w:val="222222"/>
          <w:sz w:val="20"/>
          <w:szCs w:val="20"/>
          <w:shd w:val="clear" w:color="auto" w:fill="FFFFFF"/>
        </w:rPr>
        <w:t>, C. (2021</w:t>
      </w:r>
      <w:r w:rsidRPr="00C65367">
        <w:rPr>
          <w:rFonts w:ascii="Arial" w:hAnsi="Arial" w:cs="Arial"/>
          <w:i/>
          <w:iCs/>
          <w:color w:val="222222"/>
          <w:sz w:val="20"/>
          <w:szCs w:val="20"/>
          <w:shd w:val="clear" w:color="auto" w:fill="FFFFFF"/>
        </w:rPr>
        <w:t>). Menu Planning and All It Encompasses</w:t>
      </w:r>
      <w:r w:rsidRPr="006025C1">
        <w:rPr>
          <w:rFonts w:ascii="Arial" w:hAnsi="Arial" w:cs="Arial"/>
          <w:color w:val="222222"/>
          <w:sz w:val="20"/>
          <w:szCs w:val="20"/>
          <w:shd w:val="clear" w:color="auto" w:fill="FFFFFF"/>
        </w:rPr>
        <w:t xml:space="preserve">. [online] ziphaccp.com. Available at: </w:t>
      </w:r>
      <w:hyperlink r:id="rId36" w:history="1">
        <w:r w:rsidRPr="006025C1">
          <w:rPr>
            <w:rStyle w:val="Hyperlink"/>
            <w:rFonts w:ascii="Arial" w:hAnsi="Arial" w:cs="Arial"/>
            <w:sz w:val="20"/>
            <w:szCs w:val="20"/>
            <w:shd w:val="clear" w:color="auto" w:fill="FFFFFF"/>
          </w:rPr>
          <w:t>https://ziphaccp.com/menu-planning.html</w:t>
        </w:r>
      </w:hyperlink>
      <w:r w:rsidRPr="006025C1">
        <w:rPr>
          <w:rFonts w:ascii="Arial" w:hAnsi="Arial" w:cs="Arial"/>
          <w:color w:val="222222"/>
          <w:sz w:val="20"/>
          <w:szCs w:val="20"/>
          <w:shd w:val="clear" w:color="auto" w:fill="FFFFFF"/>
        </w:rPr>
        <w:t>.</w:t>
      </w:r>
    </w:p>
    <w:p w14:paraId="05B517BE" w14:textId="77777777" w:rsidR="00A53A40" w:rsidRPr="006025C1" w:rsidRDefault="00A53A40" w:rsidP="003A5F2A">
      <w:pPr>
        <w:spacing w:line="480" w:lineRule="auto"/>
        <w:ind w:left="1440" w:hanging="720"/>
        <w:rPr>
          <w:rFonts w:ascii="Arial" w:hAnsi="Arial" w:cs="Arial"/>
          <w:color w:val="222222"/>
          <w:sz w:val="20"/>
          <w:szCs w:val="20"/>
          <w:shd w:val="clear" w:color="auto" w:fill="FFFFFF"/>
        </w:rPr>
      </w:pPr>
      <w:r w:rsidRPr="006025C1">
        <w:rPr>
          <w:rFonts w:ascii="Arial" w:hAnsi="Arial" w:cs="Arial"/>
          <w:color w:val="222222"/>
          <w:sz w:val="20"/>
          <w:szCs w:val="20"/>
          <w:shd w:val="clear" w:color="auto" w:fill="FFFFFF"/>
        </w:rPr>
        <w:t xml:space="preserve">www.trinityvillage.co.uk. (n.d.). </w:t>
      </w:r>
      <w:r w:rsidRPr="00C65367">
        <w:rPr>
          <w:rFonts w:ascii="Arial" w:hAnsi="Arial" w:cs="Arial"/>
          <w:i/>
          <w:iCs/>
          <w:color w:val="222222"/>
          <w:sz w:val="20"/>
          <w:szCs w:val="20"/>
          <w:shd w:val="clear" w:color="auto" w:fill="FFFFFF"/>
        </w:rPr>
        <w:t>Trinity Village - News &amp; Events. [</w:t>
      </w:r>
      <w:r w:rsidRPr="006025C1">
        <w:rPr>
          <w:rFonts w:ascii="Arial" w:hAnsi="Arial" w:cs="Arial"/>
          <w:color w:val="222222"/>
          <w:sz w:val="20"/>
          <w:szCs w:val="20"/>
          <w:shd w:val="clear" w:color="auto" w:fill="FFFFFF"/>
        </w:rPr>
        <w:t>online] Available at: https://www.trinityvillage.co.uk/news [Accessed 16 Jun. 2023].</w:t>
      </w:r>
    </w:p>
    <w:p w14:paraId="0F5C78F7" w14:textId="77777777" w:rsidR="00A53A40" w:rsidRDefault="00A53A40" w:rsidP="003A5F2A">
      <w:pPr>
        <w:spacing w:line="480" w:lineRule="auto"/>
        <w:ind w:firstLine="720"/>
        <w:rPr>
          <w:rFonts w:ascii="Arial" w:hAnsi="Arial" w:cs="Arial"/>
          <w:color w:val="222222"/>
          <w:sz w:val="20"/>
          <w:szCs w:val="20"/>
          <w:shd w:val="clear" w:color="auto" w:fill="FFFFFF"/>
        </w:rPr>
      </w:pPr>
    </w:p>
    <w:p w14:paraId="69996442" w14:textId="77777777" w:rsidR="00A53A40" w:rsidRPr="00AE6EB5" w:rsidRDefault="00A53A40" w:rsidP="003A5F2A">
      <w:pPr>
        <w:spacing w:line="480" w:lineRule="auto"/>
        <w:ind w:firstLine="720"/>
        <w:rPr>
          <w:rFonts w:ascii="Times New Roman" w:hAnsi="Times New Roman" w:cs="Times New Roman"/>
          <w:sz w:val="24"/>
          <w:szCs w:val="24"/>
        </w:rPr>
      </w:pPr>
    </w:p>
    <w:p w14:paraId="3CA83196" w14:textId="77777777" w:rsidR="00A53A40" w:rsidRPr="00FD73F8" w:rsidRDefault="00A53A40" w:rsidP="003A5F2A">
      <w:pPr>
        <w:spacing w:line="480" w:lineRule="auto"/>
        <w:rPr>
          <w:rFonts w:ascii="Times New Roman" w:hAnsi="Times New Roman" w:cs="Times New Roman"/>
          <w:sz w:val="24"/>
          <w:szCs w:val="24"/>
        </w:rPr>
      </w:pPr>
    </w:p>
    <w:p w14:paraId="1B8319C4" w14:textId="77777777" w:rsidR="00A53A40" w:rsidRPr="00FD73F8" w:rsidRDefault="00A53A40" w:rsidP="003A5F2A">
      <w:pPr>
        <w:spacing w:line="480" w:lineRule="auto"/>
        <w:rPr>
          <w:rFonts w:ascii="Times New Roman" w:hAnsi="Times New Roman" w:cs="Times New Roman"/>
          <w:sz w:val="24"/>
          <w:szCs w:val="24"/>
        </w:rPr>
      </w:pPr>
    </w:p>
    <w:p w14:paraId="4EBD34BE" w14:textId="77777777" w:rsidR="00F80C22" w:rsidRDefault="00F80C22" w:rsidP="003A5F2A"/>
    <w:sectPr w:rsidR="00F80C22" w:rsidSect="00806FD0">
      <w:head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92803" w14:textId="77777777" w:rsidR="0018069D" w:rsidRDefault="0018069D">
      <w:pPr>
        <w:spacing w:after="0" w:line="240" w:lineRule="auto"/>
      </w:pPr>
      <w:r>
        <w:separator/>
      </w:r>
    </w:p>
  </w:endnote>
  <w:endnote w:type="continuationSeparator" w:id="0">
    <w:p w14:paraId="53EA8D95" w14:textId="77777777" w:rsidR="0018069D" w:rsidRDefault="00180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B06040202020202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56131" w14:textId="77777777" w:rsidR="0018069D" w:rsidRDefault="0018069D">
      <w:pPr>
        <w:spacing w:after="0" w:line="240" w:lineRule="auto"/>
      </w:pPr>
      <w:r>
        <w:separator/>
      </w:r>
    </w:p>
  </w:footnote>
  <w:footnote w:type="continuationSeparator" w:id="0">
    <w:p w14:paraId="3254C619" w14:textId="77777777" w:rsidR="0018069D" w:rsidRDefault="00180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1242001"/>
      <w:docPartObj>
        <w:docPartGallery w:val="Page Numbers (Top of Page)"/>
        <w:docPartUnique/>
      </w:docPartObj>
    </w:sdtPr>
    <w:sdtEndPr>
      <w:rPr>
        <w:noProof/>
      </w:rPr>
    </w:sdtEndPr>
    <w:sdtContent>
      <w:p w14:paraId="1A48EFDC" w14:textId="77777777" w:rsidR="006025C1" w:rsidRDefault="003A5F2A">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7B267B06" w14:textId="77777777" w:rsidR="006025C1" w:rsidRDefault="001806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9B5091"/>
    <w:multiLevelType w:val="hybridMultilevel"/>
    <w:tmpl w:val="0A9090E0"/>
    <w:lvl w:ilvl="0" w:tplc="EA22E076">
      <w:start w:val="1"/>
      <w:numFmt w:val="bullet"/>
      <w:lvlText w:val=""/>
      <w:lvlJc w:val="left"/>
      <w:pPr>
        <w:ind w:left="720" w:hanging="360"/>
      </w:pPr>
      <w:rPr>
        <w:rFonts w:ascii="Symbol" w:hAnsi="Symbol" w:hint="default"/>
      </w:rPr>
    </w:lvl>
    <w:lvl w:ilvl="1" w:tplc="BB624BCA" w:tentative="1">
      <w:start w:val="1"/>
      <w:numFmt w:val="bullet"/>
      <w:lvlText w:val="o"/>
      <w:lvlJc w:val="left"/>
      <w:pPr>
        <w:ind w:left="1440" w:hanging="360"/>
      </w:pPr>
      <w:rPr>
        <w:rFonts w:ascii="Courier New" w:hAnsi="Courier New" w:cs="Courier New" w:hint="default"/>
      </w:rPr>
    </w:lvl>
    <w:lvl w:ilvl="2" w:tplc="08FAE1AC" w:tentative="1">
      <w:start w:val="1"/>
      <w:numFmt w:val="bullet"/>
      <w:lvlText w:val=""/>
      <w:lvlJc w:val="left"/>
      <w:pPr>
        <w:ind w:left="2160" w:hanging="360"/>
      </w:pPr>
      <w:rPr>
        <w:rFonts w:ascii="Wingdings" w:hAnsi="Wingdings" w:hint="default"/>
      </w:rPr>
    </w:lvl>
    <w:lvl w:ilvl="3" w:tplc="016CC79E" w:tentative="1">
      <w:start w:val="1"/>
      <w:numFmt w:val="bullet"/>
      <w:lvlText w:val=""/>
      <w:lvlJc w:val="left"/>
      <w:pPr>
        <w:ind w:left="2880" w:hanging="360"/>
      </w:pPr>
      <w:rPr>
        <w:rFonts w:ascii="Symbol" w:hAnsi="Symbol" w:hint="default"/>
      </w:rPr>
    </w:lvl>
    <w:lvl w:ilvl="4" w:tplc="6F188C36" w:tentative="1">
      <w:start w:val="1"/>
      <w:numFmt w:val="bullet"/>
      <w:lvlText w:val="o"/>
      <w:lvlJc w:val="left"/>
      <w:pPr>
        <w:ind w:left="3600" w:hanging="360"/>
      </w:pPr>
      <w:rPr>
        <w:rFonts w:ascii="Courier New" w:hAnsi="Courier New" w:cs="Courier New" w:hint="default"/>
      </w:rPr>
    </w:lvl>
    <w:lvl w:ilvl="5" w:tplc="920C6F2A" w:tentative="1">
      <w:start w:val="1"/>
      <w:numFmt w:val="bullet"/>
      <w:lvlText w:val=""/>
      <w:lvlJc w:val="left"/>
      <w:pPr>
        <w:ind w:left="4320" w:hanging="360"/>
      </w:pPr>
      <w:rPr>
        <w:rFonts w:ascii="Wingdings" w:hAnsi="Wingdings" w:hint="default"/>
      </w:rPr>
    </w:lvl>
    <w:lvl w:ilvl="6" w:tplc="307EBCD6" w:tentative="1">
      <w:start w:val="1"/>
      <w:numFmt w:val="bullet"/>
      <w:lvlText w:val=""/>
      <w:lvlJc w:val="left"/>
      <w:pPr>
        <w:ind w:left="5040" w:hanging="360"/>
      </w:pPr>
      <w:rPr>
        <w:rFonts w:ascii="Symbol" w:hAnsi="Symbol" w:hint="default"/>
      </w:rPr>
    </w:lvl>
    <w:lvl w:ilvl="7" w:tplc="F4667336" w:tentative="1">
      <w:start w:val="1"/>
      <w:numFmt w:val="bullet"/>
      <w:lvlText w:val="o"/>
      <w:lvlJc w:val="left"/>
      <w:pPr>
        <w:ind w:left="5760" w:hanging="360"/>
      </w:pPr>
      <w:rPr>
        <w:rFonts w:ascii="Courier New" w:hAnsi="Courier New" w:cs="Courier New" w:hint="default"/>
      </w:rPr>
    </w:lvl>
    <w:lvl w:ilvl="8" w:tplc="39FE182C" w:tentative="1">
      <w:start w:val="1"/>
      <w:numFmt w:val="bullet"/>
      <w:lvlText w:val=""/>
      <w:lvlJc w:val="left"/>
      <w:pPr>
        <w:ind w:left="6480" w:hanging="360"/>
      </w:pPr>
      <w:rPr>
        <w:rFonts w:ascii="Wingdings" w:hAnsi="Wingdings" w:hint="default"/>
      </w:rPr>
    </w:lvl>
  </w:abstractNum>
  <w:num w:numId="1" w16cid:durableId="1545024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40"/>
    <w:rsid w:val="000E2E38"/>
    <w:rsid w:val="0018069D"/>
    <w:rsid w:val="003A5F2A"/>
    <w:rsid w:val="004717E4"/>
    <w:rsid w:val="00A05540"/>
    <w:rsid w:val="00A53A40"/>
    <w:rsid w:val="00CE0812"/>
    <w:rsid w:val="00F80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31FAC2"/>
  <w15:chartTrackingRefBased/>
  <w15:docId w15:val="{E20632F1-55C6-FA47-885A-33BE504EC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40"/>
    <w:pPr>
      <w:spacing w:after="160" w:line="259" w:lineRule="auto"/>
    </w:pPr>
    <w:rPr>
      <w:kern w:val="0"/>
      <w:sz w:val="22"/>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3A40"/>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3A40"/>
    <w:rPr>
      <w:color w:val="0563C1" w:themeColor="hyperlink"/>
      <w:u w:val="single"/>
    </w:rPr>
  </w:style>
  <w:style w:type="paragraph" w:styleId="ListParagraph">
    <w:name w:val="List Paragraph"/>
    <w:basedOn w:val="Normal"/>
    <w:uiPriority w:val="34"/>
    <w:qFormat/>
    <w:rsid w:val="00A53A40"/>
    <w:pPr>
      <w:ind w:left="720"/>
      <w:contextualSpacing/>
    </w:pPr>
  </w:style>
  <w:style w:type="paragraph" w:styleId="Header">
    <w:name w:val="header"/>
    <w:basedOn w:val="Normal"/>
    <w:link w:val="HeaderChar"/>
    <w:uiPriority w:val="99"/>
    <w:unhideWhenUsed/>
    <w:rsid w:val="00A53A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3A40"/>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books.google.co.ke/books?hl=en&amp;lr=&amp;id=I-SzEAAAQBAJ&amp;oi=fnd&amp;pg=PT7&amp;dq=Trinity+Restaurant+will+pay+homage+to+Welsh+history+through+the+choice+of+drinks.+The+menu+will+function+sparkling+wines+and+still+wines+produced+by+means+of+a+local+winery,+showcasing+the+growing+satisfactory+and+recog&amp;ots=hKPhEYUv6i&amp;sig=HOz4aWBZU4_xf9tCYJe_pIIL2w8&amp;redir_esc=y" TargetMode="External"/><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s://link.springer.com/article/10.1007/s10311-022-01532-8"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bioxfel.org/site/media/2023%20Conference%20Booklet%20.pdf" TargetMode="External"/><Relationship Id="rId33" Type="http://schemas.openxmlformats.org/officeDocument/2006/relationships/hyperlink" Target="https://www.sciencedirect.com/science/article/abs/pii/S1878450X23000422"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kickfin.com/blog/restaurant-menu-plan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eprints.icstudies.org.uk/id/eprint/411/" TargetMode="External"/><Relationship Id="rId32" Type="http://schemas.openxmlformats.org/officeDocument/2006/relationships/hyperlink" Target="https://books.google.co.ke/books?hl=en&amp;lr=&amp;id=eXzKDwAAQBAJ&amp;oi=fnd&amp;pg=PP1&amp;dq=To+enhance+the+cultural+authenticity+of+the+Coronation+Menu,+Trinity+Restaurant+will+paintings+closely+with+the+suppliers+to+achieve+ingredients+that+adhere+to+standard+Welsh+farming+and+manufacturing+strategies&amp;ots=Li2NPVktf-&amp;sig=pZFV0RA5JMRfQvDwRRo-nAJgX5o&amp;redir_esc=y" TargetMode="External"/><Relationship Id="rId37" Type="http://schemas.openxmlformats.org/officeDocument/2006/relationships/header" Target="head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ingentaconnect.com/content/cog/gat/2019/00000004/00000001/art00001" TargetMode="External"/><Relationship Id="rId28" Type="http://schemas.openxmlformats.org/officeDocument/2006/relationships/hyperlink" Target="https://books.google.co.ke/books?hl=en&amp;lr=&amp;id=Ibk8EAAAQBAJ&amp;oi=fnd&amp;pg=PP1&amp;dq=Carmarthenshire+Creamery&amp;ots=Cvr3sYZqr1&amp;sig=IYJcxkSwpU6STUUBtlW2QXsqcY4&amp;redir_esc=y" TargetMode="External"/><Relationship Id="rId36" Type="http://schemas.openxmlformats.org/officeDocument/2006/relationships/hyperlink" Target="https://ziphaccp.com/menu-planning.html"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www.tandfonline.com/doi/abs/10.1080/10705422.2022.213866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www.emerald.com/insight/content/doi/10.1108/IJCHM-08-2021-1025/full/html" TargetMode="External"/><Relationship Id="rId27" Type="http://schemas.openxmlformats.org/officeDocument/2006/relationships/hyperlink" Target="https://www.ppic.org/wp-content/uploads/water-and-the-future-of-the-san-joaquin-valley-overview.pdf" TargetMode="External"/><Relationship Id="rId30" Type="http://schemas.openxmlformats.org/officeDocument/2006/relationships/hyperlink" Target="https://www.touchbistro.com/blog/restaurant-marketing-plan-ideas-strategies/" TargetMode="External"/><Relationship Id="rId35" Type="http://schemas.openxmlformats.org/officeDocument/2006/relationships/hyperlink" Target="https://www.sciencedirect.com/science/article/pii/S2213231722003019"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1" ma:contentTypeDescription="Creați un document nou." ma:contentTypeScope="" ma:versionID="5ecc895395e958b3acef860f0f5e6f91">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7bcdccad2d73bb07f66cea9f8dbbbe45"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e26a086-e1e4-40fc-9667-0a4fb0b5771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F6E66076-E8E3-4897-ADF7-8E5A23FB833E}">
  <ds:schemaRefs>
    <ds:schemaRef ds:uri="http://schemas.microsoft.com/sharepoint/v3/contenttype/forms"/>
  </ds:schemaRefs>
</ds:datastoreItem>
</file>

<file path=customXml/itemProps2.xml><?xml version="1.0" encoding="utf-8"?>
<ds:datastoreItem xmlns:ds="http://schemas.openxmlformats.org/officeDocument/2006/customXml" ds:itemID="{8A0E889E-4D85-49ED-BB36-EA87121561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E684A4-782C-4E6C-8404-A50E9336D6CA}">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2583</Words>
  <Characters>14727</Characters>
  <Application>Microsoft Office Word</Application>
  <DocSecurity>0</DocSecurity>
  <Lines>122</Lines>
  <Paragraphs>34</Paragraphs>
  <ScaleCrop>false</ScaleCrop>
  <Company/>
  <LinksUpToDate>false</LinksUpToDate>
  <CharactersWithSpaces>17276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Gheorghita Ifrim (2208955)</dc:creator>
  <cp:keywords/>
  <dc:description/>
  <cp:lastModifiedBy>Gheorghita Ifrim (2208955)</cp:lastModifiedBy>
  <cp:revision>2</cp:revision>
  <dcterms:created xsi:type="dcterms:W3CDTF">2023-06-16T09:56:00Z</dcterms:created>
  <dcterms:modified xsi:type="dcterms:W3CDTF">2023-06-16T10:36:00Z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ies>
</file>