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08ED75" w14:textId="7882CA02" w:rsidR="00451FA7" w:rsidRDefault="00451FA7" w:rsidP="44A0C665">
      <w:pPr>
        <w:pStyle w:val="Heading2"/>
        <w:spacing w:before="299" w:after="299"/>
        <w:rPr>
          <w:rFonts w:ascii="Arial Nova" w:eastAsia="Arial Nova" w:hAnsi="Arial Nova" w:cs="Arial Nova"/>
        </w:rPr>
      </w:pPr>
    </w:p>
    <w:p w14:paraId="35FA8D5A" w14:textId="39322C3E" w:rsidR="004C6511" w:rsidRDefault="00B35AC8" w:rsidP="004C6511">
      <w:r>
        <w:t xml:space="preserve">                         </w:t>
      </w:r>
      <w:r w:rsidR="00734445">
        <w:t xml:space="preserve">       </w:t>
      </w:r>
    </w:p>
    <w:p w14:paraId="3C588E4B" w14:textId="77777777" w:rsidR="00B35AC8" w:rsidRDefault="00B35AC8" w:rsidP="00193AEF">
      <w:pPr>
        <w:spacing w:line="480" w:lineRule="auto"/>
        <w:rPr>
          <w:b/>
          <w:bCs/>
        </w:rPr>
      </w:pPr>
    </w:p>
    <w:p w14:paraId="2B0B0C23" w14:textId="6C1C78C9" w:rsidR="00B35AC8" w:rsidRDefault="00372271" w:rsidP="00193AEF">
      <w:pPr>
        <w:spacing w:line="480" w:lineRule="auto"/>
        <w:rPr>
          <w:b/>
          <w:bCs/>
        </w:rPr>
      </w:pPr>
      <w:r>
        <w:rPr>
          <w:b/>
          <w:bCs/>
          <w:noProof/>
        </w:rPr>
        <w:drawing>
          <wp:inline distT="0" distB="0" distL="0" distR="0" wp14:anchorId="1B52A684" wp14:editId="0D83C95C">
            <wp:extent cx="2019300" cy="2019300"/>
            <wp:effectExtent l="0" t="0" r="0" b="0"/>
            <wp:docPr id="985006561" name="Picture 2" descr="A black and yellow shield with blue and yellow strip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5006561" name="Picture 2" descr="A black and yellow shield with blue and yellow stripes&#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19300" cy="2019300"/>
                    </a:xfrm>
                    <a:prstGeom prst="rect">
                      <a:avLst/>
                    </a:prstGeom>
                  </pic:spPr>
                </pic:pic>
              </a:graphicData>
            </a:graphic>
          </wp:inline>
        </w:drawing>
      </w:r>
    </w:p>
    <w:p w14:paraId="689F0B17" w14:textId="030A7419" w:rsidR="004C6511" w:rsidRPr="009647AE" w:rsidRDefault="002D7C90" w:rsidP="00193AEF">
      <w:pPr>
        <w:spacing w:line="480" w:lineRule="auto"/>
        <w:rPr>
          <w:b/>
          <w:bCs/>
        </w:rPr>
      </w:pPr>
      <w:r w:rsidRPr="009647AE">
        <w:rPr>
          <w:b/>
          <w:bCs/>
        </w:rPr>
        <w:t>U</w:t>
      </w:r>
      <w:r w:rsidR="002B4BF7" w:rsidRPr="009647AE">
        <w:rPr>
          <w:b/>
          <w:bCs/>
        </w:rPr>
        <w:t xml:space="preserve">NIVERSITY OF WALES TRINITY SAINT DAVID </w:t>
      </w:r>
    </w:p>
    <w:p w14:paraId="6904E771" w14:textId="5EB745CC" w:rsidR="002B4BF7" w:rsidRPr="009647AE" w:rsidRDefault="002B4BF7" w:rsidP="00193AEF">
      <w:pPr>
        <w:spacing w:line="480" w:lineRule="auto"/>
        <w:rPr>
          <w:b/>
          <w:bCs/>
        </w:rPr>
      </w:pPr>
      <w:r w:rsidRPr="009647AE">
        <w:rPr>
          <w:b/>
          <w:bCs/>
        </w:rPr>
        <w:t xml:space="preserve">LONDON </w:t>
      </w:r>
      <w:r w:rsidR="008A7867" w:rsidRPr="009647AE">
        <w:rPr>
          <w:b/>
          <w:bCs/>
        </w:rPr>
        <w:t xml:space="preserve">CAMPUS </w:t>
      </w:r>
    </w:p>
    <w:p w14:paraId="1707B5E7" w14:textId="361CAF9D" w:rsidR="008A7867" w:rsidRPr="009647AE" w:rsidRDefault="008A7867" w:rsidP="00193AEF">
      <w:pPr>
        <w:spacing w:line="480" w:lineRule="auto"/>
        <w:rPr>
          <w:b/>
          <w:bCs/>
        </w:rPr>
      </w:pPr>
      <w:r w:rsidRPr="009647AE">
        <w:rPr>
          <w:b/>
          <w:bCs/>
        </w:rPr>
        <w:t xml:space="preserve">Modul Title: </w:t>
      </w:r>
      <w:r w:rsidR="007E23A2" w:rsidRPr="009647AE">
        <w:rPr>
          <w:b/>
          <w:bCs/>
        </w:rPr>
        <w:t>Dissertation</w:t>
      </w:r>
      <w:r w:rsidRPr="009647AE">
        <w:rPr>
          <w:b/>
          <w:bCs/>
        </w:rPr>
        <w:t xml:space="preserve"> </w:t>
      </w:r>
      <w:r w:rsidR="00E96557" w:rsidRPr="009647AE">
        <w:rPr>
          <w:b/>
          <w:bCs/>
        </w:rPr>
        <w:t xml:space="preserve">Independent Project </w:t>
      </w:r>
    </w:p>
    <w:p w14:paraId="143BD9A4" w14:textId="756809F6" w:rsidR="00E96557" w:rsidRDefault="00E96557" w:rsidP="00193AEF">
      <w:pPr>
        <w:spacing w:line="480" w:lineRule="auto"/>
        <w:rPr>
          <w:b/>
          <w:bCs/>
        </w:rPr>
      </w:pPr>
      <w:r w:rsidRPr="009647AE">
        <w:rPr>
          <w:b/>
          <w:bCs/>
        </w:rPr>
        <w:t xml:space="preserve">Modul Code: </w:t>
      </w:r>
      <w:r w:rsidR="00B96BAE" w:rsidRPr="009647AE">
        <w:rPr>
          <w:b/>
          <w:bCs/>
        </w:rPr>
        <w:t>LCL</w:t>
      </w:r>
      <w:r w:rsidR="00743A79" w:rsidRPr="009647AE">
        <w:rPr>
          <w:b/>
          <w:bCs/>
        </w:rPr>
        <w:t>M6005</w:t>
      </w:r>
    </w:p>
    <w:p w14:paraId="36DD5B47" w14:textId="7CBBA791" w:rsidR="00425782" w:rsidRDefault="00425782" w:rsidP="00193AEF">
      <w:pPr>
        <w:spacing w:line="480" w:lineRule="auto"/>
        <w:rPr>
          <w:b/>
          <w:bCs/>
        </w:rPr>
      </w:pPr>
      <w:r>
        <w:rPr>
          <w:b/>
          <w:bCs/>
        </w:rPr>
        <w:t xml:space="preserve">Student Name: Lika Keinasvili </w:t>
      </w:r>
    </w:p>
    <w:p w14:paraId="2F12310B" w14:textId="20F46195" w:rsidR="00425782" w:rsidRPr="009647AE" w:rsidRDefault="00425782" w:rsidP="00193AEF">
      <w:pPr>
        <w:spacing w:line="480" w:lineRule="auto"/>
        <w:rPr>
          <w:b/>
          <w:bCs/>
        </w:rPr>
      </w:pPr>
      <w:r>
        <w:rPr>
          <w:b/>
          <w:bCs/>
        </w:rPr>
        <w:t xml:space="preserve">Student ID: </w:t>
      </w:r>
      <w:r w:rsidR="00751BDD">
        <w:rPr>
          <w:b/>
          <w:bCs/>
        </w:rPr>
        <w:t>2123</w:t>
      </w:r>
      <w:r w:rsidR="00232D66">
        <w:rPr>
          <w:b/>
          <w:bCs/>
        </w:rPr>
        <w:t>648</w:t>
      </w:r>
    </w:p>
    <w:p w14:paraId="009C6B72" w14:textId="257FF687" w:rsidR="009223BC" w:rsidRPr="009647AE" w:rsidRDefault="003B36CE" w:rsidP="00193AEF">
      <w:pPr>
        <w:spacing w:line="480" w:lineRule="auto"/>
        <w:rPr>
          <w:b/>
          <w:bCs/>
        </w:rPr>
      </w:pPr>
      <w:r w:rsidRPr="009647AE">
        <w:rPr>
          <w:b/>
          <w:bCs/>
        </w:rPr>
        <w:t xml:space="preserve">Lecturer: </w:t>
      </w:r>
      <w:r w:rsidR="00AC1068" w:rsidRPr="009647AE">
        <w:rPr>
          <w:b/>
          <w:bCs/>
        </w:rPr>
        <w:t xml:space="preserve">Rameses </w:t>
      </w:r>
      <w:proofErr w:type="spellStart"/>
      <w:r w:rsidR="00AC1068" w:rsidRPr="009647AE">
        <w:rPr>
          <w:b/>
          <w:bCs/>
        </w:rPr>
        <w:t>Manalang</w:t>
      </w:r>
      <w:proofErr w:type="spellEnd"/>
      <w:r w:rsidR="00AC1068" w:rsidRPr="009647AE">
        <w:rPr>
          <w:b/>
          <w:bCs/>
        </w:rPr>
        <w:t xml:space="preserve"> </w:t>
      </w:r>
      <w:r w:rsidR="009223BC" w:rsidRPr="009647AE">
        <w:rPr>
          <w:b/>
          <w:bCs/>
        </w:rPr>
        <w:t xml:space="preserve">                            </w:t>
      </w:r>
    </w:p>
    <w:p w14:paraId="7D6A7111" w14:textId="1C6763B7" w:rsidR="00D07B66" w:rsidRPr="009647AE" w:rsidRDefault="009223BC" w:rsidP="00193AEF">
      <w:pPr>
        <w:spacing w:line="480" w:lineRule="auto"/>
        <w:rPr>
          <w:b/>
          <w:bCs/>
        </w:rPr>
      </w:pPr>
      <w:r w:rsidRPr="009647AE">
        <w:rPr>
          <w:b/>
          <w:bCs/>
        </w:rPr>
        <w:t xml:space="preserve">                                  Title of the Dissertation</w:t>
      </w:r>
      <w:r w:rsidR="004B54CE" w:rsidRPr="009647AE">
        <w:rPr>
          <w:b/>
          <w:bCs/>
        </w:rPr>
        <w:t>:</w:t>
      </w:r>
    </w:p>
    <w:p w14:paraId="61ECFD78" w14:textId="77777777" w:rsidR="00193AEF" w:rsidRPr="009647AE" w:rsidRDefault="00193AEF" w:rsidP="00193AEF">
      <w:pPr>
        <w:pStyle w:val="NormalWeb"/>
        <w:spacing w:line="480" w:lineRule="auto"/>
        <w:rPr>
          <w:rFonts w:ascii="Arial" w:hAnsi="Arial" w:cs="Arial"/>
          <w:b/>
          <w:bCs/>
          <w:sz w:val="22"/>
          <w:szCs w:val="22"/>
        </w:rPr>
      </w:pPr>
      <w:r w:rsidRPr="009647AE">
        <w:rPr>
          <w:b/>
          <w:bCs/>
        </w:rPr>
        <w:t xml:space="preserve">   </w:t>
      </w:r>
      <w:r w:rsidR="004B54CE" w:rsidRPr="009647AE">
        <w:rPr>
          <w:b/>
          <w:bCs/>
        </w:rPr>
        <w:t xml:space="preserve"> </w:t>
      </w:r>
      <w:r w:rsidR="00E10EA2" w:rsidRPr="009647AE">
        <w:rPr>
          <w:rFonts w:ascii="Arial" w:hAnsi="Arial" w:cs="Arial"/>
          <w:b/>
          <w:bCs/>
          <w:sz w:val="22"/>
          <w:szCs w:val="22"/>
        </w:rPr>
        <w:t xml:space="preserve">Evaluating the Impact of Customer Experience of Passengers Loyalty: </w:t>
      </w:r>
    </w:p>
    <w:p w14:paraId="13BF5245" w14:textId="6B4B54D5" w:rsidR="00451FA7" w:rsidRDefault="00193AEF" w:rsidP="000610B6">
      <w:pPr>
        <w:pStyle w:val="NormalWeb"/>
        <w:spacing w:line="480" w:lineRule="auto"/>
        <w:rPr>
          <w:rFonts w:ascii="Arial" w:hAnsi="Arial" w:cs="Arial"/>
          <w:b/>
          <w:bCs/>
          <w:sz w:val="22"/>
          <w:szCs w:val="22"/>
        </w:rPr>
      </w:pPr>
      <w:r w:rsidRPr="009647AE">
        <w:rPr>
          <w:rFonts w:ascii="Arial" w:hAnsi="Arial" w:cs="Arial"/>
          <w:b/>
          <w:bCs/>
          <w:sz w:val="22"/>
          <w:szCs w:val="22"/>
        </w:rPr>
        <w:t xml:space="preserve">                                    </w:t>
      </w:r>
      <w:r w:rsidR="00E10EA2" w:rsidRPr="009647AE">
        <w:rPr>
          <w:rFonts w:ascii="Arial" w:hAnsi="Arial" w:cs="Arial"/>
          <w:b/>
          <w:bCs/>
          <w:sz w:val="22"/>
          <w:szCs w:val="22"/>
        </w:rPr>
        <w:t xml:space="preserve">A Case Study of Turkish Airlines </w:t>
      </w:r>
    </w:p>
    <w:p w14:paraId="5611106F" w14:textId="599B13E3" w:rsidR="00170F11" w:rsidRDefault="004017AC" w:rsidP="000610B6">
      <w:pPr>
        <w:pStyle w:val="NormalWeb"/>
        <w:spacing w:line="480" w:lineRule="auto"/>
        <w:rPr>
          <w:rFonts w:ascii="Arial" w:hAnsi="Arial" w:cs="Arial"/>
          <w:b/>
          <w:bCs/>
          <w:sz w:val="22"/>
          <w:szCs w:val="22"/>
        </w:rPr>
      </w:pPr>
      <w:r>
        <w:rPr>
          <w:rFonts w:ascii="Arial" w:hAnsi="Arial" w:cs="Arial"/>
          <w:b/>
          <w:bCs/>
          <w:sz w:val="22"/>
          <w:szCs w:val="22"/>
        </w:rPr>
        <w:lastRenderedPageBreak/>
        <w:t xml:space="preserve">                                              Table of content </w:t>
      </w:r>
    </w:p>
    <w:p w14:paraId="378EA21C" w14:textId="2535FD9E" w:rsidR="00061C1D" w:rsidRDefault="00ED3BED" w:rsidP="370D7818">
      <w:pPr>
        <w:pStyle w:val="TOC2"/>
        <w:tabs>
          <w:tab w:val="right" w:leader="dot" w:pos="9345"/>
        </w:tabs>
        <w:rPr>
          <w:rFonts w:cstheme="minorBidi"/>
          <w:smallCaps/>
          <w:noProof/>
          <w:sz w:val="24"/>
          <w:szCs w:val="24"/>
          <w:lang w:eastAsia="en-GB"/>
        </w:rPr>
      </w:pPr>
      <w:r>
        <w:rPr>
          <w:b w:val="0"/>
          <w:bCs w:val="0"/>
          <w:sz w:val="20"/>
          <w:szCs w:val="20"/>
        </w:rPr>
        <w:fldChar w:fldCharType="begin"/>
      </w:r>
      <w:r>
        <w:instrText>TOC \o "1-3" \z \u \h</w:instrText>
      </w:r>
      <w:r>
        <w:rPr>
          <w:b w:val="0"/>
          <w:bCs w:val="0"/>
          <w:sz w:val="20"/>
          <w:szCs w:val="20"/>
        </w:rPr>
        <w:fldChar w:fldCharType="separate"/>
      </w:r>
      <w:hyperlink w:anchor="_Toc1154935439">
        <w:r w:rsidR="370D7818" w:rsidRPr="370D7818">
          <w:rPr>
            <w:rStyle w:val="Hyperlink"/>
            <w:noProof/>
          </w:rPr>
          <w:t>Chapter 1 Introduction</w:t>
        </w:r>
        <w:r>
          <w:rPr>
            <w:noProof/>
          </w:rPr>
          <w:tab/>
        </w:r>
        <w:r>
          <w:rPr>
            <w:noProof/>
          </w:rPr>
          <w:fldChar w:fldCharType="begin"/>
        </w:r>
        <w:r>
          <w:rPr>
            <w:noProof/>
          </w:rPr>
          <w:instrText>PAGEREF _Toc1154935439 \h</w:instrText>
        </w:r>
        <w:r>
          <w:rPr>
            <w:noProof/>
          </w:rPr>
        </w:r>
        <w:r>
          <w:rPr>
            <w:noProof/>
          </w:rPr>
          <w:fldChar w:fldCharType="separate"/>
        </w:r>
        <w:r w:rsidR="00D25A4E">
          <w:rPr>
            <w:noProof/>
          </w:rPr>
          <w:t>4</w:t>
        </w:r>
        <w:r>
          <w:rPr>
            <w:noProof/>
          </w:rPr>
          <w:fldChar w:fldCharType="end"/>
        </w:r>
      </w:hyperlink>
    </w:p>
    <w:p w14:paraId="75EDF033" w14:textId="26550080" w:rsidR="00061C1D" w:rsidRDefault="00000000" w:rsidP="370D7818">
      <w:pPr>
        <w:pStyle w:val="TOC2"/>
        <w:tabs>
          <w:tab w:val="right" w:leader="dot" w:pos="9345"/>
        </w:tabs>
        <w:rPr>
          <w:rFonts w:cstheme="minorBidi"/>
          <w:smallCaps/>
          <w:noProof/>
          <w:sz w:val="24"/>
          <w:szCs w:val="24"/>
          <w:lang w:eastAsia="en-GB"/>
        </w:rPr>
      </w:pPr>
      <w:hyperlink w:anchor="_Toc1128255900">
        <w:r w:rsidR="370D7818" w:rsidRPr="370D7818">
          <w:rPr>
            <w:rStyle w:val="Hyperlink"/>
            <w:noProof/>
          </w:rPr>
          <w:t>1.1 Background of the Study</w:t>
        </w:r>
        <w:r w:rsidR="00061C1D">
          <w:rPr>
            <w:noProof/>
          </w:rPr>
          <w:tab/>
        </w:r>
        <w:r w:rsidR="00061C1D">
          <w:rPr>
            <w:noProof/>
          </w:rPr>
          <w:fldChar w:fldCharType="begin"/>
        </w:r>
        <w:r w:rsidR="00061C1D">
          <w:rPr>
            <w:noProof/>
          </w:rPr>
          <w:instrText>PAGEREF _Toc1128255900 \h</w:instrText>
        </w:r>
        <w:r w:rsidR="00061C1D">
          <w:rPr>
            <w:noProof/>
          </w:rPr>
        </w:r>
        <w:r w:rsidR="00061C1D">
          <w:rPr>
            <w:noProof/>
          </w:rPr>
          <w:fldChar w:fldCharType="separate"/>
        </w:r>
        <w:r w:rsidR="00D25A4E">
          <w:rPr>
            <w:noProof/>
          </w:rPr>
          <w:t>4</w:t>
        </w:r>
        <w:r w:rsidR="00061C1D">
          <w:rPr>
            <w:noProof/>
          </w:rPr>
          <w:fldChar w:fldCharType="end"/>
        </w:r>
      </w:hyperlink>
    </w:p>
    <w:p w14:paraId="4424C12C" w14:textId="2AA14C2D" w:rsidR="00061C1D" w:rsidRDefault="00000000" w:rsidP="370D7818">
      <w:pPr>
        <w:pStyle w:val="TOC2"/>
        <w:tabs>
          <w:tab w:val="right" w:leader="dot" w:pos="9345"/>
        </w:tabs>
        <w:rPr>
          <w:rFonts w:cstheme="minorBidi"/>
          <w:smallCaps/>
          <w:noProof/>
          <w:sz w:val="24"/>
          <w:szCs w:val="24"/>
          <w:lang w:eastAsia="en-GB"/>
        </w:rPr>
      </w:pPr>
      <w:hyperlink w:anchor="_Toc1237781402">
        <w:r w:rsidR="370D7818" w:rsidRPr="370D7818">
          <w:rPr>
            <w:rStyle w:val="Hyperlink"/>
            <w:noProof/>
          </w:rPr>
          <w:t>1.2 Description of the Business Issue</w:t>
        </w:r>
        <w:r w:rsidR="00061C1D">
          <w:rPr>
            <w:noProof/>
          </w:rPr>
          <w:tab/>
        </w:r>
        <w:r w:rsidR="00061C1D">
          <w:rPr>
            <w:noProof/>
          </w:rPr>
          <w:fldChar w:fldCharType="begin"/>
        </w:r>
        <w:r w:rsidR="00061C1D">
          <w:rPr>
            <w:noProof/>
          </w:rPr>
          <w:instrText>PAGEREF _Toc1237781402 \h</w:instrText>
        </w:r>
        <w:r w:rsidR="00061C1D">
          <w:rPr>
            <w:noProof/>
          </w:rPr>
        </w:r>
        <w:r w:rsidR="00061C1D">
          <w:rPr>
            <w:noProof/>
          </w:rPr>
          <w:fldChar w:fldCharType="separate"/>
        </w:r>
        <w:r w:rsidR="00D25A4E">
          <w:rPr>
            <w:noProof/>
          </w:rPr>
          <w:t>5</w:t>
        </w:r>
        <w:r w:rsidR="00061C1D">
          <w:rPr>
            <w:noProof/>
          </w:rPr>
          <w:fldChar w:fldCharType="end"/>
        </w:r>
      </w:hyperlink>
    </w:p>
    <w:p w14:paraId="51139D5C" w14:textId="71C42760" w:rsidR="00061C1D" w:rsidRDefault="00000000" w:rsidP="370D7818">
      <w:pPr>
        <w:pStyle w:val="TOC2"/>
        <w:tabs>
          <w:tab w:val="right" w:leader="dot" w:pos="9345"/>
        </w:tabs>
        <w:rPr>
          <w:rFonts w:cstheme="minorBidi"/>
          <w:smallCaps/>
          <w:noProof/>
          <w:sz w:val="24"/>
          <w:szCs w:val="24"/>
          <w:lang w:eastAsia="en-GB"/>
        </w:rPr>
      </w:pPr>
      <w:hyperlink w:anchor="_Toc2132255205">
        <w:r w:rsidR="370D7818" w:rsidRPr="370D7818">
          <w:rPr>
            <w:rStyle w:val="Hyperlink"/>
            <w:noProof/>
          </w:rPr>
          <w:t>1.3 Rationale for Researching Customer Experience and Loyalty</w:t>
        </w:r>
        <w:r w:rsidR="00061C1D">
          <w:rPr>
            <w:noProof/>
          </w:rPr>
          <w:tab/>
        </w:r>
        <w:r w:rsidR="00061C1D">
          <w:rPr>
            <w:noProof/>
          </w:rPr>
          <w:fldChar w:fldCharType="begin"/>
        </w:r>
        <w:r w:rsidR="00061C1D">
          <w:rPr>
            <w:noProof/>
          </w:rPr>
          <w:instrText>PAGEREF _Toc2132255205 \h</w:instrText>
        </w:r>
        <w:r w:rsidR="00061C1D">
          <w:rPr>
            <w:noProof/>
          </w:rPr>
        </w:r>
        <w:r w:rsidR="00061C1D">
          <w:rPr>
            <w:noProof/>
          </w:rPr>
          <w:fldChar w:fldCharType="separate"/>
        </w:r>
        <w:r w:rsidR="00D25A4E">
          <w:rPr>
            <w:noProof/>
          </w:rPr>
          <w:t>6</w:t>
        </w:r>
        <w:r w:rsidR="00061C1D">
          <w:rPr>
            <w:noProof/>
          </w:rPr>
          <w:fldChar w:fldCharType="end"/>
        </w:r>
      </w:hyperlink>
    </w:p>
    <w:p w14:paraId="7888AD3B" w14:textId="34A525F4" w:rsidR="00061C1D" w:rsidRDefault="00000000" w:rsidP="370D7818">
      <w:pPr>
        <w:pStyle w:val="TOC2"/>
        <w:tabs>
          <w:tab w:val="right" w:leader="dot" w:pos="9345"/>
        </w:tabs>
        <w:rPr>
          <w:rFonts w:cstheme="minorBidi"/>
          <w:smallCaps/>
          <w:noProof/>
          <w:sz w:val="24"/>
          <w:szCs w:val="24"/>
          <w:lang w:eastAsia="en-GB"/>
        </w:rPr>
      </w:pPr>
      <w:hyperlink w:anchor="_Toc1400218095">
        <w:r w:rsidR="370D7818" w:rsidRPr="370D7818">
          <w:rPr>
            <w:rStyle w:val="Hyperlink"/>
            <w:noProof/>
          </w:rPr>
          <w:t>1.4 Motivation and Significance of the Study</w:t>
        </w:r>
        <w:r w:rsidR="00061C1D">
          <w:rPr>
            <w:noProof/>
          </w:rPr>
          <w:tab/>
        </w:r>
        <w:r w:rsidR="00061C1D">
          <w:rPr>
            <w:noProof/>
          </w:rPr>
          <w:fldChar w:fldCharType="begin"/>
        </w:r>
        <w:r w:rsidR="00061C1D">
          <w:rPr>
            <w:noProof/>
          </w:rPr>
          <w:instrText>PAGEREF _Toc1400218095 \h</w:instrText>
        </w:r>
        <w:r w:rsidR="00061C1D">
          <w:rPr>
            <w:noProof/>
          </w:rPr>
        </w:r>
        <w:r w:rsidR="00061C1D">
          <w:rPr>
            <w:noProof/>
          </w:rPr>
          <w:fldChar w:fldCharType="separate"/>
        </w:r>
        <w:r w:rsidR="00D25A4E">
          <w:rPr>
            <w:noProof/>
          </w:rPr>
          <w:t>7</w:t>
        </w:r>
        <w:r w:rsidR="00061C1D">
          <w:rPr>
            <w:noProof/>
          </w:rPr>
          <w:fldChar w:fldCharType="end"/>
        </w:r>
      </w:hyperlink>
    </w:p>
    <w:p w14:paraId="2E6AB655" w14:textId="6D10B2E1" w:rsidR="00061C1D" w:rsidRDefault="00000000" w:rsidP="370D7818">
      <w:pPr>
        <w:pStyle w:val="TOC2"/>
        <w:tabs>
          <w:tab w:val="right" w:leader="dot" w:pos="9345"/>
        </w:tabs>
        <w:rPr>
          <w:rFonts w:cstheme="minorBidi"/>
          <w:smallCaps/>
          <w:noProof/>
          <w:sz w:val="24"/>
          <w:szCs w:val="24"/>
          <w:lang w:eastAsia="en-GB"/>
        </w:rPr>
      </w:pPr>
      <w:hyperlink w:anchor="_Toc1495262623">
        <w:r w:rsidR="370D7818" w:rsidRPr="370D7818">
          <w:rPr>
            <w:rStyle w:val="Hyperlink"/>
            <w:noProof/>
          </w:rPr>
          <w:t>1.5 Need for the Study and Scope</w:t>
        </w:r>
        <w:r w:rsidR="00061C1D">
          <w:rPr>
            <w:noProof/>
          </w:rPr>
          <w:tab/>
        </w:r>
        <w:r w:rsidR="00061C1D">
          <w:rPr>
            <w:noProof/>
          </w:rPr>
          <w:fldChar w:fldCharType="begin"/>
        </w:r>
        <w:r w:rsidR="00061C1D">
          <w:rPr>
            <w:noProof/>
          </w:rPr>
          <w:instrText>PAGEREF _Toc1495262623 \h</w:instrText>
        </w:r>
        <w:r w:rsidR="00061C1D">
          <w:rPr>
            <w:noProof/>
          </w:rPr>
        </w:r>
        <w:r w:rsidR="00061C1D">
          <w:rPr>
            <w:noProof/>
          </w:rPr>
          <w:fldChar w:fldCharType="separate"/>
        </w:r>
        <w:r w:rsidR="00D25A4E">
          <w:rPr>
            <w:noProof/>
          </w:rPr>
          <w:t>8</w:t>
        </w:r>
        <w:r w:rsidR="00061C1D">
          <w:rPr>
            <w:noProof/>
          </w:rPr>
          <w:fldChar w:fldCharType="end"/>
        </w:r>
      </w:hyperlink>
    </w:p>
    <w:p w14:paraId="4EE1A522" w14:textId="1634BA45" w:rsidR="00061C1D" w:rsidRDefault="00000000" w:rsidP="370D7818">
      <w:pPr>
        <w:pStyle w:val="TOC2"/>
        <w:tabs>
          <w:tab w:val="right" w:leader="dot" w:pos="9345"/>
        </w:tabs>
        <w:rPr>
          <w:rFonts w:cstheme="minorBidi"/>
          <w:smallCaps/>
          <w:noProof/>
          <w:sz w:val="24"/>
          <w:szCs w:val="24"/>
          <w:lang w:eastAsia="en-GB"/>
        </w:rPr>
      </w:pPr>
      <w:hyperlink w:anchor="_Toc2109420431">
        <w:r w:rsidR="370D7818" w:rsidRPr="370D7818">
          <w:rPr>
            <w:rStyle w:val="Hyperlink"/>
            <w:noProof/>
          </w:rPr>
          <w:t>1.6 Research Aim, Objectives and Questions</w:t>
        </w:r>
        <w:r w:rsidR="00061C1D">
          <w:rPr>
            <w:noProof/>
          </w:rPr>
          <w:tab/>
        </w:r>
        <w:r w:rsidR="00061C1D">
          <w:rPr>
            <w:noProof/>
          </w:rPr>
          <w:fldChar w:fldCharType="begin"/>
        </w:r>
        <w:r w:rsidR="00061C1D">
          <w:rPr>
            <w:noProof/>
          </w:rPr>
          <w:instrText>PAGEREF _Toc2109420431 \h</w:instrText>
        </w:r>
        <w:r w:rsidR="00061C1D">
          <w:rPr>
            <w:noProof/>
          </w:rPr>
        </w:r>
        <w:r w:rsidR="00061C1D">
          <w:rPr>
            <w:noProof/>
          </w:rPr>
          <w:fldChar w:fldCharType="separate"/>
        </w:r>
        <w:r w:rsidR="00D25A4E">
          <w:rPr>
            <w:noProof/>
          </w:rPr>
          <w:t>8</w:t>
        </w:r>
        <w:r w:rsidR="00061C1D">
          <w:rPr>
            <w:noProof/>
          </w:rPr>
          <w:fldChar w:fldCharType="end"/>
        </w:r>
      </w:hyperlink>
    </w:p>
    <w:p w14:paraId="4188E36A" w14:textId="3AD05334" w:rsidR="00061C1D" w:rsidRDefault="00000000" w:rsidP="370D7818">
      <w:pPr>
        <w:pStyle w:val="TOC2"/>
        <w:tabs>
          <w:tab w:val="right" w:leader="dot" w:pos="9345"/>
        </w:tabs>
        <w:rPr>
          <w:rFonts w:cstheme="minorBidi"/>
          <w:smallCaps/>
          <w:noProof/>
          <w:sz w:val="24"/>
          <w:szCs w:val="24"/>
          <w:lang w:eastAsia="en-GB"/>
        </w:rPr>
      </w:pPr>
      <w:hyperlink w:anchor="_Toc330427589">
        <w:r w:rsidR="370D7818" w:rsidRPr="370D7818">
          <w:rPr>
            <w:rStyle w:val="Hyperlink"/>
            <w:noProof/>
          </w:rPr>
          <w:t>1.7 Structure of the Dissertation</w:t>
        </w:r>
        <w:r w:rsidR="00061C1D">
          <w:rPr>
            <w:noProof/>
          </w:rPr>
          <w:tab/>
        </w:r>
        <w:r w:rsidR="00061C1D">
          <w:rPr>
            <w:noProof/>
          </w:rPr>
          <w:fldChar w:fldCharType="begin"/>
        </w:r>
        <w:r w:rsidR="00061C1D">
          <w:rPr>
            <w:noProof/>
          </w:rPr>
          <w:instrText>PAGEREF _Toc330427589 \h</w:instrText>
        </w:r>
        <w:r w:rsidR="00061C1D">
          <w:rPr>
            <w:noProof/>
          </w:rPr>
        </w:r>
        <w:r w:rsidR="00061C1D">
          <w:rPr>
            <w:noProof/>
          </w:rPr>
          <w:fldChar w:fldCharType="separate"/>
        </w:r>
        <w:r w:rsidR="00D25A4E">
          <w:rPr>
            <w:noProof/>
          </w:rPr>
          <w:t>10</w:t>
        </w:r>
        <w:r w:rsidR="00061C1D">
          <w:rPr>
            <w:noProof/>
          </w:rPr>
          <w:fldChar w:fldCharType="end"/>
        </w:r>
      </w:hyperlink>
    </w:p>
    <w:p w14:paraId="3B894016" w14:textId="0DFE7C5B" w:rsidR="00061C1D" w:rsidRDefault="00000000" w:rsidP="370D7818">
      <w:pPr>
        <w:pStyle w:val="TOC2"/>
        <w:tabs>
          <w:tab w:val="right" w:leader="dot" w:pos="9345"/>
        </w:tabs>
        <w:rPr>
          <w:rFonts w:cstheme="minorBidi"/>
          <w:smallCaps/>
          <w:noProof/>
          <w:sz w:val="24"/>
          <w:szCs w:val="24"/>
          <w:lang w:eastAsia="en-GB"/>
        </w:rPr>
      </w:pPr>
      <w:hyperlink w:anchor="_Toc270497686">
        <w:r w:rsidR="370D7818" w:rsidRPr="370D7818">
          <w:rPr>
            <w:rStyle w:val="Hyperlink"/>
            <w:noProof/>
          </w:rPr>
          <w:t>1.8 Overview and Summary</w:t>
        </w:r>
        <w:r w:rsidR="00061C1D">
          <w:rPr>
            <w:noProof/>
          </w:rPr>
          <w:tab/>
        </w:r>
        <w:r w:rsidR="00061C1D">
          <w:rPr>
            <w:noProof/>
          </w:rPr>
          <w:fldChar w:fldCharType="begin"/>
        </w:r>
        <w:r w:rsidR="00061C1D">
          <w:rPr>
            <w:noProof/>
          </w:rPr>
          <w:instrText>PAGEREF _Toc270497686 \h</w:instrText>
        </w:r>
        <w:r w:rsidR="00061C1D">
          <w:rPr>
            <w:noProof/>
          </w:rPr>
        </w:r>
        <w:r w:rsidR="00061C1D">
          <w:rPr>
            <w:noProof/>
          </w:rPr>
          <w:fldChar w:fldCharType="separate"/>
        </w:r>
        <w:r w:rsidR="00D25A4E">
          <w:rPr>
            <w:noProof/>
          </w:rPr>
          <w:t>10</w:t>
        </w:r>
        <w:r w:rsidR="00061C1D">
          <w:rPr>
            <w:noProof/>
          </w:rPr>
          <w:fldChar w:fldCharType="end"/>
        </w:r>
      </w:hyperlink>
    </w:p>
    <w:p w14:paraId="1B6C5905" w14:textId="151FF09C" w:rsidR="00061C1D" w:rsidRDefault="00000000" w:rsidP="370D7818">
      <w:pPr>
        <w:pStyle w:val="TOC2"/>
        <w:tabs>
          <w:tab w:val="right" w:leader="dot" w:pos="9345"/>
        </w:tabs>
        <w:rPr>
          <w:rFonts w:cstheme="minorBidi"/>
          <w:smallCaps/>
          <w:noProof/>
          <w:sz w:val="24"/>
          <w:szCs w:val="24"/>
          <w:lang w:eastAsia="en-GB"/>
        </w:rPr>
      </w:pPr>
      <w:hyperlink w:anchor="_Toc1108486936">
        <w:r w:rsidR="370D7818" w:rsidRPr="370D7818">
          <w:rPr>
            <w:rStyle w:val="Hyperlink"/>
            <w:noProof/>
          </w:rPr>
          <w:t>Chapter 2: Literature Review</w:t>
        </w:r>
        <w:r w:rsidR="00061C1D">
          <w:rPr>
            <w:noProof/>
          </w:rPr>
          <w:tab/>
        </w:r>
        <w:r w:rsidR="00061C1D">
          <w:rPr>
            <w:noProof/>
          </w:rPr>
          <w:fldChar w:fldCharType="begin"/>
        </w:r>
        <w:r w:rsidR="00061C1D">
          <w:rPr>
            <w:noProof/>
          </w:rPr>
          <w:instrText>PAGEREF _Toc1108486936 \h</w:instrText>
        </w:r>
        <w:r w:rsidR="00061C1D">
          <w:rPr>
            <w:noProof/>
          </w:rPr>
        </w:r>
        <w:r w:rsidR="00061C1D">
          <w:rPr>
            <w:noProof/>
          </w:rPr>
          <w:fldChar w:fldCharType="separate"/>
        </w:r>
        <w:r w:rsidR="00D25A4E">
          <w:rPr>
            <w:noProof/>
          </w:rPr>
          <w:t>11</w:t>
        </w:r>
        <w:r w:rsidR="00061C1D">
          <w:rPr>
            <w:noProof/>
          </w:rPr>
          <w:fldChar w:fldCharType="end"/>
        </w:r>
      </w:hyperlink>
    </w:p>
    <w:p w14:paraId="269FE42B" w14:textId="67023D2C" w:rsidR="00061C1D" w:rsidRDefault="00000000" w:rsidP="370D7818">
      <w:pPr>
        <w:pStyle w:val="TOC2"/>
        <w:tabs>
          <w:tab w:val="right" w:leader="dot" w:pos="9345"/>
        </w:tabs>
        <w:rPr>
          <w:rFonts w:cstheme="minorBidi"/>
          <w:smallCaps/>
          <w:noProof/>
          <w:sz w:val="24"/>
          <w:szCs w:val="24"/>
          <w:lang w:eastAsia="en-GB"/>
        </w:rPr>
      </w:pPr>
      <w:hyperlink w:anchor="_Toc1411238103">
        <w:r w:rsidR="370D7818" w:rsidRPr="370D7818">
          <w:rPr>
            <w:rStyle w:val="Hyperlink"/>
            <w:noProof/>
          </w:rPr>
          <w:t>2.1 Introduction</w:t>
        </w:r>
        <w:r w:rsidR="00061C1D">
          <w:rPr>
            <w:noProof/>
          </w:rPr>
          <w:tab/>
        </w:r>
        <w:r w:rsidR="00061C1D">
          <w:rPr>
            <w:noProof/>
          </w:rPr>
          <w:fldChar w:fldCharType="begin"/>
        </w:r>
        <w:r w:rsidR="00061C1D">
          <w:rPr>
            <w:noProof/>
          </w:rPr>
          <w:instrText>PAGEREF _Toc1411238103 \h</w:instrText>
        </w:r>
        <w:r w:rsidR="00061C1D">
          <w:rPr>
            <w:noProof/>
          </w:rPr>
        </w:r>
        <w:r w:rsidR="00061C1D">
          <w:rPr>
            <w:noProof/>
          </w:rPr>
          <w:fldChar w:fldCharType="separate"/>
        </w:r>
        <w:r w:rsidR="00D25A4E">
          <w:rPr>
            <w:noProof/>
          </w:rPr>
          <w:t>11</w:t>
        </w:r>
        <w:r w:rsidR="00061C1D">
          <w:rPr>
            <w:noProof/>
          </w:rPr>
          <w:fldChar w:fldCharType="end"/>
        </w:r>
      </w:hyperlink>
    </w:p>
    <w:p w14:paraId="5F0106CF" w14:textId="01122375" w:rsidR="00061C1D" w:rsidRDefault="00000000" w:rsidP="370D7818">
      <w:pPr>
        <w:pStyle w:val="TOC2"/>
        <w:tabs>
          <w:tab w:val="right" w:leader="dot" w:pos="9345"/>
        </w:tabs>
        <w:rPr>
          <w:rFonts w:cstheme="minorBidi"/>
          <w:smallCaps/>
          <w:noProof/>
          <w:sz w:val="24"/>
          <w:szCs w:val="24"/>
          <w:lang w:eastAsia="en-GB"/>
        </w:rPr>
      </w:pPr>
      <w:hyperlink w:anchor="_Toc1861222205">
        <w:r w:rsidR="370D7818" w:rsidRPr="370D7818">
          <w:rPr>
            <w:rStyle w:val="Hyperlink"/>
            <w:noProof/>
          </w:rPr>
          <w:t>2.2 Customer Experience Across Service Industries</w:t>
        </w:r>
        <w:r w:rsidR="00061C1D">
          <w:rPr>
            <w:noProof/>
          </w:rPr>
          <w:tab/>
        </w:r>
        <w:r w:rsidR="00061C1D">
          <w:rPr>
            <w:noProof/>
          </w:rPr>
          <w:fldChar w:fldCharType="begin"/>
        </w:r>
        <w:r w:rsidR="00061C1D">
          <w:rPr>
            <w:noProof/>
          </w:rPr>
          <w:instrText>PAGEREF _Toc1861222205 \h</w:instrText>
        </w:r>
        <w:r w:rsidR="00061C1D">
          <w:rPr>
            <w:noProof/>
          </w:rPr>
        </w:r>
        <w:r w:rsidR="00061C1D">
          <w:rPr>
            <w:noProof/>
          </w:rPr>
          <w:fldChar w:fldCharType="separate"/>
        </w:r>
        <w:r w:rsidR="00D25A4E">
          <w:rPr>
            <w:noProof/>
          </w:rPr>
          <w:t>11</w:t>
        </w:r>
        <w:r w:rsidR="00061C1D">
          <w:rPr>
            <w:noProof/>
          </w:rPr>
          <w:fldChar w:fldCharType="end"/>
        </w:r>
      </w:hyperlink>
    </w:p>
    <w:p w14:paraId="456F0E16" w14:textId="3CB2A636" w:rsidR="00061C1D" w:rsidRDefault="00000000" w:rsidP="370D7818">
      <w:pPr>
        <w:pStyle w:val="TOC2"/>
        <w:tabs>
          <w:tab w:val="right" w:leader="dot" w:pos="9345"/>
        </w:tabs>
        <w:rPr>
          <w:rFonts w:cstheme="minorBidi"/>
          <w:smallCaps/>
          <w:noProof/>
          <w:sz w:val="24"/>
          <w:szCs w:val="24"/>
          <w:lang w:eastAsia="en-GB"/>
        </w:rPr>
      </w:pPr>
      <w:hyperlink w:anchor="_Toc776766887">
        <w:r w:rsidR="370D7818" w:rsidRPr="370D7818">
          <w:rPr>
            <w:rStyle w:val="Hyperlink"/>
            <w:noProof/>
          </w:rPr>
          <w:t>2.3 Passenger Satisfaction and Loyalty</w:t>
        </w:r>
        <w:r w:rsidR="00061C1D">
          <w:rPr>
            <w:noProof/>
          </w:rPr>
          <w:tab/>
        </w:r>
        <w:r w:rsidR="00061C1D">
          <w:rPr>
            <w:noProof/>
          </w:rPr>
          <w:fldChar w:fldCharType="begin"/>
        </w:r>
        <w:r w:rsidR="00061C1D">
          <w:rPr>
            <w:noProof/>
          </w:rPr>
          <w:instrText>PAGEREF _Toc776766887 \h</w:instrText>
        </w:r>
        <w:r w:rsidR="00061C1D">
          <w:rPr>
            <w:noProof/>
          </w:rPr>
        </w:r>
        <w:r w:rsidR="00061C1D">
          <w:rPr>
            <w:noProof/>
          </w:rPr>
          <w:fldChar w:fldCharType="separate"/>
        </w:r>
        <w:r w:rsidR="00D25A4E">
          <w:rPr>
            <w:noProof/>
          </w:rPr>
          <w:t>13</w:t>
        </w:r>
        <w:r w:rsidR="00061C1D">
          <w:rPr>
            <w:noProof/>
          </w:rPr>
          <w:fldChar w:fldCharType="end"/>
        </w:r>
      </w:hyperlink>
    </w:p>
    <w:p w14:paraId="507C487E" w14:textId="2D1975FA" w:rsidR="00061C1D" w:rsidRDefault="00000000" w:rsidP="370D7818">
      <w:pPr>
        <w:pStyle w:val="TOC2"/>
        <w:tabs>
          <w:tab w:val="right" w:leader="dot" w:pos="9345"/>
        </w:tabs>
        <w:rPr>
          <w:rFonts w:cstheme="minorBidi"/>
          <w:smallCaps/>
          <w:noProof/>
          <w:sz w:val="24"/>
          <w:szCs w:val="24"/>
          <w:lang w:eastAsia="en-GB"/>
        </w:rPr>
      </w:pPr>
      <w:hyperlink w:anchor="_Toc743826227">
        <w:r w:rsidR="370D7818" w:rsidRPr="370D7818">
          <w:rPr>
            <w:rStyle w:val="Hyperlink"/>
            <w:noProof/>
          </w:rPr>
          <w:t>2.4 Theoretical Perspectives</w:t>
        </w:r>
        <w:r w:rsidR="00061C1D">
          <w:rPr>
            <w:noProof/>
          </w:rPr>
          <w:tab/>
        </w:r>
        <w:r w:rsidR="00061C1D">
          <w:rPr>
            <w:noProof/>
          </w:rPr>
          <w:fldChar w:fldCharType="begin"/>
        </w:r>
        <w:r w:rsidR="00061C1D">
          <w:rPr>
            <w:noProof/>
          </w:rPr>
          <w:instrText>PAGEREF _Toc743826227 \h</w:instrText>
        </w:r>
        <w:r w:rsidR="00061C1D">
          <w:rPr>
            <w:noProof/>
          </w:rPr>
        </w:r>
        <w:r w:rsidR="00061C1D">
          <w:rPr>
            <w:noProof/>
          </w:rPr>
          <w:fldChar w:fldCharType="separate"/>
        </w:r>
        <w:r w:rsidR="00D25A4E">
          <w:rPr>
            <w:noProof/>
          </w:rPr>
          <w:t>15</w:t>
        </w:r>
        <w:r w:rsidR="00061C1D">
          <w:rPr>
            <w:noProof/>
          </w:rPr>
          <w:fldChar w:fldCharType="end"/>
        </w:r>
      </w:hyperlink>
    </w:p>
    <w:p w14:paraId="4AF5F632" w14:textId="7CBB20AC" w:rsidR="00061C1D" w:rsidRDefault="00000000" w:rsidP="370D7818">
      <w:pPr>
        <w:pStyle w:val="TOC2"/>
        <w:tabs>
          <w:tab w:val="right" w:leader="dot" w:pos="9345"/>
        </w:tabs>
        <w:rPr>
          <w:rFonts w:cstheme="minorBidi"/>
          <w:smallCaps/>
          <w:noProof/>
          <w:sz w:val="24"/>
          <w:szCs w:val="24"/>
          <w:lang w:eastAsia="en-GB"/>
        </w:rPr>
      </w:pPr>
      <w:hyperlink w:anchor="_Toc1327564088">
        <w:r w:rsidR="370D7818" w:rsidRPr="370D7818">
          <w:rPr>
            <w:rStyle w:val="Hyperlink"/>
            <w:noProof/>
          </w:rPr>
          <w:t>2.5 Conceptual Framework</w:t>
        </w:r>
        <w:r w:rsidR="00061C1D">
          <w:rPr>
            <w:noProof/>
          </w:rPr>
          <w:tab/>
        </w:r>
        <w:r w:rsidR="00061C1D">
          <w:rPr>
            <w:noProof/>
          </w:rPr>
          <w:fldChar w:fldCharType="begin"/>
        </w:r>
        <w:r w:rsidR="00061C1D">
          <w:rPr>
            <w:noProof/>
          </w:rPr>
          <w:instrText>PAGEREF _Toc1327564088 \h</w:instrText>
        </w:r>
        <w:r w:rsidR="00061C1D">
          <w:rPr>
            <w:noProof/>
          </w:rPr>
        </w:r>
        <w:r w:rsidR="00061C1D">
          <w:rPr>
            <w:noProof/>
          </w:rPr>
          <w:fldChar w:fldCharType="separate"/>
        </w:r>
        <w:r w:rsidR="00D25A4E">
          <w:rPr>
            <w:noProof/>
          </w:rPr>
          <w:t>16</w:t>
        </w:r>
        <w:r w:rsidR="00061C1D">
          <w:rPr>
            <w:noProof/>
          </w:rPr>
          <w:fldChar w:fldCharType="end"/>
        </w:r>
      </w:hyperlink>
    </w:p>
    <w:p w14:paraId="58F2AFA2" w14:textId="3E77ECCC" w:rsidR="00061C1D" w:rsidRDefault="00000000" w:rsidP="370D7818">
      <w:pPr>
        <w:pStyle w:val="TOC2"/>
        <w:tabs>
          <w:tab w:val="right" w:leader="dot" w:pos="9345"/>
        </w:tabs>
        <w:rPr>
          <w:rFonts w:cstheme="minorBidi"/>
          <w:smallCaps/>
          <w:noProof/>
          <w:sz w:val="24"/>
          <w:szCs w:val="24"/>
          <w:lang w:eastAsia="en-GB"/>
        </w:rPr>
      </w:pPr>
      <w:hyperlink w:anchor="_Toc903104020">
        <w:r w:rsidR="370D7818" w:rsidRPr="370D7818">
          <w:rPr>
            <w:rStyle w:val="Hyperlink"/>
            <w:noProof/>
          </w:rPr>
          <w:t>2.6 Overview of Selected Studies</w:t>
        </w:r>
        <w:r w:rsidR="00061C1D">
          <w:rPr>
            <w:noProof/>
          </w:rPr>
          <w:tab/>
        </w:r>
        <w:r w:rsidR="00061C1D">
          <w:rPr>
            <w:noProof/>
          </w:rPr>
          <w:fldChar w:fldCharType="begin"/>
        </w:r>
        <w:r w:rsidR="00061C1D">
          <w:rPr>
            <w:noProof/>
          </w:rPr>
          <w:instrText>PAGEREF _Toc903104020 \h</w:instrText>
        </w:r>
        <w:r w:rsidR="00061C1D">
          <w:rPr>
            <w:noProof/>
          </w:rPr>
        </w:r>
        <w:r w:rsidR="00061C1D">
          <w:rPr>
            <w:noProof/>
          </w:rPr>
          <w:fldChar w:fldCharType="separate"/>
        </w:r>
        <w:r w:rsidR="00D25A4E">
          <w:rPr>
            <w:noProof/>
          </w:rPr>
          <w:t>18</w:t>
        </w:r>
        <w:r w:rsidR="00061C1D">
          <w:rPr>
            <w:noProof/>
          </w:rPr>
          <w:fldChar w:fldCharType="end"/>
        </w:r>
      </w:hyperlink>
    </w:p>
    <w:p w14:paraId="7148C106" w14:textId="6CADD345" w:rsidR="00061C1D" w:rsidRDefault="00000000" w:rsidP="370D7818">
      <w:pPr>
        <w:pStyle w:val="TOC2"/>
        <w:tabs>
          <w:tab w:val="right" w:leader="dot" w:pos="9345"/>
        </w:tabs>
        <w:rPr>
          <w:rFonts w:cstheme="minorBidi"/>
          <w:smallCaps/>
          <w:noProof/>
          <w:sz w:val="24"/>
          <w:szCs w:val="24"/>
          <w:lang w:eastAsia="en-GB"/>
        </w:rPr>
      </w:pPr>
      <w:hyperlink w:anchor="_Toc1031257545">
        <w:r w:rsidR="370D7818" w:rsidRPr="370D7818">
          <w:rPr>
            <w:rStyle w:val="Hyperlink"/>
            <w:noProof/>
          </w:rPr>
          <w:t>2.7 Research Gap</w:t>
        </w:r>
        <w:r w:rsidR="00061C1D">
          <w:rPr>
            <w:noProof/>
          </w:rPr>
          <w:tab/>
        </w:r>
        <w:r w:rsidR="00061C1D">
          <w:rPr>
            <w:noProof/>
          </w:rPr>
          <w:fldChar w:fldCharType="begin"/>
        </w:r>
        <w:r w:rsidR="00061C1D">
          <w:rPr>
            <w:noProof/>
          </w:rPr>
          <w:instrText>PAGEREF _Toc1031257545 \h</w:instrText>
        </w:r>
        <w:r w:rsidR="00061C1D">
          <w:rPr>
            <w:noProof/>
          </w:rPr>
        </w:r>
        <w:r w:rsidR="00061C1D">
          <w:rPr>
            <w:noProof/>
          </w:rPr>
          <w:fldChar w:fldCharType="separate"/>
        </w:r>
        <w:r w:rsidR="00D25A4E">
          <w:rPr>
            <w:noProof/>
          </w:rPr>
          <w:t>18</w:t>
        </w:r>
        <w:r w:rsidR="00061C1D">
          <w:rPr>
            <w:noProof/>
          </w:rPr>
          <w:fldChar w:fldCharType="end"/>
        </w:r>
      </w:hyperlink>
    </w:p>
    <w:p w14:paraId="0F2207F5" w14:textId="6B5B9027" w:rsidR="00061C1D" w:rsidRDefault="00000000" w:rsidP="370D7818">
      <w:pPr>
        <w:pStyle w:val="TOC2"/>
        <w:tabs>
          <w:tab w:val="right" w:leader="dot" w:pos="9345"/>
        </w:tabs>
        <w:rPr>
          <w:rFonts w:cstheme="minorBidi"/>
          <w:smallCaps/>
          <w:noProof/>
          <w:sz w:val="24"/>
          <w:szCs w:val="24"/>
          <w:lang w:eastAsia="en-GB"/>
        </w:rPr>
      </w:pPr>
      <w:hyperlink w:anchor="_Toc568412039">
        <w:r w:rsidR="370D7818" w:rsidRPr="370D7818">
          <w:rPr>
            <w:rStyle w:val="Hyperlink"/>
            <w:noProof/>
          </w:rPr>
          <w:t>2.8 Summary</w:t>
        </w:r>
        <w:r w:rsidR="00061C1D">
          <w:rPr>
            <w:noProof/>
          </w:rPr>
          <w:tab/>
        </w:r>
        <w:r w:rsidR="00061C1D">
          <w:rPr>
            <w:noProof/>
          </w:rPr>
          <w:fldChar w:fldCharType="begin"/>
        </w:r>
        <w:r w:rsidR="00061C1D">
          <w:rPr>
            <w:noProof/>
          </w:rPr>
          <w:instrText>PAGEREF _Toc568412039 \h</w:instrText>
        </w:r>
        <w:r w:rsidR="00061C1D">
          <w:rPr>
            <w:noProof/>
          </w:rPr>
        </w:r>
        <w:r w:rsidR="00061C1D">
          <w:rPr>
            <w:noProof/>
          </w:rPr>
          <w:fldChar w:fldCharType="separate"/>
        </w:r>
        <w:r w:rsidR="00D25A4E">
          <w:rPr>
            <w:noProof/>
          </w:rPr>
          <w:t>18</w:t>
        </w:r>
        <w:r w:rsidR="00061C1D">
          <w:rPr>
            <w:noProof/>
          </w:rPr>
          <w:fldChar w:fldCharType="end"/>
        </w:r>
      </w:hyperlink>
    </w:p>
    <w:p w14:paraId="2797F063" w14:textId="67782E10" w:rsidR="00061C1D" w:rsidRDefault="00000000" w:rsidP="370D7818">
      <w:pPr>
        <w:pStyle w:val="TOC2"/>
        <w:tabs>
          <w:tab w:val="right" w:leader="dot" w:pos="9345"/>
        </w:tabs>
        <w:rPr>
          <w:rFonts w:cstheme="minorBidi"/>
          <w:smallCaps/>
          <w:noProof/>
          <w:sz w:val="24"/>
          <w:szCs w:val="24"/>
          <w:lang w:eastAsia="en-GB"/>
        </w:rPr>
      </w:pPr>
      <w:hyperlink w:anchor="_Toc1755872912">
        <w:r w:rsidR="370D7818" w:rsidRPr="370D7818">
          <w:rPr>
            <w:rStyle w:val="Hyperlink"/>
            <w:noProof/>
          </w:rPr>
          <w:t>Chapter 3 Research Methodology</w:t>
        </w:r>
        <w:r w:rsidR="00061C1D">
          <w:rPr>
            <w:noProof/>
          </w:rPr>
          <w:tab/>
        </w:r>
        <w:r w:rsidR="00061C1D">
          <w:rPr>
            <w:noProof/>
          </w:rPr>
          <w:fldChar w:fldCharType="begin"/>
        </w:r>
        <w:r w:rsidR="00061C1D">
          <w:rPr>
            <w:noProof/>
          </w:rPr>
          <w:instrText>PAGEREF _Toc1755872912 \h</w:instrText>
        </w:r>
        <w:r w:rsidR="00061C1D">
          <w:rPr>
            <w:noProof/>
          </w:rPr>
        </w:r>
        <w:r w:rsidR="00061C1D">
          <w:rPr>
            <w:noProof/>
          </w:rPr>
          <w:fldChar w:fldCharType="separate"/>
        </w:r>
        <w:r w:rsidR="00D25A4E">
          <w:rPr>
            <w:noProof/>
          </w:rPr>
          <w:t>19</w:t>
        </w:r>
        <w:r w:rsidR="00061C1D">
          <w:rPr>
            <w:noProof/>
          </w:rPr>
          <w:fldChar w:fldCharType="end"/>
        </w:r>
      </w:hyperlink>
    </w:p>
    <w:p w14:paraId="0AEDCA27" w14:textId="0105D4F9" w:rsidR="00061C1D" w:rsidRDefault="00000000" w:rsidP="370D7818">
      <w:pPr>
        <w:pStyle w:val="TOC2"/>
        <w:tabs>
          <w:tab w:val="right" w:leader="dot" w:pos="9345"/>
        </w:tabs>
        <w:rPr>
          <w:rFonts w:cstheme="minorBidi"/>
          <w:smallCaps/>
          <w:noProof/>
          <w:sz w:val="24"/>
          <w:szCs w:val="24"/>
          <w:lang w:eastAsia="en-GB"/>
        </w:rPr>
      </w:pPr>
      <w:hyperlink w:anchor="_Toc29906559">
        <w:r w:rsidR="370D7818" w:rsidRPr="370D7818">
          <w:rPr>
            <w:rStyle w:val="Hyperlink"/>
            <w:noProof/>
          </w:rPr>
          <w:t>3.1 Introduction</w:t>
        </w:r>
        <w:r w:rsidR="00061C1D">
          <w:rPr>
            <w:noProof/>
          </w:rPr>
          <w:tab/>
        </w:r>
        <w:r w:rsidR="00061C1D">
          <w:rPr>
            <w:noProof/>
          </w:rPr>
          <w:fldChar w:fldCharType="begin"/>
        </w:r>
        <w:r w:rsidR="00061C1D">
          <w:rPr>
            <w:noProof/>
          </w:rPr>
          <w:instrText>PAGEREF _Toc29906559 \h</w:instrText>
        </w:r>
        <w:r w:rsidR="00061C1D">
          <w:rPr>
            <w:noProof/>
          </w:rPr>
        </w:r>
        <w:r w:rsidR="00061C1D">
          <w:rPr>
            <w:noProof/>
          </w:rPr>
          <w:fldChar w:fldCharType="separate"/>
        </w:r>
        <w:r w:rsidR="00D25A4E">
          <w:rPr>
            <w:noProof/>
          </w:rPr>
          <w:t>19</w:t>
        </w:r>
        <w:r w:rsidR="00061C1D">
          <w:rPr>
            <w:noProof/>
          </w:rPr>
          <w:fldChar w:fldCharType="end"/>
        </w:r>
      </w:hyperlink>
    </w:p>
    <w:p w14:paraId="5F70F8E2" w14:textId="7AA6463E" w:rsidR="00061C1D" w:rsidRDefault="00000000" w:rsidP="370D7818">
      <w:pPr>
        <w:pStyle w:val="TOC2"/>
        <w:tabs>
          <w:tab w:val="right" w:leader="dot" w:pos="9345"/>
        </w:tabs>
        <w:rPr>
          <w:rFonts w:cstheme="minorBidi"/>
          <w:smallCaps/>
          <w:noProof/>
          <w:sz w:val="24"/>
          <w:szCs w:val="24"/>
          <w:lang w:eastAsia="en-GB"/>
        </w:rPr>
      </w:pPr>
      <w:hyperlink w:anchor="_Toc435632621">
        <w:r w:rsidR="370D7818" w:rsidRPr="370D7818">
          <w:rPr>
            <w:rStyle w:val="Hyperlink"/>
            <w:noProof/>
          </w:rPr>
          <w:t>3.2 Research Philosophy</w:t>
        </w:r>
        <w:r w:rsidR="00061C1D">
          <w:rPr>
            <w:noProof/>
          </w:rPr>
          <w:tab/>
        </w:r>
        <w:r w:rsidR="00061C1D">
          <w:rPr>
            <w:noProof/>
          </w:rPr>
          <w:fldChar w:fldCharType="begin"/>
        </w:r>
        <w:r w:rsidR="00061C1D">
          <w:rPr>
            <w:noProof/>
          </w:rPr>
          <w:instrText>PAGEREF _Toc435632621 \h</w:instrText>
        </w:r>
        <w:r w:rsidR="00061C1D">
          <w:rPr>
            <w:noProof/>
          </w:rPr>
        </w:r>
        <w:r w:rsidR="00061C1D">
          <w:rPr>
            <w:noProof/>
          </w:rPr>
          <w:fldChar w:fldCharType="separate"/>
        </w:r>
        <w:r w:rsidR="00D25A4E">
          <w:rPr>
            <w:noProof/>
          </w:rPr>
          <w:t>19</w:t>
        </w:r>
        <w:r w:rsidR="00061C1D">
          <w:rPr>
            <w:noProof/>
          </w:rPr>
          <w:fldChar w:fldCharType="end"/>
        </w:r>
      </w:hyperlink>
    </w:p>
    <w:p w14:paraId="0C08D138" w14:textId="4D7B9120" w:rsidR="00061C1D" w:rsidRDefault="00000000" w:rsidP="370D7818">
      <w:pPr>
        <w:pStyle w:val="TOC2"/>
        <w:tabs>
          <w:tab w:val="right" w:leader="dot" w:pos="9345"/>
        </w:tabs>
        <w:rPr>
          <w:rFonts w:cstheme="minorBidi"/>
          <w:smallCaps/>
          <w:noProof/>
          <w:sz w:val="24"/>
          <w:szCs w:val="24"/>
          <w:lang w:eastAsia="en-GB"/>
        </w:rPr>
      </w:pPr>
      <w:hyperlink w:anchor="_Toc1774046584">
        <w:r w:rsidR="370D7818" w:rsidRPr="370D7818">
          <w:rPr>
            <w:rStyle w:val="Hyperlink"/>
            <w:noProof/>
          </w:rPr>
          <w:t>3.3 Research Type</w:t>
        </w:r>
        <w:r w:rsidR="00061C1D">
          <w:rPr>
            <w:noProof/>
          </w:rPr>
          <w:tab/>
        </w:r>
        <w:r w:rsidR="00061C1D">
          <w:rPr>
            <w:noProof/>
          </w:rPr>
          <w:fldChar w:fldCharType="begin"/>
        </w:r>
        <w:r w:rsidR="00061C1D">
          <w:rPr>
            <w:noProof/>
          </w:rPr>
          <w:instrText>PAGEREF _Toc1774046584 \h</w:instrText>
        </w:r>
        <w:r w:rsidR="00061C1D">
          <w:rPr>
            <w:noProof/>
          </w:rPr>
        </w:r>
        <w:r w:rsidR="00061C1D">
          <w:rPr>
            <w:noProof/>
          </w:rPr>
          <w:fldChar w:fldCharType="separate"/>
        </w:r>
        <w:r w:rsidR="00D25A4E">
          <w:rPr>
            <w:noProof/>
          </w:rPr>
          <w:t>20</w:t>
        </w:r>
        <w:r w:rsidR="00061C1D">
          <w:rPr>
            <w:noProof/>
          </w:rPr>
          <w:fldChar w:fldCharType="end"/>
        </w:r>
      </w:hyperlink>
    </w:p>
    <w:p w14:paraId="494F0006" w14:textId="5CD6CB05" w:rsidR="00061C1D" w:rsidRDefault="00000000" w:rsidP="370D7818">
      <w:pPr>
        <w:pStyle w:val="TOC2"/>
        <w:tabs>
          <w:tab w:val="right" w:leader="dot" w:pos="9345"/>
        </w:tabs>
        <w:rPr>
          <w:rFonts w:cstheme="minorBidi"/>
          <w:smallCaps/>
          <w:noProof/>
          <w:sz w:val="24"/>
          <w:szCs w:val="24"/>
          <w:lang w:eastAsia="en-GB"/>
        </w:rPr>
      </w:pPr>
      <w:hyperlink w:anchor="_Toc1511982432">
        <w:r w:rsidR="370D7818" w:rsidRPr="370D7818">
          <w:rPr>
            <w:rStyle w:val="Hyperlink"/>
            <w:noProof/>
          </w:rPr>
          <w:t>3.4 Research Approach</w:t>
        </w:r>
        <w:r w:rsidR="00061C1D">
          <w:rPr>
            <w:noProof/>
          </w:rPr>
          <w:tab/>
        </w:r>
        <w:r w:rsidR="00061C1D">
          <w:rPr>
            <w:noProof/>
          </w:rPr>
          <w:fldChar w:fldCharType="begin"/>
        </w:r>
        <w:r w:rsidR="00061C1D">
          <w:rPr>
            <w:noProof/>
          </w:rPr>
          <w:instrText>PAGEREF _Toc1511982432 \h</w:instrText>
        </w:r>
        <w:r w:rsidR="00061C1D">
          <w:rPr>
            <w:noProof/>
          </w:rPr>
        </w:r>
        <w:r w:rsidR="00061C1D">
          <w:rPr>
            <w:noProof/>
          </w:rPr>
          <w:fldChar w:fldCharType="separate"/>
        </w:r>
        <w:r w:rsidR="00D25A4E">
          <w:rPr>
            <w:noProof/>
          </w:rPr>
          <w:t>21</w:t>
        </w:r>
        <w:r w:rsidR="00061C1D">
          <w:rPr>
            <w:noProof/>
          </w:rPr>
          <w:fldChar w:fldCharType="end"/>
        </w:r>
      </w:hyperlink>
    </w:p>
    <w:p w14:paraId="76C0C63C" w14:textId="57DBBA29" w:rsidR="00061C1D" w:rsidRDefault="00000000" w:rsidP="370D7818">
      <w:pPr>
        <w:pStyle w:val="TOC2"/>
        <w:tabs>
          <w:tab w:val="right" w:leader="dot" w:pos="9345"/>
        </w:tabs>
        <w:rPr>
          <w:rFonts w:cstheme="minorBidi"/>
          <w:smallCaps/>
          <w:noProof/>
          <w:sz w:val="24"/>
          <w:szCs w:val="24"/>
          <w:lang w:eastAsia="en-GB"/>
        </w:rPr>
      </w:pPr>
      <w:hyperlink w:anchor="_Toc483551069">
        <w:r w:rsidR="370D7818" w:rsidRPr="370D7818">
          <w:rPr>
            <w:rStyle w:val="Hyperlink"/>
            <w:noProof/>
          </w:rPr>
          <w:t>3.5 Research Method</w:t>
        </w:r>
        <w:r w:rsidR="00061C1D">
          <w:rPr>
            <w:noProof/>
          </w:rPr>
          <w:tab/>
        </w:r>
        <w:r w:rsidR="00061C1D">
          <w:rPr>
            <w:noProof/>
          </w:rPr>
          <w:fldChar w:fldCharType="begin"/>
        </w:r>
        <w:r w:rsidR="00061C1D">
          <w:rPr>
            <w:noProof/>
          </w:rPr>
          <w:instrText>PAGEREF _Toc483551069 \h</w:instrText>
        </w:r>
        <w:r w:rsidR="00061C1D">
          <w:rPr>
            <w:noProof/>
          </w:rPr>
        </w:r>
        <w:r w:rsidR="00061C1D">
          <w:rPr>
            <w:noProof/>
          </w:rPr>
          <w:fldChar w:fldCharType="separate"/>
        </w:r>
        <w:r w:rsidR="00D25A4E">
          <w:rPr>
            <w:noProof/>
          </w:rPr>
          <w:t>21</w:t>
        </w:r>
        <w:r w:rsidR="00061C1D">
          <w:rPr>
            <w:noProof/>
          </w:rPr>
          <w:fldChar w:fldCharType="end"/>
        </w:r>
      </w:hyperlink>
    </w:p>
    <w:p w14:paraId="5C81E6C1" w14:textId="367DD3CF" w:rsidR="00061C1D" w:rsidRDefault="00000000" w:rsidP="370D7818">
      <w:pPr>
        <w:pStyle w:val="TOC2"/>
        <w:tabs>
          <w:tab w:val="right" w:leader="dot" w:pos="9345"/>
        </w:tabs>
        <w:rPr>
          <w:rFonts w:cstheme="minorBidi"/>
          <w:smallCaps/>
          <w:noProof/>
          <w:sz w:val="24"/>
          <w:szCs w:val="24"/>
          <w:lang w:eastAsia="en-GB"/>
        </w:rPr>
      </w:pPr>
      <w:hyperlink w:anchor="_Toc871443708">
        <w:r w:rsidR="370D7818" w:rsidRPr="370D7818">
          <w:rPr>
            <w:rStyle w:val="Hyperlink"/>
            <w:noProof/>
          </w:rPr>
          <w:t>3.6 Research Strategy</w:t>
        </w:r>
        <w:r w:rsidR="00061C1D">
          <w:rPr>
            <w:noProof/>
          </w:rPr>
          <w:tab/>
        </w:r>
        <w:r w:rsidR="00061C1D">
          <w:rPr>
            <w:noProof/>
          </w:rPr>
          <w:fldChar w:fldCharType="begin"/>
        </w:r>
        <w:r w:rsidR="00061C1D">
          <w:rPr>
            <w:noProof/>
          </w:rPr>
          <w:instrText>PAGEREF _Toc871443708 \h</w:instrText>
        </w:r>
        <w:r w:rsidR="00061C1D">
          <w:rPr>
            <w:noProof/>
          </w:rPr>
        </w:r>
        <w:r w:rsidR="00061C1D">
          <w:rPr>
            <w:noProof/>
          </w:rPr>
          <w:fldChar w:fldCharType="separate"/>
        </w:r>
        <w:r w:rsidR="00D25A4E">
          <w:rPr>
            <w:noProof/>
          </w:rPr>
          <w:t>22</w:t>
        </w:r>
        <w:r w:rsidR="00061C1D">
          <w:rPr>
            <w:noProof/>
          </w:rPr>
          <w:fldChar w:fldCharType="end"/>
        </w:r>
      </w:hyperlink>
    </w:p>
    <w:p w14:paraId="7E7E56CC" w14:textId="53ED60D6" w:rsidR="00061C1D" w:rsidRDefault="00000000" w:rsidP="370D7818">
      <w:pPr>
        <w:pStyle w:val="TOC2"/>
        <w:tabs>
          <w:tab w:val="right" w:leader="dot" w:pos="9345"/>
        </w:tabs>
        <w:rPr>
          <w:rFonts w:cstheme="minorBidi"/>
          <w:smallCaps/>
          <w:noProof/>
          <w:sz w:val="24"/>
          <w:szCs w:val="24"/>
          <w:lang w:eastAsia="en-GB"/>
        </w:rPr>
      </w:pPr>
      <w:hyperlink w:anchor="_Toc1816276390">
        <w:r w:rsidR="370D7818" w:rsidRPr="370D7818">
          <w:rPr>
            <w:rStyle w:val="Hyperlink"/>
            <w:noProof/>
          </w:rPr>
          <w:t>3.7 Search Strategy and Selection Criteria</w:t>
        </w:r>
        <w:r w:rsidR="00061C1D">
          <w:rPr>
            <w:noProof/>
          </w:rPr>
          <w:tab/>
        </w:r>
        <w:r w:rsidR="00061C1D">
          <w:rPr>
            <w:noProof/>
          </w:rPr>
          <w:fldChar w:fldCharType="begin"/>
        </w:r>
        <w:r w:rsidR="00061C1D">
          <w:rPr>
            <w:noProof/>
          </w:rPr>
          <w:instrText>PAGEREF _Toc1816276390 \h</w:instrText>
        </w:r>
        <w:r w:rsidR="00061C1D">
          <w:rPr>
            <w:noProof/>
          </w:rPr>
        </w:r>
        <w:r w:rsidR="00061C1D">
          <w:rPr>
            <w:noProof/>
          </w:rPr>
          <w:fldChar w:fldCharType="separate"/>
        </w:r>
        <w:r w:rsidR="00D25A4E">
          <w:rPr>
            <w:noProof/>
          </w:rPr>
          <w:t>22</w:t>
        </w:r>
        <w:r w:rsidR="00061C1D">
          <w:rPr>
            <w:noProof/>
          </w:rPr>
          <w:fldChar w:fldCharType="end"/>
        </w:r>
      </w:hyperlink>
    </w:p>
    <w:p w14:paraId="4FD4C466" w14:textId="4D28CFD5" w:rsidR="00061C1D" w:rsidRDefault="00000000" w:rsidP="370D7818">
      <w:pPr>
        <w:pStyle w:val="TOC2"/>
        <w:tabs>
          <w:tab w:val="right" w:leader="dot" w:pos="9345"/>
        </w:tabs>
        <w:rPr>
          <w:rFonts w:cstheme="minorBidi"/>
          <w:smallCaps/>
          <w:noProof/>
          <w:sz w:val="24"/>
          <w:szCs w:val="24"/>
          <w:lang w:eastAsia="en-GB"/>
        </w:rPr>
      </w:pPr>
      <w:hyperlink w:anchor="_Toc870972609">
        <w:r w:rsidR="370D7818" w:rsidRPr="370D7818">
          <w:rPr>
            <w:rStyle w:val="Hyperlink"/>
            <w:noProof/>
          </w:rPr>
          <w:t>3.8 Data Sources and Analytical Technique</w:t>
        </w:r>
        <w:r w:rsidR="00061C1D">
          <w:rPr>
            <w:noProof/>
          </w:rPr>
          <w:tab/>
        </w:r>
        <w:r w:rsidR="00061C1D">
          <w:rPr>
            <w:noProof/>
          </w:rPr>
          <w:fldChar w:fldCharType="begin"/>
        </w:r>
        <w:r w:rsidR="00061C1D">
          <w:rPr>
            <w:noProof/>
          </w:rPr>
          <w:instrText>PAGEREF _Toc870972609 \h</w:instrText>
        </w:r>
        <w:r w:rsidR="00061C1D">
          <w:rPr>
            <w:noProof/>
          </w:rPr>
        </w:r>
        <w:r w:rsidR="00061C1D">
          <w:rPr>
            <w:noProof/>
          </w:rPr>
          <w:fldChar w:fldCharType="separate"/>
        </w:r>
        <w:r w:rsidR="00D25A4E">
          <w:rPr>
            <w:noProof/>
          </w:rPr>
          <w:t>24</w:t>
        </w:r>
        <w:r w:rsidR="00061C1D">
          <w:rPr>
            <w:noProof/>
          </w:rPr>
          <w:fldChar w:fldCharType="end"/>
        </w:r>
      </w:hyperlink>
    </w:p>
    <w:p w14:paraId="307F534C" w14:textId="778BCE47" w:rsidR="00061C1D" w:rsidRDefault="00000000" w:rsidP="370D7818">
      <w:pPr>
        <w:pStyle w:val="TOC2"/>
        <w:tabs>
          <w:tab w:val="right" w:leader="dot" w:pos="9345"/>
        </w:tabs>
        <w:rPr>
          <w:rFonts w:cstheme="minorBidi"/>
          <w:smallCaps/>
          <w:noProof/>
          <w:sz w:val="24"/>
          <w:szCs w:val="24"/>
          <w:lang w:eastAsia="en-GB"/>
        </w:rPr>
      </w:pPr>
      <w:hyperlink w:anchor="_Toc496069110">
        <w:r w:rsidR="370D7818" w:rsidRPr="370D7818">
          <w:rPr>
            <w:rStyle w:val="Hyperlink"/>
            <w:noProof/>
          </w:rPr>
          <w:t>3.9 Sample Size and Sampling</w:t>
        </w:r>
        <w:r w:rsidR="00061C1D">
          <w:rPr>
            <w:noProof/>
          </w:rPr>
          <w:tab/>
        </w:r>
        <w:r w:rsidR="00061C1D">
          <w:rPr>
            <w:noProof/>
          </w:rPr>
          <w:fldChar w:fldCharType="begin"/>
        </w:r>
        <w:r w:rsidR="00061C1D">
          <w:rPr>
            <w:noProof/>
          </w:rPr>
          <w:instrText>PAGEREF _Toc496069110 \h</w:instrText>
        </w:r>
        <w:r w:rsidR="00061C1D">
          <w:rPr>
            <w:noProof/>
          </w:rPr>
        </w:r>
        <w:r w:rsidR="00061C1D">
          <w:rPr>
            <w:noProof/>
          </w:rPr>
          <w:fldChar w:fldCharType="separate"/>
        </w:r>
        <w:r w:rsidR="00D25A4E">
          <w:rPr>
            <w:noProof/>
          </w:rPr>
          <w:t>24</w:t>
        </w:r>
        <w:r w:rsidR="00061C1D">
          <w:rPr>
            <w:noProof/>
          </w:rPr>
          <w:fldChar w:fldCharType="end"/>
        </w:r>
      </w:hyperlink>
    </w:p>
    <w:p w14:paraId="1FAB6713" w14:textId="1975120E" w:rsidR="00061C1D" w:rsidRDefault="00000000" w:rsidP="370D7818">
      <w:pPr>
        <w:pStyle w:val="TOC2"/>
        <w:tabs>
          <w:tab w:val="right" w:leader="dot" w:pos="9345"/>
        </w:tabs>
        <w:rPr>
          <w:rFonts w:cstheme="minorBidi"/>
          <w:smallCaps/>
          <w:noProof/>
          <w:sz w:val="24"/>
          <w:szCs w:val="24"/>
          <w:lang w:eastAsia="en-GB"/>
        </w:rPr>
      </w:pPr>
      <w:hyperlink w:anchor="_Toc326063259">
        <w:r w:rsidR="370D7818" w:rsidRPr="370D7818">
          <w:rPr>
            <w:rStyle w:val="Hyperlink"/>
            <w:noProof/>
          </w:rPr>
          <w:t>3.10 Thematic Analysis</w:t>
        </w:r>
        <w:r w:rsidR="00061C1D">
          <w:rPr>
            <w:noProof/>
          </w:rPr>
          <w:tab/>
        </w:r>
        <w:r w:rsidR="00061C1D">
          <w:rPr>
            <w:noProof/>
          </w:rPr>
          <w:fldChar w:fldCharType="begin"/>
        </w:r>
        <w:r w:rsidR="00061C1D">
          <w:rPr>
            <w:noProof/>
          </w:rPr>
          <w:instrText>PAGEREF _Toc326063259 \h</w:instrText>
        </w:r>
        <w:r w:rsidR="00061C1D">
          <w:rPr>
            <w:noProof/>
          </w:rPr>
        </w:r>
        <w:r w:rsidR="00061C1D">
          <w:rPr>
            <w:noProof/>
          </w:rPr>
          <w:fldChar w:fldCharType="separate"/>
        </w:r>
        <w:r w:rsidR="00D25A4E">
          <w:rPr>
            <w:noProof/>
          </w:rPr>
          <w:t>25</w:t>
        </w:r>
        <w:r w:rsidR="00061C1D">
          <w:rPr>
            <w:noProof/>
          </w:rPr>
          <w:fldChar w:fldCharType="end"/>
        </w:r>
      </w:hyperlink>
    </w:p>
    <w:p w14:paraId="0D9DFCED" w14:textId="451651B4" w:rsidR="00061C1D" w:rsidRDefault="00000000" w:rsidP="370D7818">
      <w:pPr>
        <w:pStyle w:val="TOC2"/>
        <w:tabs>
          <w:tab w:val="right" w:leader="dot" w:pos="9345"/>
        </w:tabs>
        <w:rPr>
          <w:rFonts w:cstheme="minorBidi"/>
          <w:smallCaps/>
          <w:noProof/>
          <w:sz w:val="24"/>
          <w:szCs w:val="24"/>
          <w:lang w:eastAsia="en-GB"/>
        </w:rPr>
      </w:pPr>
      <w:hyperlink w:anchor="_Toc1069419803">
        <w:r w:rsidR="370D7818" w:rsidRPr="370D7818">
          <w:rPr>
            <w:rStyle w:val="Hyperlink"/>
            <w:noProof/>
          </w:rPr>
          <w:t>3.11 Ethical Considerations</w:t>
        </w:r>
        <w:r w:rsidR="00061C1D">
          <w:rPr>
            <w:noProof/>
          </w:rPr>
          <w:tab/>
        </w:r>
        <w:r w:rsidR="00061C1D">
          <w:rPr>
            <w:noProof/>
          </w:rPr>
          <w:fldChar w:fldCharType="begin"/>
        </w:r>
        <w:r w:rsidR="00061C1D">
          <w:rPr>
            <w:noProof/>
          </w:rPr>
          <w:instrText>PAGEREF _Toc1069419803 \h</w:instrText>
        </w:r>
        <w:r w:rsidR="00061C1D">
          <w:rPr>
            <w:noProof/>
          </w:rPr>
        </w:r>
        <w:r w:rsidR="00061C1D">
          <w:rPr>
            <w:noProof/>
          </w:rPr>
          <w:fldChar w:fldCharType="separate"/>
        </w:r>
        <w:r w:rsidR="00D25A4E">
          <w:rPr>
            <w:noProof/>
          </w:rPr>
          <w:t>25</w:t>
        </w:r>
        <w:r w:rsidR="00061C1D">
          <w:rPr>
            <w:noProof/>
          </w:rPr>
          <w:fldChar w:fldCharType="end"/>
        </w:r>
      </w:hyperlink>
    </w:p>
    <w:p w14:paraId="00FCCC58" w14:textId="53D1F459" w:rsidR="00061C1D" w:rsidRDefault="00000000" w:rsidP="370D7818">
      <w:pPr>
        <w:pStyle w:val="TOC2"/>
        <w:tabs>
          <w:tab w:val="right" w:leader="dot" w:pos="9345"/>
        </w:tabs>
        <w:rPr>
          <w:rFonts w:cstheme="minorBidi"/>
          <w:smallCaps/>
          <w:noProof/>
          <w:sz w:val="24"/>
          <w:szCs w:val="24"/>
          <w:lang w:eastAsia="en-GB"/>
        </w:rPr>
      </w:pPr>
      <w:hyperlink w:anchor="_Toc2107682558">
        <w:r w:rsidR="370D7818" w:rsidRPr="370D7818">
          <w:rPr>
            <w:rStyle w:val="Hyperlink"/>
            <w:noProof/>
          </w:rPr>
          <w:t>3.12 Summary</w:t>
        </w:r>
        <w:r w:rsidR="00061C1D">
          <w:rPr>
            <w:noProof/>
          </w:rPr>
          <w:tab/>
        </w:r>
        <w:r w:rsidR="00061C1D">
          <w:rPr>
            <w:noProof/>
          </w:rPr>
          <w:fldChar w:fldCharType="begin"/>
        </w:r>
        <w:r w:rsidR="00061C1D">
          <w:rPr>
            <w:noProof/>
          </w:rPr>
          <w:instrText>PAGEREF _Toc2107682558 \h</w:instrText>
        </w:r>
        <w:r w:rsidR="00061C1D">
          <w:rPr>
            <w:noProof/>
          </w:rPr>
        </w:r>
        <w:r w:rsidR="00061C1D">
          <w:rPr>
            <w:noProof/>
          </w:rPr>
          <w:fldChar w:fldCharType="separate"/>
        </w:r>
        <w:r w:rsidR="00D25A4E">
          <w:rPr>
            <w:noProof/>
          </w:rPr>
          <w:t>25</w:t>
        </w:r>
        <w:r w:rsidR="00061C1D">
          <w:rPr>
            <w:noProof/>
          </w:rPr>
          <w:fldChar w:fldCharType="end"/>
        </w:r>
      </w:hyperlink>
    </w:p>
    <w:p w14:paraId="7D3800F1" w14:textId="49254D66" w:rsidR="00061C1D" w:rsidRDefault="00000000" w:rsidP="370D7818">
      <w:pPr>
        <w:pStyle w:val="TOC2"/>
        <w:tabs>
          <w:tab w:val="right" w:leader="dot" w:pos="9345"/>
        </w:tabs>
        <w:rPr>
          <w:rFonts w:cstheme="minorBidi"/>
          <w:smallCaps/>
          <w:noProof/>
          <w:sz w:val="24"/>
          <w:szCs w:val="24"/>
          <w:lang w:eastAsia="en-GB"/>
        </w:rPr>
      </w:pPr>
      <w:hyperlink w:anchor="_Toc1892837037">
        <w:r w:rsidR="370D7818" w:rsidRPr="370D7818">
          <w:rPr>
            <w:rStyle w:val="Hyperlink"/>
            <w:noProof/>
          </w:rPr>
          <w:t>Chapter 4 Findings and discussion</w:t>
        </w:r>
        <w:r w:rsidR="00061C1D">
          <w:rPr>
            <w:noProof/>
          </w:rPr>
          <w:tab/>
        </w:r>
        <w:r w:rsidR="00061C1D">
          <w:rPr>
            <w:noProof/>
          </w:rPr>
          <w:fldChar w:fldCharType="begin"/>
        </w:r>
        <w:r w:rsidR="00061C1D">
          <w:rPr>
            <w:noProof/>
          </w:rPr>
          <w:instrText>PAGEREF _Toc1892837037 \h</w:instrText>
        </w:r>
        <w:r w:rsidR="00061C1D">
          <w:rPr>
            <w:noProof/>
          </w:rPr>
        </w:r>
        <w:r w:rsidR="00061C1D">
          <w:rPr>
            <w:noProof/>
          </w:rPr>
          <w:fldChar w:fldCharType="separate"/>
        </w:r>
        <w:r w:rsidR="00D25A4E">
          <w:rPr>
            <w:noProof/>
          </w:rPr>
          <w:t>26</w:t>
        </w:r>
        <w:r w:rsidR="00061C1D">
          <w:rPr>
            <w:noProof/>
          </w:rPr>
          <w:fldChar w:fldCharType="end"/>
        </w:r>
      </w:hyperlink>
    </w:p>
    <w:p w14:paraId="68890780" w14:textId="6B1CAA3E" w:rsidR="00061C1D" w:rsidRDefault="00000000" w:rsidP="370D7818">
      <w:pPr>
        <w:pStyle w:val="TOC2"/>
        <w:tabs>
          <w:tab w:val="right" w:leader="dot" w:pos="9345"/>
        </w:tabs>
        <w:rPr>
          <w:rFonts w:cstheme="minorBidi"/>
          <w:smallCaps/>
          <w:noProof/>
          <w:sz w:val="24"/>
          <w:szCs w:val="24"/>
          <w:lang w:eastAsia="en-GB"/>
        </w:rPr>
      </w:pPr>
      <w:hyperlink w:anchor="_Toc102370367">
        <w:r w:rsidR="370D7818" w:rsidRPr="370D7818">
          <w:rPr>
            <w:rStyle w:val="Hyperlink"/>
            <w:noProof/>
          </w:rPr>
          <w:t>4.1 Introduction</w:t>
        </w:r>
        <w:r w:rsidR="00061C1D">
          <w:rPr>
            <w:noProof/>
          </w:rPr>
          <w:tab/>
        </w:r>
        <w:r w:rsidR="00061C1D">
          <w:rPr>
            <w:noProof/>
          </w:rPr>
          <w:fldChar w:fldCharType="begin"/>
        </w:r>
        <w:r w:rsidR="00061C1D">
          <w:rPr>
            <w:noProof/>
          </w:rPr>
          <w:instrText>PAGEREF _Toc102370367 \h</w:instrText>
        </w:r>
        <w:r w:rsidR="00061C1D">
          <w:rPr>
            <w:noProof/>
          </w:rPr>
        </w:r>
        <w:r w:rsidR="00061C1D">
          <w:rPr>
            <w:noProof/>
          </w:rPr>
          <w:fldChar w:fldCharType="separate"/>
        </w:r>
        <w:r w:rsidR="00D25A4E">
          <w:rPr>
            <w:noProof/>
          </w:rPr>
          <w:t>26</w:t>
        </w:r>
        <w:r w:rsidR="00061C1D">
          <w:rPr>
            <w:noProof/>
          </w:rPr>
          <w:fldChar w:fldCharType="end"/>
        </w:r>
      </w:hyperlink>
    </w:p>
    <w:p w14:paraId="6BF198BB" w14:textId="586C0FC7" w:rsidR="00061C1D" w:rsidRDefault="00000000" w:rsidP="370D7818">
      <w:pPr>
        <w:pStyle w:val="TOC2"/>
        <w:tabs>
          <w:tab w:val="right" w:leader="dot" w:pos="9345"/>
        </w:tabs>
        <w:rPr>
          <w:rFonts w:cstheme="minorBidi"/>
          <w:smallCaps/>
          <w:noProof/>
          <w:sz w:val="24"/>
          <w:szCs w:val="24"/>
          <w:lang w:eastAsia="en-GB"/>
        </w:rPr>
      </w:pPr>
      <w:hyperlink w:anchor="_Toc393668403">
        <w:r w:rsidR="370D7818" w:rsidRPr="370D7818">
          <w:rPr>
            <w:rStyle w:val="Hyperlink"/>
            <w:noProof/>
          </w:rPr>
          <w:t>4.2 Summary of Selected Studies</w:t>
        </w:r>
        <w:r w:rsidR="00061C1D">
          <w:rPr>
            <w:noProof/>
          </w:rPr>
          <w:tab/>
        </w:r>
        <w:r w:rsidR="00061C1D">
          <w:rPr>
            <w:noProof/>
          </w:rPr>
          <w:fldChar w:fldCharType="begin"/>
        </w:r>
        <w:r w:rsidR="00061C1D">
          <w:rPr>
            <w:noProof/>
          </w:rPr>
          <w:instrText>PAGEREF _Toc393668403 \h</w:instrText>
        </w:r>
        <w:r w:rsidR="00061C1D">
          <w:rPr>
            <w:noProof/>
          </w:rPr>
        </w:r>
        <w:r w:rsidR="00061C1D">
          <w:rPr>
            <w:noProof/>
          </w:rPr>
          <w:fldChar w:fldCharType="separate"/>
        </w:r>
        <w:r w:rsidR="00D25A4E">
          <w:rPr>
            <w:noProof/>
          </w:rPr>
          <w:t>26</w:t>
        </w:r>
        <w:r w:rsidR="00061C1D">
          <w:rPr>
            <w:noProof/>
          </w:rPr>
          <w:fldChar w:fldCharType="end"/>
        </w:r>
      </w:hyperlink>
    </w:p>
    <w:p w14:paraId="2E7D38F8" w14:textId="756E5B1D" w:rsidR="00061C1D" w:rsidRDefault="00000000" w:rsidP="370D7818">
      <w:pPr>
        <w:pStyle w:val="TOC2"/>
        <w:tabs>
          <w:tab w:val="right" w:leader="dot" w:pos="9345"/>
        </w:tabs>
        <w:rPr>
          <w:rFonts w:cstheme="minorBidi"/>
          <w:smallCaps/>
          <w:noProof/>
          <w:sz w:val="24"/>
          <w:szCs w:val="24"/>
          <w:lang w:eastAsia="en-GB"/>
        </w:rPr>
      </w:pPr>
      <w:hyperlink w:anchor="_Toc1096503829">
        <w:r w:rsidR="370D7818" w:rsidRPr="370D7818">
          <w:rPr>
            <w:rStyle w:val="Hyperlink"/>
            <w:noProof/>
          </w:rPr>
          <w:t>4.3 Thematic Analysis</w:t>
        </w:r>
        <w:r w:rsidR="00061C1D">
          <w:rPr>
            <w:noProof/>
          </w:rPr>
          <w:tab/>
        </w:r>
        <w:r w:rsidR="00061C1D">
          <w:rPr>
            <w:noProof/>
          </w:rPr>
          <w:fldChar w:fldCharType="begin"/>
        </w:r>
        <w:r w:rsidR="00061C1D">
          <w:rPr>
            <w:noProof/>
          </w:rPr>
          <w:instrText>PAGEREF _Toc1096503829 \h</w:instrText>
        </w:r>
        <w:r w:rsidR="00061C1D">
          <w:rPr>
            <w:noProof/>
          </w:rPr>
        </w:r>
        <w:r w:rsidR="00061C1D">
          <w:rPr>
            <w:noProof/>
          </w:rPr>
          <w:fldChar w:fldCharType="separate"/>
        </w:r>
        <w:r w:rsidR="00D25A4E">
          <w:rPr>
            <w:noProof/>
          </w:rPr>
          <w:t>27</w:t>
        </w:r>
        <w:r w:rsidR="00061C1D">
          <w:rPr>
            <w:noProof/>
          </w:rPr>
          <w:fldChar w:fldCharType="end"/>
        </w:r>
      </w:hyperlink>
    </w:p>
    <w:p w14:paraId="14FF3F50" w14:textId="45E8C8D4" w:rsidR="00061C1D" w:rsidRDefault="00000000" w:rsidP="370D7818">
      <w:pPr>
        <w:pStyle w:val="TOC2"/>
        <w:tabs>
          <w:tab w:val="right" w:leader="dot" w:pos="9345"/>
        </w:tabs>
        <w:rPr>
          <w:rFonts w:cstheme="minorBidi"/>
          <w:smallCaps/>
          <w:noProof/>
          <w:sz w:val="24"/>
          <w:szCs w:val="24"/>
          <w:lang w:eastAsia="en-GB"/>
        </w:rPr>
      </w:pPr>
      <w:hyperlink w:anchor="_Toc2104424822">
        <w:r w:rsidR="370D7818" w:rsidRPr="370D7818">
          <w:rPr>
            <w:rStyle w:val="Hyperlink"/>
            <w:noProof/>
          </w:rPr>
          <w:t>Table 4.1 Thematic Analysis of Customer Experience and Loyalty</w:t>
        </w:r>
        <w:r w:rsidR="00061C1D">
          <w:rPr>
            <w:noProof/>
          </w:rPr>
          <w:tab/>
        </w:r>
        <w:r w:rsidR="00061C1D">
          <w:rPr>
            <w:noProof/>
          </w:rPr>
          <w:fldChar w:fldCharType="begin"/>
        </w:r>
        <w:r w:rsidR="00061C1D">
          <w:rPr>
            <w:noProof/>
          </w:rPr>
          <w:instrText>PAGEREF _Toc2104424822 \h</w:instrText>
        </w:r>
        <w:r w:rsidR="00061C1D">
          <w:rPr>
            <w:noProof/>
          </w:rPr>
        </w:r>
        <w:r w:rsidR="00061C1D">
          <w:rPr>
            <w:noProof/>
          </w:rPr>
          <w:fldChar w:fldCharType="separate"/>
        </w:r>
        <w:r w:rsidR="00D25A4E">
          <w:rPr>
            <w:noProof/>
          </w:rPr>
          <w:t>28</w:t>
        </w:r>
        <w:r w:rsidR="00061C1D">
          <w:rPr>
            <w:noProof/>
          </w:rPr>
          <w:fldChar w:fldCharType="end"/>
        </w:r>
      </w:hyperlink>
    </w:p>
    <w:p w14:paraId="1F2CA2E7" w14:textId="3A14EF5F" w:rsidR="00061C1D" w:rsidRDefault="00000000" w:rsidP="370D7818">
      <w:pPr>
        <w:pStyle w:val="TOC2"/>
        <w:tabs>
          <w:tab w:val="right" w:leader="dot" w:pos="9345"/>
        </w:tabs>
        <w:rPr>
          <w:rFonts w:cstheme="minorBidi"/>
          <w:smallCaps/>
          <w:noProof/>
          <w:sz w:val="24"/>
          <w:szCs w:val="24"/>
          <w:lang w:eastAsia="en-GB"/>
        </w:rPr>
      </w:pPr>
      <w:hyperlink w:anchor="_Toc446399304">
        <w:r w:rsidR="370D7818" w:rsidRPr="370D7818">
          <w:rPr>
            <w:rStyle w:val="Hyperlink"/>
            <w:noProof/>
          </w:rPr>
          <w:t>4.4 Theme One: Types of Service and Their Influence on Passenger Loyalty</w:t>
        </w:r>
        <w:r w:rsidR="00061C1D">
          <w:rPr>
            <w:noProof/>
          </w:rPr>
          <w:tab/>
        </w:r>
        <w:r w:rsidR="00061C1D">
          <w:rPr>
            <w:noProof/>
          </w:rPr>
          <w:fldChar w:fldCharType="begin"/>
        </w:r>
        <w:r w:rsidR="00061C1D">
          <w:rPr>
            <w:noProof/>
          </w:rPr>
          <w:instrText>PAGEREF _Toc446399304 \h</w:instrText>
        </w:r>
        <w:r w:rsidR="00061C1D">
          <w:rPr>
            <w:noProof/>
          </w:rPr>
        </w:r>
        <w:r w:rsidR="00061C1D">
          <w:rPr>
            <w:noProof/>
          </w:rPr>
          <w:fldChar w:fldCharType="separate"/>
        </w:r>
        <w:r w:rsidR="00D25A4E">
          <w:rPr>
            <w:noProof/>
          </w:rPr>
          <w:t>29</w:t>
        </w:r>
        <w:r w:rsidR="00061C1D">
          <w:rPr>
            <w:noProof/>
          </w:rPr>
          <w:fldChar w:fldCharType="end"/>
        </w:r>
      </w:hyperlink>
    </w:p>
    <w:p w14:paraId="0E722C4C" w14:textId="367897E8" w:rsidR="00061C1D" w:rsidRDefault="00000000" w:rsidP="370D7818">
      <w:pPr>
        <w:pStyle w:val="TOC2"/>
        <w:tabs>
          <w:tab w:val="right" w:leader="dot" w:pos="9345"/>
        </w:tabs>
        <w:rPr>
          <w:rFonts w:cstheme="minorBidi"/>
          <w:smallCaps/>
          <w:noProof/>
          <w:sz w:val="24"/>
          <w:szCs w:val="24"/>
          <w:lang w:eastAsia="en-GB"/>
        </w:rPr>
      </w:pPr>
      <w:hyperlink w:anchor="_Toc124676245">
        <w:r w:rsidR="370D7818" w:rsidRPr="370D7818">
          <w:rPr>
            <w:rStyle w:val="Hyperlink"/>
            <w:noProof/>
          </w:rPr>
          <w:t>4.5 Theme Two: Price and Its Influence on Passenger Satisfaction and Loyalty</w:t>
        </w:r>
        <w:r w:rsidR="00061C1D">
          <w:rPr>
            <w:noProof/>
          </w:rPr>
          <w:tab/>
        </w:r>
        <w:r w:rsidR="00061C1D">
          <w:rPr>
            <w:noProof/>
          </w:rPr>
          <w:fldChar w:fldCharType="begin"/>
        </w:r>
        <w:r w:rsidR="00061C1D">
          <w:rPr>
            <w:noProof/>
          </w:rPr>
          <w:instrText>PAGEREF _Toc124676245 \h</w:instrText>
        </w:r>
        <w:r w:rsidR="00061C1D">
          <w:rPr>
            <w:noProof/>
          </w:rPr>
        </w:r>
        <w:r w:rsidR="00061C1D">
          <w:rPr>
            <w:noProof/>
          </w:rPr>
          <w:fldChar w:fldCharType="separate"/>
        </w:r>
        <w:r w:rsidR="00D25A4E">
          <w:rPr>
            <w:noProof/>
          </w:rPr>
          <w:t>31</w:t>
        </w:r>
        <w:r w:rsidR="00061C1D">
          <w:rPr>
            <w:noProof/>
          </w:rPr>
          <w:fldChar w:fldCharType="end"/>
        </w:r>
      </w:hyperlink>
    </w:p>
    <w:p w14:paraId="4D1A11D0" w14:textId="1F4E9FCA" w:rsidR="00061C1D" w:rsidRDefault="00000000" w:rsidP="370D7818">
      <w:pPr>
        <w:pStyle w:val="TOC2"/>
        <w:tabs>
          <w:tab w:val="right" w:leader="dot" w:pos="9345"/>
        </w:tabs>
        <w:rPr>
          <w:rFonts w:cstheme="minorBidi"/>
          <w:smallCaps/>
          <w:noProof/>
          <w:sz w:val="24"/>
          <w:szCs w:val="24"/>
          <w:lang w:eastAsia="en-GB"/>
        </w:rPr>
      </w:pPr>
      <w:hyperlink w:anchor="_Toc921562134">
        <w:r w:rsidR="370D7818" w:rsidRPr="370D7818">
          <w:rPr>
            <w:rStyle w:val="Hyperlink"/>
            <w:noProof/>
          </w:rPr>
          <w:t>4.6 Theme Three: Service Failures and Their Impact on Loyalty</w:t>
        </w:r>
        <w:r w:rsidR="00061C1D">
          <w:rPr>
            <w:noProof/>
          </w:rPr>
          <w:tab/>
        </w:r>
        <w:r w:rsidR="00061C1D">
          <w:rPr>
            <w:noProof/>
          </w:rPr>
          <w:fldChar w:fldCharType="begin"/>
        </w:r>
        <w:r w:rsidR="00061C1D">
          <w:rPr>
            <w:noProof/>
          </w:rPr>
          <w:instrText>PAGEREF _Toc921562134 \h</w:instrText>
        </w:r>
        <w:r w:rsidR="00061C1D">
          <w:rPr>
            <w:noProof/>
          </w:rPr>
        </w:r>
        <w:r w:rsidR="00061C1D">
          <w:rPr>
            <w:noProof/>
          </w:rPr>
          <w:fldChar w:fldCharType="separate"/>
        </w:r>
        <w:r w:rsidR="00D25A4E">
          <w:rPr>
            <w:noProof/>
          </w:rPr>
          <w:t>32</w:t>
        </w:r>
        <w:r w:rsidR="00061C1D">
          <w:rPr>
            <w:noProof/>
          </w:rPr>
          <w:fldChar w:fldCharType="end"/>
        </w:r>
      </w:hyperlink>
    </w:p>
    <w:p w14:paraId="7C2A26DC" w14:textId="347921BD" w:rsidR="00061C1D" w:rsidRDefault="00000000" w:rsidP="370D7818">
      <w:pPr>
        <w:pStyle w:val="TOC2"/>
        <w:tabs>
          <w:tab w:val="right" w:leader="dot" w:pos="9345"/>
        </w:tabs>
        <w:rPr>
          <w:rFonts w:cstheme="minorBidi"/>
          <w:smallCaps/>
          <w:noProof/>
          <w:sz w:val="24"/>
          <w:szCs w:val="24"/>
          <w:lang w:eastAsia="en-GB"/>
        </w:rPr>
      </w:pPr>
      <w:hyperlink w:anchor="_Toc383199854">
        <w:r w:rsidR="370D7818" w:rsidRPr="370D7818">
          <w:rPr>
            <w:rStyle w:val="Hyperlink"/>
            <w:noProof/>
          </w:rPr>
          <w:t>4.7 Theme Four: Staff Behavior and Interpersonal Service Quality</w:t>
        </w:r>
        <w:r w:rsidR="00061C1D">
          <w:rPr>
            <w:noProof/>
          </w:rPr>
          <w:tab/>
        </w:r>
        <w:r w:rsidR="00061C1D">
          <w:rPr>
            <w:noProof/>
          </w:rPr>
          <w:fldChar w:fldCharType="begin"/>
        </w:r>
        <w:r w:rsidR="00061C1D">
          <w:rPr>
            <w:noProof/>
          </w:rPr>
          <w:instrText>PAGEREF _Toc383199854 \h</w:instrText>
        </w:r>
        <w:r w:rsidR="00061C1D">
          <w:rPr>
            <w:noProof/>
          </w:rPr>
        </w:r>
        <w:r w:rsidR="00061C1D">
          <w:rPr>
            <w:noProof/>
          </w:rPr>
          <w:fldChar w:fldCharType="separate"/>
        </w:r>
        <w:r w:rsidR="00D25A4E">
          <w:rPr>
            <w:noProof/>
          </w:rPr>
          <w:t>32</w:t>
        </w:r>
        <w:r w:rsidR="00061C1D">
          <w:rPr>
            <w:noProof/>
          </w:rPr>
          <w:fldChar w:fldCharType="end"/>
        </w:r>
      </w:hyperlink>
    </w:p>
    <w:p w14:paraId="7821BF01" w14:textId="2A4B1801" w:rsidR="00061C1D" w:rsidRDefault="00000000" w:rsidP="370D7818">
      <w:pPr>
        <w:pStyle w:val="TOC2"/>
        <w:tabs>
          <w:tab w:val="right" w:leader="dot" w:pos="9345"/>
        </w:tabs>
        <w:rPr>
          <w:rFonts w:cstheme="minorBidi"/>
          <w:smallCaps/>
          <w:noProof/>
          <w:sz w:val="24"/>
          <w:szCs w:val="24"/>
          <w:lang w:eastAsia="en-GB"/>
        </w:rPr>
      </w:pPr>
      <w:hyperlink w:anchor="_Toc151396153">
        <w:r w:rsidR="370D7818" w:rsidRPr="370D7818">
          <w:rPr>
            <w:rStyle w:val="Hyperlink"/>
            <w:noProof/>
          </w:rPr>
          <w:t>4.8 Theme Five: Brand Trust and Passenger Loyalty</w:t>
        </w:r>
        <w:r w:rsidR="00061C1D">
          <w:rPr>
            <w:noProof/>
          </w:rPr>
          <w:tab/>
        </w:r>
        <w:r w:rsidR="00061C1D">
          <w:rPr>
            <w:noProof/>
          </w:rPr>
          <w:fldChar w:fldCharType="begin"/>
        </w:r>
        <w:r w:rsidR="00061C1D">
          <w:rPr>
            <w:noProof/>
          </w:rPr>
          <w:instrText>PAGEREF _Toc151396153 \h</w:instrText>
        </w:r>
        <w:r w:rsidR="00061C1D">
          <w:rPr>
            <w:noProof/>
          </w:rPr>
        </w:r>
        <w:r w:rsidR="00061C1D">
          <w:rPr>
            <w:noProof/>
          </w:rPr>
          <w:fldChar w:fldCharType="separate"/>
        </w:r>
        <w:r w:rsidR="00D25A4E">
          <w:rPr>
            <w:noProof/>
          </w:rPr>
          <w:t>34</w:t>
        </w:r>
        <w:r w:rsidR="00061C1D">
          <w:rPr>
            <w:noProof/>
          </w:rPr>
          <w:fldChar w:fldCharType="end"/>
        </w:r>
      </w:hyperlink>
    </w:p>
    <w:p w14:paraId="41A97795" w14:textId="52A3DC48" w:rsidR="00061C1D" w:rsidRDefault="00000000" w:rsidP="370D7818">
      <w:pPr>
        <w:pStyle w:val="TOC2"/>
        <w:tabs>
          <w:tab w:val="right" w:leader="dot" w:pos="9345"/>
        </w:tabs>
        <w:rPr>
          <w:rFonts w:cstheme="minorBidi"/>
          <w:smallCaps/>
          <w:noProof/>
          <w:sz w:val="24"/>
          <w:szCs w:val="24"/>
          <w:lang w:eastAsia="en-GB"/>
        </w:rPr>
      </w:pPr>
      <w:hyperlink w:anchor="_Toc280456362">
        <w:r w:rsidR="370D7818" w:rsidRPr="370D7818">
          <w:rPr>
            <w:rStyle w:val="Hyperlink"/>
            <w:noProof/>
          </w:rPr>
          <w:t>4.9 Discussion</w:t>
        </w:r>
        <w:r w:rsidR="00061C1D">
          <w:rPr>
            <w:noProof/>
          </w:rPr>
          <w:tab/>
        </w:r>
        <w:r w:rsidR="00061C1D">
          <w:rPr>
            <w:noProof/>
          </w:rPr>
          <w:fldChar w:fldCharType="begin"/>
        </w:r>
        <w:r w:rsidR="00061C1D">
          <w:rPr>
            <w:noProof/>
          </w:rPr>
          <w:instrText>PAGEREF _Toc280456362 \h</w:instrText>
        </w:r>
        <w:r w:rsidR="00061C1D">
          <w:rPr>
            <w:noProof/>
          </w:rPr>
        </w:r>
        <w:r w:rsidR="00061C1D">
          <w:rPr>
            <w:noProof/>
          </w:rPr>
          <w:fldChar w:fldCharType="separate"/>
        </w:r>
        <w:r w:rsidR="00D25A4E">
          <w:rPr>
            <w:noProof/>
          </w:rPr>
          <w:t>35</w:t>
        </w:r>
        <w:r w:rsidR="00061C1D">
          <w:rPr>
            <w:noProof/>
          </w:rPr>
          <w:fldChar w:fldCharType="end"/>
        </w:r>
      </w:hyperlink>
    </w:p>
    <w:p w14:paraId="1D5D7077" w14:textId="213246FA" w:rsidR="00061C1D" w:rsidRDefault="00000000" w:rsidP="370D7818">
      <w:pPr>
        <w:pStyle w:val="TOC2"/>
        <w:tabs>
          <w:tab w:val="right" w:leader="dot" w:pos="9345"/>
        </w:tabs>
        <w:rPr>
          <w:rFonts w:cstheme="minorBidi"/>
          <w:smallCaps/>
          <w:noProof/>
          <w:sz w:val="24"/>
          <w:szCs w:val="24"/>
          <w:lang w:eastAsia="en-GB"/>
        </w:rPr>
      </w:pPr>
      <w:hyperlink w:anchor="_Toc499225277">
        <w:r w:rsidR="370D7818" w:rsidRPr="370D7818">
          <w:rPr>
            <w:rStyle w:val="Hyperlink"/>
            <w:noProof/>
          </w:rPr>
          <w:t>4.10 Summary</w:t>
        </w:r>
        <w:r w:rsidR="00061C1D">
          <w:rPr>
            <w:noProof/>
          </w:rPr>
          <w:tab/>
        </w:r>
        <w:r w:rsidR="00061C1D">
          <w:rPr>
            <w:noProof/>
          </w:rPr>
          <w:fldChar w:fldCharType="begin"/>
        </w:r>
        <w:r w:rsidR="00061C1D">
          <w:rPr>
            <w:noProof/>
          </w:rPr>
          <w:instrText>PAGEREF _Toc499225277 \h</w:instrText>
        </w:r>
        <w:r w:rsidR="00061C1D">
          <w:rPr>
            <w:noProof/>
          </w:rPr>
        </w:r>
        <w:r w:rsidR="00061C1D">
          <w:rPr>
            <w:noProof/>
          </w:rPr>
          <w:fldChar w:fldCharType="separate"/>
        </w:r>
        <w:r w:rsidR="00D25A4E">
          <w:rPr>
            <w:noProof/>
          </w:rPr>
          <w:t>36</w:t>
        </w:r>
        <w:r w:rsidR="00061C1D">
          <w:rPr>
            <w:noProof/>
          </w:rPr>
          <w:fldChar w:fldCharType="end"/>
        </w:r>
      </w:hyperlink>
    </w:p>
    <w:p w14:paraId="24B036D6" w14:textId="4A9EC82A" w:rsidR="00061C1D" w:rsidRDefault="00000000" w:rsidP="370D7818">
      <w:pPr>
        <w:pStyle w:val="TOC2"/>
        <w:tabs>
          <w:tab w:val="right" w:leader="dot" w:pos="9345"/>
        </w:tabs>
        <w:rPr>
          <w:rFonts w:cstheme="minorBidi"/>
          <w:smallCaps/>
          <w:noProof/>
          <w:sz w:val="24"/>
          <w:szCs w:val="24"/>
          <w:lang w:eastAsia="en-GB"/>
        </w:rPr>
      </w:pPr>
      <w:hyperlink w:anchor="_Toc1643488410">
        <w:r w:rsidR="370D7818" w:rsidRPr="370D7818">
          <w:rPr>
            <w:rStyle w:val="Hyperlink"/>
            <w:noProof/>
          </w:rPr>
          <w:t>Chapter 5 Conclusion, Recommendation and Limitation of research</w:t>
        </w:r>
        <w:r w:rsidR="00061C1D">
          <w:rPr>
            <w:noProof/>
          </w:rPr>
          <w:tab/>
        </w:r>
        <w:r w:rsidR="00061C1D">
          <w:rPr>
            <w:noProof/>
          </w:rPr>
          <w:fldChar w:fldCharType="begin"/>
        </w:r>
        <w:r w:rsidR="00061C1D">
          <w:rPr>
            <w:noProof/>
          </w:rPr>
          <w:instrText>PAGEREF _Toc1643488410 \h</w:instrText>
        </w:r>
        <w:r w:rsidR="00061C1D">
          <w:rPr>
            <w:noProof/>
          </w:rPr>
        </w:r>
        <w:r w:rsidR="00061C1D">
          <w:rPr>
            <w:noProof/>
          </w:rPr>
          <w:fldChar w:fldCharType="separate"/>
        </w:r>
        <w:r w:rsidR="00D25A4E">
          <w:rPr>
            <w:noProof/>
          </w:rPr>
          <w:t>37</w:t>
        </w:r>
        <w:r w:rsidR="00061C1D">
          <w:rPr>
            <w:noProof/>
          </w:rPr>
          <w:fldChar w:fldCharType="end"/>
        </w:r>
      </w:hyperlink>
    </w:p>
    <w:p w14:paraId="17346CA9" w14:textId="3D60FB56" w:rsidR="00061C1D" w:rsidRDefault="00000000" w:rsidP="370D7818">
      <w:pPr>
        <w:pStyle w:val="TOC2"/>
        <w:tabs>
          <w:tab w:val="right" w:leader="dot" w:pos="9345"/>
        </w:tabs>
        <w:rPr>
          <w:rFonts w:cstheme="minorBidi"/>
          <w:smallCaps/>
          <w:noProof/>
          <w:sz w:val="24"/>
          <w:szCs w:val="24"/>
          <w:lang w:eastAsia="en-GB"/>
        </w:rPr>
      </w:pPr>
      <w:hyperlink w:anchor="_Toc599606518">
        <w:r w:rsidR="370D7818" w:rsidRPr="370D7818">
          <w:rPr>
            <w:rStyle w:val="Hyperlink"/>
            <w:noProof/>
          </w:rPr>
          <w:t>5.1 Introduction</w:t>
        </w:r>
        <w:r w:rsidR="00061C1D">
          <w:rPr>
            <w:noProof/>
          </w:rPr>
          <w:tab/>
        </w:r>
        <w:r w:rsidR="00061C1D">
          <w:rPr>
            <w:noProof/>
          </w:rPr>
          <w:fldChar w:fldCharType="begin"/>
        </w:r>
        <w:r w:rsidR="00061C1D">
          <w:rPr>
            <w:noProof/>
          </w:rPr>
          <w:instrText>PAGEREF _Toc599606518 \h</w:instrText>
        </w:r>
        <w:r w:rsidR="00061C1D">
          <w:rPr>
            <w:noProof/>
          </w:rPr>
        </w:r>
        <w:r w:rsidR="00061C1D">
          <w:rPr>
            <w:noProof/>
          </w:rPr>
          <w:fldChar w:fldCharType="separate"/>
        </w:r>
        <w:r w:rsidR="00D25A4E">
          <w:rPr>
            <w:noProof/>
          </w:rPr>
          <w:t>37</w:t>
        </w:r>
        <w:r w:rsidR="00061C1D">
          <w:rPr>
            <w:noProof/>
          </w:rPr>
          <w:fldChar w:fldCharType="end"/>
        </w:r>
      </w:hyperlink>
    </w:p>
    <w:p w14:paraId="51395CB8" w14:textId="3A49EE39" w:rsidR="00061C1D" w:rsidRDefault="00000000" w:rsidP="370D7818">
      <w:pPr>
        <w:pStyle w:val="TOC2"/>
        <w:tabs>
          <w:tab w:val="right" w:leader="dot" w:pos="9345"/>
        </w:tabs>
        <w:rPr>
          <w:rFonts w:cstheme="minorBidi"/>
          <w:smallCaps/>
          <w:noProof/>
          <w:sz w:val="24"/>
          <w:szCs w:val="24"/>
          <w:lang w:eastAsia="en-GB"/>
        </w:rPr>
      </w:pPr>
      <w:hyperlink w:anchor="_Toc210775746">
        <w:r w:rsidR="370D7818" w:rsidRPr="370D7818">
          <w:rPr>
            <w:rStyle w:val="Hyperlink"/>
            <w:noProof/>
          </w:rPr>
          <w:t>5.2 Summary of Key Findings</w:t>
        </w:r>
        <w:r w:rsidR="00061C1D">
          <w:rPr>
            <w:noProof/>
          </w:rPr>
          <w:tab/>
        </w:r>
        <w:r w:rsidR="00061C1D">
          <w:rPr>
            <w:noProof/>
          </w:rPr>
          <w:fldChar w:fldCharType="begin"/>
        </w:r>
        <w:r w:rsidR="00061C1D">
          <w:rPr>
            <w:noProof/>
          </w:rPr>
          <w:instrText>PAGEREF _Toc210775746 \h</w:instrText>
        </w:r>
        <w:r w:rsidR="00061C1D">
          <w:rPr>
            <w:noProof/>
          </w:rPr>
        </w:r>
        <w:r w:rsidR="00061C1D">
          <w:rPr>
            <w:noProof/>
          </w:rPr>
          <w:fldChar w:fldCharType="separate"/>
        </w:r>
        <w:r w:rsidR="00D25A4E">
          <w:rPr>
            <w:noProof/>
          </w:rPr>
          <w:t>37</w:t>
        </w:r>
        <w:r w:rsidR="00061C1D">
          <w:rPr>
            <w:noProof/>
          </w:rPr>
          <w:fldChar w:fldCharType="end"/>
        </w:r>
      </w:hyperlink>
    </w:p>
    <w:p w14:paraId="20A6EA12" w14:textId="4CCBABAC" w:rsidR="00061C1D" w:rsidRDefault="00000000" w:rsidP="370D7818">
      <w:pPr>
        <w:pStyle w:val="TOC2"/>
        <w:tabs>
          <w:tab w:val="right" w:leader="dot" w:pos="9345"/>
        </w:tabs>
        <w:rPr>
          <w:rFonts w:cstheme="minorBidi"/>
          <w:smallCaps/>
          <w:noProof/>
          <w:sz w:val="24"/>
          <w:szCs w:val="24"/>
          <w:lang w:eastAsia="en-GB"/>
        </w:rPr>
      </w:pPr>
      <w:hyperlink w:anchor="_Toc1243060112">
        <w:r w:rsidR="370D7818" w:rsidRPr="370D7818">
          <w:rPr>
            <w:rStyle w:val="Hyperlink"/>
            <w:noProof/>
          </w:rPr>
          <w:t>5.3 Recommendations</w:t>
        </w:r>
        <w:r w:rsidR="00061C1D">
          <w:rPr>
            <w:noProof/>
          </w:rPr>
          <w:tab/>
        </w:r>
        <w:r w:rsidR="00061C1D">
          <w:rPr>
            <w:noProof/>
          </w:rPr>
          <w:fldChar w:fldCharType="begin"/>
        </w:r>
        <w:r w:rsidR="00061C1D">
          <w:rPr>
            <w:noProof/>
          </w:rPr>
          <w:instrText>PAGEREF _Toc1243060112 \h</w:instrText>
        </w:r>
        <w:r w:rsidR="00061C1D">
          <w:rPr>
            <w:noProof/>
          </w:rPr>
        </w:r>
        <w:r w:rsidR="00061C1D">
          <w:rPr>
            <w:noProof/>
          </w:rPr>
          <w:fldChar w:fldCharType="separate"/>
        </w:r>
        <w:r w:rsidR="00D25A4E">
          <w:rPr>
            <w:noProof/>
          </w:rPr>
          <w:t>39</w:t>
        </w:r>
        <w:r w:rsidR="00061C1D">
          <w:rPr>
            <w:noProof/>
          </w:rPr>
          <w:fldChar w:fldCharType="end"/>
        </w:r>
      </w:hyperlink>
    </w:p>
    <w:p w14:paraId="3E6E653E" w14:textId="679EC5A8" w:rsidR="00061C1D" w:rsidRDefault="00000000" w:rsidP="370D7818">
      <w:pPr>
        <w:pStyle w:val="TOC2"/>
        <w:tabs>
          <w:tab w:val="right" w:leader="dot" w:pos="9345"/>
        </w:tabs>
        <w:rPr>
          <w:rFonts w:cstheme="minorBidi"/>
          <w:smallCaps/>
          <w:noProof/>
          <w:sz w:val="24"/>
          <w:szCs w:val="24"/>
          <w:lang w:eastAsia="en-GB"/>
        </w:rPr>
      </w:pPr>
      <w:hyperlink w:anchor="_Toc900669290">
        <w:r w:rsidR="370D7818" w:rsidRPr="370D7818">
          <w:rPr>
            <w:rStyle w:val="Hyperlink"/>
            <w:noProof/>
          </w:rPr>
          <w:t>5.4 Limitations</w:t>
        </w:r>
        <w:r w:rsidR="00061C1D">
          <w:rPr>
            <w:noProof/>
          </w:rPr>
          <w:tab/>
        </w:r>
        <w:r w:rsidR="00061C1D">
          <w:rPr>
            <w:noProof/>
          </w:rPr>
          <w:fldChar w:fldCharType="begin"/>
        </w:r>
        <w:r w:rsidR="00061C1D">
          <w:rPr>
            <w:noProof/>
          </w:rPr>
          <w:instrText>PAGEREF _Toc900669290 \h</w:instrText>
        </w:r>
        <w:r w:rsidR="00061C1D">
          <w:rPr>
            <w:noProof/>
          </w:rPr>
        </w:r>
        <w:r w:rsidR="00061C1D">
          <w:rPr>
            <w:noProof/>
          </w:rPr>
          <w:fldChar w:fldCharType="separate"/>
        </w:r>
        <w:r w:rsidR="00D25A4E">
          <w:rPr>
            <w:noProof/>
          </w:rPr>
          <w:t>40</w:t>
        </w:r>
        <w:r w:rsidR="00061C1D">
          <w:rPr>
            <w:noProof/>
          </w:rPr>
          <w:fldChar w:fldCharType="end"/>
        </w:r>
      </w:hyperlink>
    </w:p>
    <w:p w14:paraId="2C2ED7E9" w14:textId="226DFF4A" w:rsidR="00061C1D" w:rsidRDefault="00000000" w:rsidP="370D7818">
      <w:pPr>
        <w:pStyle w:val="TOC2"/>
        <w:tabs>
          <w:tab w:val="right" w:leader="dot" w:pos="9345"/>
        </w:tabs>
        <w:rPr>
          <w:rFonts w:cstheme="minorBidi"/>
          <w:smallCaps/>
          <w:noProof/>
          <w:sz w:val="24"/>
          <w:szCs w:val="24"/>
          <w:lang w:eastAsia="en-GB"/>
        </w:rPr>
      </w:pPr>
      <w:hyperlink w:anchor="_Toc1140966645">
        <w:r w:rsidR="370D7818" w:rsidRPr="370D7818">
          <w:rPr>
            <w:rStyle w:val="Hyperlink"/>
            <w:noProof/>
          </w:rPr>
          <w:t>5.5 Future Research</w:t>
        </w:r>
        <w:r w:rsidR="00061C1D">
          <w:rPr>
            <w:noProof/>
          </w:rPr>
          <w:tab/>
        </w:r>
        <w:r w:rsidR="00061C1D">
          <w:rPr>
            <w:noProof/>
          </w:rPr>
          <w:fldChar w:fldCharType="begin"/>
        </w:r>
        <w:r w:rsidR="00061C1D">
          <w:rPr>
            <w:noProof/>
          </w:rPr>
          <w:instrText>PAGEREF _Toc1140966645 \h</w:instrText>
        </w:r>
        <w:r w:rsidR="00061C1D">
          <w:rPr>
            <w:noProof/>
          </w:rPr>
        </w:r>
        <w:r w:rsidR="00061C1D">
          <w:rPr>
            <w:noProof/>
          </w:rPr>
          <w:fldChar w:fldCharType="separate"/>
        </w:r>
        <w:r w:rsidR="00D25A4E">
          <w:rPr>
            <w:noProof/>
          </w:rPr>
          <w:t>41</w:t>
        </w:r>
        <w:r w:rsidR="00061C1D">
          <w:rPr>
            <w:noProof/>
          </w:rPr>
          <w:fldChar w:fldCharType="end"/>
        </w:r>
      </w:hyperlink>
    </w:p>
    <w:p w14:paraId="1C1DDE10" w14:textId="6464F6BA" w:rsidR="00061C1D" w:rsidRDefault="00000000" w:rsidP="370D7818">
      <w:pPr>
        <w:pStyle w:val="TOC2"/>
        <w:tabs>
          <w:tab w:val="right" w:leader="dot" w:pos="9345"/>
        </w:tabs>
        <w:rPr>
          <w:rFonts w:cstheme="minorBidi"/>
          <w:smallCaps/>
          <w:noProof/>
          <w:sz w:val="24"/>
          <w:szCs w:val="24"/>
          <w:lang w:eastAsia="en-GB"/>
        </w:rPr>
      </w:pPr>
      <w:hyperlink w:anchor="_Toc1655279450">
        <w:r w:rsidR="370D7818" w:rsidRPr="370D7818">
          <w:rPr>
            <w:rStyle w:val="Hyperlink"/>
            <w:noProof/>
          </w:rPr>
          <w:t>5.6 Personal Reflection (Gibbs Reflective Cycle)</w:t>
        </w:r>
        <w:r w:rsidR="00061C1D">
          <w:rPr>
            <w:noProof/>
          </w:rPr>
          <w:tab/>
        </w:r>
        <w:r w:rsidR="00061C1D">
          <w:rPr>
            <w:noProof/>
          </w:rPr>
          <w:fldChar w:fldCharType="begin"/>
        </w:r>
        <w:r w:rsidR="00061C1D">
          <w:rPr>
            <w:noProof/>
          </w:rPr>
          <w:instrText>PAGEREF _Toc1655279450 \h</w:instrText>
        </w:r>
        <w:r w:rsidR="00061C1D">
          <w:rPr>
            <w:noProof/>
          </w:rPr>
        </w:r>
        <w:r w:rsidR="00061C1D">
          <w:rPr>
            <w:noProof/>
          </w:rPr>
          <w:fldChar w:fldCharType="separate"/>
        </w:r>
        <w:r w:rsidR="00D25A4E">
          <w:rPr>
            <w:noProof/>
          </w:rPr>
          <w:t>43</w:t>
        </w:r>
        <w:r w:rsidR="00061C1D">
          <w:rPr>
            <w:noProof/>
          </w:rPr>
          <w:fldChar w:fldCharType="end"/>
        </w:r>
      </w:hyperlink>
    </w:p>
    <w:p w14:paraId="40DCCC2D" w14:textId="2BFFC649" w:rsidR="00061C1D" w:rsidRDefault="00000000" w:rsidP="370D7818">
      <w:pPr>
        <w:pStyle w:val="TOC2"/>
        <w:tabs>
          <w:tab w:val="right" w:leader="dot" w:pos="9345"/>
        </w:tabs>
        <w:rPr>
          <w:rFonts w:cstheme="minorBidi"/>
          <w:smallCaps/>
          <w:noProof/>
          <w:sz w:val="24"/>
          <w:szCs w:val="24"/>
          <w:lang w:eastAsia="en-GB"/>
        </w:rPr>
      </w:pPr>
      <w:hyperlink w:anchor="_Toc609357029">
        <w:r w:rsidR="370D7818" w:rsidRPr="370D7818">
          <w:rPr>
            <w:rStyle w:val="Hyperlink"/>
            <w:noProof/>
          </w:rPr>
          <w:t>Poster Presentation</w:t>
        </w:r>
        <w:r w:rsidR="00061C1D">
          <w:rPr>
            <w:noProof/>
          </w:rPr>
          <w:tab/>
        </w:r>
        <w:r w:rsidR="00061C1D">
          <w:rPr>
            <w:noProof/>
          </w:rPr>
          <w:fldChar w:fldCharType="begin"/>
        </w:r>
        <w:r w:rsidR="00061C1D">
          <w:rPr>
            <w:noProof/>
          </w:rPr>
          <w:instrText>PAGEREF _Toc609357029 \h</w:instrText>
        </w:r>
        <w:r w:rsidR="00061C1D">
          <w:rPr>
            <w:noProof/>
          </w:rPr>
        </w:r>
        <w:r w:rsidR="00061C1D">
          <w:rPr>
            <w:noProof/>
          </w:rPr>
          <w:fldChar w:fldCharType="separate"/>
        </w:r>
        <w:r w:rsidR="00D25A4E">
          <w:rPr>
            <w:noProof/>
          </w:rPr>
          <w:t>46</w:t>
        </w:r>
        <w:r w:rsidR="00061C1D">
          <w:rPr>
            <w:noProof/>
          </w:rPr>
          <w:fldChar w:fldCharType="end"/>
        </w:r>
      </w:hyperlink>
    </w:p>
    <w:p w14:paraId="7191B54F" w14:textId="16E554FA" w:rsidR="00061C1D" w:rsidRDefault="00000000" w:rsidP="370D7818">
      <w:pPr>
        <w:pStyle w:val="TOC2"/>
        <w:tabs>
          <w:tab w:val="right" w:leader="dot" w:pos="9345"/>
        </w:tabs>
        <w:rPr>
          <w:rFonts w:cstheme="minorBidi"/>
          <w:smallCaps/>
          <w:noProof/>
          <w:sz w:val="24"/>
          <w:szCs w:val="24"/>
          <w:lang w:eastAsia="en-GB"/>
        </w:rPr>
      </w:pPr>
      <w:hyperlink w:anchor="_Toc1412690050">
        <w:r w:rsidR="370D7818" w:rsidRPr="370D7818">
          <w:rPr>
            <w:rStyle w:val="Hyperlink"/>
            <w:noProof/>
          </w:rPr>
          <w:t>References</w:t>
        </w:r>
        <w:r w:rsidR="00061C1D">
          <w:rPr>
            <w:noProof/>
          </w:rPr>
          <w:tab/>
        </w:r>
        <w:r w:rsidR="00061C1D">
          <w:rPr>
            <w:noProof/>
          </w:rPr>
          <w:fldChar w:fldCharType="begin"/>
        </w:r>
        <w:r w:rsidR="00061C1D">
          <w:rPr>
            <w:noProof/>
          </w:rPr>
          <w:instrText>PAGEREF _Toc1412690050 \h</w:instrText>
        </w:r>
        <w:r w:rsidR="00061C1D">
          <w:rPr>
            <w:noProof/>
          </w:rPr>
        </w:r>
        <w:r w:rsidR="00061C1D">
          <w:rPr>
            <w:noProof/>
          </w:rPr>
          <w:fldChar w:fldCharType="separate"/>
        </w:r>
        <w:r w:rsidR="00D25A4E">
          <w:rPr>
            <w:noProof/>
          </w:rPr>
          <w:t>48</w:t>
        </w:r>
        <w:r w:rsidR="00061C1D">
          <w:rPr>
            <w:noProof/>
          </w:rPr>
          <w:fldChar w:fldCharType="end"/>
        </w:r>
      </w:hyperlink>
    </w:p>
    <w:p w14:paraId="7DE5852A" w14:textId="68984A62" w:rsidR="00061C1D" w:rsidRDefault="00000000" w:rsidP="370D7818">
      <w:pPr>
        <w:pStyle w:val="TOC2"/>
        <w:tabs>
          <w:tab w:val="right" w:leader="dot" w:pos="9345"/>
        </w:tabs>
        <w:rPr>
          <w:rFonts w:cstheme="minorBidi"/>
          <w:smallCaps/>
          <w:noProof/>
          <w:sz w:val="24"/>
          <w:szCs w:val="24"/>
          <w:lang w:eastAsia="en-GB"/>
        </w:rPr>
      </w:pPr>
      <w:hyperlink w:anchor="_Toc1059274548">
        <w:r w:rsidR="370D7818" w:rsidRPr="370D7818">
          <w:rPr>
            <w:rStyle w:val="Hyperlink"/>
            <w:noProof/>
          </w:rPr>
          <w:t>Appendix 1 Ethical form</w:t>
        </w:r>
        <w:r w:rsidR="00061C1D">
          <w:rPr>
            <w:noProof/>
          </w:rPr>
          <w:tab/>
        </w:r>
        <w:r w:rsidR="00061C1D">
          <w:rPr>
            <w:noProof/>
          </w:rPr>
          <w:fldChar w:fldCharType="begin"/>
        </w:r>
        <w:r w:rsidR="00061C1D">
          <w:rPr>
            <w:noProof/>
          </w:rPr>
          <w:instrText>PAGEREF _Toc1059274548 \h</w:instrText>
        </w:r>
        <w:r w:rsidR="00061C1D">
          <w:rPr>
            <w:noProof/>
          </w:rPr>
        </w:r>
        <w:r w:rsidR="00061C1D">
          <w:rPr>
            <w:noProof/>
          </w:rPr>
          <w:fldChar w:fldCharType="separate"/>
        </w:r>
        <w:r w:rsidR="00D25A4E">
          <w:rPr>
            <w:noProof/>
          </w:rPr>
          <w:t>53</w:t>
        </w:r>
        <w:r w:rsidR="00061C1D">
          <w:rPr>
            <w:noProof/>
          </w:rPr>
          <w:fldChar w:fldCharType="end"/>
        </w:r>
      </w:hyperlink>
    </w:p>
    <w:p w14:paraId="3DF26FF2" w14:textId="6932AAFE" w:rsidR="00AD68E2" w:rsidRDefault="00ED3BED" w:rsidP="000610B6">
      <w:pPr>
        <w:pStyle w:val="NormalWeb"/>
        <w:spacing w:line="480" w:lineRule="auto"/>
        <w:rPr>
          <w:rFonts w:ascii="Arial" w:hAnsi="Arial" w:cs="Arial"/>
          <w:b/>
          <w:bCs/>
          <w:sz w:val="22"/>
          <w:szCs w:val="22"/>
        </w:rPr>
      </w:pPr>
      <w:r>
        <w:rPr>
          <w:rFonts w:ascii="Arial" w:eastAsiaTheme="minorEastAsia" w:hAnsi="Arial" w:cs="Arial"/>
          <w:b/>
          <w:bCs/>
          <w:smallCaps/>
          <w:sz w:val="22"/>
          <w:szCs w:val="22"/>
          <w:lang w:val="en-US" w:eastAsia="ja-JP"/>
        </w:rPr>
        <w:fldChar w:fldCharType="end"/>
      </w:r>
    </w:p>
    <w:p w14:paraId="36311292" w14:textId="77777777" w:rsidR="00AD68E2" w:rsidRDefault="00AD68E2" w:rsidP="000610B6">
      <w:pPr>
        <w:pStyle w:val="NormalWeb"/>
        <w:spacing w:line="480" w:lineRule="auto"/>
        <w:rPr>
          <w:rFonts w:ascii="Arial" w:hAnsi="Arial" w:cs="Arial"/>
          <w:b/>
          <w:bCs/>
          <w:sz w:val="22"/>
          <w:szCs w:val="22"/>
        </w:rPr>
      </w:pPr>
    </w:p>
    <w:p w14:paraId="7BADC5A0" w14:textId="1528628E" w:rsidR="01320B32" w:rsidRDefault="01320B32" w:rsidP="01320B32">
      <w:pPr>
        <w:pStyle w:val="Heading2"/>
      </w:pPr>
    </w:p>
    <w:p w14:paraId="0568A448" w14:textId="3EFF24F2" w:rsidR="4992B041" w:rsidRPr="00930C51" w:rsidRDefault="4AA27400" w:rsidP="00472D57">
      <w:pPr>
        <w:pStyle w:val="Heading2"/>
      </w:pPr>
      <w:bookmarkStart w:id="0" w:name="_Toc228398765"/>
      <w:bookmarkStart w:id="1" w:name="_Toc307243757"/>
      <w:bookmarkStart w:id="2" w:name="_Toc667188343"/>
      <w:bookmarkStart w:id="3" w:name="_Toc1175778409"/>
      <w:bookmarkStart w:id="4" w:name="_Toc1154935439"/>
      <w:r>
        <w:t>Chapter 1 Introduction</w:t>
      </w:r>
      <w:bookmarkEnd w:id="0"/>
      <w:bookmarkEnd w:id="1"/>
      <w:bookmarkEnd w:id="2"/>
      <w:bookmarkEnd w:id="3"/>
      <w:bookmarkEnd w:id="4"/>
    </w:p>
    <w:p w14:paraId="0DBF174D" w14:textId="19B420E4" w:rsidR="4992B041" w:rsidRPr="00930C51" w:rsidRDefault="26753F70" w:rsidP="00472D57">
      <w:pPr>
        <w:pStyle w:val="Heading2"/>
      </w:pPr>
      <w:bookmarkStart w:id="5" w:name="_Toc228398766"/>
      <w:bookmarkStart w:id="6" w:name="_Toc176246468"/>
      <w:bookmarkStart w:id="7" w:name="_Toc796296660"/>
      <w:bookmarkStart w:id="8" w:name="_Toc115851367"/>
      <w:bookmarkStart w:id="9" w:name="_Toc1128255900"/>
      <w:r>
        <w:t>1.1 Background of the Study</w:t>
      </w:r>
      <w:bookmarkEnd w:id="5"/>
      <w:bookmarkEnd w:id="6"/>
      <w:bookmarkEnd w:id="7"/>
      <w:bookmarkEnd w:id="8"/>
      <w:bookmarkEnd w:id="9"/>
    </w:p>
    <w:p w14:paraId="5B068ED1" w14:textId="756146A0" w:rsidR="4992B041" w:rsidRDefault="29C311B5" w:rsidP="77DF9B16">
      <w:pPr>
        <w:spacing w:before="240" w:after="240" w:line="480" w:lineRule="auto"/>
      </w:pPr>
      <w:r w:rsidRPr="36385224">
        <w:rPr>
          <w:rFonts w:ascii="Arial Nova" w:eastAsia="Arial Nova" w:hAnsi="Arial Nova" w:cs="Arial Nova"/>
          <w:sz w:val="20"/>
          <w:szCs w:val="20"/>
        </w:rPr>
        <w:t>Customer experience has become a central strategic priority within the airline industry, as passengers increasingly expect reliable, efficient, and consistent service across all stages of their journey, including booking, check-in, airport procedures, in-flight experience, and communication during disruptions (Wirtz and Lovelock, 2021). In the post-COVID-19 context, the importance of these expectations has intensified. According to EUROCONTROL (2024), European aviation has experienced steady recovery in air traffic, alongside a renewed emphasis by airlines and airports on improving service standards to rebuild passenger confidence. For a global carrier such as Turkish Airlines, understanding how passengers evaluate their experiences is therefore essential for maintaining competitiveness and encouraging long-term loyalty.</w:t>
      </w:r>
    </w:p>
    <w:p w14:paraId="79EB7161" w14:textId="1650A262" w:rsidR="4992B041" w:rsidRDefault="485C3D7B" w:rsidP="2E4158E0">
      <w:pPr>
        <w:spacing w:before="240" w:after="240" w:line="480" w:lineRule="auto"/>
      </w:pPr>
      <w:r w:rsidRPr="2E4158E0">
        <w:rPr>
          <w:rFonts w:ascii="Arial Nova" w:eastAsia="Arial Nova" w:hAnsi="Arial Nova" w:cs="Arial Nova"/>
          <w:sz w:val="20"/>
          <w:szCs w:val="20"/>
        </w:rPr>
        <w:t>At the same time, the airline industry has undergone significant structural change over the past two decades, driven by increasing global competition, the expansion of low-cost carriers, and the growing diversity of passenger expectations. Full-service carriers can no longer rely solely on price or route availability to retain customers. Instead, the overall quality of the passenger journey — from initial booking through to post-flight interaction — has become a key factor influencing repeat travel behaviour. Wirtz and Lovelock (2021, pp. 38–52) argue that customer experience is formed across multiple service touchpoints, with each interaction contributing to the passenger’s overall perception of the airline. However, this perspective may overlook the fact that passenger expectations are not uniform, as they can vary depending on factors such as travel purpose, cultural background, and previous experiences. For Turkish Airlines, which operates across more than 120 countries, delivering a consistent and high-quality experience across such diverse contexts presents both a strategic challenge and a critical opportunity.</w:t>
      </w:r>
    </w:p>
    <w:p w14:paraId="42E67092" w14:textId="02DEEEE0" w:rsidR="4992B041" w:rsidRPr="00930C51" w:rsidRDefault="485C3D7B" w:rsidP="2E4158E0">
      <w:pPr>
        <w:pStyle w:val="Heading2"/>
        <w:spacing w:before="299" w:after="299" w:line="480" w:lineRule="auto"/>
        <w:rPr>
          <w:rFonts w:ascii="Arial Nova" w:eastAsia="Arial Nova" w:hAnsi="Arial Nova" w:cs="Arial Nova"/>
        </w:rPr>
      </w:pPr>
      <w:bookmarkStart w:id="10" w:name="_Toc228398767"/>
      <w:bookmarkStart w:id="11" w:name="_Toc1673609811"/>
      <w:bookmarkStart w:id="12" w:name="_Toc932642549"/>
      <w:bookmarkStart w:id="13" w:name="_Toc789021977"/>
      <w:bookmarkStart w:id="14" w:name="_Toc1237781402"/>
      <w:r w:rsidRPr="370D7818">
        <w:rPr>
          <w:rFonts w:ascii="Arial Nova" w:eastAsia="Arial Nova" w:hAnsi="Arial Nova" w:cs="Arial Nova"/>
        </w:rPr>
        <w:lastRenderedPageBreak/>
        <w:t>1.2 Description of the Business Issue</w:t>
      </w:r>
      <w:bookmarkEnd w:id="10"/>
      <w:bookmarkEnd w:id="11"/>
      <w:bookmarkEnd w:id="12"/>
      <w:bookmarkEnd w:id="13"/>
      <w:bookmarkEnd w:id="14"/>
    </w:p>
    <w:p w14:paraId="04BC92DD" w14:textId="2D284D44" w:rsidR="4992B041" w:rsidRDefault="485C3D7B" w:rsidP="2E4158E0">
      <w:pPr>
        <w:spacing w:before="240" w:after="240" w:line="480" w:lineRule="auto"/>
      </w:pPr>
      <w:r w:rsidRPr="2E4158E0">
        <w:rPr>
          <w:rFonts w:ascii="Arial Nova" w:eastAsia="Arial Nova" w:hAnsi="Arial Nova" w:cs="Arial Nova"/>
          <w:sz w:val="20"/>
          <w:szCs w:val="20"/>
        </w:rPr>
        <w:t>Despite its strong global presence, Turkish Airlines faces ongoing challenges in maintaining long-term passenger loyalty within a highly competitive market. The availability of alternative airlines offering similar routes and pricing means that passengers can switch carriers with relative ease, making loyalty increasingly dependent on customer experience rather than structural constraints (Kotler, Bowen and Makens, 2016).</w:t>
      </w:r>
    </w:p>
    <w:p w14:paraId="528978BA" w14:textId="5F121E66" w:rsidR="4992B041" w:rsidRDefault="485C3D7B" w:rsidP="2E4158E0">
      <w:pPr>
        <w:spacing w:before="240" w:after="240" w:line="480" w:lineRule="auto"/>
      </w:pPr>
      <w:r w:rsidRPr="2E4158E0">
        <w:rPr>
          <w:rFonts w:ascii="Arial Nova" w:eastAsia="Arial Nova" w:hAnsi="Arial Nova" w:cs="Arial Nova"/>
          <w:sz w:val="20"/>
          <w:szCs w:val="20"/>
        </w:rPr>
        <w:t>Passenger feedback platforms indicate that service-related issues — including delays, ineffective communication, inconsistent in-flight standards, and reduced comfort — can negatively affect customer perceptions and lead to switching behaviour (Skytrax, 2023). While these issues are common across the airline industry, their impact on loyalty highlights the importance of understanding which aspects of the customer experience matter most to passengers. However, it remains unclear which specific elements of the passenger journey have the greatest influence on loyalty outcomes, suggesting a gap in both academic research and practical understanding.</w:t>
      </w:r>
    </w:p>
    <w:p w14:paraId="4BD41D8F" w14:textId="1B4BAD9A" w:rsidR="4992B041" w:rsidRDefault="485C3D7B" w:rsidP="2E4158E0">
      <w:pPr>
        <w:spacing w:before="240" w:after="240" w:line="480" w:lineRule="auto"/>
      </w:pPr>
      <w:r w:rsidRPr="36385224">
        <w:rPr>
          <w:rFonts w:ascii="Arial Nova" w:eastAsia="Arial Nova" w:hAnsi="Arial Nova" w:cs="Arial Nova"/>
          <w:sz w:val="20"/>
          <w:szCs w:val="20"/>
        </w:rPr>
        <w:t>This business issue is therefore not limited to operational performance but extends to strategic customer retention. In a low-switching-cost environment, even minor service failures can result in lost customers. Kotler, Bowen and Makens (2016, pp. 152–155) argue that higher levels of customer satisfaction reduce switching behaviour and enhance long-term customer value. However, in the airline industry, where competition is intense and alternatives are readily available, maintaining loyalty requires continuous improvement of the overall customer experience rather than isolated service enhancements.</w:t>
      </w:r>
    </w:p>
    <w:p w14:paraId="1C8F6D2F" w14:textId="4649884C" w:rsidR="4992B041" w:rsidRPr="00930C51" w:rsidRDefault="4992B041" w:rsidP="36385224">
      <w:pPr>
        <w:pStyle w:val="Heading2"/>
        <w:spacing w:before="299" w:after="299" w:line="480" w:lineRule="auto"/>
        <w:rPr>
          <w:rFonts w:ascii="Arial Nova" w:eastAsia="Arial Nova" w:hAnsi="Arial Nova" w:cs="Arial Nova"/>
        </w:rPr>
      </w:pPr>
    </w:p>
    <w:p w14:paraId="272336E0" w14:textId="159ED965" w:rsidR="59CD09D6" w:rsidRDefault="59CD09D6" w:rsidP="59CD09D6">
      <w:pPr>
        <w:spacing w:before="299" w:after="299" w:line="480" w:lineRule="auto"/>
      </w:pPr>
    </w:p>
    <w:p w14:paraId="14CE6229" w14:textId="1FFB0F1F" w:rsidR="59CD09D6" w:rsidRDefault="59CD09D6" w:rsidP="59CD09D6">
      <w:pPr>
        <w:spacing w:before="299" w:after="299" w:line="480" w:lineRule="auto"/>
      </w:pPr>
    </w:p>
    <w:p w14:paraId="6BBF6D44" w14:textId="7C55BFC4" w:rsidR="4992B041" w:rsidRPr="00930C51" w:rsidRDefault="485C3D7B" w:rsidP="59CD09D6">
      <w:pPr>
        <w:pStyle w:val="Heading2"/>
        <w:rPr>
          <w:rFonts w:ascii="Arial Nova" w:eastAsia="Arial Nova" w:hAnsi="Arial Nova" w:cs="Arial Nova"/>
        </w:rPr>
      </w:pPr>
      <w:bookmarkStart w:id="15" w:name="_Toc228398768"/>
      <w:bookmarkStart w:id="16" w:name="_Toc2075981028"/>
      <w:bookmarkStart w:id="17" w:name="_Toc2053841285"/>
      <w:bookmarkStart w:id="18" w:name="_Toc1507428054"/>
      <w:bookmarkStart w:id="19" w:name="_Toc2132255205"/>
      <w:r>
        <w:lastRenderedPageBreak/>
        <w:t>1.3 Rationale for Researching Customer Experience and Loyalty</w:t>
      </w:r>
      <w:bookmarkEnd w:id="15"/>
      <w:bookmarkEnd w:id="16"/>
      <w:bookmarkEnd w:id="17"/>
      <w:bookmarkEnd w:id="18"/>
      <w:bookmarkEnd w:id="19"/>
    </w:p>
    <w:p w14:paraId="42D71A66" w14:textId="224DC035" w:rsidR="0A9A8BEE" w:rsidRDefault="0A9A8BEE" w:rsidP="36385224">
      <w:pPr>
        <w:spacing w:before="240" w:after="240" w:line="480" w:lineRule="auto"/>
      </w:pPr>
      <w:r w:rsidRPr="36385224">
        <w:rPr>
          <w:rFonts w:ascii="Arial Nova" w:eastAsia="Arial Nova" w:hAnsi="Arial Nova" w:cs="Arial Nova"/>
          <w:sz w:val="20"/>
          <w:szCs w:val="20"/>
        </w:rPr>
        <w:t>Examining the relationship between customer experience and loyalty is significant from both practical and academic perspectives. From a practical viewpoint, loyal passengers contribute to repeat business, favourable word-of-mouth, and lower customer acquisition costs. In recent years, airlines have placed increasing emphasis on enhancing service quality as a means of improving customer retention. Market data indicates that post-pandemic travellers attach greater importance to factors such as reliability, comfort, and effective communication when choosing airlines (Statista, 2023). For Turkish Airlines, determining which elements of the customer experience have the greatest impact on loyalty can support more focused service enhancements and more effective allocation of resources.</w:t>
      </w:r>
    </w:p>
    <w:p w14:paraId="5DCB8BA9" w14:textId="40CAB388" w:rsidR="4992B041" w:rsidRDefault="485C3D7B" w:rsidP="2E4158E0">
      <w:pPr>
        <w:spacing w:before="240" w:after="240" w:line="480" w:lineRule="auto"/>
      </w:pPr>
      <w:r w:rsidRPr="2E4158E0">
        <w:rPr>
          <w:rFonts w:ascii="Arial Nova" w:eastAsia="Arial Nova" w:hAnsi="Arial Nova" w:cs="Arial Nova"/>
          <w:sz w:val="20"/>
          <w:szCs w:val="20"/>
        </w:rPr>
        <w:t>From an academic perspective, the relationship between customer experience, satisfaction, and loyalty has been widely explored within services marketing literature. Zeithaml, Bitner and Gremler (2020, pp. 60–65) propose that customer satisfaction acts as a mediating factor between service experience and loyalty behaviours. However, this relationship may not always be straightforward in the airline industry, where external factors such as pricing, flight availability, and time constraints can significantly influence passenger decisions independently of their service experience (Oliver, 2020). This suggests that existing theoretical models may oversimplify the complexity of customer behaviour in this context.</w:t>
      </w:r>
    </w:p>
    <w:p w14:paraId="77C538CA" w14:textId="6FB129DA" w:rsidR="4992B041" w:rsidRDefault="485C3D7B" w:rsidP="2E4158E0">
      <w:pPr>
        <w:spacing w:before="240" w:after="240" w:line="480" w:lineRule="auto"/>
      </w:pPr>
      <w:r w:rsidRPr="2E4158E0">
        <w:rPr>
          <w:rFonts w:ascii="Arial Nova" w:eastAsia="Arial Nova" w:hAnsi="Arial Nova" w:cs="Arial Nova"/>
          <w:sz w:val="20"/>
          <w:szCs w:val="20"/>
        </w:rPr>
        <w:t xml:space="preserve">Furthermore, much of the existing research focuses either on low-cost carriers or on the airline </w:t>
      </w:r>
      <w:proofErr w:type="gramStart"/>
      <w:r w:rsidRPr="2E4158E0">
        <w:rPr>
          <w:rFonts w:ascii="Arial Nova" w:eastAsia="Arial Nova" w:hAnsi="Arial Nova" w:cs="Arial Nova"/>
          <w:sz w:val="20"/>
          <w:szCs w:val="20"/>
        </w:rPr>
        <w:t>industry as a whole, with</w:t>
      </w:r>
      <w:proofErr w:type="gramEnd"/>
      <w:r w:rsidRPr="2E4158E0">
        <w:rPr>
          <w:rFonts w:ascii="Arial Nova" w:eastAsia="Arial Nova" w:hAnsi="Arial Nova" w:cs="Arial Nova"/>
          <w:sz w:val="20"/>
          <w:szCs w:val="20"/>
        </w:rPr>
        <w:t xml:space="preserve"> limited attention given to full-service international airlines such as Turkish Airlines. This represents a gap in the literature, as full-service carriers operate within a more complex service environment involving multiple touchpoints and higher passenger expectations. By applying established theoretical frameworks to the specific context of Turkish Airlines, this study seeks to provide a more nuanced and contextually relevant understanding of how customer experience influences passenger loyalty.</w:t>
      </w:r>
    </w:p>
    <w:p w14:paraId="0CA14EBB" w14:textId="00423D01" w:rsidR="4992B041" w:rsidRPr="00930C51" w:rsidRDefault="485C3D7B" w:rsidP="59CD09D6">
      <w:pPr>
        <w:pStyle w:val="Heading2"/>
        <w:spacing w:before="299" w:after="299" w:line="480" w:lineRule="auto"/>
        <w:rPr>
          <w:rFonts w:ascii="Arial Nova" w:eastAsia="Arial Nova" w:hAnsi="Arial Nova" w:cs="Arial Nova"/>
        </w:rPr>
      </w:pPr>
      <w:bookmarkStart w:id="20" w:name="_Toc228398769"/>
      <w:bookmarkStart w:id="21" w:name="_Toc431492373"/>
      <w:bookmarkStart w:id="22" w:name="_Toc1062341025"/>
      <w:bookmarkStart w:id="23" w:name="_Toc385472589"/>
      <w:bookmarkStart w:id="24" w:name="_Toc1400218095"/>
      <w:r w:rsidRPr="370D7818">
        <w:rPr>
          <w:rFonts w:ascii="Arial Nova" w:eastAsia="Arial Nova" w:hAnsi="Arial Nova" w:cs="Arial Nova"/>
        </w:rPr>
        <w:lastRenderedPageBreak/>
        <w:t>1.4 Motivation and Significance of the Study</w:t>
      </w:r>
      <w:bookmarkEnd w:id="20"/>
      <w:bookmarkEnd w:id="21"/>
      <w:bookmarkEnd w:id="22"/>
      <w:bookmarkEnd w:id="23"/>
      <w:bookmarkEnd w:id="24"/>
    </w:p>
    <w:p w14:paraId="76911EE6" w14:textId="670F3BDC" w:rsidR="4992B041" w:rsidRDefault="485C3D7B" w:rsidP="2E4158E0">
      <w:pPr>
        <w:spacing w:before="240" w:after="240" w:line="480" w:lineRule="auto"/>
      </w:pPr>
      <w:r w:rsidRPr="2E4158E0">
        <w:rPr>
          <w:rFonts w:ascii="Arial Nova" w:eastAsia="Arial Nova" w:hAnsi="Arial Nova" w:cs="Arial Nova"/>
          <w:sz w:val="20"/>
          <w:szCs w:val="20"/>
        </w:rPr>
        <w:t>The motivation for this study arises from the recognition that passengers are central to airline performance, yet their experiences are not always fully examined in a context-specific manner. Passengers engage with the airline at multiple stages of their journey, forming both functional evaluations (such as efficiency and reliability) and emotional responses (such as perceptions of care and professionalism). These combined experiences play a significant role in determining whether passengers choose to travel with the same airline again (Oliver, 2020).</w:t>
      </w:r>
    </w:p>
    <w:p w14:paraId="058488E7" w14:textId="28038248" w:rsidR="4992B041" w:rsidRDefault="485C3D7B" w:rsidP="2E4158E0">
      <w:pPr>
        <w:spacing w:before="240" w:after="240" w:line="480" w:lineRule="auto"/>
      </w:pPr>
      <w:r w:rsidRPr="2E4158E0">
        <w:rPr>
          <w:rFonts w:ascii="Arial Nova" w:eastAsia="Arial Nova" w:hAnsi="Arial Nova" w:cs="Arial Nova"/>
          <w:sz w:val="20"/>
          <w:szCs w:val="20"/>
        </w:rPr>
        <w:t>The significance of this study lies in its contribution to both academic knowledge and managerial practice. From a theoretical perspective, the study contributes to ongoing discussions regarding the relationship between service quality, satisfaction, and loyalty. Oliver (2020, pp. 22–28) suggests that loyalty develops over time through repeated positive experiences. However, in highly competitive industries such as aviation, loyalty may be less stable than this model suggests, as passengers are frequently influenced by alternative options and pricing considerations.</w:t>
      </w:r>
    </w:p>
    <w:p w14:paraId="293F62E3" w14:textId="6D5356AB" w:rsidR="4992B041" w:rsidRDefault="485C3D7B" w:rsidP="2E4158E0">
      <w:pPr>
        <w:spacing w:before="240" w:after="240" w:line="480" w:lineRule="auto"/>
      </w:pPr>
      <w:r w:rsidRPr="36385224">
        <w:rPr>
          <w:rFonts w:ascii="Arial Nova" w:eastAsia="Arial Nova" w:hAnsi="Arial Nova" w:cs="Arial Nova"/>
          <w:sz w:val="20"/>
          <w:szCs w:val="20"/>
        </w:rPr>
        <w:t>From a practical perspective, the findings of this study are relevant to airline managers and decision-makers. By identifying the key drivers of passenger loyalty, Turkish Airlines can better prioritise service improvements, enhance customer experience strategies, and strengthen long-term customer retention. However, it should be recognised that implementing such improvements may involve financial and operational challenges, which need to be considered when applying the findings.</w:t>
      </w:r>
    </w:p>
    <w:p w14:paraId="563E5868" w14:textId="16E1BF3D" w:rsidR="36385224" w:rsidRDefault="36385224" w:rsidP="36385224">
      <w:pPr>
        <w:pStyle w:val="Heading2"/>
        <w:rPr>
          <w:rFonts w:ascii="Arial Nova" w:eastAsia="Arial Nova" w:hAnsi="Arial Nova" w:cs="Arial Nova"/>
        </w:rPr>
      </w:pPr>
    </w:p>
    <w:p w14:paraId="69B95825" w14:textId="57DD6D62" w:rsidR="59CD09D6" w:rsidRDefault="59CD09D6" w:rsidP="59CD09D6">
      <w:pPr>
        <w:pStyle w:val="Heading2"/>
        <w:spacing w:before="299" w:after="299" w:line="480" w:lineRule="auto"/>
        <w:rPr>
          <w:rFonts w:ascii="Arial Nova" w:eastAsia="Arial Nova" w:hAnsi="Arial Nova" w:cs="Arial Nova"/>
        </w:rPr>
      </w:pPr>
    </w:p>
    <w:p w14:paraId="37D10AE2" w14:textId="0DE2F40D" w:rsidR="59CD09D6" w:rsidRDefault="59CD09D6" w:rsidP="59CD09D6"/>
    <w:p w14:paraId="0929522A" w14:textId="36F0A27D" w:rsidR="59CD09D6" w:rsidRDefault="59CD09D6" w:rsidP="59CD09D6"/>
    <w:p w14:paraId="00B8CB79" w14:textId="5AC17A4D" w:rsidR="4992B041" w:rsidRPr="00930C51" w:rsidRDefault="485C3D7B" w:rsidP="59CD09D6">
      <w:pPr>
        <w:pStyle w:val="Heading2"/>
      </w:pPr>
      <w:bookmarkStart w:id="25" w:name="_Toc228398770"/>
      <w:bookmarkStart w:id="26" w:name="_Toc379355540"/>
      <w:bookmarkStart w:id="27" w:name="_Toc770986957"/>
      <w:bookmarkStart w:id="28" w:name="_Toc435932336"/>
      <w:bookmarkStart w:id="29" w:name="_Toc1495262623"/>
      <w:r>
        <w:lastRenderedPageBreak/>
        <w:t>1.5 Need for the Study and Scope</w:t>
      </w:r>
      <w:bookmarkEnd w:id="25"/>
      <w:bookmarkEnd w:id="26"/>
      <w:bookmarkEnd w:id="27"/>
      <w:bookmarkEnd w:id="28"/>
      <w:bookmarkEnd w:id="29"/>
    </w:p>
    <w:p w14:paraId="2AAD9493" w14:textId="32BA04E9" w:rsidR="4992B041" w:rsidRDefault="485C3D7B" w:rsidP="2E4158E0">
      <w:pPr>
        <w:spacing w:before="240" w:after="240" w:line="480" w:lineRule="auto"/>
      </w:pPr>
      <w:r w:rsidRPr="2E4158E0">
        <w:rPr>
          <w:rFonts w:ascii="Arial Nova" w:eastAsia="Arial Nova" w:hAnsi="Arial Nova" w:cs="Arial Nova"/>
          <w:sz w:val="20"/>
          <w:szCs w:val="20"/>
        </w:rPr>
        <w:t>The need for this study arises from the combination of increasing competition within the airline industry, the recognised importance of customer experience in shaping loyalty, and the limited availability of research focused specifically on Turkish Airlines. While previous studies have explored customer experience and loyalty more broadly, there is a lack of research that examines how these concepts interact within the context of a full-service international airline.</w:t>
      </w:r>
    </w:p>
    <w:p w14:paraId="733F95FE" w14:textId="68047C03" w:rsidR="4992B041" w:rsidRDefault="485C3D7B" w:rsidP="2E4158E0">
      <w:pPr>
        <w:spacing w:before="240" w:after="240" w:line="480" w:lineRule="auto"/>
      </w:pPr>
      <w:r w:rsidRPr="2E4158E0">
        <w:rPr>
          <w:rFonts w:ascii="Arial Nova" w:eastAsia="Arial Nova" w:hAnsi="Arial Nova" w:cs="Arial Nova"/>
          <w:sz w:val="20"/>
          <w:szCs w:val="20"/>
        </w:rPr>
        <w:t>The scope of this study covers the full passenger journey, including pre-flight, in-flight, and post-flight experiences. This includes booking processes, airport interactions, in-flight service delivery, and post-flight customer service. Each of these stages represents a point at which customer perceptions can be influenced, ultimately affecting loyalty outcomes.</w:t>
      </w:r>
    </w:p>
    <w:p w14:paraId="0BF7A0E1" w14:textId="14108663" w:rsidR="4992B041" w:rsidRDefault="485C3D7B" w:rsidP="2E4158E0">
      <w:pPr>
        <w:spacing w:before="240" w:after="240" w:line="480" w:lineRule="auto"/>
      </w:pPr>
      <w:r w:rsidRPr="2E4158E0">
        <w:rPr>
          <w:rFonts w:ascii="Arial Nova" w:eastAsia="Arial Nova" w:hAnsi="Arial Nova" w:cs="Arial Nova"/>
          <w:sz w:val="20"/>
          <w:szCs w:val="20"/>
        </w:rPr>
        <w:t>This study adopts a conceptual approach based on secondary data sources, including academic literature, textbooks, and industry reports. While this allows for a comprehensive review of existing knowledge, it may limit the ability to capture real-time passenger experiences. This limitation should be considered when interpreting the findings, although the use of multiple credible sources supports the overall reliability of the analysis.</w:t>
      </w:r>
    </w:p>
    <w:p w14:paraId="4EAD0F02" w14:textId="12A92B50" w:rsidR="4992B041" w:rsidRDefault="4992B041" w:rsidP="48250ECE"/>
    <w:p w14:paraId="5BFD43EA" w14:textId="4CBBDD29" w:rsidR="4992B041" w:rsidRPr="00930C51" w:rsidRDefault="485C3D7B" w:rsidP="2E4158E0">
      <w:pPr>
        <w:pStyle w:val="Heading2"/>
        <w:spacing w:before="299" w:after="299" w:line="480" w:lineRule="auto"/>
        <w:rPr>
          <w:rFonts w:ascii="Arial Nova" w:eastAsia="Arial Nova" w:hAnsi="Arial Nova" w:cs="Arial Nova"/>
          <w:color w:val="FF0000"/>
        </w:rPr>
      </w:pPr>
      <w:bookmarkStart w:id="30" w:name="_Toc228398771"/>
      <w:bookmarkStart w:id="31" w:name="_Toc1121370196"/>
      <w:bookmarkStart w:id="32" w:name="_Toc1501757353"/>
      <w:bookmarkStart w:id="33" w:name="_Toc2096176843"/>
      <w:bookmarkStart w:id="34" w:name="_Toc2109420431"/>
      <w:r w:rsidRPr="370D7818">
        <w:rPr>
          <w:rFonts w:ascii="Arial Nova" w:eastAsia="Arial Nova" w:hAnsi="Arial Nova" w:cs="Arial Nova"/>
        </w:rPr>
        <w:t>1.6 Research Aim, Objectives and Questions</w:t>
      </w:r>
      <w:bookmarkEnd w:id="30"/>
      <w:bookmarkEnd w:id="31"/>
      <w:bookmarkEnd w:id="32"/>
      <w:bookmarkEnd w:id="33"/>
      <w:bookmarkEnd w:id="34"/>
    </w:p>
    <w:p w14:paraId="653E5F1A" w14:textId="05E57987" w:rsidR="72F1B611" w:rsidRDefault="72F1B611" w:rsidP="36385224">
      <w:pPr>
        <w:spacing w:before="240" w:after="240" w:line="480" w:lineRule="auto"/>
        <w:rPr>
          <w:sz w:val="20"/>
          <w:szCs w:val="20"/>
        </w:rPr>
      </w:pPr>
      <w:r w:rsidRPr="36385224">
        <w:rPr>
          <w:sz w:val="20"/>
          <w:szCs w:val="20"/>
        </w:rPr>
        <w:t xml:space="preserve">The aim of this study is to examine how customer experience affects passenger loyalty within Turkish Airlines. In an increasingly competitive airline environment, </w:t>
      </w:r>
      <w:r w:rsidR="00C71E2B" w:rsidRPr="00C71E2B">
        <w:rPr>
          <w:sz w:val="20"/>
          <w:szCs w:val="20"/>
        </w:rPr>
        <w:t>Passenger preferences and frequent travel patterns are now significantly impacted by the quality of the customer experience.</w:t>
      </w:r>
      <w:r w:rsidRPr="36385224">
        <w:rPr>
          <w:sz w:val="20"/>
          <w:szCs w:val="20"/>
        </w:rPr>
        <w:t xml:space="preserve"> </w:t>
      </w:r>
      <w:r w:rsidR="00C71E2B" w:rsidRPr="00C71E2B">
        <w:rPr>
          <w:sz w:val="20"/>
          <w:szCs w:val="20"/>
        </w:rPr>
        <w:t>The word "customer experience" refers to a range of contacts, such as reservations, airport services, in-flight comfort, staff conduct, and communication.</w:t>
      </w:r>
      <w:r w:rsidRPr="36385224">
        <w:rPr>
          <w:sz w:val="20"/>
          <w:szCs w:val="20"/>
        </w:rPr>
        <w:t xml:space="preserve">, </w:t>
      </w:r>
      <w:r w:rsidR="00C71E2B" w:rsidRPr="36385224">
        <w:rPr>
          <w:sz w:val="20"/>
          <w:szCs w:val="20"/>
        </w:rPr>
        <w:t>all</w:t>
      </w:r>
      <w:r w:rsidRPr="36385224">
        <w:rPr>
          <w:sz w:val="20"/>
          <w:szCs w:val="20"/>
        </w:rPr>
        <w:t xml:space="preserve"> which shape passengers’ overall perceptions of the airline. Previous research indicates that positive experiences improve satisfaction and trust, which in turn reinforce loyalty (Xie, Zhang and Morrison, 2020).</w:t>
      </w:r>
    </w:p>
    <w:p w14:paraId="31E0AB73" w14:textId="6EF85A24" w:rsidR="4992B041" w:rsidRDefault="485C3D7B" w:rsidP="2E4158E0">
      <w:pPr>
        <w:spacing w:before="240" w:after="240" w:line="480" w:lineRule="auto"/>
      </w:pPr>
      <w:r w:rsidRPr="2E4158E0">
        <w:rPr>
          <w:rFonts w:ascii="Arial Nova" w:eastAsia="Arial Nova" w:hAnsi="Arial Nova" w:cs="Arial Nova"/>
          <w:sz w:val="20"/>
          <w:szCs w:val="20"/>
        </w:rPr>
        <w:lastRenderedPageBreak/>
        <w:t>To achieve this aim, the study is guided by the following objectives:</w:t>
      </w:r>
    </w:p>
    <w:p w14:paraId="1FF1D874" w14:textId="2B01E745" w:rsidR="4992B041" w:rsidRDefault="485C3D7B" w:rsidP="59CD09D6">
      <w:pPr>
        <w:pStyle w:val="ListParagraph"/>
        <w:numPr>
          <w:ilvl w:val="0"/>
          <w:numId w:val="1"/>
        </w:numPr>
        <w:spacing w:after="0" w:line="480" w:lineRule="auto"/>
        <w:rPr>
          <w:rFonts w:ascii="Arial Nova" w:eastAsia="Arial Nova" w:hAnsi="Arial Nova" w:cs="Arial Nova"/>
          <w:sz w:val="20"/>
          <w:szCs w:val="20"/>
        </w:rPr>
      </w:pPr>
      <w:r w:rsidRPr="59CD09D6">
        <w:rPr>
          <w:rFonts w:ascii="Arial Nova" w:eastAsia="Arial Nova" w:hAnsi="Arial Nova" w:cs="Arial Nova"/>
          <w:sz w:val="20"/>
          <w:szCs w:val="20"/>
        </w:rPr>
        <w:t xml:space="preserve">To examine the relationship between customer experience and satisfaction </w:t>
      </w:r>
    </w:p>
    <w:p w14:paraId="61F334FB" w14:textId="22B82C84" w:rsidR="4992B041" w:rsidRDefault="485C3D7B" w:rsidP="59CD09D6">
      <w:pPr>
        <w:pStyle w:val="ListParagraph"/>
        <w:numPr>
          <w:ilvl w:val="0"/>
          <w:numId w:val="1"/>
        </w:numPr>
        <w:spacing w:after="0" w:line="480" w:lineRule="auto"/>
        <w:rPr>
          <w:rFonts w:ascii="Arial Nova" w:eastAsia="Arial Nova" w:hAnsi="Arial Nova" w:cs="Arial Nova"/>
          <w:sz w:val="20"/>
          <w:szCs w:val="20"/>
        </w:rPr>
      </w:pPr>
      <w:r w:rsidRPr="59CD09D6">
        <w:rPr>
          <w:rFonts w:ascii="Arial Nova" w:eastAsia="Arial Nova" w:hAnsi="Arial Nova" w:cs="Arial Nova"/>
          <w:sz w:val="20"/>
          <w:szCs w:val="20"/>
        </w:rPr>
        <w:t xml:space="preserve">To evaluate how satisfaction influences passenger loyalty </w:t>
      </w:r>
    </w:p>
    <w:p w14:paraId="5AC4C059" w14:textId="10036CA9" w:rsidR="4992B041" w:rsidRDefault="485C3D7B" w:rsidP="59CD09D6">
      <w:pPr>
        <w:pStyle w:val="ListParagraph"/>
        <w:numPr>
          <w:ilvl w:val="0"/>
          <w:numId w:val="1"/>
        </w:numPr>
        <w:spacing w:after="0" w:line="480" w:lineRule="auto"/>
        <w:rPr>
          <w:rFonts w:ascii="Arial Nova" w:eastAsia="Arial Nova" w:hAnsi="Arial Nova" w:cs="Arial Nova"/>
          <w:sz w:val="20"/>
          <w:szCs w:val="20"/>
        </w:rPr>
      </w:pPr>
      <w:r w:rsidRPr="59CD09D6">
        <w:rPr>
          <w:rFonts w:ascii="Arial Nova" w:eastAsia="Arial Nova" w:hAnsi="Arial Nova" w:cs="Arial Nova"/>
          <w:sz w:val="20"/>
          <w:szCs w:val="20"/>
        </w:rPr>
        <w:t xml:space="preserve">To identify the key factors affecting loyalty outcomes </w:t>
      </w:r>
    </w:p>
    <w:p w14:paraId="553BA2F6" w14:textId="0DB0697E" w:rsidR="4992B041" w:rsidRDefault="485C3D7B" w:rsidP="59CD09D6">
      <w:pPr>
        <w:pStyle w:val="ListParagraph"/>
        <w:numPr>
          <w:ilvl w:val="0"/>
          <w:numId w:val="1"/>
        </w:numPr>
        <w:spacing w:after="0" w:line="480" w:lineRule="auto"/>
        <w:rPr>
          <w:rFonts w:ascii="Arial Nova" w:eastAsia="Arial Nova" w:hAnsi="Arial Nova" w:cs="Arial Nova"/>
          <w:sz w:val="20"/>
          <w:szCs w:val="20"/>
        </w:rPr>
      </w:pPr>
      <w:r w:rsidRPr="59CD09D6">
        <w:rPr>
          <w:rFonts w:ascii="Arial Nova" w:eastAsia="Arial Nova" w:hAnsi="Arial Nova" w:cs="Arial Nova"/>
          <w:sz w:val="20"/>
          <w:szCs w:val="20"/>
        </w:rPr>
        <w:t xml:space="preserve">To develop recommendations for improving customer experience </w:t>
      </w:r>
    </w:p>
    <w:p w14:paraId="5A121A98" w14:textId="77E2309A" w:rsidR="4992B041" w:rsidRDefault="485C3D7B" w:rsidP="2E4158E0">
      <w:pPr>
        <w:spacing w:before="240" w:after="240" w:line="480" w:lineRule="auto"/>
      </w:pPr>
      <w:r w:rsidRPr="2E4158E0">
        <w:rPr>
          <w:rFonts w:ascii="Arial Nova" w:eastAsia="Arial Nova" w:hAnsi="Arial Nova" w:cs="Arial Nova"/>
          <w:sz w:val="20"/>
          <w:szCs w:val="20"/>
        </w:rPr>
        <w:t>The study is guided by the following research question:</w:t>
      </w:r>
    </w:p>
    <w:p w14:paraId="1BBC0403" w14:textId="7E93F7B9" w:rsidR="4992B041" w:rsidRDefault="485C3D7B" w:rsidP="2E4158E0">
      <w:pPr>
        <w:spacing w:before="240" w:after="240" w:line="480" w:lineRule="auto"/>
      </w:pPr>
      <w:r w:rsidRPr="36385224">
        <w:rPr>
          <w:rFonts w:ascii="Arial Nova" w:eastAsia="Arial Nova" w:hAnsi="Arial Nova" w:cs="Arial Nova"/>
          <w:b/>
          <w:bCs/>
          <w:sz w:val="20"/>
          <w:szCs w:val="20"/>
        </w:rPr>
        <w:t>How does customer experience influence passenger loyalty in Turkish Airlines?</w:t>
      </w:r>
    </w:p>
    <w:p w14:paraId="20A92C21" w14:textId="299C4CCE" w:rsidR="4992B041" w:rsidRPr="00DA4C79" w:rsidRDefault="5C46E547" w:rsidP="59CD09D6">
      <w:pPr>
        <w:pStyle w:val="ListParagraph"/>
        <w:numPr>
          <w:ilvl w:val="0"/>
          <w:numId w:val="2"/>
        </w:numPr>
        <w:spacing w:after="0" w:line="480" w:lineRule="auto"/>
        <w:rPr>
          <w:sz w:val="20"/>
          <w:szCs w:val="20"/>
        </w:rPr>
      </w:pPr>
      <w:r w:rsidRPr="59CD09D6">
        <w:rPr>
          <w:sz w:val="20"/>
          <w:szCs w:val="20"/>
        </w:rPr>
        <w:t>This main research question is supported by the following sub-questions:</w:t>
      </w:r>
    </w:p>
    <w:p w14:paraId="0C74CA38" w14:textId="1C03540E" w:rsidR="4992B041" w:rsidRPr="00DA4C79" w:rsidRDefault="5C46E547" w:rsidP="59CD09D6">
      <w:pPr>
        <w:pStyle w:val="ListParagraph"/>
        <w:numPr>
          <w:ilvl w:val="0"/>
          <w:numId w:val="2"/>
        </w:numPr>
        <w:spacing w:before="240" w:after="240" w:line="480" w:lineRule="auto"/>
        <w:rPr>
          <w:sz w:val="20"/>
          <w:szCs w:val="20"/>
        </w:rPr>
      </w:pPr>
      <w:r w:rsidRPr="59CD09D6">
        <w:rPr>
          <w:sz w:val="20"/>
          <w:szCs w:val="20"/>
        </w:rPr>
        <w:t>Which elements of customer experience (e.g. service quality, staff professionalism, comfort, and communication) have the greatest impact on loyalty?</w:t>
      </w:r>
    </w:p>
    <w:p w14:paraId="3023FCF0" w14:textId="15BAE4D8" w:rsidR="4992B041" w:rsidRPr="00DA4C79" w:rsidRDefault="5C46E547" w:rsidP="59CD09D6">
      <w:pPr>
        <w:pStyle w:val="ListParagraph"/>
        <w:numPr>
          <w:ilvl w:val="0"/>
          <w:numId w:val="2"/>
        </w:numPr>
        <w:spacing w:before="240" w:after="240" w:line="480" w:lineRule="auto"/>
        <w:rPr>
          <w:sz w:val="20"/>
          <w:szCs w:val="20"/>
        </w:rPr>
      </w:pPr>
      <w:r w:rsidRPr="59CD09D6">
        <w:rPr>
          <w:sz w:val="20"/>
          <w:szCs w:val="20"/>
        </w:rPr>
        <w:t>In what ways does passenger satisfaction influence repeat travel and recommendations?</w:t>
      </w:r>
    </w:p>
    <w:p w14:paraId="2F7690F0" w14:textId="0CF54D6E" w:rsidR="4992B041" w:rsidRPr="00DA4C79" w:rsidRDefault="5C46E547" w:rsidP="59CD09D6">
      <w:pPr>
        <w:pStyle w:val="ListParagraph"/>
        <w:numPr>
          <w:ilvl w:val="0"/>
          <w:numId w:val="2"/>
        </w:numPr>
        <w:spacing w:before="240" w:after="240" w:line="480" w:lineRule="auto"/>
        <w:rPr>
          <w:sz w:val="20"/>
          <w:szCs w:val="20"/>
        </w:rPr>
      </w:pPr>
      <w:r w:rsidRPr="59CD09D6">
        <w:rPr>
          <w:sz w:val="20"/>
          <w:szCs w:val="20"/>
        </w:rPr>
        <w:t>Which stages of the passenger journey require enhancement to improve loyalty?</w:t>
      </w:r>
    </w:p>
    <w:p w14:paraId="28C9C6ED" w14:textId="6FCCC2DE" w:rsidR="4992B041" w:rsidRPr="00DA4C79" w:rsidRDefault="5C46E547" w:rsidP="59CD09D6">
      <w:pPr>
        <w:pStyle w:val="ListParagraph"/>
        <w:numPr>
          <w:ilvl w:val="0"/>
          <w:numId w:val="2"/>
        </w:numPr>
        <w:spacing w:before="240" w:after="240" w:line="480" w:lineRule="auto"/>
        <w:rPr>
          <w:sz w:val="20"/>
          <w:szCs w:val="20"/>
        </w:rPr>
      </w:pPr>
      <w:r w:rsidRPr="59CD09D6">
        <w:rPr>
          <w:sz w:val="20"/>
          <w:szCs w:val="20"/>
        </w:rPr>
        <w:t>How can Turkish Airlines utilise customer experience insights to minimise customer churn?</w:t>
      </w:r>
    </w:p>
    <w:p w14:paraId="663F7FFF" w14:textId="4052BB2A" w:rsidR="4992B041" w:rsidRPr="00DA4C79" w:rsidRDefault="4992B041" w:rsidP="36385224">
      <w:pPr>
        <w:pStyle w:val="ListParagraph"/>
        <w:spacing w:before="240" w:after="240" w:line="480" w:lineRule="auto"/>
        <w:rPr>
          <w:sz w:val="20"/>
          <w:szCs w:val="20"/>
        </w:rPr>
      </w:pPr>
    </w:p>
    <w:p w14:paraId="7856710D" w14:textId="05F8D858" w:rsidR="4992B041" w:rsidRPr="00DA4C79" w:rsidRDefault="4016A1AF" w:rsidP="59CD09D6">
      <w:pPr>
        <w:spacing w:before="240" w:after="240" w:line="480" w:lineRule="auto"/>
        <w:rPr>
          <w:sz w:val="20"/>
          <w:szCs w:val="20"/>
        </w:rPr>
      </w:pPr>
      <w:r w:rsidRPr="59CD09D6">
        <w:rPr>
          <w:sz w:val="20"/>
          <w:szCs w:val="20"/>
        </w:rPr>
        <w:t xml:space="preserve">These questions provide a clear framework for </w:t>
      </w:r>
      <w:r w:rsidRPr="59CD09D6">
        <w:rPr>
          <w:b/>
          <w:bCs/>
          <w:sz w:val="20"/>
          <w:szCs w:val="20"/>
        </w:rPr>
        <w:t>examining</w:t>
      </w:r>
      <w:r w:rsidRPr="59CD09D6">
        <w:rPr>
          <w:sz w:val="20"/>
          <w:szCs w:val="20"/>
        </w:rPr>
        <w:t xml:space="preserve"> how different aspects of the customer experience contribute to passenger loyalty outcomes.</w:t>
      </w:r>
    </w:p>
    <w:p w14:paraId="27E2FF85" w14:textId="6652297D" w:rsidR="4992B041" w:rsidRPr="00DA4C79" w:rsidRDefault="4992B041" w:rsidP="36385224">
      <w:pPr>
        <w:pStyle w:val="Heading2"/>
        <w:rPr>
          <w:rFonts w:ascii="Arial Nova" w:eastAsia="Arial Nova" w:hAnsi="Arial Nova" w:cs="Arial Nova"/>
        </w:rPr>
      </w:pPr>
    </w:p>
    <w:p w14:paraId="6521F43D" w14:textId="678210E0" w:rsidR="4992B041" w:rsidRPr="00DA4C79" w:rsidRDefault="4992B041" w:rsidP="36385224">
      <w:pPr>
        <w:pStyle w:val="Heading2"/>
        <w:rPr>
          <w:rFonts w:ascii="Arial Nova" w:eastAsia="Arial Nova" w:hAnsi="Arial Nova" w:cs="Arial Nova"/>
        </w:rPr>
      </w:pPr>
    </w:p>
    <w:p w14:paraId="02B507E7" w14:textId="77777777" w:rsidR="00D04C99" w:rsidRDefault="00D04C99" w:rsidP="36385224">
      <w:pPr>
        <w:pStyle w:val="Heading2"/>
        <w:rPr>
          <w:rFonts w:ascii="Arial Nova" w:eastAsia="Arial Nova" w:hAnsi="Arial Nova" w:cs="Arial Nova"/>
        </w:rPr>
      </w:pPr>
      <w:bookmarkStart w:id="35" w:name="_Toc228398772"/>
      <w:bookmarkStart w:id="36" w:name="_Toc822507929"/>
      <w:bookmarkStart w:id="37" w:name="_Toc682501303"/>
      <w:bookmarkStart w:id="38" w:name="_Toc793941659"/>
    </w:p>
    <w:p w14:paraId="7E529AE0" w14:textId="77777777" w:rsidR="00D04C99" w:rsidRDefault="00D04C99" w:rsidP="36385224">
      <w:pPr>
        <w:pStyle w:val="Heading2"/>
        <w:rPr>
          <w:rFonts w:ascii="Arial Nova" w:eastAsia="Arial Nova" w:hAnsi="Arial Nova" w:cs="Arial Nova"/>
        </w:rPr>
      </w:pPr>
    </w:p>
    <w:p w14:paraId="72E1B060" w14:textId="77777777" w:rsidR="00D04C99" w:rsidRDefault="00D04C99" w:rsidP="36385224">
      <w:pPr>
        <w:pStyle w:val="Heading2"/>
        <w:rPr>
          <w:rFonts w:ascii="Arial Nova" w:eastAsia="Arial Nova" w:hAnsi="Arial Nova" w:cs="Arial Nova"/>
        </w:rPr>
      </w:pPr>
    </w:p>
    <w:p w14:paraId="1F8A592C" w14:textId="77777777" w:rsidR="00D04C99" w:rsidRDefault="00D04C99" w:rsidP="00D04C99"/>
    <w:p w14:paraId="200738F8" w14:textId="77777777" w:rsidR="00D04C99" w:rsidRDefault="00D04C99" w:rsidP="00D04C99"/>
    <w:p w14:paraId="63270FCB" w14:textId="198BB764" w:rsidR="4992B041" w:rsidRPr="00DA4C79" w:rsidRDefault="04C82FE3" w:rsidP="00D04C99">
      <w:pPr>
        <w:pStyle w:val="Heading2"/>
      </w:pPr>
      <w:bookmarkStart w:id="39" w:name="_Toc330427589"/>
      <w:r>
        <w:lastRenderedPageBreak/>
        <w:t>1.7 Structure of the Dissertation</w:t>
      </w:r>
      <w:bookmarkEnd w:id="35"/>
      <w:bookmarkEnd w:id="36"/>
      <w:bookmarkEnd w:id="37"/>
      <w:bookmarkEnd w:id="38"/>
      <w:bookmarkEnd w:id="39"/>
    </w:p>
    <w:p w14:paraId="5194AAA7" w14:textId="62DEFBEA" w:rsidR="6C1ACFE5" w:rsidRDefault="6C1ACFE5" w:rsidP="36385224">
      <w:pPr>
        <w:spacing w:before="240" w:after="240" w:line="480" w:lineRule="auto"/>
      </w:pPr>
      <w:r w:rsidRPr="36385224">
        <w:rPr>
          <w:sz w:val="20"/>
          <w:szCs w:val="20"/>
        </w:rPr>
        <w:t>This dissertation is structured into five chapters. Chapter Two presents a critical review of the literature on customer experience and passenger loyalty, highlighting key theoretical frameworks and research gaps. Chapter Three outlines the research methodology, including the research approach, data collection methods, and analytical techniques. Chapter Four presents and discusses the findings obtained from the analysis of secondary data. Chapter Five concludes the study by summarising the key findings, offering recommendations, identifying limitations, and proposing areas for future research.</w:t>
      </w:r>
    </w:p>
    <w:p w14:paraId="40091A8A" w14:textId="7CDB12C8" w:rsidR="4992B041" w:rsidRDefault="4992B041" w:rsidP="48250ECE"/>
    <w:p w14:paraId="1DBFC294" w14:textId="22079CCD" w:rsidR="4992B041" w:rsidRPr="00DA4C79" w:rsidRDefault="04C82FE3" w:rsidP="59CD09D6">
      <w:pPr>
        <w:pStyle w:val="Heading2"/>
        <w:spacing w:before="299" w:after="299"/>
        <w:rPr>
          <w:rFonts w:ascii="Arial Nova" w:eastAsia="Arial Nova" w:hAnsi="Arial Nova" w:cs="Arial Nova"/>
        </w:rPr>
      </w:pPr>
      <w:bookmarkStart w:id="40" w:name="_Toc228398773"/>
      <w:bookmarkStart w:id="41" w:name="_Toc895837756"/>
      <w:bookmarkStart w:id="42" w:name="_Toc1711177738"/>
      <w:bookmarkStart w:id="43" w:name="_Toc589071376"/>
      <w:bookmarkStart w:id="44" w:name="_Toc270497686"/>
      <w:r w:rsidRPr="370D7818">
        <w:rPr>
          <w:rFonts w:ascii="Arial Nova" w:eastAsia="Arial Nova" w:hAnsi="Arial Nova" w:cs="Arial Nova"/>
        </w:rPr>
        <w:t>1.8 Overview and Summary</w:t>
      </w:r>
      <w:bookmarkEnd w:id="40"/>
      <w:bookmarkEnd w:id="41"/>
      <w:bookmarkEnd w:id="42"/>
      <w:bookmarkEnd w:id="43"/>
      <w:bookmarkEnd w:id="44"/>
    </w:p>
    <w:p w14:paraId="036A60B2" w14:textId="1B1B094F" w:rsidR="4992B041" w:rsidRDefault="04C82FE3" w:rsidP="36385224">
      <w:pPr>
        <w:spacing w:before="240" w:after="240" w:line="480" w:lineRule="auto"/>
        <w:rPr>
          <w:sz w:val="20"/>
          <w:szCs w:val="20"/>
        </w:rPr>
      </w:pPr>
      <w:r w:rsidRPr="36385224">
        <w:rPr>
          <w:rFonts w:ascii="Arial Nova" w:eastAsia="Arial Nova" w:hAnsi="Arial Nova" w:cs="Arial Nova"/>
          <w:sz w:val="20"/>
          <w:szCs w:val="20"/>
        </w:rPr>
        <w:t>T</w:t>
      </w:r>
      <w:r w:rsidRPr="36385224">
        <w:rPr>
          <w:sz w:val="20"/>
          <w:szCs w:val="20"/>
        </w:rPr>
        <w:t>his chapter has outlined the key foundations of the study by situating the research within the broader context of the global airline industry and highlighting the growing importance of customer experience for full-service carriers such as Turkish Airlines. It has identified the main business issue related to passenger loyalty, established the academic and practical rationale for the research, and defined the scope of the study. The chapter has also presented the research aim, objectives, and questions, which provide a clear framework for the analysis undertaken in subsequent chapters. The following chapter will review the relevant literature on customer experience, satisfaction, and loyalty, providing the theoretical basis for the study.</w:t>
      </w:r>
    </w:p>
    <w:p w14:paraId="58F9E11E" w14:textId="6E949362" w:rsidR="4992B041" w:rsidRDefault="4992B041" w:rsidP="48250ECE">
      <w:pPr>
        <w:rPr>
          <w:rFonts w:ascii="Arial Nova" w:eastAsia="Arial Nova" w:hAnsi="Arial Nova" w:cs="Arial Nova"/>
          <w:color w:val="000000" w:themeColor="text1"/>
          <w:sz w:val="20"/>
          <w:szCs w:val="20"/>
        </w:rPr>
      </w:pPr>
    </w:p>
    <w:p w14:paraId="1ADFEBC7" w14:textId="77777777" w:rsidR="00D04C99" w:rsidRDefault="00D04C99" w:rsidP="2E4158E0">
      <w:pPr>
        <w:pStyle w:val="Heading2"/>
        <w:spacing w:line="480" w:lineRule="auto"/>
      </w:pPr>
      <w:bookmarkStart w:id="45" w:name="_Toc228398774"/>
      <w:bookmarkStart w:id="46" w:name="_Toc1435132398"/>
      <w:bookmarkStart w:id="47" w:name="_Toc929686213"/>
      <w:bookmarkStart w:id="48" w:name="_Toc906538869"/>
    </w:p>
    <w:p w14:paraId="0D3276FE" w14:textId="77777777" w:rsidR="00D04C99" w:rsidRDefault="00D04C99" w:rsidP="2E4158E0">
      <w:pPr>
        <w:pStyle w:val="Heading2"/>
        <w:spacing w:line="480" w:lineRule="auto"/>
      </w:pPr>
    </w:p>
    <w:p w14:paraId="30AD2D5E" w14:textId="77777777" w:rsidR="00D04C99" w:rsidRDefault="00D04C99" w:rsidP="2E4158E0">
      <w:pPr>
        <w:pStyle w:val="Heading2"/>
        <w:spacing w:line="480" w:lineRule="auto"/>
      </w:pPr>
    </w:p>
    <w:p w14:paraId="160C0197" w14:textId="77777777" w:rsidR="00D04C99" w:rsidRDefault="00D04C99" w:rsidP="00D04C99"/>
    <w:p w14:paraId="06E9F24B" w14:textId="77777777" w:rsidR="00D04C99" w:rsidRDefault="00D04C99" w:rsidP="00D04C99"/>
    <w:p w14:paraId="6CE476E7" w14:textId="485BDAE9" w:rsidR="26D53E6B" w:rsidRPr="00DA4C79" w:rsidRDefault="6598D0EC" w:rsidP="00D04C99">
      <w:pPr>
        <w:pStyle w:val="Heading2"/>
        <w:rPr>
          <w:rFonts w:ascii="Arial Nova" w:eastAsia="Arial Nova" w:hAnsi="Arial Nova" w:cs="Arial Nova"/>
          <w:color w:val="000000" w:themeColor="text1"/>
        </w:rPr>
      </w:pPr>
      <w:bookmarkStart w:id="49" w:name="_Toc1108486936"/>
      <w:r>
        <w:lastRenderedPageBreak/>
        <w:t xml:space="preserve">Chapter 2: </w:t>
      </w:r>
      <w:r w:rsidR="024C3AEC">
        <w:t>L</w:t>
      </w:r>
      <w:r>
        <w:t xml:space="preserve">iterature </w:t>
      </w:r>
      <w:r w:rsidR="500306F7">
        <w:t>R</w:t>
      </w:r>
      <w:r>
        <w:t>eview</w:t>
      </w:r>
      <w:bookmarkEnd w:id="45"/>
      <w:bookmarkEnd w:id="46"/>
      <w:bookmarkEnd w:id="47"/>
      <w:bookmarkEnd w:id="48"/>
      <w:bookmarkEnd w:id="49"/>
      <w:r>
        <w:t xml:space="preserve"> </w:t>
      </w:r>
    </w:p>
    <w:p w14:paraId="133C8123" w14:textId="18FC178D" w:rsidR="3571D49E" w:rsidRPr="00DA4C79" w:rsidRDefault="2D18F268" w:rsidP="00D04C99">
      <w:pPr>
        <w:pStyle w:val="Heading2"/>
        <w:rPr>
          <w:rFonts w:ascii="Arial" w:eastAsia="Arial" w:hAnsi="Arial" w:cs="Arial"/>
        </w:rPr>
      </w:pPr>
      <w:bookmarkStart w:id="50" w:name="_Toc228398775"/>
      <w:bookmarkStart w:id="51" w:name="_Toc304899534"/>
      <w:bookmarkStart w:id="52" w:name="_Toc1557147986"/>
      <w:bookmarkStart w:id="53" w:name="_Toc1910686745"/>
      <w:bookmarkStart w:id="54" w:name="_Toc1411238103"/>
      <w:r w:rsidRPr="370D7818">
        <w:rPr>
          <w:rFonts w:ascii="Arial" w:eastAsia="Arial" w:hAnsi="Arial" w:cs="Arial"/>
        </w:rPr>
        <w:t>2.1 Introduction</w:t>
      </w:r>
      <w:bookmarkEnd w:id="50"/>
      <w:bookmarkEnd w:id="51"/>
      <w:bookmarkEnd w:id="52"/>
      <w:bookmarkEnd w:id="53"/>
      <w:bookmarkEnd w:id="54"/>
    </w:p>
    <w:p w14:paraId="47535C10" w14:textId="51BC993B" w:rsidR="601A7C49" w:rsidRDefault="170CC5EE" w:rsidP="36385224">
      <w:pPr>
        <w:spacing w:before="240" w:after="240" w:line="480" w:lineRule="auto"/>
        <w:rPr>
          <w:rFonts w:ascii="Arial" w:eastAsia="Arial" w:hAnsi="Arial" w:cs="Arial"/>
          <w:sz w:val="20"/>
          <w:szCs w:val="20"/>
        </w:rPr>
      </w:pPr>
      <w:r w:rsidRPr="36385224">
        <w:rPr>
          <w:rFonts w:ascii="Arial" w:eastAsia="Arial" w:hAnsi="Arial" w:cs="Arial"/>
          <w:sz w:val="20"/>
          <w:szCs w:val="20"/>
        </w:rPr>
        <w:t xml:space="preserve">This chapter reviews the existing literature on customer experience, customer satisfaction, and customer loyalty. The review draws on studies from different service industries, including aviation, hospitality, and banking, </w:t>
      </w:r>
      <w:proofErr w:type="gramStart"/>
      <w:r w:rsidRPr="36385224">
        <w:rPr>
          <w:rFonts w:ascii="Arial" w:eastAsia="Arial" w:hAnsi="Arial" w:cs="Arial"/>
          <w:sz w:val="20"/>
          <w:szCs w:val="20"/>
        </w:rPr>
        <w:t>in order to</w:t>
      </w:r>
      <w:proofErr w:type="gramEnd"/>
      <w:r w:rsidRPr="36385224">
        <w:rPr>
          <w:rFonts w:ascii="Arial" w:eastAsia="Arial" w:hAnsi="Arial" w:cs="Arial"/>
          <w:sz w:val="20"/>
          <w:szCs w:val="20"/>
        </w:rPr>
        <w:t xml:space="preserve"> build a strong theoretical foundation for the research. This approach is useful because many of the concepts used to understand customer experience and loyalty</w:t>
      </w:r>
      <w:r w:rsidRPr="36385224">
        <w:rPr>
          <w:sz w:val="20"/>
          <w:szCs w:val="20"/>
        </w:rPr>
        <w:t xml:space="preserve"> </w:t>
      </w:r>
      <w:r w:rsidR="46D29BD5" w:rsidRPr="36385224">
        <w:rPr>
          <w:sz w:val="20"/>
          <w:szCs w:val="20"/>
        </w:rPr>
        <w:t xml:space="preserve">are not confined to one specific industry but </w:t>
      </w:r>
      <w:r w:rsidRPr="36385224">
        <w:rPr>
          <w:rFonts w:ascii="Arial" w:eastAsia="Arial" w:hAnsi="Arial" w:cs="Arial"/>
          <w:sz w:val="20"/>
          <w:szCs w:val="20"/>
        </w:rPr>
        <w:t>can be applied across different service contexts, as highlighted by Wirtz and Lovelock (2021).</w:t>
      </w:r>
    </w:p>
    <w:p w14:paraId="144F5844" w14:textId="36D29E0F" w:rsidR="601A7C49" w:rsidRDefault="0B88C71B" w:rsidP="2E4158E0">
      <w:pPr>
        <w:spacing w:before="240" w:after="240" w:line="480" w:lineRule="auto"/>
        <w:rPr>
          <w:rFonts w:ascii="Arial" w:eastAsia="Arial" w:hAnsi="Arial" w:cs="Arial"/>
          <w:sz w:val="20"/>
          <w:szCs w:val="20"/>
        </w:rPr>
      </w:pPr>
      <w:r w:rsidRPr="2E4158E0">
        <w:rPr>
          <w:rFonts w:ascii="Arial" w:eastAsia="Arial" w:hAnsi="Arial" w:cs="Arial"/>
          <w:sz w:val="20"/>
          <w:szCs w:val="20"/>
        </w:rPr>
        <w:t>The chapter discusses the main themes identified in the literature, outlines the key theoretical models used in this study, and presents an overview of selected studies. It also introduces the conceptual framework and identifies the research gap that this dissertation aims to address. The search strategy and selection process are explained in Chapter Three as part of the methodology. However, while using cross-industry literature provides a broad understanding, it may not fully reflect the specific challenges faced by airlines, particularly in complex international operations such as Turkish Airlines.</w:t>
      </w:r>
    </w:p>
    <w:p w14:paraId="05949A20" w14:textId="5AC6A15B" w:rsidR="3571D49E" w:rsidRPr="00DA4C79" w:rsidRDefault="2D18F268" w:rsidP="59CD09D6">
      <w:pPr>
        <w:pStyle w:val="Heading2"/>
        <w:spacing w:before="299" w:after="299" w:line="480" w:lineRule="auto"/>
        <w:rPr>
          <w:rFonts w:ascii="Arial" w:eastAsia="Arial" w:hAnsi="Arial" w:cs="Arial"/>
        </w:rPr>
      </w:pPr>
      <w:bookmarkStart w:id="55" w:name="_Toc228398776"/>
      <w:bookmarkStart w:id="56" w:name="_Toc705149698"/>
      <w:bookmarkStart w:id="57" w:name="_Toc654018899"/>
      <w:bookmarkStart w:id="58" w:name="_Toc1513273546"/>
      <w:bookmarkStart w:id="59" w:name="_Toc1861222205"/>
      <w:r w:rsidRPr="370D7818">
        <w:rPr>
          <w:rFonts w:ascii="Arial" w:eastAsia="Arial" w:hAnsi="Arial" w:cs="Arial"/>
        </w:rPr>
        <w:t>2.2 Customer Experience Across Service Industries</w:t>
      </w:r>
      <w:bookmarkEnd w:id="55"/>
      <w:bookmarkEnd w:id="56"/>
      <w:bookmarkEnd w:id="57"/>
      <w:bookmarkEnd w:id="58"/>
      <w:bookmarkEnd w:id="59"/>
    </w:p>
    <w:p w14:paraId="3B416C0A" w14:textId="6E0085CE" w:rsidR="72204AFD" w:rsidRDefault="72204AFD" w:rsidP="36385224">
      <w:pPr>
        <w:spacing w:before="240" w:after="240" w:line="480" w:lineRule="auto"/>
      </w:pPr>
      <w:r w:rsidRPr="36385224">
        <w:rPr>
          <w:rFonts w:ascii="Arial" w:eastAsia="Arial" w:hAnsi="Arial" w:cs="Arial"/>
          <w:sz w:val="20"/>
          <w:szCs w:val="20"/>
        </w:rPr>
        <w:t>Customer experience within the airline industry refers to passengers’ overall assessment of all interactions throughout their journey, including booking, check-in, airport services, and in-flight experiences. These interactions collectively shape both perceptions of service quality and emotional responses. Wirtz and Lovelock (2021, pp. 38–52) argue that customer experience develops across multiple touchpoints, where each stage contributes to overall satisfaction. In the airline context, elements such as service reliability, staff behaviour, comfort, and communication during disruptions are particularly influential. However, this perspective assumes that all passengers value similar aspects of service, whereas expectations may vary depending on individual needs, travel purpose, and cultural background.</w:t>
      </w:r>
    </w:p>
    <w:p w14:paraId="3269508E" w14:textId="44BD3A6B" w:rsidR="14DD1784" w:rsidRDefault="1145A13A" w:rsidP="2E4158E0">
      <w:pPr>
        <w:spacing w:before="240" w:after="240" w:line="480" w:lineRule="auto"/>
        <w:rPr>
          <w:rFonts w:ascii="Arial" w:eastAsia="Arial" w:hAnsi="Arial" w:cs="Arial"/>
          <w:sz w:val="20"/>
          <w:szCs w:val="20"/>
        </w:rPr>
      </w:pPr>
      <w:r w:rsidRPr="2E4158E0">
        <w:rPr>
          <w:rFonts w:ascii="Arial" w:eastAsia="Arial" w:hAnsi="Arial" w:cs="Arial"/>
          <w:sz w:val="20"/>
          <w:szCs w:val="20"/>
        </w:rPr>
        <w:lastRenderedPageBreak/>
        <w:t xml:space="preserve">Evidence from other service industries supports the view that customer experience is a holistic construct. In the hospitality sector, Ali et al. (2021) </w:t>
      </w:r>
      <w:proofErr w:type="gramStart"/>
      <w:r w:rsidRPr="2E4158E0">
        <w:rPr>
          <w:rFonts w:ascii="Arial" w:eastAsia="Arial" w:hAnsi="Arial" w:cs="Arial"/>
          <w:sz w:val="20"/>
          <w:szCs w:val="20"/>
        </w:rPr>
        <w:t>demonstrate</w:t>
      </w:r>
      <w:proofErr w:type="gramEnd"/>
      <w:r w:rsidRPr="2E4158E0">
        <w:rPr>
          <w:rFonts w:ascii="Arial" w:eastAsia="Arial" w:hAnsi="Arial" w:cs="Arial"/>
          <w:sz w:val="20"/>
          <w:szCs w:val="20"/>
        </w:rPr>
        <w:t xml:space="preserve"> that service quality dimensions — including reliability, responsiveness, assurance, empathy, and tangibles — significantly influence both satisfaction and loyalty. Their findings suggest that customers evaluate their </w:t>
      </w:r>
      <w:proofErr w:type="gramStart"/>
      <w:r w:rsidRPr="2E4158E0">
        <w:rPr>
          <w:rFonts w:ascii="Arial" w:eastAsia="Arial" w:hAnsi="Arial" w:cs="Arial"/>
          <w:sz w:val="20"/>
          <w:szCs w:val="20"/>
        </w:rPr>
        <w:t>experience as a whole, meaning</w:t>
      </w:r>
      <w:proofErr w:type="gramEnd"/>
      <w:r w:rsidRPr="2E4158E0">
        <w:rPr>
          <w:rFonts w:ascii="Arial" w:eastAsia="Arial" w:hAnsi="Arial" w:cs="Arial"/>
          <w:sz w:val="20"/>
          <w:szCs w:val="20"/>
        </w:rPr>
        <w:t xml:space="preserve"> that weaknesses at any stage may negatively affect overall perceptions. While these findings are applicable to airlines, the aviation context presents additional operational challenges, such as time pressure and service disruptions, which may limit the consistency of service delivery.</w:t>
      </w:r>
    </w:p>
    <w:p w14:paraId="4FA97C5C" w14:textId="4EE34A3A" w:rsidR="14DD1784" w:rsidRDefault="1145A13A" w:rsidP="2E4158E0">
      <w:pPr>
        <w:spacing w:before="240" w:after="240" w:line="480" w:lineRule="auto"/>
        <w:rPr>
          <w:rFonts w:ascii="Arial" w:eastAsia="Arial" w:hAnsi="Arial" w:cs="Arial"/>
          <w:sz w:val="20"/>
          <w:szCs w:val="20"/>
        </w:rPr>
      </w:pPr>
      <w:r w:rsidRPr="2E4158E0">
        <w:rPr>
          <w:rFonts w:ascii="Arial" w:eastAsia="Arial" w:hAnsi="Arial" w:cs="Arial"/>
          <w:sz w:val="20"/>
          <w:szCs w:val="20"/>
        </w:rPr>
        <w:t>Similarly, Chikazhe, Makanyeza and Chigunhah (2021) highlight that customer experience includes both functional and emotional components. Their research indicates that satisfaction and loyalty are influenced not only by service performance but also by how customers are treated during service encounters. This emphasises the importance of emotional engagement in shaping customer perceptions. However, maintaining this level of personalised interaction may be more difficult in large-scale airline operations where services are standardised.</w:t>
      </w:r>
    </w:p>
    <w:p w14:paraId="080C4739" w14:textId="1662BCCC" w:rsidR="14DD1784" w:rsidRDefault="1145A13A" w:rsidP="2E4158E0">
      <w:pPr>
        <w:spacing w:before="240" w:after="240" w:line="480" w:lineRule="auto"/>
        <w:rPr>
          <w:rFonts w:ascii="Arial" w:eastAsia="Arial" w:hAnsi="Arial" w:cs="Arial"/>
          <w:sz w:val="20"/>
          <w:szCs w:val="20"/>
        </w:rPr>
      </w:pPr>
      <w:r w:rsidRPr="2E4158E0">
        <w:rPr>
          <w:rFonts w:ascii="Arial" w:eastAsia="Arial" w:hAnsi="Arial" w:cs="Arial"/>
          <w:sz w:val="20"/>
          <w:szCs w:val="20"/>
        </w:rPr>
        <w:t>In the airline context, Xie, Zhang and Morrison (2020) demonstrate that both functional and emotional aspects of the passenger journey influence loyalty intentions. Passengers who experience consistent quality across multiple touchpoints are more likely to engage in repeat behaviour and recommend the airline. Supporting this, Siqueira et al. (2023) found that positive customer experiences contribute to the development of brand trust, which strengthens long-term loyalty. However, these findings may not fully account for external influences such as pricing and availability, which also affect passenger decision-making.</w:t>
      </w:r>
    </w:p>
    <w:p w14:paraId="187E46CB" w14:textId="053ECE63" w:rsidR="13E6C6E7" w:rsidRDefault="13E6C6E7" w:rsidP="13E6C6E7"/>
    <w:p w14:paraId="049A4671" w14:textId="09A1DF05" w:rsidR="59CD09D6" w:rsidRDefault="59CD09D6" w:rsidP="59CD09D6">
      <w:pPr>
        <w:spacing w:before="299" w:after="299" w:line="480" w:lineRule="auto"/>
      </w:pPr>
    </w:p>
    <w:p w14:paraId="0A1FC1B8" w14:textId="77777777" w:rsidR="004C1126" w:rsidRDefault="004C1126" w:rsidP="00D04C99">
      <w:bookmarkStart w:id="60" w:name="_Toc228398777"/>
      <w:bookmarkStart w:id="61" w:name="_Toc1911247198"/>
      <w:bookmarkStart w:id="62" w:name="_Toc1283037195"/>
      <w:bookmarkStart w:id="63" w:name="_Toc1086790305"/>
    </w:p>
    <w:p w14:paraId="54BE2727" w14:textId="77777777" w:rsidR="004C1126" w:rsidRDefault="004C1126" w:rsidP="00D04C99"/>
    <w:p w14:paraId="3D5E1BC2" w14:textId="77777777" w:rsidR="004C1126" w:rsidRDefault="004C1126" w:rsidP="00D04C99"/>
    <w:p w14:paraId="2D95296C" w14:textId="1DF0E3C1" w:rsidR="3571D49E" w:rsidRPr="00DA4C79" w:rsidRDefault="2D18F268" w:rsidP="004C1126">
      <w:pPr>
        <w:pStyle w:val="Heading2"/>
        <w:rPr>
          <w:rFonts w:ascii="Arial" w:eastAsia="Arial" w:hAnsi="Arial" w:cs="Arial"/>
        </w:rPr>
      </w:pPr>
      <w:bookmarkStart w:id="64" w:name="_Toc776766887"/>
      <w:r>
        <w:lastRenderedPageBreak/>
        <w:t>2.3 Passenger Satisfaction and Loyalty</w:t>
      </w:r>
      <w:bookmarkEnd w:id="60"/>
      <w:bookmarkEnd w:id="61"/>
      <w:bookmarkEnd w:id="62"/>
      <w:bookmarkEnd w:id="63"/>
      <w:bookmarkEnd w:id="64"/>
    </w:p>
    <w:p w14:paraId="384D9B2C" w14:textId="214547AD" w:rsidR="5DFF3FB0" w:rsidRDefault="5DFF3FB0" w:rsidP="36385224">
      <w:pPr>
        <w:spacing w:before="240" w:after="240" w:line="480" w:lineRule="auto"/>
      </w:pPr>
      <w:r w:rsidRPr="36385224">
        <w:rPr>
          <w:rFonts w:ascii="Arial" w:eastAsia="Arial" w:hAnsi="Arial" w:cs="Arial"/>
          <w:sz w:val="20"/>
          <w:szCs w:val="20"/>
        </w:rPr>
        <w:t>Passenger satisfaction is widely regarded as a key determinant of customer loyalty within the airline industry. Satisfaction occurs when passenger expectations are met or exceeded in areas such as service quality, comfort, and communication. When satisfaction is achieved, passengers are more likely to repurchase services and recommend the airline to others. Kotler, Bowen and Makens (2016, pp. 152–155) argue that satisfaction increases perceived value and lowers the likelihood of switching to competitors. However, within the airline industry, satisfaction alone may not ensure loyalty, as passengers are also influenced by factors such as price, convenience, and flight availability.</w:t>
      </w:r>
    </w:p>
    <w:p w14:paraId="751A3683" w14:textId="4BB7DE6F" w:rsidR="410A426B" w:rsidRDefault="181ED8CC" w:rsidP="2E4158E0">
      <w:pPr>
        <w:spacing w:before="240" w:after="240" w:line="480" w:lineRule="auto"/>
      </w:pPr>
      <w:r w:rsidRPr="2E4158E0">
        <w:rPr>
          <w:rFonts w:ascii="Arial" w:eastAsia="Arial" w:hAnsi="Arial" w:cs="Arial"/>
          <w:sz w:val="20"/>
          <w:szCs w:val="20"/>
        </w:rPr>
        <w:t xml:space="preserve">Research across service industries consistently supports the relationship between satisfaction and loyalty. Chikazhe, Makanyeza and Chigunhah (2021) identify satisfaction as a key mediating variable between service experience and loyalty outcomes, suggesting that service quality influences loyalty primarily through its effect on satisfaction. Similarly, Ali et al. (2021) </w:t>
      </w:r>
      <w:proofErr w:type="gramStart"/>
      <w:r w:rsidRPr="2E4158E0">
        <w:rPr>
          <w:rFonts w:ascii="Arial" w:eastAsia="Arial" w:hAnsi="Arial" w:cs="Arial"/>
          <w:sz w:val="20"/>
          <w:szCs w:val="20"/>
        </w:rPr>
        <w:t>demonstrate</w:t>
      </w:r>
      <w:proofErr w:type="gramEnd"/>
      <w:r w:rsidRPr="2E4158E0">
        <w:rPr>
          <w:rFonts w:ascii="Arial" w:eastAsia="Arial" w:hAnsi="Arial" w:cs="Arial"/>
          <w:sz w:val="20"/>
          <w:szCs w:val="20"/>
        </w:rPr>
        <w:t xml:space="preserve"> that improvements in service quality lead to higher levels of satisfaction and repeat behaviour in hospitality settings. While these findings confirm a consistent relationship, the strength of this relationship may vary depending on the specific service context.</w:t>
      </w:r>
    </w:p>
    <w:p w14:paraId="45B17844" w14:textId="3C59595F" w:rsidR="410A426B" w:rsidRDefault="181ED8CC" w:rsidP="2E4158E0">
      <w:pPr>
        <w:spacing w:before="240" w:after="240" w:line="480" w:lineRule="auto"/>
      </w:pPr>
      <w:r w:rsidRPr="2E4158E0">
        <w:rPr>
          <w:rFonts w:ascii="Arial" w:eastAsia="Arial" w:hAnsi="Arial" w:cs="Arial"/>
          <w:sz w:val="20"/>
          <w:szCs w:val="20"/>
        </w:rPr>
        <w:t>Oliver (2020, pp. 22–28) provides a theoretical explanation of this relationship, suggesting that loyalty develops progressively through cognitive, emotional, and behavioural stages. This implies that repeated positive experiences are necessary to establish long-term loyalty. However, achieving consistent satisfaction may be challenging for airlines due to operational complexities and external factors, which can weaken the development of strong customer loyalty.</w:t>
      </w:r>
    </w:p>
    <w:p w14:paraId="41427581" w14:textId="6939D790" w:rsidR="410A426B" w:rsidRDefault="181ED8CC" w:rsidP="36385224">
      <w:pPr>
        <w:spacing w:before="240" w:after="240" w:line="480" w:lineRule="auto"/>
      </w:pPr>
      <w:r w:rsidRPr="36385224">
        <w:rPr>
          <w:rFonts w:ascii="Arial" w:eastAsia="Arial" w:hAnsi="Arial" w:cs="Arial"/>
          <w:sz w:val="20"/>
          <w:szCs w:val="20"/>
        </w:rPr>
        <w:t xml:space="preserve">Further research highlights the complexity of this relationship. Li, Xing and Terui (2023) demonstrate that </w:t>
      </w:r>
      <w:r w:rsidR="0938FF9F" w:rsidRPr="36385224">
        <w:rPr>
          <w:rFonts w:ascii="Arial" w:eastAsia="Arial" w:hAnsi="Arial" w:cs="Arial"/>
          <w:sz w:val="20"/>
          <w:szCs w:val="20"/>
        </w:rPr>
        <w:t>the link between satisfaction and loyalty is not always linear</w:t>
      </w:r>
      <w:r w:rsidRPr="36385224">
        <w:rPr>
          <w:rFonts w:ascii="Arial" w:eastAsia="Arial" w:hAnsi="Arial" w:cs="Arial"/>
          <w:sz w:val="20"/>
          <w:szCs w:val="20"/>
        </w:rPr>
        <w:t>, as higher levels of satisfaction can produce disproportionately stronger loyalty outcomes. This suggests that achieving very high satisfaction levels is particularly important for building long-term customer relationships. Supporting this, So, Yang and Li (2025), through a meta-analysis of multiple studies, confirm that customer satisfaction plays a central mediating role between service quality, perceived value, and loyalty across service industries.</w:t>
      </w:r>
    </w:p>
    <w:p w14:paraId="28A77E76" w14:textId="0600D9CA" w:rsidR="410A426B" w:rsidRDefault="181ED8CC" w:rsidP="2E4158E0">
      <w:pPr>
        <w:spacing w:before="240" w:after="240" w:line="480" w:lineRule="auto"/>
      </w:pPr>
      <w:r w:rsidRPr="2E4158E0">
        <w:rPr>
          <w:rFonts w:ascii="Arial" w:eastAsia="Arial" w:hAnsi="Arial" w:cs="Arial"/>
          <w:sz w:val="20"/>
          <w:szCs w:val="20"/>
        </w:rPr>
        <w:lastRenderedPageBreak/>
        <w:t>In the airline industry, Chanpariyavatevong, Rungpaka and Petchsawang (2021) found that both service quality and satisfaction independently influence passenger loyalty, indicating that loyalty is shaped by multiple factors. Similarly, Hassan and Salem (2021) demonstrate that service quality significantly impacts airline image, satisfaction, and loyalty, even during periods of disruption such as the COVID-19 pandemic. These findings highlight the importance of maintaining service quality under varying conditions.</w:t>
      </w:r>
    </w:p>
    <w:p w14:paraId="6960B8D6" w14:textId="1C869B34" w:rsidR="410A426B" w:rsidRDefault="181ED8CC" w:rsidP="2E4158E0">
      <w:pPr>
        <w:spacing w:before="240" w:after="240" w:line="480" w:lineRule="auto"/>
      </w:pPr>
      <w:r w:rsidRPr="2E4158E0">
        <w:rPr>
          <w:rFonts w:ascii="Arial" w:eastAsia="Arial" w:hAnsi="Arial" w:cs="Arial"/>
          <w:sz w:val="20"/>
          <w:szCs w:val="20"/>
        </w:rPr>
        <w:t>Additional studies further extend this understanding. Farah and Hacioglu (2024) emphasise the importance of airport service quality, showing that elements such as check-in efficiency and staff behaviour significantly influence passenger satisfaction. This suggests that customer experience extends beyond the flight itself and includes the entire travel process. Moreover, Amoako et al. (2023) highlight the importance of service recovery, demonstrating that effective responses to service failures can improve satisfaction and encourage repeat behaviour. Lim et al. (2025) further support this by showing that successful service recovery can strengthen loyalty beyond pre-failure levels, a phenomenon known as the service recovery paradox.</w:t>
      </w:r>
    </w:p>
    <w:p w14:paraId="75232D02" w14:textId="597FAE69" w:rsidR="410A426B" w:rsidRDefault="181ED8CC" w:rsidP="2E4158E0">
      <w:pPr>
        <w:spacing w:before="240" w:after="240" w:line="480" w:lineRule="auto"/>
      </w:pPr>
      <w:r w:rsidRPr="2E4158E0">
        <w:rPr>
          <w:rFonts w:ascii="Arial" w:eastAsia="Arial" w:hAnsi="Arial" w:cs="Arial"/>
          <w:sz w:val="20"/>
          <w:szCs w:val="20"/>
        </w:rPr>
        <w:t>Finally, Nguyen et al. (2024) confirm that service quality dimensions positively influence satisfaction and loyalty across service contexts, reinforcing the broader applicability of this relationship. Overall, these findings demonstrate that while satisfaction is a central driver of loyalty, it operates alongside other factors, including service quality, price perceptions, and service recovery</w:t>
      </w:r>
    </w:p>
    <w:p w14:paraId="1536921F" w14:textId="757972DA" w:rsidR="410A426B" w:rsidRDefault="410A426B" w:rsidP="410A426B">
      <w:pPr>
        <w:spacing w:before="240" w:after="240"/>
        <w:rPr>
          <w:rFonts w:ascii="Arial" w:eastAsia="Arial" w:hAnsi="Arial" w:cs="Arial"/>
          <w:sz w:val="20"/>
          <w:szCs w:val="20"/>
        </w:rPr>
      </w:pPr>
    </w:p>
    <w:p w14:paraId="580CECF4" w14:textId="2124206B" w:rsidR="48250ECE" w:rsidRDefault="48250ECE"/>
    <w:p w14:paraId="467A1FC6" w14:textId="77777777" w:rsidR="004C1126" w:rsidRDefault="004C1126" w:rsidP="004C1126">
      <w:bookmarkStart w:id="65" w:name="_Toc228398778"/>
      <w:bookmarkStart w:id="66" w:name="_Toc1986647945"/>
      <w:bookmarkStart w:id="67" w:name="_Toc381663419"/>
      <w:bookmarkStart w:id="68" w:name="_Toc285859312"/>
    </w:p>
    <w:p w14:paraId="6825EA7D" w14:textId="77777777" w:rsidR="004C1126" w:rsidRDefault="004C1126" w:rsidP="004C1126"/>
    <w:p w14:paraId="011FCDD0" w14:textId="77777777" w:rsidR="004C1126" w:rsidRDefault="004C1126" w:rsidP="004C1126"/>
    <w:p w14:paraId="4A38C286" w14:textId="77777777" w:rsidR="004C1126" w:rsidRDefault="004C1126" w:rsidP="004C1126"/>
    <w:p w14:paraId="468E7878" w14:textId="77777777" w:rsidR="004C1126" w:rsidRDefault="004C1126" w:rsidP="004C1126"/>
    <w:p w14:paraId="25F2C688" w14:textId="77777777" w:rsidR="004C1126" w:rsidRDefault="004C1126" w:rsidP="004C1126"/>
    <w:p w14:paraId="0753FF8F" w14:textId="62B0712D" w:rsidR="3571D49E" w:rsidRPr="00DA4C79" w:rsidRDefault="2D18F268" w:rsidP="004C1126">
      <w:pPr>
        <w:pStyle w:val="Heading2"/>
      </w:pPr>
      <w:bookmarkStart w:id="69" w:name="_Toc743826227"/>
      <w:r>
        <w:lastRenderedPageBreak/>
        <w:t>2.4 Theoretical Perspectives</w:t>
      </w:r>
      <w:bookmarkEnd w:id="65"/>
      <w:bookmarkEnd w:id="66"/>
      <w:bookmarkEnd w:id="67"/>
      <w:bookmarkEnd w:id="68"/>
      <w:bookmarkEnd w:id="69"/>
    </w:p>
    <w:p w14:paraId="2C543951" w14:textId="2D3A69C0" w:rsidR="60782B13" w:rsidRDefault="60782B13" w:rsidP="36385224">
      <w:pPr>
        <w:spacing w:before="240" w:after="240" w:line="480" w:lineRule="auto"/>
      </w:pPr>
      <w:r w:rsidRPr="36385224">
        <w:rPr>
          <w:rFonts w:ascii="Arial" w:eastAsia="Arial" w:hAnsi="Arial" w:cs="Arial"/>
          <w:sz w:val="20"/>
          <w:szCs w:val="20"/>
        </w:rPr>
        <w:t>Several theoretical frameworks help explain the relationship between customer experience, satisfaction, and loyalty. Zeithaml, Bitner and Gremler (2020, pp. 60–65) suggest that service quality affects customer satisfaction, which in turn leads to loyalty behaviours such as repeat purchases and recommendations. Their model identifies five main dimensions of service quality: reliability, responsiveness, assurance, empathy, and tangibles. While this framework is widely used across service industries, it may not fully reflect the complexity of customer decision-making in the airline industry, where external factors such as price, timing, and availability can also influence behaviour.</w:t>
      </w:r>
    </w:p>
    <w:p w14:paraId="74720AD9" w14:textId="18ACAA87" w:rsidR="38979BF6" w:rsidRDefault="3D5A98BC" w:rsidP="2E4158E0">
      <w:pPr>
        <w:spacing w:before="240" w:after="240" w:line="480" w:lineRule="auto"/>
        <w:rPr>
          <w:rFonts w:ascii="Arial" w:eastAsia="Arial" w:hAnsi="Arial" w:cs="Arial"/>
          <w:sz w:val="20"/>
          <w:szCs w:val="20"/>
        </w:rPr>
      </w:pPr>
      <w:r w:rsidRPr="0F2934F5">
        <w:rPr>
          <w:rFonts w:ascii="Arial" w:eastAsia="Arial" w:hAnsi="Arial" w:cs="Arial"/>
          <w:sz w:val="20"/>
          <w:szCs w:val="20"/>
        </w:rPr>
        <w:t xml:space="preserve">Wirtz and Lovelock (2021, pp. </w:t>
      </w:r>
      <w:r w:rsidR="4A18C76A" w:rsidRPr="0F2934F5">
        <w:rPr>
          <w:rFonts w:ascii="Arial" w:eastAsia="Arial" w:hAnsi="Arial" w:cs="Arial"/>
          <w:sz w:val="20"/>
          <w:szCs w:val="20"/>
        </w:rPr>
        <w:t xml:space="preserve"> </w:t>
      </w:r>
      <w:r w:rsidRPr="0F2934F5">
        <w:rPr>
          <w:rFonts w:ascii="Arial" w:eastAsia="Arial" w:hAnsi="Arial" w:cs="Arial"/>
          <w:sz w:val="20"/>
          <w:szCs w:val="20"/>
        </w:rPr>
        <w:t>90–102) emphasise the role of employees in shaping customer experience, arguing that well-trained and responsive staff can significantly enhance satisfaction and loyalty. This is particularly relevant in the airline industry, where staff interactions occur at multiple stages of the passenger journey. However, maintaining consistent service delivery may be challenging due to the scale of airline operations and the need for standardisation across different locations.</w:t>
      </w:r>
    </w:p>
    <w:p w14:paraId="2D9B490A" w14:textId="2DB06A0D" w:rsidR="38979BF6" w:rsidRDefault="3D5A98BC" w:rsidP="2E4158E0">
      <w:pPr>
        <w:spacing w:before="240" w:after="240" w:line="480" w:lineRule="auto"/>
        <w:rPr>
          <w:rFonts w:ascii="Arial" w:eastAsia="Arial" w:hAnsi="Arial" w:cs="Arial"/>
          <w:sz w:val="20"/>
          <w:szCs w:val="20"/>
        </w:rPr>
      </w:pPr>
      <w:r w:rsidRPr="36385224">
        <w:rPr>
          <w:rFonts w:ascii="Arial" w:eastAsia="Arial" w:hAnsi="Arial" w:cs="Arial"/>
          <w:sz w:val="20"/>
          <w:szCs w:val="20"/>
        </w:rPr>
        <w:t>Leon and Dixon (2023) further highlight the importance of trust and personality in shaping customer relationships, suggesting that relational factors can be as influential as service quality. This indicates that customer loyalty is not only driven by functional service elements but also by emotional and psychological factors. However, these aspects may be difficult to measure and manage effectively in large organisations such as international airlines.</w:t>
      </w:r>
    </w:p>
    <w:p w14:paraId="4355C50E" w14:textId="24B46F87" w:rsidR="3571D49E" w:rsidRPr="00DA4C79" w:rsidRDefault="7781D7AF" w:rsidP="36385224">
      <w:pPr>
        <w:spacing w:before="240" w:after="240" w:line="480" w:lineRule="auto"/>
      </w:pPr>
      <w:r w:rsidRPr="36385224">
        <w:rPr>
          <w:rFonts w:ascii="Arial" w:eastAsia="Arial" w:hAnsi="Arial" w:cs="Arial"/>
          <w:sz w:val="20"/>
          <w:szCs w:val="20"/>
        </w:rPr>
        <w:t>Tay (2023) focuses on service failure and recovery, demonstrating that the way airlines respond to service disruptions can significantly influence customer satisfaction and loyalty. Passengers who receive timely, transparent, and empathetic responses are more likely to remain loyal. However, the effectiveness of service recovery strategies may depend on the availability of organisational resources and operational flexibility.</w:t>
      </w:r>
    </w:p>
    <w:p w14:paraId="3164D57B" w14:textId="7E359125" w:rsidR="3571D49E" w:rsidRPr="00DA4C79" w:rsidRDefault="2D18F268" w:rsidP="36385224">
      <w:pPr>
        <w:pStyle w:val="Heading2"/>
        <w:spacing w:before="240" w:after="240" w:line="480" w:lineRule="auto"/>
        <w:rPr>
          <w:rFonts w:ascii="Arial" w:eastAsia="Arial" w:hAnsi="Arial" w:cs="Arial"/>
          <w:sz w:val="20"/>
          <w:szCs w:val="20"/>
        </w:rPr>
      </w:pPr>
      <w:bookmarkStart w:id="70" w:name="_Toc228398779"/>
      <w:bookmarkStart w:id="71" w:name="_Toc1954729907"/>
      <w:bookmarkStart w:id="72" w:name="_Toc854903248"/>
      <w:bookmarkStart w:id="73" w:name="_Toc556313337"/>
      <w:bookmarkStart w:id="74" w:name="_Toc1327564088"/>
      <w:r w:rsidRPr="370D7818">
        <w:rPr>
          <w:rFonts w:ascii="Arial" w:eastAsia="Arial" w:hAnsi="Arial" w:cs="Arial"/>
        </w:rPr>
        <w:lastRenderedPageBreak/>
        <w:t>2.5 Conceptual Framework</w:t>
      </w:r>
      <w:bookmarkEnd w:id="70"/>
      <w:bookmarkEnd w:id="71"/>
      <w:bookmarkEnd w:id="72"/>
      <w:bookmarkEnd w:id="73"/>
      <w:bookmarkEnd w:id="74"/>
    </w:p>
    <w:p w14:paraId="7266B933" w14:textId="04F43837" w:rsidR="4464F9C5" w:rsidRDefault="4464F9C5" w:rsidP="36385224">
      <w:pPr>
        <w:spacing w:before="240" w:after="240" w:line="480" w:lineRule="auto"/>
      </w:pPr>
      <w:r w:rsidRPr="0F2934F5">
        <w:rPr>
          <w:rFonts w:ascii="Arial" w:eastAsia="Arial" w:hAnsi="Arial" w:cs="Arial"/>
          <w:sz w:val="20"/>
          <w:szCs w:val="20"/>
        </w:rPr>
        <w:t>The conceptual framework for this study proposes that customer experience influences customer satisfaction, which in turn affects customer loyalty. This relationship is widely supported in services marketing literature, particularly by Wirtz and Lovelock (2021, pp.</w:t>
      </w:r>
      <w:r w:rsidR="519EC4EE" w:rsidRPr="0F2934F5">
        <w:rPr>
          <w:rFonts w:ascii="Arial" w:eastAsia="Arial" w:hAnsi="Arial" w:cs="Arial"/>
          <w:sz w:val="20"/>
          <w:szCs w:val="20"/>
        </w:rPr>
        <w:t xml:space="preserve"> </w:t>
      </w:r>
      <w:r w:rsidRPr="0F2934F5">
        <w:rPr>
          <w:rFonts w:ascii="Arial" w:eastAsia="Arial" w:hAnsi="Arial" w:cs="Arial"/>
          <w:sz w:val="20"/>
          <w:szCs w:val="20"/>
        </w:rPr>
        <w:t xml:space="preserve"> 38–52) and Zeithaml, Bitner and Gremler (2020, pp.</w:t>
      </w:r>
      <w:r w:rsidR="061C0790" w:rsidRPr="0F2934F5">
        <w:rPr>
          <w:rFonts w:ascii="Arial" w:eastAsia="Arial" w:hAnsi="Arial" w:cs="Arial"/>
          <w:sz w:val="20"/>
          <w:szCs w:val="20"/>
        </w:rPr>
        <w:t xml:space="preserve"> </w:t>
      </w:r>
      <w:r w:rsidRPr="0F2934F5">
        <w:rPr>
          <w:rFonts w:ascii="Arial" w:eastAsia="Arial" w:hAnsi="Arial" w:cs="Arial"/>
          <w:sz w:val="20"/>
          <w:szCs w:val="20"/>
        </w:rPr>
        <w:t xml:space="preserve"> 60–65). Positive service experiences improve perceived value and increase the likelihood of repeat behaviour and recommendations.</w:t>
      </w:r>
    </w:p>
    <w:p w14:paraId="29728AD4" w14:textId="6954CF0F" w:rsidR="59BEB73C" w:rsidRDefault="59BEB73C" w:rsidP="2E4158E0">
      <w:pPr>
        <w:spacing w:before="240" w:after="240" w:line="480" w:lineRule="auto"/>
      </w:pPr>
      <w:r w:rsidRPr="2E4158E0">
        <w:rPr>
          <w:rFonts w:ascii="Arial" w:eastAsia="Arial" w:hAnsi="Arial" w:cs="Arial"/>
          <w:sz w:val="20"/>
          <w:szCs w:val="20"/>
        </w:rPr>
        <w:t>The framework incorporates both direct and indirect relationships between the variables. Customer experience is expected to have a direct influence on passenger loyalty, as well as an indirect effect through customer satisfaction, which acts as a mediating variable. This suggests that positive service experiences not only contribute to immediate loyalty outcomes but also shape long-term behavioural intentions through increased satisfaction.</w:t>
      </w:r>
    </w:p>
    <w:p w14:paraId="288D8347" w14:textId="3B1AE9B3" w:rsidR="59BEB73C" w:rsidRDefault="59BEB73C" w:rsidP="2E4158E0">
      <w:pPr>
        <w:spacing w:before="240" w:after="240" w:line="480" w:lineRule="auto"/>
      </w:pPr>
      <w:r w:rsidRPr="2E4158E0">
        <w:rPr>
          <w:rFonts w:ascii="Arial" w:eastAsia="Arial" w:hAnsi="Arial" w:cs="Arial"/>
          <w:sz w:val="20"/>
          <w:szCs w:val="20"/>
        </w:rPr>
        <w:t>However, this framework represents a simplified view of customer behaviour. In practice, additional factors such as price, service availability, and external conditions may also influence passenger decisions. Evidence from other service industries supports this relationship while also highlighting its complexity (Ali et al., 2021; Chikazhe, Makanyeza and Chigunhah, 2021)</w:t>
      </w:r>
    </w:p>
    <w:p w14:paraId="43F391C5" w14:textId="748726D5" w:rsidR="2E4158E0" w:rsidRDefault="2E4158E0" w:rsidP="2E4158E0">
      <w:pPr>
        <w:spacing w:before="240" w:after="240"/>
        <w:rPr>
          <w:rFonts w:ascii="Arial" w:eastAsia="Arial" w:hAnsi="Arial" w:cs="Arial"/>
          <w:sz w:val="20"/>
          <w:szCs w:val="20"/>
        </w:rPr>
      </w:pPr>
    </w:p>
    <w:p w14:paraId="3609EA40" w14:textId="2DF038E3" w:rsidR="13E6C6E7" w:rsidRDefault="13E6C6E7" w:rsidP="13E6C6E7"/>
    <w:p w14:paraId="78CB93EB" w14:textId="138200ED" w:rsidR="410A426B" w:rsidRDefault="410A426B" w:rsidP="410A426B">
      <w:pPr>
        <w:spacing w:before="240" w:after="240"/>
        <w:rPr>
          <w:rFonts w:ascii="Arial" w:eastAsia="Arial" w:hAnsi="Arial" w:cs="Arial"/>
          <w:sz w:val="20"/>
          <w:szCs w:val="20"/>
        </w:rPr>
      </w:pPr>
    </w:p>
    <w:p w14:paraId="51EE7F52" w14:textId="136F6EAD" w:rsidR="7FA7F997" w:rsidRDefault="5C25668A" w:rsidP="410A426B">
      <w:pPr>
        <w:spacing w:before="240" w:after="240"/>
        <w:rPr>
          <w:rFonts w:ascii="Arial" w:eastAsia="Arial" w:hAnsi="Arial" w:cs="Arial"/>
          <w:color w:val="FF0000"/>
          <w:sz w:val="20"/>
          <w:szCs w:val="20"/>
        </w:rPr>
      </w:pPr>
      <w:r>
        <w:rPr>
          <w:noProof/>
        </w:rPr>
        <w:lastRenderedPageBreak/>
        <w:drawing>
          <wp:inline distT="0" distB="0" distL="0" distR="0" wp14:anchorId="4926238B" wp14:editId="190B70F0">
            <wp:extent cx="5943600" cy="3962400"/>
            <wp:effectExtent l="0" t="0" r="0" b="0"/>
            <wp:docPr id="156753966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7539668" name="Picture 1567539668"/>
                    <pic:cNvPicPr/>
                  </pic:nvPicPr>
                  <pic:blipFill>
                    <a:blip r:embed="rId9">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14:paraId="1A2F0813" w14:textId="7056A27A" w:rsidR="7FA7F997" w:rsidRDefault="7FA7F997" w:rsidP="410A426B">
      <w:pPr>
        <w:spacing w:before="240" w:after="240"/>
        <w:rPr>
          <w:rFonts w:ascii="Arial" w:eastAsia="Arial" w:hAnsi="Arial" w:cs="Arial"/>
          <w:sz w:val="20"/>
          <w:szCs w:val="20"/>
        </w:rPr>
      </w:pPr>
      <w:r w:rsidRPr="13E6C6E7">
        <w:rPr>
          <w:rFonts w:ascii="Arial" w:eastAsia="Arial" w:hAnsi="Arial" w:cs="Arial"/>
          <w:sz w:val="20"/>
          <w:szCs w:val="20"/>
        </w:rPr>
        <w:t xml:space="preserve"> </w:t>
      </w:r>
    </w:p>
    <w:p w14:paraId="1285E5AA" w14:textId="71084F02" w:rsidR="48250ECE" w:rsidRDefault="48250ECE"/>
    <w:p w14:paraId="37D8D6BA" w14:textId="77777777" w:rsidR="00BC3CEA" w:rsidRDefault="00BC3CEA" w:rsidP="48250ECE">
      <w:pPr>
        <w:pStyle w:val="Heading2"/>
        <w:spacing w:before="299" w:after="299"/>
        <w:rPr>
          <w:rFonts w:ascii="Arial" w:eastAsia="Arial" w:hAnsi="Arial" w:cs="Arial"/>
        </w:rPr>
      </w:pPr>
      <w:bookmarkStart w:id="75" w:name="_Toc228398780"/>
    </w:p>
    <w:p w14:paraId="19FB5297" w14:textId="77777777" w:rsidR="00BC3CEA" w:rsidRDefault="00BC3CEA" w:rsidP="48250ECE">
      <w:pPr>
        <w:pStyle w:val="Heading2"/>
        <w:spacing w:before="299" w:after="299"/>
        <w:rPr>
          <w:rFonts w:ascii="Arial" w:eastAsia="Arial" w:hAnsi="Arial" w:cs="Arial"/>
        </w:rPr>
      </w:pPr>
    </w:p>
    <w:p w14:paraId="2F1A56B9" w14:textId="64E5E6A9" w:rsidR="3571D49E" w:rsidRPr="00DA4C79" w:rsidRDefault="3571D49E" w:rsidP="36385224">
      <w:pPr>
        <w:pStyle w:val="Heading2"/>
        <w:spacing w:before="299" w:after="299"/>
        <w:rPr>
          <w:rFonts w:ascii="Arial" w:eastAsia="Arial" w:hAnsi="Arial" w:cs="Arial"/>
        </w:rPr>
      </w:pPr>
    </w:p>
    <w:p w14:paraId="32DFCD05" w14:textId="593899DC" w:rsidR="3571D49E" w:rsidRPr="00DA4C79" w:rsidRDefault="3571D49E" w:rsidP="36385224"/>
    <w:p w14:paraId="5C6349A8" w14:textId="26D13022" w:rsidR="3571D49E" w:rsidRPr="00DA4C79" w:rsidRDefault="3571D49E" w:rsidP="36385224">
      <w:pPr>
        <w:pStyle w:val="Heading2"/>
        <w:spacing w:before="299" w:after="299"/>
        <w:rPr>
          <w:rFonts w:ascii="Arial" w:eastAsia="Arial" w:hAnsi="Arial" w:cs="Arial"/>
        </w:rPr>
      </w:pPr>
    </w:p>
    <w:p w14:paraId="1326DC23" w14:textId="5BED9B83" w:rsidR="59CD09D6" w:rsidRDefault="59CD09D6" w:rsidP="59CD09D6"/>
    <w:p w14:paraId="7E7520DC" w14:textId="0AC87234" w:rsidR="59CD09D6" w:rsidRDefault="59CD09D6" w:rsidP="59CD09D6"/>
    <w:p w14:paraId="42D5B249" w14:textId="0708C1B6" w:rsidR="59CD09D6" w:rsidRDefault="59CD09D6" w:rsidP="59CD09D6"/>
    <w:p w14:paraId="4C0C059D" w14:textId="3888F1A9" w:rsidR="3571D49E" w:rsidRPr="00DA4C79" w:rsidRDefault="2D18F268" w:rsidP="59CD09D6">
      <w:pPr>
        <w:pStyle w:val="Heading2"/>
        <w:rPr>
          <w:rFonts w:ascii="Arial" w:eastAsia="Arial" w:hAnsi="Arial" w:cs="Arial"/>
        </w:rPr>
      </w:pPr>
      <w:bookmarkStart w:id="76" w:name="_Toc2028221953"/>
      <w:bookmarkStart w:id="77" w:name="_Toc951658850"/>
      <w:bookmarkStart w:id="78" w:name="_Toc1407479101"/>
      <w:bookmarkStart w:id="79" w:name="_Toc903104020"/>
      <w:r>
        <w:lastRenderedPageBreak/>
        <w:t>2.6 Overview of Selected Studies</w:t>
      </w:r>
      <w:bookmarkEnd w:id="75"/>
      <w:bookmarkEnd w:id="76"/>
      <w:bookmarkEnd w:id="77"/>
      <w:bookmarkEnd w:id="78"/>
      <w:bookmarkEnd w:id="79"/>
    </w:p>
    <w:p w14:paraId="162B8D18" w14:textId="51DA8183" w:rsidR="37137CE4" w:rsidRDefault="37137CE4" w:rsidP="36385224">
      <w:pPr>
        <w:spacing w:before="240" w:after="240" w:line="480" w:lineRule="auto"/>
      </w:pPr>
      <w:r w:rsidRPr="36385224">
        <w:rPr>
          <w:rFonts w:ascii="Arial" w:eastAsia="Arial" w:hAnsi="Arial" w:cs="Arial"/>
          <w:sz w:val="20"/>
          <w:szCs w:val="20"/>
        </w:rPr>
        <w:t>The selected studies were examined to identify key findings related to customer experience, customer satisfaction, and customer loyalty. The literature was drawn from multiple service industries to provide a broad understanding of the topic. Each study was chosen based on its relevance and contribution to the research.</w:t>
      </w:r>
    </w:p>
    <w:p w14:paraId="766111CF" w14:textId="2A9034A6" w:rsidR="26FA2D96" w:rsidRDefault="26FA2D96" w:rsidP="77DF9B16">
      <w:pPr>
        <w:spacing w:before="240" w:after="240"/>
        <w:rPr>
          <w:rFonts w:ascii="Arial" w:eastAsia="Arial" w:hAnsi="Arial" w:cs="Arial"/>
          <w:color w:val="FF0000"/>
          <w:sz w:val="20"/>
          <w:szCs w:val="20"/>
        </w:rPr>
      </w:pPr>
    </w:p>
    <w:p w14:paraId="6A3AEB2A" w14:textId="15C6F271" w:rsidR="3571D49E" w:rsidRPr="00671E2D" w:rsidRDefault="2D18F268" w:rsidP="59CD09D6">
      <w:pPr>
        <w:pStyle w:val="Heading2"/>
        <w:spacing w:before="299" w:after="299" w:line="480" w:lineRule="auto"/>
        <w:rPr>
          <w:rFonts w:ascii="Arial" w:eastAsia="Arial" w:hAnsi="Arial" w:cs="Arial"/>
        </w:rPr>
      </w:pPr>
      <w:bookmarkStart w:id="80" w:name="_Toc228398781"/>
      <w:bookmarkStart w:id="81" w:name="_Toc1203554563"/>
      <w:bookmarkStart w:id="82" w:name="_Toc2022875274"/>
      <w:bookmarkStart w:id="83" w:name="_Toc826964963"/>
      <w:bookmarkStart w:id="84" w:name="_Toc1031257545"/>
      <w:r w:rsidRPr="370D7818">
        <w:rPr>
          <w:rFonts w:ascii="Arial" w:eastAsia="Arial" w:hAnsi="Arial" w:cs="Arial"/>
        </w:rPr>
        <w:t>2.7 Research Gap</w:t>
      </w:r>
      <w:bookmarkEnd w:id="80"/>
      <w:bookmarkEnd w:id="81"/>
      <w:bookmarkEnd w:id="82"/>
      <w:bookmarkEnd w:id="83"/>
      <w:bookmarkEnd w:id="84"/>
    </w:p>
    <w:p w14:paraId="4DA71BA1" w14:textId="37A9BDEE" w:rsidR="1ED24F17" w:rsidRDefault="1ED24F17" w:rsidP="36385224">
      <w:pPr>
        <w:spacing w:before="240" w:after="240" w:line="480" w:lineRule="auto"/>
      </w:pPr>
      <w:r w:rsidRPr="0F2934F5">
        <w:rPr>
          <w:rFonts w:ascii="Arial" w:eastAsia="Arial" w:hAnsi="Arial" w:cs="Arial"/>
          <w:sz w:val="20"/>
          <w:szCs w:val="20"/>
        </w:rPr>
        <w:t xml:space="preserve">Despite a large body of research on customer experience and loyalty, there is limited work focusing specifically on Turkish Airlines. Much of the existing literature explores general industry trends or low-cost carriers rather than full-service international airlines. Wirtz and Lovelock (2021, pp. </w:t>
      </w:r>
      <w:r w:rsidR="307F10A5" w:rsidRPr="0F2934F5">
        <w:rPr>
          <w:rFonts w:ascii="Arial" w:eastAsia="Arial" w:hAnsi="Arial" w:cs="Arial"/>
          <w:sz w:val="20"/>
          <w:szCs w:val="20"/>
        </w:rPr>
        <w:t xml:space="preserve"> </w:t>
      </w:r>
      <w:r w:rsidRPr="0F2934F5">
        <w:rPr>
          <w:rFonts w:ascii="Arial" w:eastAsia="Arial" w:hAnsi="Arial" w:cs="Arial"/>
          <w:sz w:val="20"/>
          <w:szCs w:val="20"/>
        </w:rPr>
        <w:t>50–55) suggest that customer expectations differ across contexts, highlighting the need for more focused research.</w:t>
      </w:r>
    </w:p>
    <w:p w14:paraId="77C6B0C1" w14:textId="142C7850" w:rsidR="3571D49E" w:rsidRDefault="2D18F268" w:rsidP="46E8CDCF">
      <w:pPr>
        <w:spacing w:before="240" w:after="240" w:line="480" w:lineRule="auto"/>
        <w:rPr>
          <w:rFonts w:ascii="Arial" w:eastAsia="Arial" w:hAnsi="Arial" w:cs="Arial"/>
          <w:sz w:val="20"/>
          <w:szCs w:val="20"/>
        </w:rPr>
      </w:pPr>
      <w:r w:rsidRPr="46E8CDCF">
        <w:rPr>
          <w:rFonts w:ascii="Arial" w:eastAsia="Arial" w:hAnsi="Arial" w:cs="Arial"/>
          <w:sz w:val="20"/>
          <w:szCs w:val="20"/>
        </w:rPr>
        <w:t xml:space="preserve">Studies from hospitality and banking </w:t>
      </w:r>
      <w:r w:rsidR="1C830F58" w:rsidRPr="46E8CDCF">
        <w:rPr>
          <w:rFonts w:ascii="Arial" w:eastAsia="Arial" w:hAnsi="Arial" w:cs="Arial"/>
          <w:sz w:val="20"/>
          <w:szCs w:val="20"/>
        </w:rPr>
        <w:t>(Ali et al., 2021)</w:t>
      </w:r>
      <w:r w:rsidRPr="46E8CDCF">
        <w:rPr>
          <w:rFonts w:ascii="Arial" w:eastAsia="Arial" w:hAnsi="Arial" w:cs="Arial"/>
          <w:sz w:val="20"/>
          <w:szCs w:val="20"/>
        </w:rPr>
        <w:t xml:space="preserve"> support existing frameworks but do not directly apply to aviation. Airline-focused studies such as Xie, Zhang and Morrison (2020), Leon and Dixon (2023), and Tay (2023) provide useful insights but do not focus specifically on Turkish Airlines. This highlights a clear gap in the literature and supports the need for this study.</w:t>
      </w:r>
    </w:p>
    <w:p w14:paraId="15D42467" w14:textId="1580FB4A" w:rsidR="48250ECE" w:rsidRDefault="48250ECE"/>
    <w:p w14:paraId="091B5D22" w14:textId="5A2B99EC" w:rsidR="3571D49E" w:rsidRPr="00671E2D" w:rsidRDefault="2D18F268" w:rsidP="2E4158E0">
      <w:pPr>
        <w:pStyle w:val="Heading2"/>
        <w:spacing w:before="299" w:after="299" w:line="480" w:lineRule="auto"/>
      </w:pPr>
      <w:bookmarkStart w:id="85" w:name="_Toc228398782"/>
      <w:bookmarkStart w:id="86" w:name="_Toc1793533043"/>
      <w:bookmarkStart w:id="87" w:name="_Toc255570639"/>
      <w:bookmarkStart w:id="88" w:name="_Toc542788434"/>
      <w:bookmarkStart w:id="89" w:name="_Toc568412039"/>
      <w:r w:rsidRPr="370D7818">
        <w:rPr>
          <w:rFonts w:ascii="Arial" w:eastAsia="Arial" w:hAnsi="Arial" w:cs="Arial"/>
        </w:rPr>
        <w:t xml:space="preserve">2.8 </w:t>
      </w:r>
      <w:r w:rsidR="36E59353" w:rsidRPr="370D7818">
        <w:rPr>
          <w:rFonts w:ascii="Arial" w:eastAsia="Arial" w:hAnsi="Arial" w:cs="Arial"/>
        </w:rPr>
        <w:t>Summ</w:t>
      </w:r>
      <w:r w:rsidR="62068BEC" w:rsidRPr="370D7818">
        <w:rPr>
          <w:rFonts w:ascii="Arial" w:eastAsia="Arial" w:hAnsi="Arial" w:cs="Arial"/>
        </w:rPr>
        <w:t>a</w:t>
      </w:r>
      <w:r w:rsidR="36E59353" w:rsidRPr="370D7818">
        <w:rPr>
          <w:rFonts w:ascii="Arial" w:eastAsia="Arial" w:hAnsi="Arial" w:cs="Arial"/>
        </w:rPr>
        <w:t>ry</w:t>
      </w:r>
      <w:bookmarkEnd w:id="85"/>
      <w:bookmarkEnd w:id="86"/>
      <w:bookmarkEnd w:id="87"/>
      <w:bookmarkEnd w:id="88"/>
      <w:bookmarkEnd w:id="89"/>
      <w:r w:rsidR="36E59353" w:rsidRPr="370D7818">
        <w:rPr>
          <w:rFonts w:ascii="Arial" w:eastAsia="Arial" w:hAnsi="Arial" w:cs="Arial"/>
        </w:rPr>
        <w:t xml:space="preserve"> </w:t>
      </w:r>
    </w:p>
    <w:p w14:paraId="30E8145D" w14:textId="053F917D" w:rsidR="3571D49E" w:rsidRDefault="5B05E0D8" w:rsidP="0F2934F5">
      <w:pPr>
        <w:spacing w:before="240" w:after="240" w:line="480" w:lineRule="auto"/>
        <w:rPr>
          <w:rFonts w:ascii="Arial" w:eastAsia="Arial" w:hAnsi="Arial" w:cs="Arial"/>
          <w:sz w:val="20"/>
          <w:szCs w:val="20"/>
        </w:rPr>
      </w:pPr>
      <w:r w:rsidRPr="0F2934F5">
        <w:rPr>
          <w:rFonts w:ascii="Arial" w:eastAsia="Arial" w:hAnsi="Arial" w:cs="Arial"/>
          <w:sz w:val="20"/>
          <w:szCs w:val="20"/>
        </w:rPr>
        <w:t xml:space="preserve">This chapter has critically evaluated the literature on customer experience, satisfaction, and loyalty across multiple service industries. It has drawn on key theoretical frameworks, </w:t>
      </w:r>
      <w:r w:rsidR="1810DEA4" w:rsidRPr="0F2934F5">
        <w:rPr>
          <w:rFonts w:ascii="Arial" w:eastAsia="Arial" w:hAnsi="Arial" w:cs="Arial"/>
          <w:sz w:val="20"/>
          <w:szCs w:val="20"/>
        </w:rPr>
        <w:t>including Wirtz and Lovelock</w:t>
      </w:r>
      <w:r w:rsidR="1810DEA4" w:rsidRPr="0F2934F5">
        <w:rPr>
          <w:rFonts w:ascii="Arial" w:eastAsia="Arial" w:hAnsi="Arial" w:cs="Arial"/>
          <w:b/>
          <w:bCs/>
          <w:sz w:val="20"/>
          <w:szCs w:val="20"/>
        </w:rPr>
        <w:t xml:space="preserve"> </w:t>
      </w:r>
      <w:r w:rsidR="1810DEA4" w:rsidRPr="0F2934F5">
        <w:rPr>
          <w:rFonts w:ascii="Arial" w:eastAsia="Arial" w:hAnsi="Arial" w:cs="Arial"/>
          <w:sz w:val="20"/>
          <w:szCs w:val="20"/>
        </w:rPr>
        <w:t>(2021, pp.</w:t>
      </w:r>
      <w:r w:rsidR="2FD019EC" w:rsidRPr="0F2934F5">
        <w:rPr>
          <w:rFonts w:ascii="Arial" w:eastAsia="Arial" w:hAnsi="Arial" w:cs="Arial"/>
          <w:sz w:val="20"/>
          <w:szCs w:val="20"/>
        </w:rPr>
        <w:t xml:space="preserve"> </w:t>
      </w:r>
      <w:r w:rsidR="1810DEA4" w:rsidRPr="0F2934F5">
        <w:rPr>
          <w:rFonts w:ascii="Arial" w:eastAsia="Arial" w:hAnsi="Arial" w:cs="Arial"/>
          <w:sz w:val="20"/>
          <w:szCs w:val="20"/>
        </w:rPr>
        <w:t xml:space="preserve"> 38–52), Oliver (2020), and Zeithaml, Bitner and Gremler (2020)</w:t>
      </w:r>
      <w:r w:rsidRPr="0F2934F5">
        <w:rPr>
          <w:rFonts w:ascii="Arial" w:eastAsia="Arial" w:hAnsi="Arial" w:cs="Arial"/>
          <w:sz w:val="20"/>
          <w:szCs w:val="20"/>
        </w:rPr>
        <w:t>, alongside supporting empirical studies. The conceptual framework was introduced, and a clear research gap was identified</w:t>
      </w:r>
    </w:p>
    <w:p w14:paraId="528D315A" w14:textId="38B0C103" w:rsidR="2AFC645D" w:rsidRPr="00AE4165" w:rsidRDefault="14EAF1F4" w:rsidP="36385224">
      <w:pPr>
        <w:pStyle w:val="Heading2"/>
        <w:spacing w:before="240" w:after="240"/>
        <w:rPr>
          <w:rFonts w:ascii="Arial" w:eastAsia="Arial" w:hAnsi="Arial" w:cs="Arial"/>
          <w:sz w:val="20"/>
          <w:szCs w:val="20"/>
        </w:rPr>
      </w:pPr>
      <w:bookmarkStart w:id="90" w:name="_Toc228398783"/>
      <w:bookmarkStart w:id="91" w:name="_Toc144180190"/>
      <w:bookmarkStart w:id="92" w:name="_Toc1257706558"/>
      <w:bookmarkStart w:id="93" w:name="_Toc94827630"/>
      <w:bookmarkStart w:id="94" w:name="_Toc1755872912"/>
      <w:r>
        <w:lastRenderedPageBreak/>
        <w:t>Chapter 3 Research Methodology</w:t>
      </w:r>
      <w:bookmarkEnd w:id="90"/>
      <w:bookmarkEnd w:id="91"/>
      <w:bookmarkEnd w:id="92"/>
      <w:bookmarkEnd w:id="93"/>
      <w:bookmarkEnd w:id="94"/>
      <w:r>
        <w:t xml:space="preserve"> </w:t>
      </w:r>
    </w:p>
    <w:p w14:paraId="564EA719" w14:textId="02111159" w:rsidR="2AFC645D" w:rsidRPr="00AE4165" w:rsidRDefault="4FBB455F" w:rsidP="005025D7">
      <w:pPr>
        <w:pStyle w:val="Heading2"/>
      </w:pPr>
      <w:bookmarkStart w:id="95" w:name="_Toc228398784"/>
      <w:bookmarkStart w:id="96" w:name="_Toc514845254"/>
      <w:bookmarkStart w:id="97" w:name="_Toc1920785713"/>
      <w:bookmarkStart w:id="98" w:name="_Toc926577692"/>
      <w:bookmarkStart w:id="99" w:name="_Toc29906559"/>
      <w:r>
        <w:t>3.1 Introduction</w:t>
      </w:r>
      <w:bookmarkEnd w:id="95"/>
      <w:bookmarkEnd w:id="96"/>
      <w:bookmarkEnd w:id="97"/>
      <w:bookmarkEnd w:id="98"/>
      <w:bookmarkEnd w:id="99"/>
      <w:r>
        <w:t xml:space="preserve"> </w:t>
      </w:r>
    </w:p>
    <w:p w14:paraId="473A7B10" w14:textId="6C2D6FCF" w:rsidR="6279F828" w:rsidRDefault="6279F828" w:rsidP="36385224">
      <w:pPr>
        <w:spacing w:before="240" w:after="240" w:line="480" w:lineRule="auto"/>
      </w:pPr>
      <w:r w:rsidRPr="36385224">
        <w:rPr>
          <w:rFonts w:ascii="Arial" w:eastAsia="Arial" w:hAnsi="Arial" w:cs="Arial"/>
          <w:sz w:val="20"/>
          <w:szCs w:val="20"/>
        </w:rPr>
        <w:t>This chapter describes the methodological approach applied in this study. It explains and justifies the research philosophy, research approach, research method, research strategy, data sources, and analytical technique used to examine how customer experience influences passenger loyalty within Turkish Airlines. The chapter also presents the search strategy and selection criteria used to identify relevant secondary literature and explains how the findings were analysed and grouped into key themes. The chapter concludes by addressing the ethical considerations and limitations associated with the research design. The structure and justification of these methodological choices are informed by established research principles (Saunders, Lewis and Thornhill, 2023).</w:t>
      </w:r>
    </w:p>
    <w:p w14:paraId="2F5E3EFE" w14:textId="1ADDD590" w:rsidR="05B25AB4" w:rsidRPr="00671E2D" w:rsidRDefault="559F9B8E" w:rsidP="2E4158E0">
      <w:pPr>
        <w:pStyle w:val="Heading2"/>
        <w:spacing w:before="299" w:after="299" w:line="480" w:lineRule="auto"/>
        <w:rPr>
          <w:rFonts w:ascii="Arial" w:eastAsia="Arial" w:hAnsi="Arial" w:cs="Arial"/>
        </w:rPr>
      </w:pPr>
      <w:bookmarkStart w:id="100" w:name="_Toc228398785"/>
      <w:bookmarkStart w:id="101" w:name="_Toc635992969"/>
      <w:bookmarkStart w:id="102" w:name="_Toc781128301"/>
      <w:bookmarkStart w:id="103" w:name="_Toc9401048"/>
      <w:bookmarkStart w:id="104" w:name="_Toc435632621"/>
      <w:r w:rsidRPr="370D7818">
        <w:rPr>
          <w:rFonts w:ascii="Arial" w:eastAsia="Arial" w:hAnsi="Arial" w:cs="Arial"/>
        </w:rPr>
        <w:t>3.2 Research Philosophy</w:t>
      </w:r>
      <w:bookmarkEnd w:id="100"/>
      <w:bookmarkEnd w:id="101"/>
      <w:bookmarkEnd w:id="102"/>
      <w:bookmarkEnd w:id="103"/>
      <w:bookmarkEnd w:id="104"/>
    </w:p>
    <w:p w14:paraId="77B39D2D" w14:textId="5C6FDF7D" w:rsidR="1309A58B" w:rsidRDefault="20B064E9" w:rsidP="2E4158E0">
      <w:pPr>
        <w:spacing w:before="240" w:after="240" w:line="480" w:lineRule="auto"/>
        <w:rPr>
          <w:rFonts w:ascii="Arial" w:eastAsia="Arial" w:hAnsi="Arial" w:cs="Arial"/>
          <w:sz w:val="20"/>
          <w:szCs w:val="20"/>
        </w:rPr>
      </w:pPr>
      <w:r w:rsidRPr="2E4158E0">
        <w:rPr>
          <w:rFonts w:ascii="Arial" w:eastAsia="Arial" w:hAnsi="Arial" w:cs="Arial"/>
          <w:sz w:val="20"/>
          <w:szCs w:val="20"/>
        </w:rPr>
        <w:t>This study adopts interpretivism as its primary research philosophy. Interpretivism focuses on understanding how individuals interpret and give meaning to their experiences, rather than measuring reality objectively. It is particularly suitable for research that explores perceptions, meanings, and relationships within a specific context (Saunders, Lewis and Thornhill, 2023).</w:t>
      </w:r>
    </w:p>
    <w:p w14:paraId="6866A055" w14:textId="4B332D09" w:rsidR="1309A58B" w:rsidRDefault="20B064E9" w:rsidP="2E4158E0">
      <w:pPr>
        <w:spacing w:before="240" w:after="240" w:line="480" w:lineRule="auto"/>
        <w:rPr>
          <w:rFonts w:ascii="Arial" w:eastAsia="Arial" w:hAnsi="Arial" w:cs="Arial"/>
          <w:sz w:val="20"/>
          <w:szCs w:val="20"/>
        </w:rPr>
      </w:pPr>
      <w:r w:rsidRPr="2E4158E0">
        <w:rPr>
          <w:rFonts w:ascii="Arial" w:eastAsia="Arial" w:hAnsi="Arial" w:cs="Arial"/>
          <w:sz w:val="20"/>
          <w:szCs w:val="20"/>
        </w:rPr>
        <w:t>Interpretivism is appropriate for this study because it allows the researcher to analyse and interpret existing literature on customer experience and passenger loyalty. As this research is based entirely on secondary data, it requires an understanding of how different researchers have explained and interpreted these concepts. This supports a deeper and more contextual understanding of the relationship between customer experience and loyalty.</w:t>
      </w:r>
    </w:p>
    <w:p w14:paraId="3077714D" w14:textId="38E92C4E" w:rsidR="1309A58B" w:rsidRDefault="648853BB" w:rsidP="2E4158E0">
      <w:pPr>
        <w:spacing w:before="240" w:after="240" w:line="480" w:lineRule="auto"/>
        <w:rPr>
          <w:rFonts w:ascii="Arial" w:eastAsia="Arial" w:hAnsi="Arial" w:cs="Arial"/>
          <w:sz w:val="20"/>
          <w:szCs w:val="20"/>
        </w:rPr>
      </w:pPr>
      <w:r w:rsidRPr="2E4158E0">
        <w:rPr>
          <w:rFonts w:ascii="Arial" w:eastAsia="Arial" w:hAnsi="Arial" w:cs="Arial"/>
          <w:color w:val="000000" w:themeColor="text1"/>
          <w:sz w:val="20"/>
          <w:szCs w:val="20"/>
        </w:rPr>
        <w:t>E</w:t>
      </w:r>
      <w:r w:rsidR="214E919A" w:rsidRPr="2E4158E0">
        <w:rPr>
          <w:rFonts w:ascii="Arial" w:eastAsia="Arial" w:hAnsi="Arial" w:cs="Arial"/>
          <w:color w:val="000000" w:themeColor="text1"/>
          <w:sz w:val="20"/>
          <w:szCs w:val="20"/>
        </w:rPr>
        <w:t>mpirical studies</w:t>
      </w:r>
      <w:r w:rsidRPr="2E4158E0">
        <w:rPr>
          <w:rFonts w:ascii="Arial" w:eastAsia="Arial" w:hAnsi="Arial" w:cs="Arial"/>
          <w:color w:val="000000" w:themeColor="text1"/>
          <w:sz w:val="20"/>
          <w:szCs w:val="20"/>
        </w:rPr>
        <w:t xml:space="preserve"> </w:t>
      </w:r>
      <w:r w:rsidRPr="2E4158E0">
        <w:rPr>
          <w:rFonts w:ascii="Arial" w:eastAsia="Arial" w:hAnsi="Arial" w:cs="Arial"/>
          <w:sz w:val="20"/>
          <w:szCs w:val="20"/>
        </w:rPr>
        <w:t xml:space="preserve">are also considered </w:t>
      </w:r>
      <w:r w:rsidR="414317AE" w:rsidRPr="2E4158E0">
        <w:rPr>
          <w:rFonts w:ascii="Arial" w:eastAsia="Arial" w:hAnsi="Arial" w:cs="Arial"/>
          <w:sz w:val="20"/>
          <w:szCs w:val="20"/>
        </w:rPr>
        <w:t xml:space="preserve">in </w:t>
      </w:r>
      <w:r w:rsidRPr="2E4158E0">
        <w:rPr>
          <w:rFonts w:ascii="Arial" w:eastAsia="Arial" w:hAnsi="Arial" w:cs="Arial"/>
          <w:sz w:val="20"/>
          <w:szCs w:val="20"/>
        </w:rPr>
        <w:t xml:space="preserve">this </w:t>
      </w:r>
      <w:r w:rsidR="4716BD60" w:rsidRPr="2E4158E0">
        <w:rPr>
          <w:rFonts w:ascii="Arial" w:eastAsia="Arial" w:hAnsi="Arial" w:cs="Arial"/>
          <w:sz w:val="20"/>
          <w:szCs w:val="20"/>
        </w:rPr>
        <w:t>research</w:t>
      </w:r>
      <w:r w:rsidRPr="2E4158E0">
        <w:rPr>
          <w:rFonts w:ascii="Arial" w:eastAsia="Arial" w:hAnsi="Arial" w:cs="Arial"/>
          <w:sz w:val="20"/>
          <w:szCs w:val="20"/>
        </w:rPr>
        <w:t xml:space="preserve">. These studies provide </w:t>
      </w:r>
      <w:r w:rsidR="7C361907" w:rsidRPr="2E4158E0">
        <w:rPr>
          <w:rFonts w:ascii="Arial" w:eastAsia="Arial" w:hAnsi="Arial" w:cs="Arial"/>
          <w:sz w:val="20"/>
          <w:szCs w:val="20"/>
        </w:rPr>
        <w:t xml:space="preserve">empirical </w:t>
      </w:r>
      <w:r w:rsidRPr="2E4158E0">
        <w:rPr>
          <w:rFonts w:ascii="Arial" w:eastAsia="Arial" w:hAnsi="Arial" w:cs="Arial"/>
          <w:sz w:val="20"/>
          <w:szCs w:val="20"/>
        </w:rPr>
        <w:t>evidence of relationships between variables, such as the link between customer experience and passenger loyalty (Lai, 2023; Marin et al., 2024). However, these findings are interpreted within a qualitative framework to ensure that both numerical evidence and contextual understanding are considered.</w:t>
      </w:r>
    </w:p>
    <w:p w14:paraId="3FE19856" w14:textId="06336652" w:rsidR="1309A58B" w:rsidRDefault="20B064E9" w:rsidP="2E4158E0">
      <w:pPr>
        <w:spacing w:before="240" w:after="240" w:line="480" w:lineRule="auto"/>
        <w:rPr>
          <w:rFonts w:ascii="Arial" w:eastAsia="Arial" w:hAnsi="Arial" w:cs="Arial"/>
          <w:sz w:val="20"/>
          <w:szCs w:val="20"/>
        </w:rPr>
      </w:pPr>
      <w:r w:rsidRPr="0F2934F5">
        <w:rPr>
          <w:rFonts w:ascii="Arial" w:eastAsia="Arial" w:hAnsi="Arial" w:cs="Arial"/>
          <w:sz w:val="20"/>
          <w:szCs w:val="20"/>
        </w:rPr>
        <w:lastRenderedPageBreak/>
        <w:t xml:space="preserve">This combined approach allows for a more balanced analysis of the research problem. Bell and Bryman </w:t>
      </w:r>
      <w:r w:rsidR="5D174D7E" w:rsidRPr="0F2934F5">
        <w:rPr>
          <w:rFonts w:ascii="Arial" w:eastAsia="Arial" w:hAnsi="Arial" w:cs="Arial"/>
          <w:sz w:val="20"/>
          <w:szCs w:val="20"/>
        </w:rPr>
        <w:t>(</w:t>
      </w:r>
      <w:r w:rsidRPr="0F2934F5">
        <w:rPr>
          <w:rFonts w:ascii="Arial" w:eastAsia="Arial" w:hAnsi="Arial" w:cs="Arial"/>
          <w:sz w:val="20"/>
          <w:szCs w:val="20"/>
        </w:rPr>
        <w:t>2022</w:t>
      </w:r>
      <w:proofErr w:type="gramStart"/>
      <w:r w:rsidRPr="0F2934F5">
        <w:rPr>
          <w:rFonts w:ascii="Arial" w:eastAsia="Arial" w:hAnsi="Arial" w:cs="Arial"/>
          <w:sz w:val="20"/>
          <w:szCs w:val="20"/>
        </w:rPr>
        <w:t>)</w:t>
      </w:r>
      <w:r w:rsidR="44BD913E" w:rsidRPr="0F2934F5">
        <w:rPr>
          <w:rFonts w:ascii="Arial" w:eastAsia="Arial" w:hAnsi="Arial" w:cs="Arial"/>
          <w:sz w:val="20"/>
          <w:szCs w:val="20"/>
        </w:rPr>
        <w:t xml:space="preserve"> </w:t>
      </w:r>
      <w:r w:rsidRPr="0F2934F5">
        <w:rPr>
          <w:rFonts w:ascii="Arial" w:eastAsia="Arial" w:hAnsi="Arial" w:cs="Arial"/>
          <w:sz w:val="20"/>
          <w:szCs w:val="20"/>
        </w:rPr>
        <w:t xml:space="preserve"> </w:t>
      </w:r>
      <w:bookmarkStart w:id="105" w:name="_Int_x3UOt92r"/>
      <w:r w:rsidRPr="0F2934F5">
        <w:rPr>
          <w:rFonts w:ascii="Arial" w:eastAsia="Arial" w:hAnsi="Arial" w:cs="Arial"/>
          <w:sz w:val="20"/>
          <w:szCs w:val="20"/>
        </w:rPr>
        <w:t>suggest</w:t>
      </w:r>
      <w:bookmarkEnd w:id="105"/>
      <w:proofErr w:type="gramEnd"/>
      <w:r w:rsidRPr="0F2934F5">
        <w:rPr>
          <w:rFonts w:ascii="Arial" w:eastAsia="Arial" w:hAnsi="Arial" w:cs="Arial"/>
          <w:sz w:val="20"/>
          <w:szCs w:val="20"/>
        </w:rPr>
        <w:t xml:space="preserve"> that business research benefits from a flexible approach to research philosophy, where different perspectives are used to support the research objectives. Adopting interpretivism in this study therefore ensures that the methodology is aligned with the nature of the research and the type of data used.</w:t>
      </w:r>
    </w:p>
    <w:p w14:paraId="17322BDE" w14:textId="4D7D3C75" w:rsidR="05B25AB4" w:rsidRPr="00671E2D" w:rsidRDefault="559F9B8E" w:rsidP="59CD09D6">
      <w:pPr>
        <w:pStyle w:val="Heading2"/>
        <w:spacing w:before="299" w:after="299" w:line="480" w:lineRule="auto"/>
        <w:rPr>
          <w:rFonts w:ascii="Arial" w:eastAsia="Arial" w:hAnsi="Arial" w:cs="Arial"/>
        </w:rPr>
      </w:pPr>
      <w:bookmarkStart w:id="106" w:name="_Toc228398786"/>
      <w:bookmarkStart w:id="107" w:name="_Toc132330747"/>
      <w:bookmarkStart w:id="108" w:name="_Toc570401919"/>
      <w:bookmarkStart w:id="109" w:name="_Toc561121259"/>
      <w:bookmarkStart w:id="110" w:name="_Toc1774046584"/>
      <w:r w:rsidRPr="370D7818">
        <w:rPr>
          <w:rFonts w:ascii="Arial" w:eastAsia="Arial" w:hAnsi="Arial" w:cs="Arial"/>
        </w:rPr>
        <w:t>3.3 Research Type</w:t>
      </w:r>
      <w:bookmarkEnd w:id="106"/>
      <w:bookmarkEnd w:id="107"/>
      <w:bookmarkEnd w:id="108"/>
      <w:bookmarkEnd w:id="109"/>
      <w:bookmarkEnd w:id="110"/>
    </w:p>
    <w:p w14:paraId="4CC66137" w14:textId="273B84BE" w:rsidR="05B25AB4" w:rsidRDefault="559F9B8E" w:rsidP="2E4158E0">
      <w:pPr>
        <w:spacing w:before="240" w:after="240" w:line="480" w:lineRule="auto"/>
      </w:pPr>
      <w:r w:rsidRPr="2E4158E0">
        <w:rPr>
          <w:rFonts w:ascii="Arial" w:eastAsia="Arial" w:hAnsi="Arial" w:cs="Arial"/>
          <w:sz w:val="20"/>
          <w:szCs w:val="20"/>
        </w:rPr>
        <w:t>This study is based exclusively on secondary data. Secondary data refers to information that has already been collected and analysed by other researchers and is subsequently used for a new research purpose (Saunders, Lewis and Thornhill, 2023). The data used in this study includes peer-reviewed journal articles, academic textbooks, doctoral theses, and credible industry publications.</w:t>
      </w:r>
    </w:p>
    <w:p w14:paraId="38E7E5B0" w14:textId="0B45CAAA" w:rsidR="05B25AB4" w:rsidRDefault="559F9B8E" w:rsidP="36385224">
      <w:pPr>
        <w:spacing w:before="240" w:after="240" w:line="480" w:lineRule="auto"/>
      </w:pPr>
      <w:r w:rsidRPr="36385224">
        <w:rPr>
          <w:rFonts w:ascii="Arial" w:eastAsia="Arial" w:hAnsi="Arial" w:cs="Arial"/>
          <w:sz w:val="20"/>
          <w:szCs w:val="20"/>
        </w:rPr>
        <w:t xml:space="preserve">The use of secondary data is both ethically appropriate and methodologically justified. As confirmed by the ethical approval obtained for this research, no primary data involving human participants has been collected. </w:t>
      </w:r>
      <w:r w:rsidR="259EA727" w:rsidRPr="36385224">
        <w:rPr>
          <w:rFonts w:ascii="Arial" w:eastAsia="Arial" w:hAnsi="Arial" w:cs="Arial"/>
          <w:sz w:val="20"/>
          <w:szCs w:val="20"/>
        </w:rPr>
        <w:t>This approach is consistent with the conceptual nature of the study, which seeks to synthesise and interpret existing knowledge rather than generate new empirical data.</w:t>
      </w:r>
      <w:r w:rsidRPr="36385224">
        <w:rPr>
          <w:rFonts w:ascii="Arial" w:eastAsia="Arial" w:hAnsi="Arial" w:cs="Arial"/>
          <w:sz w:val="20"/>
          <w:szCs w:val="20"/>
        </w:rPr>
        <w:t xml:space="preserve"> Cheong et al. (2023) emphasise that secondary qualitative research is a rigorous method when the objective is to analyse and extend existing literature.</w:t>
      </w:r>
    </w:p>
    <w:p w14:paraId="7DAE96B5" w14:textId="645D5537" w:rsidR="5E14FD55" w:rsidRDefault="5E14FD55" w:rsidP="36385224">
      <w:pPr>
        <w:spacing w:before="240" w:after="240" w:line="480" w:lineRule="auto"/>
      </w:pPr>
      <w:r w:rsidRPr="36385224">
        <w:rPr>
          <w:rFonts w:ascii="Arial" w:eastAsia="Arial" w:hAnsi="Arial" w:cs="Arial"/>
          <w:sz w:val="20"/>
          <w:szCs w:val="20"/>
        </w:rPr>
        <w:t>This study therefore relies entirely on secondary data sourced from published academic and industry materials. No primary data was gathered, and no human participants were involved in the research process.</w:t>
      </w:r>
    </w:p>
    <w:p w14:paraId="576FE3B6" w14:textId="77777777" w:rsidR="004C1126" w:rsidRDefault="004C1126" w:rsidP="004C1126">
      <w:bookmarkStart w:id="111" w:name="_Toc228398787"/>
      <w:bookmarkStart w:id="112" w:name="_Toc1735248980"/>
      <w:bookmarkStart w:id="113" w:name="_Toc1381750194"/>
      <w:bookmarkStart w:id="114" w:name="_Toc1709511329"/>
    </w:p>
    <w:p w14:paraId="0FE277BC" w14:textId="77777777" w:rsidR="004C1126" w:rsidRDefault="004C1126" w:rsidP="004C1126"/>
    <w:p w14:paraId="7DC22FDB" w14:textId="77777777" w:rsidR="004C1126" w:rsidRDefault="004C1126" w:rsidP="004C1126"/>
    <w:p w14:paraId="7429D122" w14:textId="77777777" w:rsidR="004C1126" w:rsidRDefault="004C1126" w:rsidP="004C1126"/>
    <w:p w14:paraId="23640A64" w14:textId="77777777" w:rsidR="004C1126" w:rsidRDefault="004C1126" w:rsidP="004C1126"/>
    <w:p w14:paraId="402E4B80" w14:textId="0349057C" w:rsidR="05B25AB4" w:rsidRPr="00671E2D" w:rsidRDefault="559F9B8E" w:rsidP="004C1126">
      <w:pPr>
        <w:pStyle w:val="Heading2"/>
      </w:pPr>
      <w:bookmarkStart w:id="115" w:name="_Toc1511982432"/>
      <w:r>
        <w:lastRenderedPageBreak/>
        <w:t>3.4 Research Approach</w:t>
      </w:r>
      <w:bookmarkEnd w:id="111"/>
      <w:bookmarkEnd w:id="112"/>
      <w:bookmarkEnd w:id="113"/>
      <w:bookmarkEnd w:id="114"/>
      <w:bookmarkEnd w:id="115"/>
    </w:p>
    <w:p w14:paraId="398EC0DC" w14:textId="701324AF" w:rsidR="227F13FE" w:rsidRDefault="227F13FE" w:rsidP="36385224">
      <w:pPr>
        <w:spacing w:before="240" w:after="240" w:line="480" w:lineRule="auto"/>
      </w:pPr>
      <w:r w:rsidRPr="36385224">
        <w:rPr>
          <w:rFonts w:ascii="Arial" w:eastAsia="Arial" w:hAnsi="Arial" w:cs="Arial"/>
          <w:sz w:val="20"/>
          <w:szCs w:val="20"/>
        </w:rPr>
        <w:t>This study adopts an inductive research approach. Inductive research involves drawing conclusions based on patterns identified within the data rather than testing predetermined hypotheses (Saunders, Lewis and Thornhill, 2023). This approach is particularly appropriate for qualitative research where the aim is to generate insight and understanding.</w:t>
      </w:r>
    </w:p>
    <w:p w14:paraId="618F63DD" w14:textId="43B12233" w:rsidR="05B25AB4" w:rsidRDefault="559F9B8E" w:rsidP="2E4158E0">
      <w:pPr>
        <w:spacing w:before="240" w:after="240" w:line="480" w:lineRule="auto"/>
      </w:pPr>
      <w:r w:rsidRPr="2E4158E0">
        <w:rPr>
          <w:rFonts w:ascii="Arial" w:eastAsia="Arial" w:hAnsi="Arial" w:cs="Arial"/>
          <w:sz w:val="20"/>
          <w:szCs w:val="20"/>
        </w:rPr>
        <w:t xml:space="preserve">In this study, the </w:t>
      </w:r>
      <w:r w:rsidRPr="2E4158E0">
        <w:rPr>
          <w:rFonts w:ascii="Arial" w:eastAsia="Arial" w:hAnsi="Arial" w:cs="Arial"/>
          <w:color w:val="000000" w:themeColor="text1"/>
          <w:sz w:val="20"/>
          <w:szCs w:val="20"/>
        </w:rPr>
        <w:t xml:space="preserve">inductive </w:t>
      </w:r>
      <w:r w:rsidRPr="2E4158E0">
        <w:rPr>
          <w:rFonts w:ascii="Arial" w:eastAsia="Arial" w:hAnsi="Arial" w:cs="Arial"/>
          <w:sz w:val="20"/>
          <w:szCs w:val="20"/>
        </w:rPr>
        <w:t xml:space="preserve">approach is applied through the analysis of existing literature. Rather than starting with a fixed theoretical assumption, themes and relationships are allowed to emerge from the data. This supports a more flexible and exploratory analysis, which is consistent with the </w:t>
      </w:r>
      <w:proofErr w:type="gramStart"/>
      <w:r w:rsidR="7C80C7AC" w:rsidRPr="2E4158E0">
        <w:rPr>
          <w:rFonts w:ascii="Arial" w:eastAsia="Arial" w:hAnsi="Arial" w:cs="Arial"/>
          <w:sz w:val="20"/>
          <w:szCs w:val="20"/>
        </w:rPr>
        <w:t xml:space="preserve">interpretivist </w:t>
      </w:r>
      <w:r w:rsidRPr="2E4158E0">
        <w:rPr>
          <w:rFonts w:ascii="Arial" w:eastAsia="Arial" w:hAnsi="Arial" w:cs="Arial"/>
          <w:sz w:val="20"/>
          <w:szCs w:val="20"/>
        </w:rPr>
        <w:t xml:space="preserve"> philosophy</w:t>
      </w:r>
      <w:proofErr w:type="gramEnd"/>
      <w:r w:rsidRPr="2E4158E0">
        <w:rPr>
          <w:rFonts w:ascii="Arial" w:eastAsia="Arial" w:hAnsi="Arial" w:cs="Arial"/>
          <w:sz w:val="20"/>
          <w:szCs w:val="20"/>
        </w:rPr>
        <w:t>. Bell and Bryman (2022) note that inductive approaches are particularly valuable when exploring complex relationships, as they allow for a deeper interpretation of the data.</w:t>
      </w:r>
    </w:p>
    <w:p w14:paraId="778B44EA" w14:textId="2C7BF098" w:rsidR="410A426B" w:rsidRDefault="410A426B" w:rsidP="410A426B">
      <w:pPr>
        <w:spacing w:before="240" w:after="240"/>
        <w:rPr>
          <w:rFonts w:ascii="Arial" w:eastAsia="Arial" w:hAnsi="Arial" w:cs="Arial"/>
          <w:sz w:val="20"/>
          <w:szCs w:val="20"/>
        </w:rPr>
      </w:pPr>
    </w:p>
    <w:p w14:paraId="796FE617" w14:textId="5B535B83" w:rsidR="05B25AB4" w:rsidRPr="00671E2D" w:rsidRDefault="559F9B8E" w:rsidP="59CD09D6">
      <w:pPr>
        <w:pStyle w:val="Heading2"/>
        <w:spacing w:before="299" w:after="299" w:line="480" w:lineRule="auto"/>
        <w:rPr>
          <w:rFonts w:ascii="Arial" w:eastAsia="Arial" w:hAnsi="Arial" w:cs="Arial"/>
        </w:rPr>
      </w:pPr>
      <w:bookmarkStart w:id="116" w:name="_Toc228398788"/>
      <w:bookmarkStart w:id="117" w:name="_Toc243203572"/>
      <w:bookmarkStart w:id="118" w:name="_Toc513186485"/>
      <w:bookmarkStart w:id="119" w:name="_Toc2114680980"/>
      <w:bookmarkStart w:id="120" w:name="_Toc483551069"/>
      <w:r w:rsidRPr="370D7818">
        <w:rPr>
          <w:rFonts w:ascii="Arial" w:eastAsia="Arial" w:hAnsi="Arial" w:cs="Arial"/>
        </w:rPr>
        <w:t>3.5 Research Method</w:t>
      </w:r>
      <w:bookmarkEnd w:id="116"/>
      <w:bookmarkEnd w:id="117"/>
      <w:bookmarkEnd w:id="118"/>
      <w:bookmarkEnd w:id="119"/>
      <w:bookmarkEnd w:id="120"/>
    </w:p>
    <w:p w14:paraId="4F2E79B4" w14:textId="023226DE" w:rsidR="05B25AB4" w:rsidRDefault="559F9B8E" w:rsidP="2E4158E0">
      <w:pPr>
        <w:spacing w:before="240" w:after="240" w:line="480" w:lineRule="auto"/>
      </w:pPr>
      <w:r w:rsidRPr="36385224">
        <w:rPr>
          <w:rFonts w:ascii="Arial" w:eastAsia="Arial" w:hAnsi="Arial" w:cs="Arial"/>
          <w:sz w:val="20"/>
          <w:szCs w:val="20"/>
        </w:rPr>
        <w:t>This study employs a qualitative research method. Qualitative research focuses on understanding meanings, concepts, and relationships through non-numerical data (Saunders, Lewis and Thornhill, 2023). This method is appropriate because the research explores how customer experience influences passenger loyalty, which requires interpretation rather than statistical measurement.</w:t>
      </w:r>
    </w:p>
    <w:p w14:paraId="135FFC42" w14:textId="7EB25D3A" w:rsidR="6E7AB94A" w:rsidRDefault="6E7AB94A" w:rsidP="36385224">
      <w:pPr>
        <w:spacing w:before="240" w:after="240" w:line="480" w:lineRule="auto"/>
      </w:pPr>
      <w:r w:rsidRPr="36385224">
        <w:rPr>
          <w:rFonts w:ascii="Arial" w:eastAsia="Arial" w:hAnsi="Arial" w:cs="Arial"/>
          <w:sz w:val="20"/>
          <w:szCs w:val="20"/>
        </w:rPr>
        <w:t>The qualitative method is applied through a systematic review and critical evaluation of secondary literature. This approach enables the researcher to explore a wide range of studies and identify patterns and relationships across different contexts. While secondary research does not involve direct interaction with participants, it provides access to a substantial body of existing knowledge. As noted by Cheong et al. (2023), the strength of this method lies in its ability to generate theoretically informed insights through careful interpretation of existing research.</w:t>
      </w:r>
    </w:p>
    <w:p w14:paraId="41C8D652" w14:textId="46D6CFB3" w:rsidR="1309A58B" w:rsidRPr="00671E2D" w:rsidRDefault="1309A58B">
      <w:pPr>
        <w:rPr>
          <w:sz w:val="32"/>
          <w:szCs w:val="32"/>
        </w:rPr>
      </w:pPr>
    </w:p>
    <w:p w14:paraId="51AD6844" w14:textId="55C38A81" w:rsidR="05B25AB4" w:rsidRPr="00671E2D" w:rsidRDefault="559F9B8E" w:rsidP="59CD09D6">
      <w:pPr>
        <w:pStyle w:val="Heading2"/>
        <w:spacing w:before="299" w:after="299" w:line="480" w:lineRule="auto"/>
        <w:rPr>
          <w:rFonts w:ascii="Arial" w:eastAsia="Arial" w:hAnsi="Arial" w:cs="Arial"/>
        </w:rPr>
      </w:pPr>
      <w:bookmarkStart w:id="121" w:name="_Toc228398789"/>
      <w:bookmarkStart w:id="122" w:name="_Toc287765443"/>
      <w:bookmarkStart w:id="123" w:name="_Toc1495111341"/>
      <w:bookmarkStart w:id="124" w:name="_Toc1930619579"/>
      <w:bookmarkStart w:id="125" w:name="_Toc871443708"/>
      <w:r w:rsidRPr="370D7818">
        <w:rPr>
          <w:rFonts w:ascii="Arial" w:eastAsia="Arial" w:hAnsi="Arial" w:cs="Arial"/>
        </w:rPr>
        <w:lastRenderedPageBreak/>
        <w:t>3.6 Research Strategy</w:t>
      </w:r>
      <w:bookmarkEnd w:id="121"/>
      <w:bookmarkEnd w:id="122"/>
      <w:bookmarkEnd w:id="123"/>
      <w:bookmarkEnd w:id="124"/>
      <w:bookmarkEnd w:id="125"/>
    </w:p>
    <w:p w14:paraId="37A62A7D" w14:textId="5405D172" w:rsidR="05B25AB4" w:rsidRDefault="559F9B8E" w:rsidP="2E4158E0">
      <w:pPr>
        <w:spacing w:before="240" w:after="240" w:line="480" w:lineRule="auto"/>
      </w:pPr>
      <w:r w:rsidRPr="2E4158E0">
        <w:rPr>
          <w:rFonts w:ascii="Arial" w:eastAsia="Arial" w:hAnsi="Arial" w:cs="Arial"/>
          <w:sz w:val="20"/>
          <w:szCs w:val="20"/>
        </w:rPr>
        <w:t>The research strategy adopted in this study is a conceptual case-based analysis focusing on Turkish Airlines. This approach enables the researcher to examine a specific organisational context through the interpretation of existing literature rather than through primary data collection (Saunders, Lewis and Thornhill, 2023).</w:t>
      </w:r>
    </w:p>
    <w:p w14:paraId="52028E8E" w14:textId="658D2DA8" w:rsidR="05B25AB4" w:rsidRDefault="559F9B8E" w:rsidP="2E4158E0">
      <w:pPr>
        <w:spacing w:before="240" w:after="240" w:line="480" w:lineRule="auto"/>
      </w:pPr>
      <w:r w:rsidRPr="2E4158E0">
        <w:rPr>
          <w:rFonts w:ascii="Arial" w:eastAsia="Arial" w:hAnsi="Arial" w:cs="Arial"/>
          <w:sz w:val="20"/>
          <w:szCs w:val="20"/>
        </w:rPr>
        <w:t>In addition, this study incorporates elements of a Systematic Literature Review (SLR) to ensure a structured and transparent approach to identifying and selecting relevant sources. Sauer and Seuring (2023) describe SLR as a rigorous method for synthesising existing research in a systematic and replicable way. The use of this strategy enhances the credibility and reliability of the study by ensuring that the selection of sources is both comprehensive and methodologically consistent.</w:t>
      </w:r>
    </w:p>
    <w:p w14:paraId="73D36E0B" w14:textId="4EAE4C7F" w:rsidR="1309A58B" w:rsidRDefault="1309A58B"/>
    <w:p w14:paraId="06FACE7A" w14:textId="63035F8A" w:rsidR="1309A58B" w:rsidRPr="00671E2D" w:rsidRDefault="1309A58B" w:rsidP="1309A58B">
      <w:pPr>
        <w:pStyle w:val="Heading2"/>
        <w:spacing w:before="299" w:after="299"/>
        <w:rPr>
          <w:rFonts w:asciiTheme="minorHAnsi" w:eastAsia="Arial" w:hAnsiTheme="minorHAnsi" w:cstheme="minorHAnsi"/>
          <w:b/>
          <w:bCs/>
        </w:rPr>
      </w:pPr>
    </w:p>
    <w:p w14:paraId="096F29F0" w14:textId="59D6D793" w:rsidR="05B25AB4" w:rsidRPr="00671E2D" w:rsidRDefault="559F9B8E" w:rsidP="004C1126">
      <w:pPr>
        <w:pStyle w:val="Heading2"/>
      </w:pPr>
      <w:bookmarkStart w:id="126" w:name="_Toc228398790"/>
      <w:bookmarkStart w:id="127" w:name="_Toc139401651"/>
      <w:bookmarkStart w:id="128" w:name="_Toc1500351098"/>
      <w:bookmarkStart w:id="129" w:name="_Toc1338842316"/>
      <w:bookmarkStart w:id="130" w:name="_Toc1816276390"/>
      <w:r>
        <w:t>3.7 Search Strategy and Selection Criteria</w:t>
      </w:r>
      <w:bookmarkEnd w:id="126"/>
      <w:bookmarkEnd w:id="127"/>
      <w:bookmarkEnd w:id="128"/>
      <w:bookmarkEnd w:id="129"/>
      <w:bookmarkEnd w:id="130"/>
    </w:p>
    <w:p w14:paraId="1CED184E" w14:textId="14556BC0" w:rsidR="05B25AB4" w:rsidRDefault="07C7308F" w:rsidP="2E4158E0">
      <w:pPr>
        <w:spacing w:before="240" w:after="240" w:line="480" w:lineRule="auto"/>
      </w:pPr>
      <w:r w:rsidRPr="2E4158E0">
        <w:rPr>
          <w:rFonts w:ascii="Arial" w:eastAsia="Arial" w:hAnsi="Arial" w:cs="Arial"/>
          <w:sz w:val="20"/>
          <w:szCs w:val="20"/>
        </w:rPr>
        <w:t xml:space="preserve">The literature search was conducted using academic databases including Google </w:t>
      </w:r>
      <w:proofErr w:type="gramStart"/>
      <w:r w:rsidRPr="2E4158E0">
        <w:rPr>
          <w:rFonts w:ascii="Arial" w:eastAsia="Arial" w:hAnsi="Arial" w:cs="Arial"/>
          <w:sz w:val="20"/>
          <w:szCs w:val="20"/>
        </w:rPr>
        <w:t>Scholar</w:t>
      </w:r>
      <w:r w:rsidR="4D11D972" w:rsidRPr="2E4158E0">
        <w:rPr>
          <w:rFonts w:ascii="Arial" w:eastAsia="Arial" w:hAnsi="Arial" w:cs="Arial"/>
          <w:sz w:val="20"/>
          <w:szCs w:val="20"/>
        </w:rPr>
        <w:t>,</w:t>
      </w:r>
      <w:r w:rsidRPr="2E4158E0">
        <w:rPr>
          <w:rFonts w:ascii="Arial" w:eastAsia="Arial" w:hAnsi="Arial" w:cs="Arial"/>
          <w:sz w:val="20"/>
          <w:szCs w:val="20"/>
        </w:rPr>
        <w:t xml:space="preserve">  UWTSD</w:t>
      </w:r>
      <w:proofErr w:type="gramEnd"/>
      <w:r w:rsidRPr="2E4158E0">
        <w:rPr>
          <w:rFonts w:ascii="Arial" w:eastAsia="Arial" w:hAnsi="Arial" w:cs="Arial"/>
          <w:sz w:val="20"/>
          <w:szCs w:val="20"/>
        </w:rPr>
        <w:t xml:space="preserve"> </w:t>
      </w:r>
      <w:r w:rsidR="5126E6EF" w:rsidRPr="2E4158E0">
        <w:rPr>
          <w:rFonts w:ascii="Arial" w:eastAsia="Arial" w:hAnsi="Arial" w:cs="Arial"/>
          <w:sz w:val="20"/>
          <w:szCs w:val="20"/>
        </w:rPr>
        <w:t>library, and academic journal databases</w:t>
      </w:r>
      <w:r w:rsidRPr="2E4158E0">
        <w:rPr>
          <w:rFonts w:ascii="Arial" w:eastAsia="Arial" w:hAnsi="Arial" w:cs="Arial"/>
          <w:sz w:val="20"/>
          <w:szCs w:val="20"/>
        </w:rPr>
        <w:t>. Keywords included customer experience, customer satisfaction, customer loyalty, passenger loyalty, service quality, airline industry, and Turkish Airlines. These keywords were combined with terms such as analysing, evaluating, and examining to refine the search process.</w:t>
      </w:r>
    </w:p>
    <w:p w14:paraId="28923994" w14:textId="26C0C0B2" w:rsidR="05B25AB4" w:rsidRDefault="559F9B8E" w:rsidP="2E4158E0">
      <w:pPr>
        <w:spacing w:before="240" w:after="240" w:line="480" w:lineRule="auto"/>
      </w:pPr>
      <w:r w:rsidRPr="2E4158E0">
        <w:rPr>
          <w:rFonts w:ascii="Arial" w:eastAsia="Arial" w:hAnsi="Arial" w:cs="Arial"/>
          <w:sz w:val="20"/>
          <w:szCs w:val="20"/>
        </w:rPr>
        <w:t>The search was limited to studies published between 2016 and 2026, with priority given to recent and relevant research. Sources were selected based on their academic credibility, relevance to the research topic, and methodological quality. Only peer-reviewed articles, academic textbooks, and credible industry publications were included. This approach follows the principles outlined by Sauer and Seuring (2023), ensuring transparency and reliability in the selection process.</w:t>
      </w:r>
    </w:p>
    <w:p w14:paraId="1928C1DF" w14:textId="4C748548" w:rsidR="759804F3" w:rsidRDefault="759804F3" w:rsidP="1309A58B">
      <w:pPr>
        <w:spacing w:before="240" w:after="240"/>
        <w:rPr>
          <w:rFonts w:ascii="Arial" w:eastAsia="Arial" w:hAnsi="Arial" w:cs="Arial"/>
          <w:sz w:val="20"/>
          <w:szCs w:val="20"/>
        </w:rPr>
      </w:pPr>
      <w:r>
        <w:rPr>
          <w:noProof/>
        </w:rPr>
        <w:lastRenderedPageBreak/>
        <w:drawing>
          <wp:inline distT="0" distB="0" distL="0" distR="0" wp14:anchorId="0DC08A34" wp14:editId="5D8F3742">
            <wp:extent cx="5943600" cy="3962400"/>
            <wp:effectExtent l="0" t="0" r="0" b="0"/>
            <wp:docPr id="73784107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841074" name="Picture 737841074"/>
                    <pic:cNvPicPr/>
                  </pic:nvPicPr>
                  <pic:blipFill>
                    <a:blip r:embed="rId10">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14:paraId="3A73D0EA" w14:textId="01EDC98B" w:rsidR="1309A58B" w:rsidRDefault="1309A58B" w:rsidP="1309A58B">
      <w:pPr>
        <w:spacing w:before="240" w:after="240"/>
        <w:rPr>
          <w:rFonts w:ascii="Arial" w:eastAsia="Arial" w:hAnsi="Arial" w:cs="Arial"/>
          <w:sz w:val="20"/>
          <w:szCs w:val="20"/>
        </w:rPr>
      </w:pPr>
    </w:p>
    <w:p w14:paraId="0388F78A" w14:textId="3D118462" w:rsidR="1309A58B" w:rsidRDefault="1309A58B" w:rsidP="1309A58B">
      <w:pPr>
        <w:spacing w:before="240" w:after="240"/>
        <w:rPr>
          <w:rFonts w:ascii="Arial" w:eastAsia="Arial" w:hAnsi="Arial" w:cs="Arial"/>
          <w:sz w:val="20"/>
          <w:szCs w:val="20"/>
        </w:rPr>
      </w:pPr>
    </w:p>
    <w:p w14:paraId="2DF37CC8" w14:textId="1F53CB50" w:rsidR="1309A58B" w:rsidRDefault="1309A58B"/>
    <w:p w14:paraId="699408BA" w14:textId="4971C0AF" w:rsidR="36385224" w:rsidRDefault="36385224" w:rsidP="36385224">
      <w:pPr>
        <w:pStyle w:val="Heading2"/>
        <w:spacing w:before="299" w:after="299" w:line="480" w:lineRule="auto"/>
        <w:rPr>
          <w:rFonts w:ascii="Arial" w:eastAsia="Arial" w:hAnsi="Arial" w:cs="Arial"/>
        </w:rPr>
      </w:pPr>
    </w:p>
    <w:p w14:paraId="089412D0" w14:textId="77777777" w:rsidR="004C1126" w:rsidRDefault="004C1126" w:rsidP="004C1126">
      <w:bookmarkStart w:id="131" w:name="_Toc228398791"/>
      <w:bookmarkStart w:id="132" w:name="_Toc866317968"/>
      <w:bookmarkStart w:id="133" w:name="_Toc2004758541"/>
      <w:bookmarkStart w:id="134" w:name="_Toc1260965588"/>
    </w:p>
    <w:p w14:paraId="7B537764" w14:textId="77777777" w:rsidR="004C1126" w:rsidRDefault="004C1126" w:rsidP="004C1126"/>
    <w:p w14:paraId="59E5F941" w14:textId="77777777" w:rsidR="004C1126" w:rsidRDefault="004C1126" w:rsidP="004C1126"/>
    <w:p w14:paraId="761F01E6" w14:textId="77777777" w:rsidR="004C1126" w:rsidRDefault="004C1126" w:rsidP="004C1126"/>
    <w:p w14:paraId="674F51D9" w14:textId="77777777" w:rsidR="004C1126" w:rsidRDefault="004C1126" w:rsidP="004C1126"/>
    <w:p w14:paraId="51EB742E" w14:textId="77777777" w:rsidR="004C1126" w:rsidRDefault="004C1126" w:rsidP="004C1126"/>
    <w:p w14:paraId="14FDCAA0" w14:textId="77777777" w:rsidR="004C1126" w:rsidRDefault="004C1126" w:rsidP="004C1126"/>
    <w:p w14:paraId="7B89D615" w14:textId="77777777" w:rsidR="004C1126" w:rsidRDefault="004C1126" w:rsidP="004C1126"/>
    <w:p w14:paraId="350753CD" w14:textId="6753239B" w:rsidR="05B25AB4" w:rsidRPr="00337F00" w:rsidRDefault="559F9B8E" w:rsidP="004C1126">
      <w:pPr>
        <w:pStyle w:val="Heading2"/>
      </w:pPr>
      <w:bookmarkStart w:id="135" w:name="_Toc870972609"/>
      <w:r>
        <w:lastRenderedPageBreak/>
        <w:t>3.8 Data Sources and Analytical Technique</w:t>
      </w:r>
      <w:bookmarkEnd w:id="131"/>
      <w:bookmarkEnd w:id="132"/>
      <w:bookmarkEnd w:id="133"/>
      <w:bookmarkEnd w:id="134"/>
      <w:bookmarkEnd w:id="135"/>
    </w:p>
    <w:p w14:paraId="4F86BFC0" w14:textId="1AC07AF8" w:rsidR="6A448EBE" w:rsidRDefault="6A448EBE" w:rsidP="36385224">
      <w:pPr>
        <w:spacing w:before="240" w:after="240" w:line="480" w:lineRule="auto"/>
      </w:pPr>
      <w:r w:rsidRPr="36385224">
        <w:rPr>
          <w:rFonts w:ascii="Arial" w:eastAsia="Arial" w:hAnsi="Arial" w:cs="Arial"/>
          <w:sz w:val="20"/>
          <w:szCs w:val="20"/>
        </w:rPr>
        <w:t>This study is based on secondary data sources, including academic literature and industry publications. These sources were systematically reviewed and analysed to identify key themes relevant to the research objectives.</w:t>
      </w:r>
    </w:p>
    <w:p w14:paraId="2C2F675B" w14:textId="0759127E" w:rsidR="05B25AB4" w:rsidRDefault="07C7308F" w:rsidP="2E4158E0">
      <w:pPr>
        <w:spacing w:before="240" w:after="240" w:line="480" w:lineRule="auto"/>
      </w:pPr>
      <w:r w:rsidRPr="2E4158E0">
        <w:rPr>
          <w:rFonts w:ascii="Arial" w:eastAsia="Arial" w:hAnsi="Arial" w:cs="Arial"/>
          <w:sz w:val="20"/>
          <w:szCs w:val="20"/>
        </w:rPr>
        <w:t xml:space="preserve">The data analysis was conducted using </w:t>
      </w:r>
      <w:r w:rsidR="438CB9AC" w:rsidRPr="2E4158E0">
        <w:rPr>
          <w:rFonts w:ascii="Arial" w:eastAsia="Arial" w:hAnsi="Arial" w:cs="Arial"/>
          <w:sz w:val="20"/>
          <w:szCs w:val="20"/>
        </w:rPr>
        <w:t xml:space="preserve">thematic </w:t>
      </w:r>
      <w:r w:rsidRPr="2E4158E0">
        <w:rPr>
          <w:rFonts w:ascii="Arial" w:eastAsia="Arial" w:hAnsi="Arial" w:cs="Arial"/>
          <w:sz w:val="20"/>
          <w:szCs w:val="20"/>
        </w:rPr>
        <w:t>analysis, which involved the systematic examination and interpretation of secondary sources. Rather than treating sources independently, they were analysed comparatively to identify recurring patterns, similarities, and differences across studies. This strengthens the robustness of the findings by ensuring that conclusions are supported by multiple sources rather than a single perspective. Bell and Bryman (2022) highlight that document analysis is particularly effective in qualitative research where the aim is to develop a deeper understanding of complex relationships.</w:t>
      </w:r>
    </w:p>
    <w:p w14:paraId="673A1654" w14:textId="1D33304A" w:rsidR="1309A58B" w:rsidRDefault="1309A58B"/>
    <w:p w14:paraId="1DCA452D" w14:textId="35144188" w:rsidR="05B25AB4" w:rsidRPr="00337F00" w:rsidRDefault="559F9B8E" w:rsidP="36385224">
      <w:pPr>
        <w:pStyle w:val="Heading2"/>
        <w:spacing w:before="299" w:after="299" w:line="480" w:lineRule="auto"/>
        <w:rPr>
          <w:rFonts w:ascii="Arial" w:eastAsia="Arial" w:hAnsi="Arial" w:cs="Arial"/>
          <w:b/>
          <w:bCs/>
          <w:sz w:val="36"/>
          <w:szCs w:val="36"/>
        </w:rPr>
      </w:pPr>
      <w:bookmarkStart w:id="136" w:name="_Toc228398792"/>
      <w:bookmarkStart w:id="137" w:name="_Toc983067567"/>
      <w:bookmarkStart w:id="138" w:name="_Toc1091526494"/>
      <w:bookmarkStart w:id="139" w:name="_Toc1039798147"/>
      <w:bookmarkStart w:id="140" w:name="_Toc496069110"/>
      <w:r w:rsidRPr="370D7818">
        <w:rPr>
          <w:rFonts w:ascii="Arial" w:eastAsia="Arial" w:hAnsi="Arial" w:cs="Arial"/>
        </w:rPr>
        <w:t>3.9 Sample Size and Sampling</w:t>
      </w:r>
      <w:bookmarkEnd w:id="136"/>
      <w:bookmarkEnd w:id="137"/>
      <w:bookmarkEnd w:id="138"/>
      <w:bookmarkEnd w:id="139"/>
      <w:bookmarkEnd w:id="140"/>
    </w:p>
    <w:p w14:paraId="40F92B16" w14:textId="53669514" w:rsidR="05B25AB4" w:rsidRDefault="559F9B8E" w:rsidP="2E4158E0">
      <w:pPr>
        <w:spacing w:before="240" w:after="240" w:line="480" w:lineRule="auto"/>
      </w:pPr>
      <w:r w:rsidRPr="2E4158E0">
        <w:rPr>
          <w:rFonts w:ascii="Arial" w:eastAsia="Arial" w:hAnsi="Arial" w:cs="Arial"/>
          <w:sz w:val="20"/>
          <w:szCs w:val="20"/>
        </w:rPr>
        <w:t>A purposive sampling strategy was used to select relevant studies. A total of eleven sources were included based on their relevance, credibility, and contribution to the research topic. In qualitative research, sampling focuses on depth and relevance rather than representativeness (Saunders, Lewis and Thornhill, 2023).</w:t>
      </w:r>
    </w:p>
    <w:p w14:paraId="374E3D43" w14:textId="3A3AA901" w:rsidR="05B25AB4" w:rsidRDefault="559F9B8E" w:rsidP="2E4158E0">
      <w:pPr>
        <w:spacing w:before="240" w:after="240" w:line="480" w:lineRule="auto"/>
      </w:pPr>
      <w:r w:rsidRPr="59CD09D6">
        <w:rPr>
          <w:rFonts w:ascii="Arial" w:eastAsia="Arial" w:hAnsi="Arial" w:cs="Arial"/>
          <w:sz w:val="20"/>
          <w:szCs w:val="20"/>
        </w:rPr>
        <w:t>The selected studies provide a sufficient and appropriate evidence base for the analysis. They include research from multiple service industries, allowing for a broader and more comprehensive understanding of the research problem.</w:t>
      </w:r>
    </w:p>
    <w:p w14:paraId="65F3CE87" w14:textId="20C56F9C" w:rsidR="59CD09D6" w:rsidRDefault="59CD09D6" w:rsidP="59CD09D6"/>
    <w:p w14:paraId="0A5AAD04" w14:textId="4DE1F37D" w:rsidR="05B25AB4" w:rsidRPr="00337F00" w:rsidRDefault="559F9B8E" w:rsidP="59CD09D6">
      <w:pPr>
        <w:pStyle w:val="Heading2"/>
      </w:pPr>
      <w:bookmarkStart w:id="141" w:name="_Toc228398793"/>
      <w:bookmarkStart w:id="142" w:name="_Toc192259021"/>
      <w:bookmarkStart w:id="143" w:name="_Toc257719058"/>
      <w:bookmarkStart w:id="144" w:name="_Toc1224725450"/>
      <w:bookmarkStart w:id="145" w:name="_Toc326063259"/>
      <w:r>
        <w:lastRenderedPageBreak/>
        <w:t>3.10 Thematic Analysis</w:t>
      </w:r>
      <w:bookmarkEnd w:id="141"/>
      <w:bookmarkEnd w:id="142"/>
      <w:bookmarkEnd w:id="143"/>
      <w:bookmarkEnd w:id="144"/>
      <w:bookmarkEnd w:id="145"/>
    </w:p>
    <w:p w14:paraId="1A1A6C59" w14:textId="262913E0" w:rsidR="05B25AB4" w:rsidRDefault="559F9B8E" w:rsidP="2E4158E0">
      <w:pPr>
        <w:spacing w:before="240" w:after="240" w:line="480" w:lineRule="auto"/>
      </w:pPr>
      <w:r w:rsidRPr="2E4158E0">
        <w:rPr>
          <w:rFonts w:ascii="Arial" w:eastAsia="Arial" w:hAnsi="Arial" w:cs="Arial"/>
          <w:sz w:val="20"/>
          <w:szCs w:val="20"/>
        </w:rPr>
        <w:t>The findings from the selected studies were analysed and grouped into key themes to provide a structured understanding of the relationships between the variables. Thematic analysis was chosen as it is a flexible and widely used qualitative method (Braun and Clarke, 2022).</w:t>
      </w:r>
    </w:p>
    <w:p w14:paraId="3FD9EDFE" w14:textId="055DBFD0" w:rsidR="05B25AB4" w:rsidRDefault="559F9B8E" w:rsidP="2E4158E0">
      <w:pPr>
        <w:spacing w:before="240" w:after="240" w:line="480" w:lineRule="auto"/>
      </w:pPr>
      <w:r w:rsidRPr="2E4158E0">
        <w:rPr>
          <w:rFonts w:ascii="Arial" w:eastAsia="Arial" w:hAnsi="Arial" w:cs="Arial"/>
          <w:sz w:val="20"/>
          <w:szCs w:val="20"/>
        </w:rPr>
        <w:t>The analysis followed the six phases outlined by Braun and Clarke (2022): familiarisation with the data, coding, theme development, review, definition, and reporting. Braun and Clarke (2021) emphasise the importance of researcher interpretation in identifying meaningful patterns within qualitative data. This approach ensures that the analysis is systematic while allowing for interpretive depth.</w:t>
      </w:r>
    </w:p>
    <w:p w14:paraId="047160DB" w14:textId="42FB82C4" w:rsidR="05B25AB4" w:rsidRPr="00337F00" w:rsidRDefault="559F9B8E" w:rsidP="59CD09D6">
      <w:pPr>
        <w:pStyle w:val="Heading2"/>
        <w:spacing w:before="299" w:after="299" w:line="480" w:lineRule="auto"/>
        <w:rPr>
          <w:rFonts w:ascii="Arial" w:eastAsia="Arial" w:hAnsi="Arial" w:cs="Arial"/>
        </w:rPr>
      </w:pPr>
      <w:bookmarkStart w:id="146" w:name="_Toc228398794"/>
      <w:bookmarkStart w:id="147" w:name="_Toc186947483"/>
      <w:bookmarkStart w:id="148" w:name="_Toc652652014"/>
      <w:bookmarkStart w:id="149" w:name="_Toc1123315604"/>
      <w:bookmarkStart w:id="150" w:name="_Toc1069419803"/>
      <w:r w:rsidRPr="370D7818">
        <w:rPr>
          <w:rFonts w:ascii="Arial" w:eastAsia="Arial" w:hAnsi="Arial" w:cs="Arial"/>
        </w:rPr>
        <w:t>3.11 Ethical Considerations</w:t>
      </w:r>
      <w:bookmarkEnd w:id="146"/>
      <w:bookmarkEnd w:id="147"/>
      <w:bookmarkEnd w:id="148"/>
      <w:bookmarkEnd w:id="149"/>
      <w:bookmarkEnd w:id="150"/>
    </w:p>
    <w:p w14:paraId="5C92A784" w14:textId="1D65A2FB" w:rsidR="05B25AB4" w:rsidRDefault="559F9B8E" w:rsidP="2E4158E0">
      <w:pPr>
        <w:spacing w:before="240" w:after="240" w:line="480" w:lineRule="auto"/>
      </w:pPr>
      <w:r w:rsidRPr="2E4158E0">
        <w:rPr>
          <w:rFonts w:ascii="Arial" w:eastAsia="Arial" w:hAnsi="Arial" w:cs="Arial"/>
          <w:sz w:val="20"/>
          <w:szCs w:val="20"/>
        </w:rPr>
        <w:t>This study is based entirely on secondary data and does not involve human participants. Therefore, no ethical risks are associated with data collection. Ethical approval was obtained prior to the commencement of the study.</w:t>
      </w:r>
    </w:p>
    <w:p w14:paraId="43AF549B" w14:textId="43469B1F" w:rsidR="05B25AB4" w:rsidRDefault="559F9B8E" w:rsidP="2E4158E0">
      <w:pPr>
        <w:spacing w:before="240" w:after="240" w:line="480" w:lineRule="auto"/>
      </w:pPr>
      <w:r w:rsidRPr="2E4158E0">
        <w:rPr>
          <w:rFonts w:ascii="Arial" w:eastAsia="Arial" w:hAnsi="Arial" w:cs="Arial"/>
          <w:sz w:val="20"/>
          <w:szCs w:val="20"/>
        </w:rPr>
        <w:t xml:space="preserve">No primary data was collected, and all data used in this research was obtained from publicly available sources. All sources have been appropriately referenced in accordance with Harvard referencing standards. Bell and Bryman (2022) </w:t>
      </w:r>
      <w:r w:rsidR="27B4ACA6" w:rsidRPr="2E4158E0">
        <w:rPr>
          <w:rFonts w:ascii="Arial" w:eastAsia="Arial" w:hAnsi="Arial" w:cs="Arial"/>
          <w:sz w:val="20"/>
          <w:szCs w:val="20"/>
        </w:rPr>
        <w:t>emphasize</w:t>
      </w:r>
      <w:r w:rsidRPr="2E4158E0">
        <w:rPr>
          <w:rFonts w:ascii="Arial" w:eastAsia="Arial" w:hAnsi="Arial" w:cs="Arial"/>
          <w:sz w:val="20"/>
          <w:szCs w:val="20"/>
        </w:rPr>
        <w:t xml:space="preserve"> the importance of transparency, honesty, and academic integrity in research.</w:t>
      </w:r>
    </w:p>
    <w:p w14:paraId="402CBFDD" w14:textId="7F0099EC" w:rsidR="05B25AB4" w:rsidRPr="00337F00" w:rsidRDefault="559F9B8E" w:rsidP="59CD09D6">
      <w:pPr>
        <w:pStyle w:val="Heading2"/>
        <w:spacing w:before="299" w:after="299" w:line="480" w:lineRule="auto"/>
        <w:rPr>
          <w:rFonts w:ascii="Arial" w:eastAsia="Arial" w:hAnsi="Arial" w:cs="Arial"/>
        </w:rPr>
      </w:pPr>
      <w:bookmarkStart w:id="151" w:name="_Toc228398795"/>
      <w:bookmarkStart w:id="152" w:name="_Toc1718117870"/>
      <w:bookmarkStart w:id="153" w:name="_Toc1497385093"/>
      <w:bookmarkStart w:id="154" w:name="_Toc1495992444"/>
      <w:bookmarkStart w:id="155" w:name="_Toc2107682558"/>
      <w:r w:rsidRPr="370D7818">
        <w:rPr>
          <w:rFonts w:ascii="Arial" w:eastAsia="Arial" w:hAnsi="Arial" w:cs="Arial"/>
        </w:rPr>
        <w:t>3.12 Summary</w:t>
      </w:r>
      <w:bookmarkEnd w:id="151"/>
      <w:bookmarkEnd w:id="152"/>
      <w:bookmarkEnd w:id="153"/>
      <w:bookmarkEnd w:id="154"/>
      <w:bookmarkEnd w:id="155"/>
    </w:p>
    <w:p w14:paraId="189C4332" w14:textId="7D4667B1" w:rsidR="05B25AB4" w:rsidRDefault="559F9B8E" w:rsidP="2E4158E0">
      <w:pPr>
        <w:spacing w:before="240" w:after="240" w:line="480" w:lineRule="auto"/>
      </w:pPr>
      <w:r w:rsidRPr="2E4158E0">
        <w:rPr>
          <w:rFonts w:ascii="Arial" w:eastAsia="Arial" w:hAnsi="Arial" w:cs="Arial"/>
          <w:sz w:val="20"/>
          <w:szCs w:val="20"/>
        </w:rPr>
        <w:t xml:space="preserve">This chapter has outlined the methodological approach adopted in this study. </w:t>
      </w:r>
      <w:r w:rsidR="2B56B7D4" w:rsidRPr="2E4158E0">
        <w:rPr>
          <w:rFonts w:ascii="Arial" w:eastAsia="Arial" w:hAnsi="Arial" w:cs="Arial"/>
          <w:sz w:val="20"/>
          <w:szCs w:val="20"/>
        </w:rPr>
        <w:t>An interpretivist</w:t>
      </w:r>
      <w:r w:rsidRPr="2E4158E0">
        <w:rPr>
          <w:rFonts w:ascii="Arial" w:eastAsia="Arial" w:hAnsi="Arial" w:cs="Arial"/>
          <w:sz w:val="20"/>
          <w:szCs w:val="20"/>
        </w:rPr>
        <w:t xml:space="preserve"> philosophy was employed, incorporating elements of positivism to support a balanced analysis. The study adopted an inductive, qualitative approach based entirely on secondary data. A conceptual case-based strategy and systematic literature review were used to structure the research, and thematic analysis was applied to interpret the findings. Ethical standards were maintained throughout the research process</w:t>
      </w:r>
    </w:p>
    <w:p w14:paraId="4E07C163" w14:textId="3A9E6A92" w:rsidR="1309A58B" w:rsidRPr="00337F00" w:rsidRDefault="5A2D7D41" w:rsidP="370D7818">
      <w:pPr>
        <w:pStyle w:val="Heading2"/>
        <w:spacing w:before="240" w:after="240"/>
        <w:rPr>
          <w:rFonts w:asciiTheme="minorHAnsi" w:hAnsiTheme="minorHAnsi" w:cstheme="minorBidi"/>
        </w:rPr>
      </w:pPr>
      <w:bookmarkStart w:id="156" w:name="_Toc228398796"/>
      <w:bookmarkStart w:id="157" w:name="_Toc1538494838"/>
      <w:bookmarkStart w:id="158" w:name="_Toc1909491920"/>
      <w:bookmarkStart w:id="159" w:name="_Toc1222032861"/>
      <w:bookmarkStart w:id="160" w:name="_Toc1892837037"/>
      <w:r w:rsidRPr="370D7818">
        <w:rPr>
          <w:rFonts w:asciiTheme="minorHAnsi" w:hAnsiTheme="minorHAnsi" w:cstheme="minorBidi"/>
        </w:rPr>
        <w:lastRenderedPageBreak/>
        <w:t xml:space="preserve">Chapter </w:t>
      </w:r>
      <w:r w:rsidR="0E0A60F8" w:rsidRPr="370D7818">
        <w:rPr>
          <w:rFonts w:asciiTheme="minorHAnsi" w:hAnsiTheme="minorHAnsi" w:cstheme="minorBidi"/>
        </w:rPr>
        <w:t>4 Findings and discussion</w:t>
      </w:r>
      <w:bookmarkEnd w:id="156"/>
      <w:bookmarkEnd w:id="157"/>
      <w:bookmarkEnd w:id="158"/>
      <w:bookmarkEnd w:id="159"/>
      <w:bookmarkEnd w:id="160"/>
    </w:p>
    <w:p w14:paraId="14CEE5A9" w14:textId="6D68A39B" w:rsidR="0CF05F15" w:rsidRPr="00337F00" w:rsidRDefault="4E25E573" w:rsidP="370D7818">
      <w:pPr>
        <w:pStyle w:val="Heading2"/>
        <w:rPr>
          <w:rFonts w:asciiTheme="minorHAnsi" w:hAnsiTheme="minorHAnsi" w:cstheme="minorBidi"/>
        </w:rPr>
      </w:pPr>
      <w:bookmarkStart w:id="161" w:name="_Toc228398797"/>
      <w:bookmarkStart w:id="162" w:name="_Toc1933605787"/>
      <w:bookmarkStart w:id="163" w:name="_Toc2032598188"/>
      <w:bookmarkStart w:id="164" w:name="_Toc396275826"/>
      <w:bookmarkStart w:id="165" w:name="_Toc102370367"/>
      <w:r w:rsidRPr="370D7818">
        <w:rPr>
          <w:rFonts w:asciiTheme="minorHAnsi" w:eastAsia="Arial" w:hAnsiTheme="minorHAnsi" w:cstheme="minorBidi"/>
        </w:rPr>
        <w:t>4.1 Introduction</w:t>
      </w:r>
      <w:bookmarkEnd w:id="161"/>
      <w:bookmarkEnd w:id="162"/>
      <w:bookmarkEnd w:id="163"/>
      <w:bookmarkEnd w:id="164"/>
      <w:bookmarkEnd w:id="165"/>
    </w:p>
    <w:p w14:paraId="101480AE" w14:textId="53FABE29" w:rsidR="1309A58B" w:rsidRDefault="172BE0B9" w:rsidP="36385224">
      <w:pPr>
        <w:spacing w:before="240" w:after="240" w:line="480" w:lineRule="auto"/>
        <w:rPr>
          <w:rFonts w:ascii="Arial" w:eastAsia="Arial" w:hAnsi="Arial" w:cs="Arial"/>
          <w:sz w:val="20"/>
          <w:szCs w:val="20"/>
        </w:rPr>
      </w:pPr>
      <w:r w:rsidRPr="36385224">
        <w:rPr>
          <w:rFonts w:ascii="Arial" w:eastAsia="Arial" w:hAnsi="Arial" w:cs="Arial"/>
          <w:sz w:val="20"/>
          <w:szCs w:val="20"/>
        </w:rPr>
        <w:t xml:space="preserve">This chapter outlines the findings of the study and examines them in relation to the research aim, objectives, and primary research question: how does customer experience influence passenger loyalty within Turkish Airlines? </w:t>
      </w:r>
      <w:r w:rsidR="09F07DE0" w:rsidRPr="36385224">
        <w:rPr>
          <w:rFonts w:ascii="Arial" w:eastAsia="Arial" w:hAnsi="Arial" w:cs="Arial"/>
          <w:sz w:val="20"/>
          <w:szCs w:val="20"/>
        </w:rPr>
        <w:t>The findings are derived from a critical review of existing literature and are organised into key themes that reflect the most significant dimensions of customer experience identified across service industries.</w:t>
      </w:r>
    </w:p>
    <w:p w14:paraId="4436714F" w14:textId="36FD90E9" w:rsidR="1309A58B" w:rsidRDefault="09F07DE0" w:rsidP="6733811B">
      <w:pPr>
        <w:spacing w:before="240" w:after="240" w:line="480" w:lineRule="auto"/>
        <w:rPr>
          <w:rFonts w:ascii="Arial" w:eastAsia="Arial" w:hAnsi="Arial" w:cs="Arial"/>
          <w:sz w:val="20"/>
          <w:szCs w:val="20"/>
        </w:rPr>
      </w:pPr>
      <w:r w:rsidRPr="6733811B">
        <w:rPr>
          <w:rFonts w:ascii="Arial" w:eastAsia="Arial" w:hAnsi="Arial" w:cs="Arial"/>
          <w:sz w:val="20"/>
          <w:szCs w:val="20"/>
        </w:rPr>
        <w:t>The chapter begins by presenting Table 4.1, which summarises the key findings from each selected study. It then examines five key themes identified through the thematic analysis: Types of Service, Price, Service Failures, Staff Behaviour, and Brand Trust. These themes were selected because they consistently emerged across the reviewed literature as key determinants of customer experience and loyalty outcomes (Wirtz and Lovelock, 2021; Zeithaml, Bitner and Gremler, 2020). Each theme is analysed in relation to how it shapes passenger satisfaction and loyalty, with specific reference to Turkish Airlines.</w:t>
      </w:r>
    </w:p>
    <w:p w14:paraId="6C942590" w14:textId="7FE38060" w:rsidR="1309A58B" w:rsidRDefault="09F07DE0" w:rsidP="6733811B">
      <w:pPr>
        <w:spacing w:before="240" w:after="240" w:line="480" w:lineRule="auto"/>
        <w:rPr>
          <w:rFonts w:ascii="Arial" w:eastAsia="Arial" w:hAnsi="Arial" w:cs="Arial"/>
          <w:sz w:val="20"/>
          <w:szCs w:val="20"/>
        </w:rPr>
      </w:pPr>
      <w:r w:rsidRPr="6733811B">
        <w:rPr>
          <w:rFonts w:ascii="Arial" w:eastAsia="Arial" w:hAnsi="Arial" w:cs="Arial"/>
          <w:sz w:val="20"/>
          <w:szCs w:val="20"/>
        </w:rPr>
        <w:t>Importantly, the discussion adopts a critical perspective by not only presenting findings from the literature but also evaluating their implications and limitations. This allows for a deeper understanding of how customer experience operates within a real-world airline context, where operational constraints, passenger expectations, and competitive pressures all influence outcomes.</w:t>
      </w:r>
    </w:p>
    <w:p w14:paraId="48D27F7D" w14:textId="012ADFBF" w:rsidR="0CF05F15" w:rsidRPr="00337F00" w:rsidRDefault="4E25E573" w:rsidP="004C1126">
      <w:pPr>
        <w:pStyle w:val="Heading2"/>
      </w:pPr>
      <w:bookmarkStart w:id="166" w:name="_Toc228398798"/>
      <w:bookmarkStart w:id="167" w:name="_Toc1275221073"/>
      <w:bookmarkStart w:id="168" w:name="_Toc1205008197"/>
      <w:bookmarkStart w:id="169" w:name="_Toc2096523849"/>
      <w:bookmarkStart w:id="170" w:name="_Toc393668403"/>
      <w:r>
        <w:t>4.2 Summary of Selected Studies</w:t>
      </w:r>
      <w:bookmarkEnd w:id="166"/>
      <w:bookmarkEnd w:id="167"/>
      <w:bookmarkEnd w:id="168"/>
      <w:bookmarkEnd w:id="169"/>
      <w:bookmarkEnd w:id="170"/>
    </w:p>
    <w:p w14:paraId="0F460A2E" w14:textId="45A24FFB" w:rsidR="1FCD23BC" w:rsidRDefault="605F01DF" w:rsidP="36385224">
      <w:pPr>
        <w:spacing w:before="240" w:after="240" w:line="480" w:lineRule="auto"/>
        <w:rPr>
          <w:sz w:val="20"/>
          <w:szCs w:val="20"/>
        </w:rPr>
      </w:pPr>
      <w:r w:rsidRPr="36385224">
        <w:rPr>
          <w:sz w:val="20"/>
          <w:szCs w:val="20"/>
        </w:rPr>
        <w:t>The selected studies were examined to identify key insights related to customer experience,</w:t>
      </w:r>
      <w:r w:rsidRPr="36385224">
        <w:rPr>
          <w:b/>
          <w:bCs/>
          <w:sz w:val="20"/>
          <w:szCs w:val="20"/>
        </w:rPr>
        <w:t xml:space="preserve"> </w:t>
      </w:r>
      <w:r w:rsidRPr="36385224">
        <w:rPr>
          <w:sz w:val="20"/>
          <w:szCs w:val="20"/>
        </w:rPr>
        <w:t>customer satisfaction, and customer loyalty</w:t>
      </w:r>
      <w:r w:rsidR="1FCD23BC" w:rsidRPr="36385224">
        <w:rPr>
          <w:sz w:val="20"/>
          <w:szCs w:val="20"/>
        </w:rPr>
        <w:t>. The studies were drawn from a range of service industries, including aviation and hospitality, to provide a broad and comprehensive understanding of how customer experience influences behavioural outcomes.</w:t>
      </w:r>
    </w:p>
    <w:p w14:paraId="27113393" w14:textId="33AD3347" w:rsidR="1FCD23BC" w:rsidRDefault="1FCD23BC" w:rsidP="6733811B">
      <w:pPr>
        <w:spacing w:before="240" w:after="240" w:line="480" w:lineRule="auto"/>
      </w:pPr>
      <w:r w:rsidRPr="6733811B">
        <w:rPr>
          <w:rFonts w:ascii="Arial" w:eastAsia="Arial" w:hAnsi="Arial" w:cs="Arial"/>
          <w:sz w:val="20"/>
          <w:szCs w:val="20"/>
        </w:rPr>
        <w:t xml:space="preserve">Overall, while the contexts of these studies vary, a high level of consistency can be observed in their findings. In particular, the importance of service quality, satisfaction, and perceived value emerges across </w:t>
      </w:r>
      <w:r w:rsidRPr="6733811B">
        <w:rPr>
          <w:rFonts w:ascii="Arial" w:eastAsia="Arial" w:hAnsi="Arial" w:cs="Arial"/>
          <w:sz w:val="20"/>
          <w:szCs w:val="20"/>
        </w:rPr>
        <w:lastRenderedPageBreak/>
        <w:t>multiple sectors, suggesting that these factors are fundamental to understanding customer loyalty (Ali et al., 2021; Xie, Zhang and Morrison, 2020). However, it is important to recognise that transferring findings from other industries to the airline context may overlook sector-specific characteristics, such as operational complexity and service variability.</w:t>
      </w:r>
    </w:p>
    <w:p w14:paraId="1897556A" w14:textId="61DF8170" w:rsidR="1FCD23BC" w:rsidRDefault="1FCD23BC" w:rsidP="6733811B">
      <w:pPr>
        <w:spacing w:before="240" w:after="240" w:line="480" w:lineRule="auto"/>
      </w:pPr>
      <w:r w:rsidRPr="6733811B">
        <w:rPr>
          <w:rFonts w:ascii="Arial" w:eastAsia="Arial" w:hAnsi="Arial" w:cs="Arial"/>
          <w:sz w:val="20"/>
          <w:szCs w:val="20"/>
        </w:rPr>
        <w:t>In the context of Turkish Airlines, this highlights the need to interpret these findings with caution. While the underlying principles of customer experience are applicable, their practical implementation may vary depending on the airline’s operational structure and market positioning</w:t>
      </w:r>
    </w:p>
    <w:p w14:paraId="6D5F97B1" w14:textId="127232A2" w:rsidR="707DC59C" w:rsidRDefault="5581BF71" w:rsidP="370D7818">
      <w:pPr>
        <w:pStyle w:val="Heading2"/>
        <w:spacing w:before="240" w:after="240" w:line="480" w:lineRule="auto"/>
        <w:rPr>
          <w:rFonts w:asciiTheme="minorHAnsi" w:eastAsia="Arial" w:hAnsiTheme="minorHAnsi" w:cstheme="minorBidi"/>
        </w:rPr>
      </w:pPr>
      <w:bookmarkStart w:id="171" w:name="_Toc228398799"/>
      <w:bookmarkStart w:id="172" w:name="_Toc449283289"/>
      <w:bookmarkStart w:id="173" w:name="_Toc1363246517"/>
      <w:bookmarkStart w:id="174" w:name="_Toc214285307"/>
      <w:bookmarkStart w:id="175" w:name="_Toc1096503829"/>
      <w:r w:rsidRPr="370D7818">
        <w:rPr>
          <w:rFonts w:asciiTheme="minorHAnsi" w:eastAsia="Arial" w:hAnsiTheme="minorHAnsi" w:cstheme="minorBidi"/>
        </w:rPr>
        <w:t>4.3 Thematic Analysis</w:t>
      </w:r>
      <w:bookmarkEnd w:id="171"/>
      <w:bookmarkEnd w:id="172"/>
      <w:bookmarkEnd w:id="173"/>
      <w:bookmarkEnd w:id="174"/>
      <w:bookmarkEnd w:id="175"/>
    </w:p>
    <w:p w14:paraId="3DF5910E" w14:textId="6B566875" w:rsidR="707DC59C" w:rsidRDefault="15A2F698" w:rsidP="59CD09D6">
      <w:pPr>
        <w:spacing w:line="480" w:lineRule="auto"/>
        <w:rPr>
          <w:sz w:val="20"/>
          <w:szCs w:val="20"/>
        </w:rPr>
      </w:pPr>
      <w:r w:rsidRPr="0F2934F5">
        <w:rPr>
          <w:sz w:val="20"/>
          <w:szCs w:val="20"/>
        </w:rPr>
        <w:t>The thematic analysis identified five key themes through which customer experience influences passenger loyalty: Types of Service, Price, Service Failures, Staff Behaviour, and Brand Trust. These themes reflect both functional and relational aspects of the passenger experience and demonstrate that loyalty is shaped by multiple interacting factors rather than a single determinant (Zeithaml, Bitner and Gremler, 2020, pp.</w:t>
      </w:r>
      <w:r w:rsidR="4300CB33" w:rsidRPr="0F2934F5">
        <w:rPr>
          <w:sz w:val="20"/>
          <w:szCs w:val="20"/>
        </w:rPr>
        <w:t xml:space="preserve"> </w:t>
      </w:r>
      <w:r w:rsidRPr="0F2934F5">
        <w:rPr>
          <w:sz w:val="20"/>
          <w:szCs w:val="20"/>
        </w:rPr>
        <w:t xml:space="preserve"> 60–65).</w:t>
      </w:r>
    </w:p>
    <w:p w14:paraId="35803B63" w14:textId="2726BAA5" w:rsidR="707DC59C" w:rsidRDefault="15A2F698" w:rsidP="0F2934F5">
      <w:pPr>
        <w:spacing w:before="240" w:after="240" w:line="480" w:lineRule="auto"/>
        <w:rPr>
          <w:rFonts w:ascii="Arial" w:eastAsia="Arial" w:hAnsi="Arial" w:cs="Arial"/>
          <w:sz w:val="20"/>
          <w:szCs w:val="20"/>
        </w:rPr>
      </w:pPr>
      <w:r w:rsidRPr="0F2934F5">
        <w:rPr>
          <w:rFonts w:ascii="Arial" w:eastAsia="Arial" w:hAnsi="Arial" w:cs="Arial"/>
          <w:sz w:val="20"/>
          <w:szCs w:val="20"/>
        </w:rPr>
        <w:t xml:space="preserve">Although these themes are presented separately for clarity, they are closely interconnected in practice. For example, perceptions of price are often influenced by service quality, while service failures can significantly alter perceived value. This interconnected nature suggests that customer experience should be understood as a holistic process rather than a set of independent components </w:t>
      </w:r>
      <w:r w:rsidR="66F1C909" w:rsidRPr="0F2934F5">
        <w:rPr>
          <w:rFonts w:ascii="Arial" w:eastAsia="Arial" w:hAnsi="Arial" w:cs="Arial"/>
          <w:sz w:val="20"/>
          <w:szCs w:val="20"/>
        </w:rPr>
        <w:t xml:space="preserve">(Wirtz and Lovelock, 2021, pp. </w:t>
      </w:r>
      <w:r w:rsidR="440C6541" w:rsidRPr="0F2934F5">
        <w:rPr>
          <w:rFonts w:ascii="Arial" w:eastAsia="Arial" w:hAnsi="Arial" w:cs="Arial"/>
          <w:sz w:val="20"/>
          <w:szCs w:val="20"/>
        </w:rPr>
        <w:t xml:space="preserve"> </w:t>
      </w:r>
      <w:r w:rsidR="66F1C909" w:rsidRPr="0F2934F5">
        <w:rPr>
          <w:rFonts w:ascii="Arial" w:eastAsia="Arial" w:hAnsi="Arial" w:cs="Arial"/>
          <w:sz w:val="20"/>
          <w:szCs w:val="20"/>
        </w:rPr>
        <w:t>38–52)</w:t>
      </w:r>
    </w:p>
    <w:p w14:paraId="0C136377" w14:textId="27B4ED0B" w:rsidR="707DC59C" w:rsidRDefault="15A2F698" w:rsidP="6733811B">
      <w:pPr>
        <w:spacing w:before="240" w:after="240" w:line="480" w:lineRule="auto"/>
      </w:pPr>
      <w:r w:rsidRPr="6733811B">
        <w:rPr>
          <w:rFonts w:ascii="Arial" w:eastAsia="Arial" w:hAnsi="Arial" w:cs="Arial"/>
          <w:sz w:val="20"/>
          <w:szCs w:val="20"/>
        </w:rPr>
        <w:t>Furthermore, the relative importance of each theme may vary depending on passenger expectations and travel context. Business travellers, for example, may prioritise reliability, while leisure travellers may place greater emphasis on price. This variation highlights the importance of adopting a flexible approach to customer experience management within Turkish Airlines.</w:t>
      </w:r>
    </w:p>
    <w:p w14:paraId="663923F0" w14:textId="73C5B7A3" w:rsidR="707DC59C" w:rsidRDefault="707DC59C" w:rsidP="6733811B">
      <w:pPr>
        <w:pStyle w:val="Heading1"/>
        <w:spacing w:before="240" w:after="240"/>
        <w:rPr>
          <w:b/>
          <w:bCs/>
          <w:color w:val="FF0000"/>
        </w:rPr>
      </w:pPr>
    </w:p>
    <w:p w14:paraId="6798206E" w14:textId="18186001" w:rsidR="707DC59C" w:rsidRPr="002C66E2" w:rsidRDefault="3941B53E" w:rsidP="370D7818">
      <w:pPr>
        <w:pStyle w:val="Heading2"/>
        <w:rPr>
          <w:rFonts w:asciiTheme="minorHAnsi" w:hAnsiTheme="minorHAnsi" w:cstheme="minorBidi"/>
        </w:rPr>
      </w:pPr>
      <w:bookmarkStart w:id="176" w:name="_Toc228398800"/>
      <w:bookmarkStart w:id="177" w:name="_Toc1177766934"/>
      <w:bookmarkStart w:id="178" w:name="_Toc848819129"/>
      <w:bookmarkStart w:id="179" w:name="_Toc240823650"/>
      <w:bookmarkStart w:id="180" w:name="_Toc2104424822"/>
      <w:r w:rsidRPr="370D7818">
        <w:rPr>
          <w:rFonts w:asciiTheme="minorHAnsi" w:hAnsiTheme="minorHAnsi" w:cstheme="minorBidi"/>
        </w:rPr>
        <w:t xml:space="preserve">Table </w:t>
      </w:r>
      <w:r w:rsidR="3F4570EA" w:rsidRPr="370D7818">
        <w:rPr>
          <w:rFonts w:asciiTheme="minorHAnsi" w:hAnsiTheme="minorHAnsi" w:cstheme="minorBidi"/>
        </w:rPr>
        <w:t>4.1 Thematic</w:t>
      </w:r>
      <w:r w:rsidR="07EBC9AD" w:rsidRPr="370D7818">
        <w:rPr>
          <w:rFonts w:asciiTheme="minorHAnsi" w:hAnsiTheme="minorHAnsi" w:cstheme="minorBidi"/>
        </w:rPr>
        <w:t xml:space="preserve"> Analysis of Customer Experience and Loyalty</w:t>
      </w:r>
      <w:bookmarkEnd w:id="176"/>
      <w:bookmarkEnd w:id="177"/>
      <w:bookmarkEnd w:id="178"/>
      <w:bookmarkEnd w:id="179"/>
      <w:bookmarkEnd w:id="180"/>
    </w:p>
    <w:p w14:paraId="4E0F04E6" w14:textId="5FA3CA58" w:rsidR="1D780400" w:rsidRDefault="1D780400" w:rsidP="6733811B"/>
    <w:tbl>
      <w:tblPr>
        <w:tblStyle w:val="TableGrid"/>
        <w:tblW w:w="0" w:type="auto"/>
        <w:tblLook w:val="04A0" w:firstRow="1" w:lastRow="0" w:firstColumn="1" w:lastColumn="0" w:noHBand="0" w:noVBand="1"/>
      </w:tblPr>
      <w:tblGrid>
        <w:gridCol w:w="2160"/>
        <w:gridCol w:w="2160"/>
        <w:gridCol w:w="2160"/>
        <w:gridCol w:w="2160"/>
      </w:tblGrid>
      <w:tr w:rsidR="6733811B" w14:paraId="27C26430" w14:textId="77777777" w:rsidTr="0F2934F5">
        <w:trPr>
          <w:trHeight w:val="300"/>
        </w:trPr>
        <w:tc>
          <w:tcPr>
            <w:tcW w:w="2160" w:type="dxa"/>
          </w:tcPr>
          <w:p w14:paraId="3AAFC03C" w14:textId="0F7AE149"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Theme</w:t>
            </w:r>
          </w:p>
        </w:tc>
        <w:tc>
          <w:tcPr>
            <w:tcW w:w="2160" w:type="dxa"/>
          </w:tcPr>
          <w:p w14:paraId="0D111114" w14:textId="5387BA57"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Key Concept</w:t>
            </w:r>
          </w:p>
        </w:tc>
        <w:tc>
          <w:tcPr>
            <w:tcW w:w="2160" w:type="dxa"/>
          </w:tcPr>
          <w:p w14:paraId="79D5835F" w14:textId="60D24F04"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Supporting Literature</w:t>
            </w:r>
          </w:p>
        </w:tc>
        <w:tc>
          <w:tcPr>
            <w:tcW w:w="2160" w:type="dxa"/>
          </w:tcPr>
          <w:p w14:paraId="04FF846E" w14:textId="6CFA16B9"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Key Findings &amp; Insights</w:t>
            </w:r>
          </w:p>
        </w:tc>
      </w:tr>
      <w:tr w:rsidR="6733811B" w14:paraId="3E226058" w14:textId="77777777" w:rsidTr="0F2934F5">
        <w:trPr>
          <w:trHeight w:val="300"/>
        </w:trPr>
        <w:tc>
          <w:tcPr>
            <w:tcW w:w="2160" w:type="dxa"/>
          </w:tcPr>
          <w:p w14:paraId="20C786DD" w14:textId="2832DB53"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Types of Service</w:t>
            </w:r>
          </w:p>
        </w:tc>
        <w:tc>
          <w:tcPr>
            <w:tcW w:w="2160" w:type="dxa"/>
          </w:tcPr>
          <w:p w14:paraId="22FE3264" w14:textId="500D08EB"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 xml:space="preserve">Service across the </w:t>
            </w:r>
            <w:r w:rsidR="3B0CDF62" w:rsidRPr="6733811B">
              <w:rPr>
                <w:rFonts w:ascii="Cambria" w:eastAsia="Cambria" w:hAnsi="Cambria" w:cs="Cambria"/>
                <w:sz w:val="22"/>
                <w:szCs w:val="22"/>
              </w:rPr>
              <w:t>passenger journey</w:t>
            </w:r>
          </w:p>
        </w:tc>
        <w:tc>
          <w:tcPr>
            <w:tcW w:w="2160" w:type="dxa"/>
          </w:tcPr>
          <w:p w14:paraId="33132C3C" w14:textId="3012F280" w:rsidR="6733811B" w:rsidRDefault="437D651B" w:rsidP="6733811B">
            <w:pPr>
              <w:rPr>
                <w:rFonts w:ascii="Cambria" w:eastAsia="Cambria" w:hAnsi="Cambria" w:cs="Cambria"/>
                <w:sz w:val="22"/>
                <w:szCs w:val="22"/>
              </w:rPr>
            </w:pPr>
            <w:r w:rsidRPr="0F2934F5">
              <w:rPr>
                <w:rFonts w:ascii="Cambria" w:eastAsia="Cambria" w:hAnsi="Cambria" w:cs="Cambria"/>
                <w:sz w:val="22"/>
                <w:szCs w:val="22"/>
              </w:rPr>
              <w:t xml:space="preserve">Wirtz </w:t>
            </w:r>
            <w:r w:rsidR="495B42C5" w:rsidRPr="0F2934F5">
              <w:rPr>
                <w:rFonts w:ascii="Cambria" w:eastAsia="Cambria" w:hAnsi="Cambria" w:cs="Cambria"/>
                <w:sz w:val="22"/>
                <w:szCs w:val="22"/>
              </w:rPr>
              <w:t>and</w:t>
            </w:r>
            <w:r w:rsidRPr="0F2934F5">
              <w:rPr>
                <w:rFonts w:ascii="Cambria" w:eastAsia="Cambria" w:hAnsi="Cambria" w:cs="Cambria"/>
                <w:sz w:val="22"/>
                <w:szCs w:val="22"/>
              </w:rPr>
              <w:t xml:space="preserve"> Lovelock (2021); Lemon and Verhoef (2021); Zeithaml et al. (2020)</w:t>
            </w:r>
          </w:p>
        </w:tc>
        <w:tc>
          <w:tcPr>
            <w:tcW w:w="2160" w:type="dxa"/>
          </w:tcPr>
          <w:p w14:paraId="4A065053" w14:textId="31101BAD"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 xml:space="preserve">Customer experience is built across multiple </w:t>
            </w:r>
            <w:proofErr w:type="gramStart"/>
            <w:r w:rsidRPr="6733811B">
              <w:rPr>
                <w:rFonts w:ascii="Cambria" w:eastAsia="Cambria" w:hAnsi="Cambria" w:cs="Cambria"/>
                <w:color w:val="000000" w:themeColor="text1"/>
                <w:sz w:val="22"/>
                <w:szCs w:val="22"/>
              </w:rPr>
              <w:t>touchpoints;</w:t>
            </w:r>
            <w:proofErr w:type="gramEnd"/>
            <w:r w:rsidRPr="6733811B">
              <w:rPr>
                <w:rFonts w:ascii="Cambria" w:eastAsia="Cambria" w:hAnsi="Cambria" w:cs="Cambria"/>
                <w:color w:val="000000" w:themeColor="text1"/>
                <w:sz w:val="22"/>
                <w:szCs w:val="22"/>
              </w:rPr>
              <w:t xml:space="preserve"> consistency and staff behaviour influence satisfaction and loyalty</w:t>
            </w:r>
          </w:p>
          <w:p w14:paraId="55054BE1" w14:textId="75B455B9" w:rsidR="6733811B" w:rsidRDefault="6733811B" w:rsidP="6733811B">
            <w:pPr>
              <w:rPr>
                <w:rFonts w:ascii="Cambria" w:eastAsia="Cambria" w:hAnsi="Cambria" w:cs="Cambria"/>
                <w:sz w:val="22"/>
                <w:szCs w:val="22"/>
              </w:rPr>
            </w:pPr>
          </w:p>
        </w:tc>
      </w:tr>
      <w:tr w:rsidR="6733811B" w14:paraId="01A0F122" w14:textId="77777777" w:rsidTr="0F2934F5">
        <w:trPr>
          <w:trHeight w:val="300"/>
        </w:trPr>
        <w:tc>
          <w:tcPr>
            <w:tcW w:w="2160" w:type="dxa"/>
          </w:tcPr>
          <w:p w14:paraId="61E365D7" w14:textId="0F10706B"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Price &amp; Value</w:t>
            </w:r>
          </w:p>
        </w:tc>
        <w:tc>
          <w:tcPr>
            <w:tcW w:w="2160" w:type="dxa"/>
          </w:tcPr>
          <w:p w14:paraId="1B4A45F1" w14:textId="3298B76F"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Price fairness and perceived value</w:t>
            </w:r>
          </w:p>
          <w:p w14:paraId="45D1285A" w14:textId="43B2BC48" w:rsidR="6733811B" w:rsidRDefault="6733811B" w:rsidP="6733811B">
            <w:pPr>
              <w:rPr>
                <w:rFonts w:ascii="Cambria" w:eastAsia="Cambria" w:hAnsi="Cambria" w:cs="Cambria"/>
                <w:sz w:val="22"/>
                <w:szCs w:val="22"/>
              </w:rPr>
            </w:pPr>
          </w:p>
        </w:tc>
        <w:tc>
          <w:tcPr>
            <w:tcW w:w="2160" w:type="dxa"/>
          </w:tcPr>
          <w:p w14:paraId="6F6C1109" w14:textId="54E898C0"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Han &amp; Hyun (2021); Lai (2023); Oliver (2020)</w:t>
            </w:r>
          </w:p>
        </w:tc>
        <w:tc>
          <w:tcPr>
            <w:tcW w:w="2160" w:type="dxa"/>
          </w:tcPr>
          <w:p w14:paraId="43F27081" w14:textId="000E66E6"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Perceived value influences satisfaction and plays a key role in shaping customer loyalty</w:t>
            </w:r>
          </w:p>
          <w:p w14:paraId="77D5E91A" w14:textId="5C0E7718" w:rsidR="6733811B" w:rsidRDefault="6733811B" w:rsidP="6733811B">
            <w:pPr>
              <w:rPr>
                <w:rFonts w:ascii="Cambria" w:eastAsia="Cambria" w:hAnsi="Cambria" w:cs="Cambria"/>
                <w:sz w:val="22"/>
                <w:szCs w:val="22"/>
              </w:rPr>
            </w:pPr>
          </w:p>
        </w:tc>
      </w:tr>
      <w:tr w:rsidR="6733811B" w14:paraId="3E40C9B2" w14:textId="77777777" w:rsidTr="0F2934F5">
        <w:trPr>
          <w:trHeight w:val="300"/>
        </w:trPr>
        <w:tc>
          <w:tcPr>
            <w:tcW w:w="2160" w:type="dxa"/>
          </w:tcPr>
          <w:p w14:paraId="092F2A82" w14:textId="54DD8B40"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Service Failures</w:t>
            </w:r>
          </w:p>
        </w:tc>
        <w:tc>
          <w:tcPr>
            <w:tcW w:w="2160" w:type="dxa"/>
          </w:tcPr>
          <w:p w14:paraId="2EC2C6A3" w14:textId="6B5204D3" w:rsidR="6733811B" w:rsidRDefault="6733811B" w:rsidP="6733811B">
            <w:pPr>
              <w:rPr>
                <w:rFonts w:ascii="Cambria" w:eastAsia="Cambria" w:hAnsi="Cambria" w:cs="Cambria"/>
                <w:sz w:val="22"/>
                <w:szCs w:val="22"/>
              </w:rPr>
            </w:pPr>
            <w:r w:rsidRPr="6733811B">
              <w:rPr>
                <w:rFonts w:ascii="Cambria" w:eastAsia="Cambria" w:hAnsi="Cambria" w:cs="Cambria"/>
                <w:sz w:val="22"/>
                <w:szCs w:val="22"/>
              </w:rPr>
              <w:t>Recovery and response</w:t>
            </w:r>
          </w:p>
        </w:tc>
        <w:tc>
          <w:tcPr>
            <w:tcW w:w="2160" w:type="dxa"/>
          </w:tcPr>
          <w:p w14:paraId="687227C3" w14:textId="3BB8D0EC"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Tay (2023); Zeithaml, Bitner and Gremler (2020); Rather (2022)</w:t>
            </w:r>
          </w:p>
          <w:p w14:paraId="4BAFC657" w14:textId="4CAADFEA" w:rsidR="6733811B" w:rsidRDefault="6733811B" w:rsidP="6733811B">
            <w:pPr>
              <w:rPr>
                <w:rFonts w:ascii="Cambria" w:eastAsia="Cambria" w:hAnsi="Cambria" w:cs="Cambria"/>
                <w:sz w:val="22"/>
                <w:szCs w:val="22"/>
              </w:rPr>
            </w:pPr>
          </w:p>
        </w:tc>
        <w:tc>
          <w:tcPr>
            <w:tcW w:w="2160" w:type="dxa"/>
          </w:tcPr>
          <w:p w14:paraId="31010854" w14:textId="7CA86DBC"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Effective service recovery can restore satisfaction, rebuild trust, and reduce switching behaviour</w:t>
            </w:r>
          </w:p>
          <w:p w14:paraId="6F430E72" w14:textId="21875F6E" w:rsidR="6733811B" w:rsidRDefault="6733811B" w:rsidP="6733811B">
            <w:pPr>
              <w:rPr>
                <w:rFonts w:ascii="Cambria" w:eastAsia="Cambria" w:hAnsi="Cambria" w:cs="Cambria"/>
                <w:sz w:val="22"/>
                <w:szCs w:val="22"/>
              </w:rPr>
            </w:pPr>
          </w:p>
          <w:p w14:paraId="4CF5359B" w14:textId="0D364237" w:rsidR="6733811B" w:rsidRDefault="6733811B" w:rsidP="6733811B">
            <w:pPr>
              <w:rPr>
                <w:rFonts w:ascii="Cambria" w:eastAsia="Cambria" w:hAnsi="Cambria" w:cs="Cambria"/>
                <w:sz w:val="22"/>
                <w:szCs w:val="22"/>
              </w:rPr>
            </w:pPr>
          </w:p>
          <w:p w14:paraId="7E58C617" w14:textId="5DA7CF29" w:rsidR="6733811B" w:rsidRDefault="6733811B" w:rsidP="6733811B">
            <w:pPr>
              <w:rPr>
                <w:rFonts w:ascii="Cambria" w:eastAsia="Cambria" w:hAnsi="Cambria" w:cs="Cambria"/>
                <w:sz w:val="22"/>
                <w:szCs w:val="22"/>
              </w:rPr>
            </w:pPr>
          </w:p>
          <w:p w14:paraId="1D28CDD0" w14:textId="62EFD083" w:rsidR="6733811B" w:rsidRDefault="6733811B" w:rsidP="6733811B">
            <w:pPr>
              <w:rPr>
                <w:rFonts w:ascii="Cambria" w:eastAsia="Cambria" w:hAnsi="Cambria" w:cs="Cambria"/>
                <w:sz w:val="22"/>
                <w:szCs w:val="22"/>
              </w:rPr>
            </w:pPr>
          </w:p>
          <w:p w14:paraId="58896B32" w14:textId="6754A041" w:rsidR="6733811B" w:rsidRDefault="6733811B" w:rsidP="6733811B">
            <w:pPr>
              <w:rPr>
                <w:rFonts w:ascii="Cambria" w:eastAsia="Cambria" w:hAnsi="Cambria" w:cs="Cambria"/>
                <w:sz w:val="22"/>
                <w:szCs w:val="22"/>
              </w:rPr>
            </w:pPr>
          </w:p>
        </w:tc>
      </w:tr>
      <w:tr w:rsidR="6733811B" w14:paraId="1AD9C02C" w14:textId="77777777" w:rsidTr="0F2934F5">
        <w:trPr>
          <w:trHeight w:val="1590"/>
        </w:trPr>
        <w:tc>
          <w:tcPr>
            <w:tcW w:w="2160" w:type="dxa"/>
          </w:tcPr>
          <w:p w14:paraId="0F3FF998" w14:textId="40D54BF3" w:rsidR="6733811B" w:rsidRDefault="6733811B" w:rsidP="6733811B">
            <w:r w:rsidRPr="6733811B">
              <w:rPr>
                <w:rFonts w:ascii="Cambria" w:eastAsia="Cambria" w:hAnsi="Cambria" w:cs="Cambria"/>
                <w:sz w:val="22"/>
                <w:szCs w:val="22"/>
              </w:rPr>
              <w:t>Staff Behaviour</w:t>
            </w:r>
          </w:p>
        </w:tc>
        <w:tc>
          <w:tcPr>
            <w:tcW w:w="2160" w:type="dxa"/>
          </w:tcPr>
          <w:p w14:paraId="75F7172D" w14:textId="10958868"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Interpersonal service quality</w:t>
            </w:r>
          </w:p>
          <w:p w14:paraId="2661D50A" w14:textId="3B4990EE" w:rsidR="6733811B" w:rsidRDefault="6733811B"/>
          <w:p w14:paraId="650FC727" w14:textId="0978DD01" w:rsidR="6733811B" w:rsidRDefault="6733811B" w:rsidP="6733811B">
            <w:pPr>
              <w:rPr>
                <w:rFonts w:ascii="Cambria" w:eastAsia="Cambria" w:hAnsi="Cambria" w:cs="Cambria"/>
                <w:sz w:val="22"/>
                <w:szCs w:val="22"/>
              </w:rPr>
            </w:pPr>
          </w:p>
        </w:tc>
        <w:tc>
          <w:tcPr>
            <w:tcW w:w="2160" w:type="dxa"/>
          </w:tcPr>
          <w:p w14:paraId="191A58E7" w14:textId="5DDFA507"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Wirtz and Lovelock (2021); Ali et al. (2021); Rather (2022)</w:t>
            </w:r>
          </w:p>
          <w:p w14:paraId="7FB9FCA2" w14:textId="485B05E7" w:rsidR="6733811B" w:rsidRDefault="6733811B" w:rsidP="6733811B">
            <w:pPr>
              <w:rPr>
                <w:rFonts w:ascii="Cambria" w:eastAsia="Cambria" w:hAnsi="Cambria" w:cs="Cambria"/>
                <w:sz w:val="22"/>
                <w:szCs w:val="22"/>
              </w:rPr>
            </w:pPr>
          </w:p>
        </w:tc>
        <w:tc>
          <w:tcPr>
            <w:tcW w:w="2160" w:type="dxa"/>
          </w:tcPr>
          <w:p w14:paraId="60FCD750" w14:textId="752248CA" w:rsidR="6733811B" w:rsidRDefault="6733811B" w:rsidP="6733811B">
            <w:r w:rsidRPr="6733811B">
              <w:rPr>
                <w:rFonts w:ascii="Cambria" w:eastAsia="Cambria" w:hAnsi="Cambria" w:cs="Cambria"/>
                <w:color w:val="000000" w:themeColor="text1"/>
                <w:sz w:val="22"/>
                <w:szCs w:val="22"/>
              </w:rPr>
              <w:t>Staff professionalism, empathy, and communication shape emotional responses and influence satisfaction and loyalty</w:t>
            </w:r>
          </w:p>
        </w:tc>
      </w:tr>
      <w:tr w:rsidR="6733811B" w14:paraId="78C51F50" w14:textId="77777777" w:rsidTr="0F2934F5">
        <w:trPr>
          <w:trHeight w:val="1590"/>
        </w:trPr>
        <w:tc>
          <w:tcPr>
            <w:tcW w:w="2160" w:type="dxa"/>
          </w:tcPr>
          <w:p w14:paraId="553CF169" w14:textId="106BCEE2"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lastRenderedPageBreak/>
              <w:t>Brand Trust</w:t>
            </w:r>
          </w:p>
          <w:p w14:paraId="5DDCC4E5" w14:textId="3974A850" w:rsidR="6733811B" w:rsidRDefault="6733811B" w:rsidP="6733811B">
            <w:pPr>
              <w:rPr>
                <w:rFonts w:ascii="Cambria" w:eastAsia="Cambria" w:hAnsi="Cambria" w:cs="Cambria"/>
                <w:sz w:val="22"/>
                <w:szCs w:val="22"/>
              </w:rPr>
            </w:pPr>
          </w:p>
        </w:tc>
        <w:tc>
          <w:tcPr>
            <w:tcW w:w="2160" w:type="dxa"/>
          </w:tcPr>
          <w:p w14:paraId="6FA021F8" w14:textId="1D31DAEC"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Trust development and relationship building</w:t>
            </w:r>
          </w:p>
          <w:p w14:paraId="3216C73C" w14:textId="12465782" w:rsidR="6733811B" w:rsidRDefault="6733811B" w:rsidP="6733811B">
            <w:pPr>
              <w:rPr>
                <w:rFonts w:ascii="Cambria" w:eastAsia="Cambria" w:hAnsi="Cambria" w:cs="Cambria"/>
                <w:sz w:val="22"/>
                <w:szCs w:val="22"/>
              </w:rPr>
            </w:pPr>
          </w:p>
        </w:tc>
        <w:tc>
          <w:tcPr>
            <w:tcW w:w="2160" w:type="dxa"/>
          </w:tcPr>
          <w:p w14:paraId="02075C10" w14:textId="4BCAC953"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Siqueira et al. (2023); Rather (2022); Leon and Dixon (2023)</w:t>
            </w:r>
          </w:p>
          <w:p w14:paraId="672D6232" w14:textId="77F36376" w:rsidR="6733811B" w:rsidRDefault="6733811B" w:rsidP="6733811B">
            <w:pPr>
              <w:rPr>
                <w:rFonts w:ascii="Cambria" w:eastAsia="Cambria" w:hAnsi="Cambria" w:cs="Cambria"/>
                <w:sz w:val="22"/>
                <w:szCs w:val="22"/>
              </w:rPr>
            </w:pPr>
          </w:p>
        </w:tc>
        <w:tc>
          <w:tcPr>
            <w:tcW w:w="2160" w:type="dxa"/>
          </w:tcPr>
          <w:p w14:paraId="4A1B6058" w14:textId="737EEC3F" w:rsidR="6733811B" w:rsidRDefault="6733811B" w:rsidP="6733811B">
            <w:pPr>
              <w:rPr>
                <w:rFonts w:ascii="Cambria" w:eastAsia="Cambria" w:hAnsi="Cambria" w:cs="Cambria"/>
                <w:color w:val="000000" w:themeColor="text1"/>
                <w:sz w:val="22"/>
                <w:szCs w:val="22"/>
              </w:rPr>
            </w:pPr>
            <w:r w:rsidRPr="6733811B">
              <w:rPr>
                <w:rFonts w:ascii="Cambria" w:eastAsia="Cambria" w:hAnsi="Cambria" w:cs="Cambria"/>
                <w:color w:val="000000" w:themeColor="text1"/>
                <w:sz w:val="22"/>
                <w:szCs w:val="22"/>
              </w:rPr>
              <w:t>Trust strengthens long-term relationships and increases repeat</w:t>
            </w:r>
            <w:r w:rsidR="04F7B388" w:rsidRPr="6733811B">
              <w:rPr>
                <w:rFonts w:ascii="Cambria" w:eastAsia="Cambria" w:hAnsi="Cambria" w:cs="Cambria"/>
                <w:color w:val="000000" w:themeColor="text1"/>
                <w:sz w:val="22"/>
                <w:szCs w:val="22"/>
              </w:rPr>
              <w:t xml:space="preserve"> behaviour and customer loyalty</w:t>
            </w:r>
          </w:p>
        </w:tc>
      </w:tr>
    </w:tbl>
    <w:p w14:paraId="0B3CCD1A" w14:textId="64F1EDAE" w:rsidR="1D780400" w:rsidRDefault="1D780400" w:rsidP="6733811B"/>
    <w:p w14:paraId="333FD042" w14:textId="042B256B" w:rsidR="09952F04" w:rsidRDefault="09952F04" w:rsidP="2E4158E0">
      <w:pPr>
        <w:rPr>
          <w:rFonts w:ascii="Arial" w:eastAsia="Arial" w:hAnsi="Arial" w:cs="Arial"/>
          <w:b/>
          <w:bCs/>
          <w:i/>
          <w:iCs/>
          <w:sz w:val="20"/>
          <w:szCs w:val="20"/>
        </w:rPr>
      </w:pPr>
      <w:r w:rsidRPr="2E4158E0">
        <w:rPr>
          <w:rFonts w:ascii="Arial" w:eastAsia="Arial" w:hAnsi="Arial" w:cs="Arial"/>
          <w:b/>
          <w:bCs/>
          <w:i/>
          <w:iCs/>
          <w:sz w:val="20"/>
          <w:szCs w:val="20"/>
        </w:rPr>
        <w:t>This table summarises key themes derived from the literature and supports the thematic analysis presented in Chapter 4</w:t>
      </w:r>
    </w:p>
    <w:p w14:paraId="030DC1FA" w14:textId="3B8FC3D1" w:rsidR="14DC6D0A" w:rsidRDefault="14DC6D0A" w:rsidP="14DC6D0A">
      <w:pPr>
        <w:spacing w:before="240" w:after="240"/>
        <w:rPr>
          <w:rFonts w:ascii="Arial" w:eastAsia="Arial" w:hAnsi="Arial" w:cs="Arial"/>
          <w:sz w:val="20"/>
          <w:szCs w:val="20"/>
        </w:rPr>
      </w:pPr>
    </w:p>
    <w:p w14:paraId="037A48DB" w14:textId="2C288A92" w:rsidR="14DC6D0A" w:rsidRDefault="14DC6D0A" w:rsidP="14DC6D0A">
      <w:pPr>
        <w:spacing w:before="240" w:after="240"/>
        <w:rPr>
          <w:rFonts w:ascii="Arial" w:eastAsia="Arial" w:hAnsi="Arial" w:cs="Arial"/>
          <w:sz w:val="20"/>
          <w:szCs w:val="20"/>
        </w:rPr>
      </w:pPr>
    </w:p>
    <w:p w14:paraId="7C66DD07" w14:textId="376A2FE8" w:rsidR="14DC6D0A" w:rsidRDefault="14DC6D0A" w:rsidP="14DC6D0A">
      <w:pPr>
        <w:spacing w:before="240" w:after="240"/>
        <w:rPr>
          <w:rFonts w:ascii="Arial" w:eastAsia="Arial" w:hAnsi="Arial" w:cs="Arial"/>
          <w:sz w:val="20"/>
          <w:szCs w:val="20"/>
        </w:rPr>
      </w:pPr>
    </w:p>
    <w:p w14:paraId="3CDC8D37" w14:textId="1E99C779" w:rsidR="0CF05F15" w:rsidRPr="002C66E2" w:rsidRDefault="4E25E573" w:rsidP="00701A9C">
      <w:pPr>
        <w:pStyle w:val="Heading2"/>
        <w:rPr>
          <w:rFonts w:eastAsia="Arial"/>
        </w:rPr>
      </w:pPr>
      <w:bookmarkStart w:id="181" w:name="_Toc228398801"/>
      <w:bookmarkStart w:id="182" w:name="_Toc785799265"/>
      <w:bookmarkStart w:id="183" w:name="_Toc1369955821"/>
      <w:bookmarkStart w:id="184" w:name="_Toc1195367985"/>
      <w:bookmarkStart w:id="185" w:name="_Toc446399304"/>
      <w:r w:rsidRPr="370D7818">
        <w:rPr>
          <w:rFonts w:eastAsia="Arial"/>
        </w:rPr>
        <w:t>4.4 Theme One: Types of Service and Their Influence on Passenger Loyalty</w:t>
      </w:r>
      <w:bookmarkEnd w:id="181"/>
      <w:bookmarkEnd w:id="182"/>
      <w:bookmarkEnd w:id="183"/>
      <w:bookmarkEnd w:id="184"/>
      <w:bookmarkEnd w:id="185"/>
    </w:p>
    <w:p w14:paraId="4745F0F9" w14:textId="2A8EBAC4" w:rsidR="0CF05F15" w:rsidRDefault="4E25E573" w:rsidP="6733811B">
      <w:pPr>
        <w:spacing w:before="240" w:after="240" w:line="480" w:lineRule="auto"/>
      </w:pPr>
      <w:r w:rsidRPr="6733811B">
        <w:rPr>
          <w:rFonts w:ascii="Arial" w:eastAsia="Arial" w:hAnsi="Arial" w:cs="Arial"/>
          <w:sz w:val="20"/>
          <w:szCs w:val="20"/>
        </w:rPr>
        <w:t>The first theme concerns the types of service offered by Turkish Airlines and their influence on passenger experience, satisfaction, and loyalty. The literature consistently demonstrates that customer experience is shaped across multiple service touchpoints throughout the passenger journey, rather than through a single interaction (Wirtz and Lovelock, 2021).</w:t>
      </w:r>
    </w:p>
    <w:p w14:paraId="37C17CB9" w14:textId="0168A268" w:rsidR="0CF05F15" w:rsidRDefault="4E25E573" w:rsidP="6733811B">
      <w:pPr>
        <w:spacing w:before="240" w:after="240" w:line="480" w:lineRule="auto"/>
      </w:pPr>
      <w:r w:rsidRPr="6733811B">
        <w:rPr>
          <w:rFonts w:ascii="Arial" w:eastAsia="Arial" w:hAnsi="Arial" w:cs="Arial"/>
          <w:sz w:val="20"/>
          <w:szCs w:val="20"/>
        </w:rPr>
        <w:t>Wirtz and Lovelock (2021) argue that each service interaction contributes to overall satisfaction. However, this perspective may underestimate the impact of negative experiences, as even a single service failure can outweigh several positive interactions. This suggests that airlines must not only focus on delivering consistent service but also on preventing and managing critical service failures. In the context of Turkish Airlines, this is particularly important given the complexity of its global operations.</w:t>
      </w:r>
    </w:p>
    <w:p w14:paraId="635F9D0C" w14:textId="5C4D1DBA" w:rsidR="0CF05F15" w:rsidRDefault="4E25E573" w:rsidP="6733811B">
      <w:pPr>
        <w:spacing w:before="240" w:after="240" w:line="480" w:lineRule="auto"/>
      </w:pPr>
      <w:r w:rsidRPr="6733811B">
        <w:rPr>
          <w:rFonts w:ascii="Arial" w:eastAsia="Arial" w:hAnsi="Arial" w:cs="Arial"/>
          <w:sz w:val="20"/>
          <w:szCs w:val="20"/>
        </w:rPr>
        <w:t>Lemon and Verhoef (2021) explain that customer experience develops across pre-purchase, purchase, and post-purchase stages. While each stage contributes to overall perceptions, their impact may not be equal. In-flight services, for example, often have a stronger emotional impact, while post-flight interactions may influence long-term loyalty. This indicates that Turkish Airlines should prioritise those stages that have the greatest influence on passenger perceptions.</w:t>
      </w:r>
    </w:p>
    <w:p w14:paraId="27B8B218" w14:textId="739F39D2" w:rsidR="0CF05F15" w:rsidRDefault="4E25E573" w:rsidP="6733811B">
      <w:pPr>
        <w:spacing w:before="240" w:after="240" w:line="480" w:lineRule="auto"/>
      </w:pPr>
      <w:r w:rsidRPr="36385224">
        <w:rPr>
          <w:rFonts w:ascii="Arial" w:eastAsia="Arial" w:hAnsi="Arial" w:cs="Arial"/>
          <w:sz w:val="20"/>
          <w:szCs w:val="20"/>
        </w:rPr>
        <w:lastRenderedPageBreak/>
        <w:t>Zeithaml, Bitner and Gremler (2020) identify key service quality dimensions, including reliability and responsiveness. Reliability is particularly critical in the airline industry, where delays and disruptions can significantly reduce satisfaction. Leon and Dixon (2023) highlight that trust develops through consistent service delivery, while Rather (2022) emphasises that trust plays a central role in translating experience into loyalty.</w:t>
      </w:r>
    </w:p>
    <w:p w14:paraId="42CC61BD" w14:textId="1C09B6C8" w:rsidR="244E85CD" w:rsidRDefault="244E85CD" w:rsidP="36385224">
      <w:pPr>
        <w:spacing w:before="240" w:after="240" w:line="480" w:lineRule="auto"/>
      </w:pPr>
      <w:r w:rsidRPr="36385224">
        <w:rPr>
          <w:rFonts w:ascii="Arial" w:eastAsia="Arial" w:hAnsi="Arial" w:cs="Arial"/>
          <w:sz w:val="20"/>
          <w:szCs w:val="20"/>
        </w:rPr>
        <w:t xml:space="preserve">Ali et al. (2021) </w:t>
      </w:r>
      <w:proofErr w:type="gramStart"/>
      <w:r w:rsidRPr="36385224">
        <w:rPr>
          <w:rFonts w:ascii="Arial" w:eastAsia="Arial" w:hAnsi="Arial" w:cs="Arial"/>
          <w:sz w:val="20"/>
          <w:szCs w:val="20"/>
        </w:rPr>
        <w:t>demonstrate</w:t>
      </w:r>
      <w:proofErr w:type="gramEnd"/>
      <w:r w:rsidRPr="36385224">
        <w:rPr>
          <w:rFonts w:ascii="Arial" w:eastAsia="Arial" w:hAnsi="Arial" w:cs="Arial"/>
          <w:sz w:val="20"/>
          <w:szCs w:val="20"/>
        </w:rPr>
        <w:t xml:space="preserve"> the importance of empathy and responsiveness in shaping customer satisfaction, while Chikazhe, Makanyeza and Chigunhah (2021) indicate that customer satisfaction acts as a mediator between service experience and loyalty. Xie, Zhang, and Morrison (2020) provide empirical evidence showing that consistent positive experiences increase repeat behaviour and recommendations.</w:t>
      </w:r>
    </w:p>
    <w:p w14:paraId="46B62082" w14:textId="265EE6C8" w:rsidR="0CF05F15" w:rsidRDefault="5581BF71" w:rsidP="6733811B">
      <w:pPr>
        <w:spacing w:before="240" w:after="240" w:line="480" w:lineRule="auto"/>
      </w:pPr>
      <w:r w:rsidRPr="6733811B">
        <w:rPr>
          <w:rFonts w:ascii="Arial" w:eastAsia="Arial" w:hAnsi="Arial" w:cs="Arial"/>
          <w:sz w:val="20"/>
          <w:szCs w:val="20"/>
        </w:rPr>
        <w:t xml:space="preserve">However, while the literature emphasises the importance of service quality, it often assumes that service delivery is consistent across contexts. </w:t>
      </w:r>
      <w:r w:rsidR="083EECD5" w:rsidRPr="6733811B">
        <w:rPr>
          <w:rFonts w:ascii="Arial" w:eastAsia="Arial" w:hAnsi="Arial" w:cs="Arial"/>
          <w:sz w:val="20"/>
          <w:szCs w:val="20"/>
        </w:rPr>
        <w:t>Airlines</w:t>
      </w:r>
      <w:r w:rsidRPr="6733811B">
        <w:rPr>
          <w:rFonts w:ascii="Arial" w:eastAsia="Arial" w:hAnsi="Arial" w:cs="Arial"/>
          <w:sz w:val="20"/>
          <w:szCs w:val="20"/>
        </w:rPr>
        <w:t xml:space="preserve"> such as Turkish Airlines operate across diverse markets, where cultural expectations and operational conditions may vary. This suggests that achieving consistency in service delivery may be more challenging than the literature implies.</w:t>
      </w:r>
    </w:p>
    <w:p w14:paraId="48D2A84F" w14:textId="7C4DCFB2" w:rsidR="1309A58B" w:rsidRDefault="1309A58B"/>
    <w:p w14:paraId="340B7CF9" w14:textId="099803DD" w:rsidR="59CD09D6" w:rsidRDefault="59CD09D6" w:rsidP="59CD09D6">
      <w:pPr>
        <w:pStyle w:val="Heading2"/>
        <w:rPr>
          <w:rFonts w:asciiTheme="minorHAnsi" w:eastAsia="Arial" w:hAnsiTheme="minorHAnsi" w:cstheme="minorBidi"/>
        </w:rPr>
      </w:pPr>
    </w:p>
    <w:p w14:paraId="2932A9B4" w14:textId="73FE5CBF" w:rsidR="59CD09D6" w:rsidRDefault="59CD09D6" w:rsidP="59CD09D6">
      <w:pPr>
        <w:pStyle w:val="Heading2"/>
        <w:rPr>
          <w:rFonts w:asciiTheme="minorHAnsi" w:eastAsia="Arial" w:hAnsiTheme="minorHAnsi" w:cstheme="minorBidi"/>
        </w:rPr>
      </w:pPr>
    </w:p>
    <w:p w14:paraId="382A8477" w14:textId="0F837B88" w:rsidR="59CD09D6" w:rsidRDefault="59CD09D6" w:rsidP="59CD09D6">
      <w:pPr>
        <w:pStyle w:val="Heading2"/>
        <w:rPr>
          <w:rFonts w:asciiTheme="minorHAnsi" w:eastAsia="Arial" w:hAnsiTheme="minorHAnsi" w:cstheme="minorBidi"/>
        </w:rPr>
      </w:pPr>
    </w:p>
    <w:p w14:paraId="353A6305" w14:textId="3C0C4A46" w:rsidR="59CD09D6" w:rsidRDefault="59CD09D6" w:rsidP="59CD09D6"/>
    <w:p w14:paraId="2D133E09" w14:textId="5C8EE856" w:rsidR="59CD09D6" w:rsidRDefault="59CD09D6" w:rsidP="59CD09D6"/>
    <w:p w14:paraId="7968C6FF" w14:textId="47761BF4" w:rsidR="59CD09D6" w:rsidRDefault="59CD09D6" w:rsidP="59CD09D6"/>
    <w:p w14:paraId="4184C5CF" w14:textId="374329FD" w:rsidR="59CD09D6" w:rsidRDefault="59CD09D6" w:rsidP="59CD09D6"/>
    <w:p w14:paraId="022AE865" w14:textId="4AA8F4F3" w:rsidR="0CF05F15" w:rsidRPr="00701A9C" w:rsidRDefault="4E25E573" w:rsidP="370D7818">
      <w:pPr>
        <w:pStyle w:val="Heading2"/>
        <w:rPr>
          <w:rFonts w:asciiTheme="minorHAnsi" w:hAnsiTheme="minorHAnsi" w:cstheme="minorBidi"/>
        </w:rPr>
      </w:pPr>
      <w:bookmarkStart w:id="186" w:name="_Toc228398802"/>
      <w:bookmarkStart w:id="187" w:name="_Toc1606207423"/>
      <w:bookmarkStart w:id="188" w:name="_Toc2087214352"/>
      <w:bookmarkStart w:id="189" w:name="_Toc1738055746"/>
      <w:bookmarkStart w:id="190" w:name="_Toc124676245"/>
      <w:r>
        <w:lastRenderedPageBreak/>
        <w:t>4.5 Theme Two: Price and Its Influence on Passenger Satisfaction and Loyalty</w:t>
      </w:r>
      <w:bookmarkEnd w:id="186"/>
      <w:bookmarkEnd w:id="187"/>
      <w:bookmarkEnd w:id="188"/>
      <w:bookmarkEnd w:id="189"/>
      <w:bookmarkEnd w:id="190"/>
    </w:p>
    <w:p w14:paraId="0B51510F" w14:textId="60D46E22" w:rsidR="0CF05F15" w:rsidRDefault="4E25E573" w:rsidP="6733811B">
      <w:pPr>
        <w:spacing w:before="240" w:after="240" w:line="480" w:lineRule="auto"/>
      </w:pPr>
      <w:r w:rsidRPr="6733811B">
        <w:rPr>
          <w:rFonts w:ascii="Arial" w:eastAsia="Arial" w:hAnsi="Arial" w:cs="Arial"/>
          <w:sz w:val="20"/>
          <w:szCs w:val="20"/>
        </w:rPr>
        <w:t>The second theme focuses on the role of price in shaping passenger satisfaction and loyalty. The literature suggests that price is evaluated in relation to perceived value rather than as an isolated factor (Han and Hyun, 2021).</w:t>
      </w:r>
    </w:p>
    <w:p w14:paraId="314E7260" w14:textId="70BAA2B7" w:rsidR="0CF05F15" w:rsidRDefault="4E25E573" w:rsidP="6733811B">
      <w:pPr>
        <w:spacing w:before="240" w:after="240" w:line="480" w:lineRule="auto"/>
      </w:pPr>
      <w:r w:rsidRPr="6733811B">
        <w:rPr>
          <w:rFonts w:ascii="Arial" w:eastAsia="Arial" w:hAnsi="Arial" w:cs="Arial"/>
          <w:sz w:val="20"/>
          <w:szCs w:val="20"/>
        </w:rPr>
        <w:t>Han and Hyun (2021) demonstrate that price fairness and service quality jointly influence customer retention. However, this relationship is not straightforward, as perceptions of fairness are subjective and influenced by individual expectations. Lai (2023) further supports this by identifying price fairness as a moderating variable, suggesting that passengers may tolerate minor service issues when they perceive value.</w:t>
      </w:r>
    </w:p>
    <w:p w14:paraId="2DB18EFB" w14:textId="03D6977A" w:rsidR="0CF05F15" w:rsidRDefault="4E25E573" w:rsidP="6733811B">
      <w:pPr>
        <w:spacing w:before="240" w:after="240" w:line="480" w:lineRule="auto"/>
      </w:pPr>
      <w:r w:rsidRPr="2622FC74">
        <w:rPr>
          <w:rFonts w:ascii="Arial" w:eastAsia="Arial" w:hAnsi="Arial" w:cs="Arial"/>
          <w:sz w:val="20"/>
          <w:szCs w:val="20"/>
        </w:rPr>
        <w:t xml:space="preserve">Oliver (2020) explains that price perceptions influence cognitive loyalty, which forms the initial stage of loyalty development. However, this stage must be reinforced by positive experiences </w:t>
      </w:r>
      <w:r w:rsidR="741E35E4" w:rsidRPr="2622FC74">
        <w:rPr>
          <w:rFonts w:ascii="Arial" w:eastAsia="Arial" w:hAnsi="Arial" w:cs="Arial"/>
          <w:sz w:val="20"/>
          <w:szCs w:val="20"/>
        </w:rPr>
        <w:t>to</w:t>
      </w:r>
      <w:r w:rsidRPr="2622FC74">
        <w:rPr>
          <w:rFonts w:ascii="Arial" w:eastAsia="Arial" w:hAnsi="Arial" w:cs="Arial"/>
          <w:sz w:val="20"/>
          <w:szCs w:val="20"/>
        </w:rPr>
        <w:t xml:space="preserve"> develop into long-term loyalty. Marin et al. (2024) </w:t>
      </w:r>
      <w:proofErr w:type="gramStart"/>
      <w:r w:rsidRPr="2622FC74">
        <w:rPr>
          <w:rFonts w:ascii="Arial" w:eastAsia="Arial" w:hAnsi="Arial" w:cs="Arial"/>
          <w:sz w:val="20"/>
          <w:szCs w:val="20"/>
        </w:rPr>
        <w:t>extend</w:t>
      </w:r>
      <w:proofErr w:type="gramEnd"/>
      <w:r w:rsidRPr="2622FC74">
        <w:rPr>
          <w:rFonts w:ascii="Arial" w:eastAsia="Arial" w:hAnsi="Arial" w:cs="Arial"/>
          <w:sz w:val="20"/>
          <w:szCs w:val="20"/>
        </w:rPr>
        <w:t xml:space="preserve"> this argument by showing that loyalty programmes can enhance perceived value, but only when they provide meaningful benefits.</w:t>
      </w:r>
    </w:p>
    <w:p w14:paraId="053128F4" w14:textId="2C765C4F" w:rsidR="0CF05F15" w:rsidRDefault="4FD2BE5B" w:rsidP="46E8CDCF">
      <w:pPr>
        <w:spacing w:before="240" w:after="240" w:line="480" w:lineRule="auto"/>
      </w:pPr>
      <w:r w:rsidRPr="2622FC74">
        <w:rPr>
          <w:rFonts w:ascii="Arial" w:eastAsia="Arial" w:hAnsi="Arial" w:cs="Arial"/>
          <w:sz w:val="20"/>
          <w:szCs w:val="20"/>
        </w:rPr>
        <w:t xml:space="preserve">Chikazhe, Makanyeza and Chigunhah (2021) confirm that customer satisfaction mediates the relationship between service experience and </w:t>
      </w:r>
      <w:r w:rsidR="5494D1D8" w:rsidRPr="2622FC74">
        <w:rPr>
          <w:rFonts w:ascii="Arial" w:eastAsia="Arial" w:hAnsi="Arial" w:cs="Arial"/>
          <w:sz w:val="20"/>
          <w:szCs w:val="20"/>
        </w:rPr>
        <w:t>loyalty.</w:t>
      </w:r>
      <w:r w:rsidR="4E25E573" w:rsidRPr="2622FC74">
        <w:rPr>
          <w:rFonts w:ascii="Arial" w:eastAsia="Arial" w:hAnsi="Arial" w:cs="Arial"/>
          <w:sz w:val="20"/>
          <w:szCs w:val="20"/>
        </w:rPr>
        <w:t xml:space="preserve"> This suggests that price and service quality should not be considered separately, but as part of a broader value proposition.</w:t>
      </w:r>
    </w:p>
    <w:p w14:paraId="2BAA281D" w14:textId="35B341E2" w:rsidR="0CF05F15" w:rsidRDefault="4E25E573" w:rsidP="6733811B">
      <w:pPr>
        <w:spacing w:before="240" w:after="240" w:line="480" w:lineRule="auto"/>
      </w:pPr>
      <w:r w:rsidRPr="6733811B">
        <w:rPr>
          <w:rFonts w:ascii="Arial" w:eastAsia="Arial" w:hAnsi="Arial" w:cs="Arial"/>
          <w:sz w:val="20"/>
          <w:szCs w:val="20"/>
        </w:rPr>
        <w:t>In the context of Turkish Airlines, this highlights the importance of aligning pricing strategies with service quality. However, achieving this balance may be challenging in competitive markets where price sensitivity varies among passengers. This suggests that Turkish Airlines must carefully manage customer expectations to ensure that perceived value is maintained.</w:t>
      </w:r>
    </w:p>
    <w:p w14:paraId="15F0C1F3" w14:textId="01477143" w:rsidR="1309A58B" w:rsidRDefault="1309A58B"/>
    <w:p w14:paraId="30A5D57B" w14:textId="6095FE6C" w:rsidR="59CD09D6" w:rsidRDefault="59CD09D6" w:rsidP="59CD09D6">
      <w:pPr>
        <w:spacing w:before="322" w:after="322"/>
      </w:pPr>
    </w:p>
    <w:p w14:paraId="164BE5FE" w14:textId="5B1CBF19" w:rsidR="0CF05F15" w:rsidRPr="002A2986" w:rsidRDefault="4E25E573" w:rsidP="370D7818">
      <w:pPr>
        <w:pStyle w:val="Heading2"/>
        <w:rPr>
          <w:rFonts w:asciiTheme="minorHAnsi" w:hAnsiTheme="minorHAnsi" w:cstheme="minorBidi"/>
        </w:rPr>
      </w:pPr>
      <w:bookmarkStart w:id="191" w:name="_Toc228398803"/>
      <w:bookmarkStart w:id="192" w:name="_Toc26667573"/>
      <w:bookmarkStart w:id="193" w:name="_Toc1860024668"/>
      <w:bookmarkStart w:id="194" w:name="_Toc812077543"/>
      <w:bookmarkStart w:id="195" w:name="_Toc921562134"/>
      <w:r>
        <w:lastRenderedPageBreak/>
        <w:t>4.6 Theme Three: Service Failures and Their Impact on Loyalty</w:t>
      </w:r>
      <w:bookmarkEnd w:id="191"/>
      <w:bookmarkEnd w:id="192"/>
      <w:bookmarkEnd w:id="193"/>
      <w:bookmarkEnd w:id="194"/>
      <w:bookmarkEnd w:id="195"/>
    </w:p>
    <w:p w14:paraId="5EDF751B" w14:textId="118CFDDA" w:rsidR="0CF05F15" w:rsidRDefault="4E25E573" w:rsidP="6733811B">
      <w:pPr>
        <w:spacing w:before="240" w:after="240" w:line="480" w:lineRule="auto"/>
      </w:pPr>
      <w:r w:rsidRPr="6733811B">
        <w:rPr>
          <w:rFonts w:ascii="Arial" w:eastAsia="Arial" w:hAnsi="Arial" w:cs="Arial"/>
          <w:sz w:val="20"/>
          <w:szCs w:val="20"/>
        </w:rPr>
        <w:t>The third theme examines the impact of service failures on passenger satisfaction and loyalty. Service failures are a common issue in the airline industry, and their management plays a critical role in shaping customer perceptions (Tay, 2023).</w:t>
      </w:r>
    </w:p>
    <w:p w14:paraId="20BE2600" w14:textId="6A391F2A" w:rsidR="0CF05F15" w:rsidRDefault="4E25E573" w:rsidP="6733811B">
      <w:pPr>
        <w:spacing w:before="240" w:after="240" w:line="480" w:lineRule="auto"/>
      </w:pPr>
      <w:r w:rsidRPr="6733811B">
        <w:rPr>
          <w:rFonts w:ascii="Arial" w:eastAsia="Arial" w:hAnsi="Arial" w:cs="Arial"/>
          <w:sz w:val="20"/>
          <w:szCs w:val="20"/>
        </w:rPr>
        <w:t>Tay (2023) argues that the response to service failure is often more important than the failure itself. However, this assumes that recovery processes are consistently applied, which may not always be the case in large organisations. Zeithaml, Bitner and Gremler (2020) suggest that effective service recovery can restore satisfaction and strengthen loyalty.</w:t>
      </w:r>
    </w:p>
    <w:p w14:paraId="01A9FF3A" w14:textId="525A73BC" w:rsidR="0CF05F15" w:rsidRDefault="4E25E573" w:rsidP="6733811B">
      <w:pPr>
        <w:spacing w:before="240" w:after="240" w:line="480" w:lineRule="auto"/>
      </w:pPr>
      <w:r w:rsidRPr="6733811B">
        <w:rPr>
          <w:rFonts w:ascii="Arial" w:eastAsia="Arial" w:hAnsi="Arial" w:cs="Arial"/>
          <w:sz w:val="20"/>
          <w:szCs w:val="20"/>
        </w:rPr>
        <w:t>Rather (2022) highlights the role of trust in this process, while Lemon and Verhoef (2021) note that failures during the post-purchase stage can have a particularly strong impact on passenger perceptions. Oliver (2020) explains that repeated failures can weaken emotional attachment, while Xie, Zhang and Morrison (2020) show that loyal customers may be more tolerant of failures.</w:t>
      </w:r>
    </w:p>
    <w:p w14:paraId="729067F1" w14:textId="293C8D30" w:rsidR="0CF05F15" w:rsidRDefault="4E25E573" w:rsidP="6733811B">
      <w:pPr>
        <w:spacing w:before="240" w:after="240" w:line="480" w:lineRule="auto"/>
      </w:pPr>
      <w:r w:rsidRPr="6733811B">
        <w:rPr>
          <w:rFonts w:ascii="Arial" w:eastAsia="Arial" w:hAnsi="Arial" w:cs="Arial"/>
          <w:sz w:val="20"/>
          <w:szCs w:val="20"/>
        </w:rPr>
        <w:t>However, the literature often assumes that airlines have full control over service recovery. In practice, external factors such as weather conditions and airport operations may limit the ability of airlines to manage service failures effectively. This suggests that customer communication may be as important as operational performance in maintaining loyalty.</w:t>
      </w:r>
    </w:p>
    <w:p w14:paraId="3FFD0E4D" w14:textId="004986CA" w:rsidR="0CF05F15" w:rsidRDefault="567FA3D4" w:rsidP="6733811B">
      <w:pPr>
        <w:spacing w:before="240" w:after="240" w:line="480" w:lineRule="auto"/>
      </w:pPr>
      <w:r w:rsidRPr="6733811B">
        <w:rPr>
          <w:rFonts w:ascii="Arial" w:eastAsia="Arial" w:hAnsi="Arial" w:cs="Arial"/>
          <w:sz w:val="20"/>
          <w:szCs w:val="20"/>
        </w:rPr>
        <w:t>For Turkish Airlines, this highlights the importance of developing effective and consistent service recovery strategies, as well as ensuring clear communication with passengers during disruptions.</w:t>
      </w:r>
    </w:p>
    <w:p w14:paraId="4BBBEFA0" w14:textId="4E06C98C" w:rsidR="77DF9B16" w:rsidRDefault="77DF9B16" w:rsidP="6733811B">
      <w:pPr>
        <w:spacing w:before="240" w:after="240" w:line="480" w:lineRule="auto"/>
        <w:rPr>
          <w:rFonts w:ascii="Arial" w:eastAsia="Arial" w:hAnsi="Arial" w:cs="Arial"/>
          <w:sz w:val="20"/>
          <w:szCs w:val="20"/>
        </w:rPr>
      </w:pPr>
    </w:p>
    <w:p w14:paraId="02E4914A" w14:textId="0D6B25E3" w:rsidR="6FFAA8FE" w:rsidRPr="002A2986" w:rsidRDefault="0FACDD3F" w:rsidP="370D7818">
      <w:pPr>
        <w:pStyle w:val="Heading2"/>
        <w:spacing w:before="240" w:after="240" w:line="480" w:lineRule="auto"/>
        <w:rPr>
          <w:rFonts w:asciiTheme="minorHAnsi" w:hAnsiTheme="minorHAnsi" w:cstheme="minorBidi"/>
        </w:rPr>
      </w:pPr>
      <w:bookmarkStart w:id="196" w:name="_Toc228398804"/>
      <w:bookmarkStart w:id="197" w:name="_Toc561000557"/>
      <w:bookmarkStart w:id="198" w:name="_Toc23554355"/>
      <w:bookmarkStart w:id="199" w:name="_Toc2096971033"/>
      <w:bookmarkStart w:id="200" w:name="_Toc383199854"/>
      <w:r w:rsidRPr="370D7818">
        <w:rPr>
          <w:rFonts w:asciiTheme="minorHAnsi" w:eastAsia="Arial" w:hAnsiTheme="minorHAnsi" w:cstheme="minorBidi"/>
        </w:rPr>
        <w:t xml:space="preserve">4.7 Theme Four: Staff </w:t>
      </w:r>
      <w:r w:rsidR="286C4145" w:rsidRPr="370D7818">
        <w:rPr>
          <w:rFonts w:asciiTheme="minorHAnsi" w:eastAsia="Arial" w:hAnsiTheme="minorHAnsi" w:cstheme="minorBidi"/>
        </w:rPr>
        <w:t>Behavior</w:t>
      </w:r>
      <w:r w:rsidRPr="370D7818">
        <w:rPr>
          <w:rFonts w:asciiTheme="minorHAnsi" w:eastAsia="Arial" w:hAnsiTheme="minorHAnsi" w:cstheme="minorBidi"/>
        </w:rPr>
        <w:t xml:space="preserve"> and Interpersonal Service Quality</w:t>
      </w:r>
      <w:bookmarkEnd w:id="196"/>
      <w:bookmarkEnd w:id="197"/>
      <w:bookmarkEnd w:id="198"/>
      <w:bookmarkEnd w:id="199"/>
      <w:bookmarkEnd w:id="200"/>
    </w:p>
    <w:p w14:paraId="0E337577" w14:textId="5907D48A" w:rsidR="6FFAA8FE" w:rsidRDefault="0FACDD3F" w:rsidP="6733811B">
      <w:pPr>
        <w:spacing w:before="240" w:after="240" w:line="480" w:lineRule="auto"/>
      </w:pPr>
      <w:r w:rsidRPr="0F2934F5">
        <w:rPr>
          <w:rFonts w:ascii="Arial" w:eastAsia="Arial" w:hAnsi="Arial" w:cs="Arial"/>
          <w:sz w:val="20"/>
          <w:szCs w:val="20"/>
        </w:rPr>
        <w:t xml:space="preserve">Staff behaviour and interpersonal service quality play a critical role in shaping customer experience and influencing passenger loyalty. In high-contact service environments such as the airline industry, interactions between staff and passengers occur at multiple stages of the journey, including check-in, </w:t>
      </w:r>
      <w:r w:rsidRPr="0F2934F5">
        <w:rPr>
          <w:rFonts w:ascii="Arial" w:eastAsia="Arial" w:hAnsi="Arial" w:cs="Arial"/>
          <w:sz w:val="20"/>
          <w:szCs w:val="20"/>
        </w:rPr>
        <w:lastRenderedPageBreak/>
        <w:t xml:space="preserve">boarding, in-flight service, and post-flight communication. Wirtz and Lovelock (2021, pp. </w:t>
      </w:r>
      <w:r w:rsidR="56C68E57" w:rsidRPr="0F2934F5">
        <w:rPr>
          <w:rFonts w:ascii="Arial" w:eastAsia="Arial" w:hAnsi="Arial" w:cs="Arial"/>
          <w:sz w:val="20"/>
          <w:szCs w:val="20"/>
        </w:rPr>
        <w:t xml:space="preserve"> </w:t>
      </w:r>
      <w:r w:rsidRPr="0F2934F5">
        <w:rPr>
          <w:rFonts w:ascii="Arial" w:eastAsia="Arial" w:hAnsi="Arial" w:cs="Arial"/>
          <w:sz w:val="20"/>
          <w:szCs w:val="20"/>
        </w:rPr>
        <w:t xml:space="preserve">90–102) argue that employee performance is central to service delivery, as staff behaviour directly affects customer perceptions of service quality. Similarly, Ali et al. (2021) </w:t>
      </w:r>
      <w:proofErr w:type="gramStart"/>
      <w:r w:rsidRPr="0F2934F5">
        <w:rPr>
          <w:rFonts w:ascii="Arial" w:eastAsia="Arial" w:hAnsi="Arial" w:cs="Arial"/>
          <w:sz w:val="20"/>
          <w:szCs w:val="20"/>
        </w:rPr>
        <w:t>demonstrate</w:t>
      </w:r>
      <w:proofErr w:type="gramEnd"/>
      <w:r w:rsidRPr="0F2934F5">
        <w:rPr>
          <w:rFonts w:ascii="Arial" w:eastAsia="Arial" w:hAnsi="Arial" w:cs="Arial"/>
          <w:sz w:val="20"/>
          <w:szCs w:val="20"/>
        </w:rPr>
        <w:t xml:space="preserve"> that dimensions such as responsiveness, empathy, and assurance significantly influence customer satisfaction and subsequent loyalty behaviour.</w:t>
      </w:r>
    </w:p>
    <w:p w14:paraId="7F0C9CE7" w14:textId="6F3F1DE3" w:rsidR="6FFAA8FE" w:rsidRDefault="0FACDD3F" w:rsidP="6733811B">
      <w:pPr>
        <w:spacing w:before="240" w:after="240" w:line="480" w:lineRule="auto"/>
      </w:pPr>
      <w:r w:rsidRPr="6733811B">
        <w:rPr>
          <w:rFonts w:ascii="Arial" w:eastAsia="Arial" w:hAnsi="Arial" w:cs="Arial"/>
          <w:sz w:val="20"/>
          <w:szCs w:val="20"/>
        </w:rPr>
        <w:t>In the airline context, staff professionalism, communication skills, and ability to manage service interactions effectively are particularly important. Positive interactions can enhance passenger satisfaction and create a sense of trust, while negative interactions may lead to dissatisfaction and switching behaviour. Rather (2022) highlights that interpersonal interactions contribute to emotional engagement, which strengthens the relationship between customer experience and loyalty. This suggests that staff behaviour not only affects functional evaluations of service but also influences passengers’ emotional responses.</w:t>
      </w:r>
    </w:p>
    <w:p w14:paraId="69FB9E24" w14:textId="4F4F80F2" w:rsidR="6FFAA8FE" w:rsidRDefault="0FACDD3F" w:rsidP="6733811B">
      <w:pPr>
        <w:spacing w:before="240" w:after="240" w:line="480" w:lineRule="auto"/>
      </w:pPr>
      <w:r w:rsidRPr="6733811B">
        <w:rPr>
          <w:rFonts w:ascii="Arial" w:eastAsia="Arial" w:hAnsi="Arial" w:cs="Arial"/>
          <w:sz w:val="20"/>
          <w:szCs w:val="20"/>
        </w:rPr>
        <w:t>However, maintaining consistent service quality across international airline operations presents a significant challenge. Airlines such as Turkish Airlines operate across diverse cultural and operational environments, where passenger expectations and service standards may vary. This indicates that while the importance of staff behaviour is widely recognised in the literature, achieving consistent interpersonal service quality may be more complex in practice. As a result, airlines must invest in staff training and service standardisation to ensure that customer experience remains consistent across all touchpoints.</w:t>
      </w:r>
    </w:p>
    <w:p w14:paraId="24FFB317" w14:textId="0363A26B" w:rsidR="77DF9B16" w:rsidRDefault="77DF9B16" w:rsidP="002B41DF"/>
    <w:p w14:paraId="69D39FF3" w14:textId="77777777" w:rsidR="002B41DF" w:rsidRDefault="002B41DF" w:rsidP="002B41DF">
      <w:bookmarkStart w:id="201" w:name="_Toc228398805"/>
      <w:bookmarkStart w:id="202" w:name="_Toc483662321"/>
      <w:bookmarkStart w:id="203" w:name="_Toc1210752819"/>
      <w:bookmarkStart w:id="204" w:name="_Toc1735371792"/>
    </w:p>
    <w:p w14:paraId="44571081" w14:textId="77777777" w:rsidR="002B41DF" w:rsidRDefault="002B41DF" w:rsidP="002B41DF"/>
    <w:p w14:paraId="1D1A0295" w14:textId="77777777" w:rsidR="002B41DF" w:rsidRDefault="002B41DF" w:rsidP="002B41DF"/>
    <w:p w14:paraId="348DEBD4" w14:textId="77777777" w:rsidR="002B41DF" w:rsidRDefault="002B41DF" w:rsidP="002B41DF"/>
    <w:p w14:paraId="7509372A" w14:textId="77777777" w:rsidR="002B41DF" w:rsidRDefault="002B41DF" w:rsidP="002B41DF"/>
    <w:p w14:paraId="071A45A3" w14:textId="77777777" w:rsidR="002B41DF" w:rsidRDefault="002B41DF" w:rsidP="002B41DF"/>
    <w:p w14:paraId="6FA45192" w14:textId="77777777" w:rsidR="002B41DF" w:rsidRDefault="002B41DF" w:rsidP="002B41DF"/>
    <w:p w14:paraId="61026753" w14:textId="15EE3CEF" w:rsidR="14DC6D0A" w:rsidRPr="002A2986" w:rsidRDefault="18BEEDEC" w:rsidP="002B41DF">
      <w:pPr>
        <w:pStyle w:val="Heading2"/>
      </w:pPr>
      <w:bookmarkStart w:id="205" w:name="_Toc151396153"/>
      <w:r>
        <w:lastRenderedPageBreak/>
        <w:t>4.8 Theme Five: Brand Trust and Passenger Loyalty</w:t>
      </w:r>
      <w:bookmarkEnd w:id="201"/>
      <w:bookmarkEnd w:id="202"/>
      <w:bookmarkEnd w:id="203"/>
      <w:bookmarkEnd w:id="204"/>
      <w:bookmarkEnd w:id="205"/>
    </w:p>
    <w:p w14:paraId="0F021FDC" w14:textId="77777777" w:rsidR="00594BDD" w:rsidRPr="00594BDD" w:rsidRDefault="00594BDD" w:rsidP="00594BDD"/>
    <w:p w14:paraId="0DBC9191" w14:textId="5483C9A0" w:rsidR="14DC6D0A" w:rsidRPr="00BC3CEA" w:rsidRDefault="18BEEDEC" w:rsidP="00BC3CEA">
      <w:pPr>
        <w:spacing w:line="480" w:lineRule="auto"/>
        <w:rPr>
          <w:sz w:val="20"/>
          <w:szCs w:val="20"/>
        </w:rPr>
      </w:pPr>
      <w:r w:rsidRPr="00BC3CEA">
        <w:rPr>
          <w:sz w:val="20"/>
          <w:szCs w:val="20"/>
        </w:rPr>
        <w:t>Brand trust is a key factor influencing passenger loyalty and plays an important role in the relationship between customer experience and long-term behavioural outcomes. Trust develops when passengers perceive that an airline consistently delivers reliable and high-quality service. Siqueira et al. (2023) found that positive customer experiences contribute significantly to the development of brand trust, which in turn strengthens customer loyalty. This suggests that trust acts as a mediating factor between service experience and loyalty behaviours.</w:t>
      </w:r>
    </w:p>
    <w:p w14:paraId="1EC0014C" w14:textId="7804C8BA" w:rsidR="14DC6D0A" w:rsidRDefault="18BEEDEC" w:rsidP="00594BDD">
      <w:pPr>
        <w:spacing w:before="240" w:after="240" w:line="480" w:lineRule="auto"/>
        <w:rPr>
          <w:sz w:val="20"/>
          <w:szCs w:val="20"/>
        </w:rPr>
      </w:pPr>
      <w:r w:rsidRPr="6733811B">
        <w:rPr>
          <w:sz w:val="20"/>
          <w:szCs w:val="20"/>
        </w:rPr>
        <w:t xml:space="preserve">Similarly, </w:t>
      </w:r>
      <w:proofErr w:type="gramStart"/>
      <w:r w:rsidRPr="6733811B">
        <w:rPr>
          <w:sz w:val="20"/>
          <w:szCs w:val="20"/>
        </w:rPr>
        <w:t>Rather</w:t>
      </w:r>
      <w:proofErr w:type="gramEnd"/>
      <w:r w:rsidRPr="6733811B">
        <w:rPr>
          <w:sz w:val="20"/>
          <w:szCs w:val="20"/>
        </w:rPr>
        <w:t xml:space="preserve"> (2022) </w:t>
      </w:r>
      <w:proofErr w:type="spellStart"/>
      <w:r w:rsidRPr="6733811B">
        <w:rPr>
          <w:sz w:val="20"/>
          <w:szCs w:val="20"/>
        </w:rPr>
        <w:t>emphasises</w:t>
      </w:r>
      <w:proofErr w:type="spellEnd"/>
      <w:r w:rsidRPr="6733811B">
        <w:rPr>
          <w:sz w:val="20"/>
          <w:szCs w:val="20"/>
        </w:rPr>
        <w:t xml:space="preserve"> that trust is closely linked to both satisfaction and emotional attachment, indicating that customers are more likely to remain loyal to brands they perceive as trustworthy. In the airline industry, trust is particularly important due to the high level of perceived risk associated with air travel, including safety concerns, service reliability, and operational performance. As a result, passengers are more likely to choose airlines that demonstrate consistent service quality and reliability over time.</w:t>
      </w:r>
    </w:p>
    <w:p w14:paraId="2B40A0FA" w14:textId="039B8965" w:rsidR="14DC6D0A" w:rsidRDefault="18BEEDEC" w:rsidP="00594BDD">
      <w:pPr>
        <w:spacing w:before="240" w:after="240" w:line="480" w:lineRule="auto"/>
        <w:rPr>
          <w:sz w:val="20"/>
          <w:szCs w:val="20"/>
        </w:rPr>
      </w:pPr>
      <w:r w:rsidRPr="6733811B">
        <w:rPr>
          <w:sz w:val="20"/>
          <w:szCs w:val="20"/>
        </w:rPr>
        <w:t xml:space="preserve">Leon and Dixon (2023) further highlight that trust is influenced not only by service quality but also by relational factors such as communication and perceived transparency. This suggests that airlines must focus on both functional and relational aspects of service delivery </w:t>
      </w:r>
      <w:r w:rsidR="2BCFF7CA" w:rsidRPr="6733811B">
        <w:rPr>
          <w:sz w:val="20"/>
          <w:szCs w:val="20"/>
        </w:rPr>
        <w:t>to</w:t>
      </w:r>
      <w:r w:rsidRPr="6733811B">
        <w:rPr>
          <w:sz w:val="20"/>
          <w:szCs w:val="20"/>
        </w:rPr>
        <w:t xml:space="preserve"> build and maintain trust. However, trust can be easily undermined by service failures, delays, or inconsistent service experiences, which may negatively affect passenger loyalty.</w:t>
      </w:r>
    </w:p>
    <w:p w14:paraId="3D5EAAC8" w14:textId="7DAD1396" w:rsidR="14DC6D0A" w:rsidRDefault="18BEEDEC" w:rsidP="00594BDD">
      <w:pPr>
        <w:spacing w:before="240" w:after="240" w:line="480" w:lineRule="auto"/>
        <w:rPr>
          <w:sz w:val="20"/>
          <w:szCs w:val="20"/>
        </w:rPr>
      </w:pPr>
      <w:r w:rsidRPr="6733811B">
        <w:rPr>
          <w:sz w:val="20"/>
          <w:szCs w:val="20"/>
        </w:rPr>
        <w:t>In the context of Turkish Airlines, this highlights the importance of maintaining a strong and consistent brand image supported by reliable service delivery. While the literature emphasises the positive relationship between trust and loyalty, it may underestimate the impact of external factors such as competition and pricing, which can influence passenger decisions even when trust is established. Therefore, trust should be considered as one of several factors contributing to passenger loyalty rather than as a sole determinant.</w:t>
      </w:r>
    </w:p>
    <w:p w14:paraId="1A184E45" w14:textId="22B94B41" w:rsidR="6242E186" w:rsidRPr="003934CC" w:rsidRDefault="4E8918CF" w:rsidP="00295B77">
      <w:pPr>
        <w:pStyle w:val="Heading2"/>
        <w:rPr>
          <w:rFonts w:eastAsia="Arial"/>
        </w:rPr>
      </w:pPr>
      <w:bookmarkStart w:id="206" w:name="_Toc228398806"/>
      <w:bookmarkStart w:id="207" w:name="_Toc1125993550"/>
      <w:bookmarkStart w:id="208" w:name="_Toc1842959828"/>
      <w:bookmarkStart w:id="209" w:name="_Toc709383066"/>
      <w:bookmarkStart w:id="210" w:name="_Toc280456362"/>
      <w:r w:rsidRPr="370D7818">
        <w:rPr>
          <w:rFonts w:eastAsia="Arial"/>
        </w:rPr>
        <w:lastRenderedPageBreak/>
        <w:t>4.</w:t>
      </w:r>
      <w:r w:rsidR="5BF39CF1" w:rsidRPr="370D7818">
        <w:rPr>
          <w:rFonts w:eastAsia="Arial"/>
        </w:rPr>
        <w:t>9</w:t>
      </w:r>
      <w:r w:rsidRPr="370D7818">
        <w:rPr>
          <w:rFonts w:eastAsia="Arial"/>
        </w:rPr>
        <w:t xml:space="preserve"> Discussion</w:t>
      </w:r>
      <w:bookmarkEnd w:id="206"/>
      <w:bookmarkEnd w:id="207"/>
      <w:bookmarkEnd w:id="208"/>
      <w:bookmarkEnd w:id="209"/>
      <w:bookmarkEnd w:id="210"/>
      <w:r w:rsidRPr="370D7818">
        <w:rPr>
          <w:rFonts w:eastAsia="Arial"/>
        </w:rPr>
        <w:t xml:space="preserve"> </w:t>
      </w:r>
    </w:p>
    <w:p w14:paraId="060E155D" w14:textId="436BE9AE" w:rsidR="2BA8A736" w:rsidRDefault="2BA8A736" w:rsidP="6733811B">
      <w:pPr>
        <w:spacing w:before="240" w:after="240" w:line="480" w:lineRule="auto"/>
      </w:pPr>
      <w:r w:rsidRPr="0F2934F5">
        <w:rPr>
          <w:rFonts w:ascii="Arial" w:eastAsia="Arial" w:hAnsi="Arial" w:cs="Arial"/>
          <w:sz w:val="20"/>
          <w:szCs w:val="20"/>
        </w:rPr>
        <w:t>The findings of this study demonstrate that customer experience influences passenger loyalty through a complex interaction of service quality, price perceptions, service recovery, staff behaviour, and brand trust. These findings support existing literature, which suggests that customer loyalty is not driven by a single factor but is shaped by multiple interrelated elements (Wirtz and Lovelock, 2021, pp. 38–52; Zeithaml, Bitner and Gremler, 2020, pp.</w:t>
      </w:r>
      <w:r w:rsidR="54976A28" w:rsidRPr="0F2934F5">
        <w:rPr>
          <w:rFonts w:ascii="Arial" w:eastAsia="Arial" w:hAnsi="Arial" w:cs="Arial"/>
          <w:sz w:val="20"/>
          <w:szCs w:val="20"/>
        </w:rPr>
        <w:t xml:space="preserve">  </w:t>
      </w:r>
      <w:r w:rsidRPr="0F2934F5">
        <w:rPr>
          <w:rFonts w:ascii="Arial" w:eastAsia="Arial" w:hAnsi="Arial" w:cs="Arial"/>
          <w:sz w:val="20"/>
          <w:szCs w:val="20"/>
        </w:rPr>
        <w:t xml:space="preserve"> 60–65).</w:t>
      </w:r>
    </w:p>
    <w:p w14:paraId="071FC99F" w14:textId="11CE7A22" w:rsidR="2BA8A736" w:rsidRDefault="2BA8A736" w:rsidP="6733811B">
      <w:pPr>
        <w:spacing w:before="240" w:after="240" w:line="480" w:lineRule="auto"/>
      </w:pPr>
      <w:r w:rsidRPr="0F2934F5">
        <w:rPr>
          <w:rFonts w:ascii="Arial" w:eastAsia="Arial" w:hAnsi="Arial" w:cs="Arial"/>
          <w:sz w:val="20"/>
          <w:szCs w:val="20"/>
        </w:rPr>
        <w:t xml:space="preserve">The results confirm that customer satisfaction plays a central mediating role between experience and loyalty, consistent with previous studies (Chikazhe, Makanyeza and Chigunhah, 2021; Li, Xing and Terui, 2023). This suggests that positive customer experiences must translate into satisfaction </w:t>
      </w:r>
      <w:proofErr w:type="gramStart"/>
      <w:r w:rsidRPr="0F2934F5">
        <w:rPr>
          <w:rFonts w:ascii="Arial" w:eastAsia="Arial" w:hAnsi="Arial" w:cs="Arial"/>
          <w:sz w:val="20"/>
          <w:szCs w:val="20"/>
        </w:rPr>
        <w:t>in order to</w:t>
      </w:r>
      <w:proofErr w:type="gramEnd"/>
      <w:r w:rsidRPr="0F2934F5">
        <w:rPr>
          <w:rFonts w:ascii="Arial" w:eastAsia="Arial" w:hAnsi="Arial" w:cs="Arial"/>
          <w:sz w:val="20"/>
          <w:szCs w:val="20"/>
        </w:rPr>
        <w:t xml:space="preserve"> influence repeat behaviour and recommendations. However, the findings also indicate that satisfaction alone may not guarantee loyalty, particularly in the airline industry where passengers are influenced by price and availability. This supports the argument of Oliver (2020, pp.</w:t>
      </w:r>
      <w:r w:rsidR="15C09D93" w:rsidRPr="0F2934F5">
        <w:rPr>
          <w:rFonts w:ascii="Arial" w:eastAsia="Arial" w:hAnsi="Arial" w:cs="Arial"/>
          <w:sz w:val="20"/>
          <w:szCs w:val="20"/>
        </w:rPr>
        <w:t xml:space="preserve"> </w:t>
      </w:r>
      <w:r w:rsidRPr="0F2934F5">
        <w:rPr>
          <w:rFonts w:ascii="Arial" w:eastAsia="Arial" w:hAnsi="Arial" w:cs="Arial"/>
          <w:sz w:val="20"/>
          <w:szCs w:val="20"/>
        </w:rPr>
        <w:t xml:space="preserve"> 22–28), who highlights that loyalty develops over time and requires consistent positive experiences.</w:t>
      </w:r>
    </w:p>
    <w:p w14:paraId="0F2FDDB1" w14:textId="1C48BA37" w:rsidR="2BA8A736" w:rsidRDefault="2BA8A736" w:rsidP="6733811B">
      <w:pPr>
        <w:spacing w:before="240" w:after="240" w:line="480" w:lineRule="auto"/>
      </w:pPr>
      <w:r w:rsidRPr="6733811B">
        <w:rPr>
          <w:rFonts w:ascii="Arial" w:eastAsia="Arial" w:hAnsi="Arial" w:cs="Arial"/>
          <w:sz w:val="20"/>
          <w:szCs w:val="20"/>
        </w:rPr>
        <w:t>Furthermore, the importance of service quality and staff behaviour identified in this study aligns with research by Ali et al. (2021) and Hassan and Salem (2021), which demonstrate that both functional and interpersonal aspects of service significantly influence satisfaction and loyalty. In the context of Turkish Airlines, this suggests that delivering consistent service across all stages of the passenger journey is essential for maintaining competitive advantage. However, achieving this consistency may be challenging due to operational complexity and the global scale of airline operations.</w:t>
      </w:r>
    </w:p>
    <w:p w14:paraId="0856BC9E" w14:textId="74206B2A" w:rsidR="2BA8A736" w:rsidRDefault="2BA8A736" w:rsidP="36385224">
      <w:pPr>
        <w:spacing w:before="240" w:after="240" w:line="480" w:lineRule="auto"/>
      </w:pPr>
      <w:r w:rsidRPr="0F2934F5">
        <w:rPr>
          <w:rFonts w:ascii="Arial" w:eastAsia="Arial" w:hAnsi="Arial" w:cs="Arial"/>
          <w:sz w:val="20"/>
          <w:szCs w:val="20"/>
        </w:rPr>
        <w:t xml:space="preserve">The findings also highlight the role of service recovery in shaping customer loyalty. Effective responses to service failures were found to restore satisfaction and strengthen trust, supporting previous research (Tay, 2023; Lim et al., 2025). </w:t>
      </w:r>
      <w:r w:rsidR="4958D11A" w:rsidRPr="0F2934F5">
        <w:rPr>
          <w:rFonts w:ascii="Arial" w:eastAsia="Arial" w:hAnsi="Arial" w:cs="Arial"/>
          <w:sz w:val="20"/>
          <w:szCs w:val="20"/>
        </w:rPr>
        <w:t>The concept of the service recovery paradox suggests that well-managed recovery can lead to higher levels of loyalty than if no failure had taken place</w:t>
      </w:r>
      <w:r w:rsidR="74A38045" w:rsidRPr="0F2934F5">
        <w:rPr>
          <w:rFonts w:ascii="Arial" w:eastAsia="Arial" w:hAnsi="Arial" w:cs="Arial"/>
          <w:sz w:val="20"/>
          <w:szCs w:val="20"/>
        </w:rPr>
        <w:t>.</w:t>
      </w:r>
      <w:r w:rsidRPr="0F2934F5">
        <w:rPr>
          <w:rFonts w:ascii="Arial" w:eastAsia="Arial" w:hAnsi="Arial" w:cs="Arial"/>
          <w:sz w:val="20"/>
          <w:szCs w:val="20"/>
        </w:rPr>
        <w:t xml:space="preserve"> However, this may depend on organisational resources and the nature of the failure, indicating that not all service failures can be fully mitigated.</w:t>
      </w:r>
    </w:p>
    <w:p w14:paraId="137BF0A0" w14:textId="43E12DFB" w:rsidR="2BA8A736" w:rsidRDefault="2BA8A736" w:rsidP="36385224">
      <w:pPr>
        <w:spacing w:before="240" w:after="240" w:line="480" w:lineRule="auto"/>
      </w:pPr>
      <w:r w:rsidRPr="36385224">
        <w:rPr>
          <w:rFonts w:ascii="Arial" w:eastAsia="Arial" w:hAnsi="Arial" w:cs="Arial"/>
          <w:sz w:val="20"/>
          <w:szCs w:val="20"/>
        </w:rPr>
        <w:lastRenderedPageBreak/>
        <w:t xml:space="preserve">In addition, brand trust emerged as a key factor influencing long-term loyalty. </w:t>
      </w:r>
      <w:r w:rsidR="2D51A894" w:rsidRPr="36385224">
        <w:rPr>
          <w:rFonts w:ascii="Arial" w:eastAsia="Arial" w:hAnsi="Arial" w:cs="Arial"/>
          <w:sz w:val="20"/>
          <w:szCs w:val="20"/>
        </w:rPr>
        <w:t xml:space="preserve">This aligns with the findings of </w:t>
      </w:r>
      <w:r w:rsidRPr="36385224">
        <w:rPr>
          <w:rFonts w:ascii="Arial" w:eastAsia="Arial" w:hAnsi="Arial" w:cs="Arial"/>
          <w:sz w:val="20"/>
          <w:szCs w:val="20"/>
        </w:rPr>
        <w:t>Siqueira et al. (2023), who emphasise that trust strengthens customer relationships and encourages repeat behaviour. In the airline industry, trust is particularly important due to the high level of perceived risk associated with travel. Therefore, maintaining reliability and transparent communication is essential for building and sustaining customer trust.</w:t>
      </w:r>
    </w:p>
    <w:p w14:paraId="1A2FC6F2" w14:textId="338220AC" w:rsidR="2BA8A736" w:rsidRDefault="2BA8A736" w:rsidP="6733811B">
      <w:pPr>
        <w:spacing w:before="240" w:after="240" w:line="480" w:lineRule="auto"/>
      </w:pPr>
      <w:r w:rsidRPr="6733811B">
        <w:rPr>
          <w:rFonts w:ascii="Arial" w:eastAsia="Arial" w:hAnsi="Arial" w:cs="Arial"/>
          <w:sz w:val="20"/>
          <w:szCs w:val="20"/>
        </w:rPr>
        <w:t>Despite these findings, this study has some limitations. The use of secondary data means that the analysis is based on previously published research, which may not fully reflect the current experiences of Turkish Airlines passengers (Saunders, Lewis and Thornhill, 2023). In addition, differences in research contexts across industries may limit the direct applicability of the findings to the airline sector. Future research could address these limitations by incorporating primary data, such as passenger surveys or interviews, to provide a more detailed and context-specific understanding of customer experience and loyalty.</w:t>
      </w:r>
    </w:p>
    <w:p w14:paraId="4A4AC297" w14:textId="28051741" w:rsidR="2BA8A736" w:rsidRDefault="2BA8A736" w:rsidP="6733811B">
      <w:pPr>
        <w:spacing w:before="240" w:after="240" w:line="480" w:lineRule="auto"/>
      </w:pPr>
      <w:r w:rsidRPr="6733811B">
        <w:rPr>
          <w:rFonts w:ascii="Arial" w:eastAsia="Arial" w:hAnsi="Arial" w:cs="Arial"/>
          <w:sz w:val="20"/>
          <w:szCs w:val="20"/>
        </w:rPr>
        <w:t>Overall, the findings suggest that customer experience should be managed as a holistic process rather than a set of independent factors. While the conceptual framework provides a useful structure, the results indicate that additional variables, such as price sensitivity and service recovery effectiveness, play an important role in shaping passenger loyalty. This highlights the need for a flexible and integrated approach to customer experience management within Turkish Airlines.</w:t>
      </w:r>
    </w:p>
    <w:p w14:paraId="6A1320DC" w14:textId="065498A9" w:rsidR="13FA406D" w:rsidRPr="00295B77" w:rsidRDefault="35607C5F" w:rsidP="370D7818">
      <w:pPr>
        <w:pStyle w:val="Heading2"/>
        <w:rPr>
          <w:rFonts w:asciiTheme="minorHAnsi" w:eastAsia="Arial" w:hAnsiTheme="minorHAnsi" w:cstheme="minorBidi"/>
        </w:rPr>
      </w:pPr>
      <w:bookmarkStart w:id="211" w:name="_Toc228398807"/>
      <w:bookmarkStart w:id="212" w:name="_Toc659173082"/>
      <w:bookmarkStart w:id="213" w:name="_Toc1597512986"/>
      <w:bookmarkStart w:id="214" w:name="_Toc420629862"/>
      <w:bookmarkStart w:id="215" w:name="_Toc499225277"/>
      <w:r w:rsidRPr="370D7818">
        <w:rPr>
          <w:rFonts w:asciiTheme="minorHAnsi" w:eastAsia="Arial" w:hAnsiTheme="minorHAnsi" w:cstheme="minorBidi"/>
        </w:rPr>
        <w:t>4.</w:t>
      </w:r>
      <w:r w:rsidR="1352B43D" w:rsidRPr="370D7818">
        <w:rPr>
          <w:rFonts w:asciiTheme="minorHAnsi" w:eastAsia="Arial" w:hAnsiTheme="minorHAnsi" w:cstheme="minorBidi"/>
        </w:rPr>
        <w:t>10</w:t>
      </w:r>
      <w:r w:rsidRPr="370D7818">
        <w:rPr>
          <w:rFonts w:asciiTheme="minorHAnsi" w:eastAsia="Arial" w:hAnsiTheme="minorHAnsi" w:cstheme="minorBidi"/>
        </w:rPr>
        <w:t xml:space="preserve"> Summary</w:t>
      </w:r>
      <w:bookmarkEnd w:id="211"/>
      <w:bookmarkEnd w:id="212"/>
      <w:bookmarkEnd w:id="213"/>
      <w:bookmarkEnd w:id="214"/>
      <w:bookmarkEnd w:id="215"/>
    </w:p>
    <w:p w14:paraId="78106BED" w14:textId="22DF6A85" w:rsidR="13978C0C" w:rsidRDefault="13978C0C" w:rsidP="6733811B">
      <w:pPr>
        <w:spacing w:before="240" w:after="240" w:line="480" w:lineRule="auto"/>
      </w:pPr>
      <w:r w:rsidRPr="2622FC74">
        <w:rPr>
          <w:rFonts w:ascii="Arial" w:eastAsia="Arial" w:hAnsi="Arial" w:cs="Arial"/>
          <w:sz w:val="20"/>
          <w:szCs w:val="20"/>
        </w:rPr>
        <w:t>This chapter has analysed the findings of the study, identifying five key themes: Types of Service, Price, Service Failures, Staff Behaviour, and Brand Trust. The findings confirm that customer experience influences passenger loyalty both directly and indirectly through satisfaction (Xie, Zhang and Morrison, 2020; Oliver, 2020). The chapter also highlighted the importance of additional factors such as trust, service recovery, and perceived value in shaping loyalty outcomes. The next chapter presents the conclusions and recommendations.</w:t>
      </w:r>
    </w:p>
    <w:p w14:paraId="0972D49E" w14:textId="185CA069" w:rsidR="26A4403C" w:rsidRPr="003934CC" w:rsidRDefault="26A4403C" w:rsidP="370D7818">
      <w:pPr>
        <w:pStyle w:val="Heading2"/>
        <w:spacing w:before="240" w:after="240" w:line="480" w:lineRule="auto"/>
        <w:rPr>
          <w:rFonts w:asciiTheme="minorHAnsi" w:eastAsia="Aptos" w:hAnsiTheme="minorHAnsi" w:cstheme="minorBidi"/>
          <w:color w:val="000000" w:themeColor="text1"/>
        </w:rPr>
      </w:pPr>
      <w:bookmarkStart w:id="216" w:name="_Toc228398808"/>
      <w:bookmarkStart w:id="217" w:name="_Toc592730935"/>
      <w:bookmarkStart w:id="218" w:name="_Toc1448393020"/>
      <w:bookmarkStart w:id="219" w:name="_Toc2032661626"/>
      <w:bookmarkStart w:id="220" w:name="_Toc1643488410"/>
      <w:r w:rsidRPr="370D7818">
        <w:rPr>
          <w:rFonts w:asciiTheme="minorHAnsi" w:hAnsiTheme="minorHAnsi" w:cstheme="minorBidi"/>
        </w:rPr>
        <w:lastRenderedPageBreak/>
        <w:t xml:space="preserve">Chapter 5 </w:t>
      </w:r>
      <w:r w:rsidR="3BBF7FE5" w:rsidRPr="370D7818">
        <w:rPr>
          <w:rFonts w:asciiTheme="minorHAnsi" w:hAnsiTheme="minorHAnsi" w:cstheme="minorBidi"/>
          <w:lang w:val="en-GB"/>
        </w:rPr>
        <w:t>Conclusion, Recommendation and Limitation of research</w:t>
      </w:r>
      <w:bookmarkEnd w:id="216"/>
      <w:bookmarkEnd w:id="217"/>
      <w:bookmarkEnd w:id="218"/>
      <w:bookmarkEnd w:id="219"/>
      <w:bookmarkEnd w:id="220"/>
    </w:p>
    <w:p w14:paraId="26EB0BD2" w14:textId="4EB25992" w:rsidR="1823B130" w:rsidRPr="003934CC" w:rsidRDefault="1823B130" w:rsidP="370D7818">
      <w:pPr>
        <w:pStyle w:val="Heading2"/>
        <w:rPr>
          <w:rFonts w:asciiTheme="minorHAnsi" w:hAnsiTheme="minorHAnsi" w:cstheme="minorBidi"/>
          <w:lang w:val="en-GB"/>
        </w:rPr>
      </w:pPr>
      <w:bookmarkStart w:id="221" w:name="_Toc228398809"/>
      <w:bookmarkStart w:id="222" w:name="_Toc1403779420"/>
      <w:bookmarkStart w:id="223" w:name="_Toc1712611712"/>
      <w:bookmarkStart w:id="224" w:name="_Toc1408151806"/>
      <w:bookmarkStart w:id="225" w:name="_Toc599606518"/>
      <w:r w:rsidRPr="370D7818">
        <w:rPr>
          <w:rFonts w:asciiTheme="minorHAnsi" w:hAnsiTheme="minorHAnsi" w:cstheme="minorBidi"/>
          <w:lang w:val="en-GB"/>
        </w:rPr>
        <w:t>5.1 Introduction</w:t>
      </w:r>
      <w:bookmarkEnd w:id="221"/>
      <w:bookmarkEnd w:id="222"/>
      <w:bookmarkEnd w:id="223"/>
      <w:bookmarkEnd w:id="224"/>
      <w:bookmarkEnd w:id="225"/>
      <w:r w:rsidRPr="370D7818">
        <w:rPr>
          <w:rFonts w:asciiTheme="minorHAnsi" w:hAnsiTheme="minorHAnsi" w:cstheme="minorBidi"/>
          <w:lang w:val="en-GB"/>
        </w:rPr>
        <w:t xml:space="preserve"> </w:t>
      </w:r>
    </w:p>
    <w:p w14:paraId="4C1B51C5" w14:textId="484DDA68" w:rsidR="7ED38A57" w:rsidRDefault="7ED38A57" w:rsidP="2622FC74">
      <w:pPr>
        <w:spacing w:before="240" w:after="240" w:line="480" w:lineRule="auto"/>
      </w:pPr>
      <w:r w:rsidRPr="2622FC74">
        <w:rPr>
          <w:rFonts w:ascii="Arial" w:eastAsia="Arial" w:hAnsi="Arial" w:cs="Arial"/>
          <w:sz w:val="20"/>
          <w:szCs w:val="20"/>
          <w:lang w:val="en-GB"/>
        </w:rPr>
        <w:t>This chapter presents the conclusions of the study by synthesising the key findings from the thematic analysis discussed in Chapter Four and relating them to the research aim, objectives, and research question. It also provides practical recommendations for Turkish Airlines based on the findings, outlines the main limitations of the study, and identifies directions for future research. In doing so, the chapter reflects on the broader implications of customer experience in shaping passenger loyalty within the airline industry, as highlighted in previous research (Wirtz and Lovelock, 2021). The chapter concludes with a summary of the overall contribution of the study.</w:t>
      </w:r>
    </w:p>
    <w:p w14:paraId="7F3E7A51" w14:textId="6CC599A9" w:rsidR="569DF9B7" w:rsidRPr="003934CC" w:rsidRDefault="569DF9B7" w:rsidP="2622FC74">
      <w:pPr>
        <w:pStyle w:val="Heading2"/>
        <w:spacing w:before="299" w:after="299"/>
        <w:rPr>
          <w:sz w:val="28"/>
          <w:szCs w:val="28"/>
        </w:rPr>
      </w:pPr>
      <w:bookmarkStart w:id="226" w:name="_Toc228398810"/>
      <w:bookmarkStart w:id="227" w:name="_Toc1306691035"/>
      <w:bookmarkStart w:id="228" w:name="_Toc1822776767"/>
      <w:bookmarkStart w:id="229" w:name="_Toc108827766"/>
      <w:bookmarkStart w:id="230" w:name="_Toc210775746"/>
      <w:r w:rsidRPr="370D7818">
        <w:rPr>
          <w:rFonts w:ascii="Arial" w:eastAsia="Arial" w:hAnsi="Arial" w:cs="Arial"/>
          <w:lang w:val="en-GB"/>
        </w:rPr>
        <w:t>5.2 Summary of Key Findings</w:t>
      </w:r>
      <w:bookmarkEnd w:id="226"/>
      <w:bookmarkEnd w:id="227"/>
      <w:bookmarkEnd w:id="228"/>
      <w:bookmarkEnd w:id="229"/>
      <w:bookmarkEnd w:id="230"/>
      <w:r w:rsidRPr="370D7818">
        <w:rPr>
          <w:rFonts w:ascii="Arial" w:eastAsia="Arial" w:hAnsi="Arial" w:cs="Arial"/>
          <w:lang w:val="en-GB"/>
        </w:rPr>
        <w:t xml:space="preserve"> </w:t>
      </w:r>
    </w:p>
    <w:p w14:paraId="695663BA" w14:textId="2228161E" w:rsidR="738F1C1E" w:rsidRDefault="738F1C1E" w:rsidP="2622FC74">
      <w:pPr>
        <w:spacing w:before="240" w:after="240" w:line="480" w:lineRule="auto"/>
      </w:pPr>
      <w:r w:rsidRPr="2622FC74">
        <w:rPr>
          <w:rFonts w:ascii="Arial" w:eastAsia="Arial" w:hAnsi="Arial" w:cs="Arial"/>
          <w:sz w:val="20"/>
          <w:szCs w:val="20"/>
          <w:lang w:val="en-GB"/>
        </w:rPr>
        <w:t>This study examined how customer experience influences passenger loyalty within Turkish Airlines. The findings from the thematic analysis identified five key themes — types of service, price, service failures, staff behaviour, and brand trust — all of which were found to influence passenger satisfaction and loyalty. These themes collectively demonstrate that customer experience is not shaped by a single interaction, but rather by a combination of functional and relational factors across the entire passenger journey.</w:t>
      </w:r>
    </w:p>
    <w:p w14:paraId="069176CE" w14:textId="54C75865" w:rsidR="738F1C1E" w:rsidRDefault="738F1C1E" w:rsidP="2622FC74">
      <w:pPr>
        <w:spacing w:before="240" w:after="240" w:line="480" w:lineRule="auto"/>
      </w:pPr>
      <w:r w:rsidRPr="0F2934F5">
        <w:rPr>
          <w:rFonts w:ascii="Arial" w:eastAsia="Arial" w:hAnsi="Arial" w:cs="Arial"/>
          <w:sz w:val="20"/>
          <w:szCs w:val="20"/>
          <w:lang w:val="en-GB"/>
        </w:rPr>
        <w:t>The findings confirm that customer experience affects passenger loyalty through both direct and indirect pathways, particularly through its influence on customer satisfaction. This supports the conceptual framework presented in Chapter Two, which identified satisfaction as a mediating variable in the relationship between experience and loyalty. Passengers who experience consistent, reliable, and high-quality service across multiple touchpoints are more likely to demonstrate repeat behaviour, positive word-of-mouth, and a stronger emotional attachment to the airline (Wirtz and Lovelock, 2021, pp. 38–52; Oliver, 2020, pp.</w:t>
      </w:r>
      <w:r w:rsidR="44C18A12" w:rsidRPr="0F2934F5">
        <w:rPr>
          <w:rFonts w:ascii="Arial" w:eastAsia="Arial" w:hAnsi="Arial" w:cs="Arial"/>
          <w:sz w:val="20"/>
          <w:szCs w:val="20"/>
          <w:lang w:val="en-GB"/>
        </w:rPr>
        <w:t xml:space="preserve">  </w:t>
      </w:r>
      <w:r w:rsidRPr="0F2934F5">
        <w:rPr>
          <w:rFonts w:ascii="Arial" w:eastAsia="Arial" w:hAnsi="Arial" w:cs="Arial"/>
          <w:sz w:val="20"/>
          <w:szCs w:val="20"/>
          <w:lang w:val="en-GB"/>
        </w:rPr>
        <w:t xml:space="preserve"> 22–28).</w:t>
      </w:r>
    </w:p>
    <w:p w14:paraId="1117F7EE" w14:textId="38D27FAB" w:rsidR="738F1C1E" w:rsidRDefault="738F1C1E" w:rsidP="2622FC74">
      <w:pPr>
        <w:spacing w:before="240" w:after="240" w:line="480" w:lineRule="auto"/>
      </w:pPr>
      <w:r w:rsidRPr="2622FC74">
        <w:rPr>
          <w:rFonts w:ascii="Arial" w:eastAsia="Arial" w:hAnsi="Arial" w:cs="Arial"/>
          <w:sz w:val="20"/>
          <w:szCs w:val="20"/>
          <w:lang w:val="en-GB"/>
        </w:rPr>
        <w:lastRenderedPageBreak/>
        <w:t>In addition, the findings highlight the importance of relational and interpersonal dimensions of service delivery. Factors such as staff behaviour, communication, and the ability to manage service interactions effectively were found to significantly influence passenger perceptions. This supports previous research suggesting that emotional engagement and interpersonal service quality are critical in shaping long-term customer relationships (Rather, 2022; Leon and Dixon, 2023). In the airline context, where service interactions are frequent and highly visible, these relational elements play a key role in differentiating the customer experience.</w:t>
      </w:r>
    </w:p>
    <w:p w14:paraId="3C9B5B27" w14:textId="589ECCC2" w:rsidR="738F1C1E" w:rsidRDefault="738F1C1E" w:rsidP="2622FC74">
      <w:pPr>
        <w:spacing w:before="240" w:after="240" w:line="480" w:lineRule="auto"/>
      </w:pPr>
      <w:r w:rsidRPr="2622FC74">
        <w:rPr>
          <w:rFonts w:ascii="Arial" w:eastAsia="Arial" w:hAnsi="Arial" w:cs="Arial"/>
          <w:sz w:val="20"/>
          <w:szCs w:val="20"/>
          <w:lang w:val="en-GB"/>
        </w:rPr>
        <w:t>The role of price was also identified as an important factor influencing passenger loyalty. Rather than acting as an independent determinant, price was found to influence loyalty through perceived value. Passengers are more likely to remain loyal when they perceive that the quality of service received is consistent with the price paid. This finding aligns with existing literature, which emphasises the importance of value perceptions in shaping customer behaviour (Xie, Zhang and Morrison, 2020).</w:t>
      </w:r>
    </w:p>
    <w:p w14:paraId="1BE2A08A" w14:textId="55CFDAA0" w:rsidR="738F1C1E" w:rsidRDefault="738F1C1E" w:rsidP="2622FC74">
      <w:pPr>
        <w:spacing w:before="240" w:after="240" w:line="480" w:lineRule="auto"/>
      </w:pPr>
      <w:r w:rsidRPr="2622FC74">
        <w:rPr>
          <w:rFonts w:ascii="Arial" w:eastAsia="Arial" w:hAnsi="Arial" w:cs="Arial"/>
          <w:sz w:val="20"/>
          <w:szCs w:val="20"/>
          <w:lang w:val="en-GB"/>
        </w:rPr>
        <w:t>Furthermore, the findings demonstrate that service failures and the effectiveness of recovery strategies have a significant impact on customer loyalty. While service failures are often unavoidable in the airline industry, the way in which they are managed can either weaken or strengthen customer relationships. Effective service recovery, characterised by timely communication and appropriate compensation, can help restore satisfaction and maintain trust (Tay, 2023).</w:t>
      </w:r>
    </w:p>
    <w:p w14:paraId="68097668" w14:textId="187CEB24" w:rsidR="738F1C1E" w:rsidRDefault="738F1C1E" w:rsidP="2622FC74">
      <w:pPr>
        <w:spacing w:before="240" w:after="240" w:line="480" w:lineRule="auto"/>
      </w:pPr>
      <w:r w:rsidRPr="2622FC74">
        <w:rPr>
          <w:rFonts w:ascii="Arial" w:eastAsia="Arial" w:hAnsi="Arial" w:cs="Arial"/>
          <w:sz w:val="20"/>
          <w:szCs w:val="20"/>
          <w:lang w:val="en-GB"/>
        </w:rPr>
        <w:t>Overall, these findings suggest that customer experience within the airline industry should be understood as a holistic and dynamic process. The interaction between service quality, interpersonal factors, price perceptions, and recovery strategies highlights the complexity of customer behaviour and reinforces the need for an integrated approach to managing passenger experience. This indicates that airlines such as Turkish Airlines must focus not only on operational efficiency but also on delivering consistent, customer-centred service across all stages of the passenger journey</w:t>
      </w:r>
    </w:p>
    <w:p w14:paraId="210A15DA" w14:textId="37AEABCE" w:rsidR="11940408" w:rsidRPr="003934CC" w:rsidRDefault="11940408" w:rsidP="36385224">
      <w:pPr>
        <w:pStyle w:val="Heading2"/>
        <w:spacing w:before="240" w:after="240" w:line="480" w:lineRule="auto"/>
        <w:rPr>
          <w:rFonts w:ascii="Arial" w:eastAsia="Arial" w:hAnsi="Arial" w:cs="Arial"/>
          <w:lang w:val="en-GB"/>
        </w:rPr>
      </w:pPr>
      <w:bookmarkStart w:id="231" w:name="_Toc228398811"/>
      <w:bookmarkStart w:id="232" w:name="_Toc1101215716"/>
      <w:bookmarkStart w:id="233" w:name="_Toc657726107"/>
      <w:bookmarkStart w:id="234" w:name="_Toc405898953"/>
      <w:bookmarkStart w:id="235" w:name="_Toc1243060112"/>
      <w:r w:rsidRPr="370D7818">
        <w:rPr>
          <w:rFonts w:ascii="Arial" w:eastAsia="Arial" w:hAnsi="Arial" w:cs="Arial"/>
          <w:lang w:val="en-GB"/>
        </w:rPr>
        <w:lastRenderedPageBreak/>
        <w:t>5.3 Recommendations</w:t>
      </w:r>
      <w:bookmarkEnd w:id="231"/>
      <w:bookmarkEnd w:id="232"/>
      <w:bookmarkEnd w:id="233"/>
      <w:bookmarkEnd w:id="234"/>
      <w:bookmarkEnd w:id="235"/>
      <w:r w:rsidRPr="370D7818">
        <w:rPr>
          <w:rFonts w:ascii="Arial" w:eastAsia="Arial" w:hAnsi="Arial" w:cs="Arial"/>
          <w:lang w:val="en-GB"/>
        </w:rPr>
        <w:t xml:space="preserve"> </w:t>
      </w:r>
    </w:p>
    <w:p w14:paraId="5CB09F7C" w14:textId="75CA6110" w:rsidR="53D0A03E" w:rsidRDefault="3279292D" w:rsidP="36385224">
      <w:pPr>
        <w:spacing w:before="240" w:after="240" w:line="480" w:lineRule="auto"/>
        <w:rPr>
          <w:rFonts w:ascii="Arial" w:eastAsia="Arial" w:hAnsi="Arial" w:cs="Arial"/>
          <w:sz w:val="20"/>
          <w:szCs w:val="20"/>
          <w:lang w:val="en-GB"/>
        </w:rPr>
      </w:pPr>
      <w:r w:rsidRPr="36385224">
        <w:rPr>
          <w:rFonts w:ascii="Arial" w:eastAsia="Arial" w:hAnsi="Arial" w:cs="Arial"/>
          <w:sz w:val="20"/>
          <w:szCs w:val="20"/>
          <w:lang w:val="en-GB"/>
        </w:rPr>
        <w:t>Guided by the findings of this study,</w:t>
      </w:r>
      <w:r w:rsidR="20966810" w:rsidRPr="36385224">
        <w:rPr>
          <w:rFonts w:ascii="Arial" w:eastAsia="Arial" w:hAnsi="Arial" w:cs="Arial"/>
          <w:sz w:val="20"/>
          <w:szCs w:val="20"/>
          <w:lang w:val="en-GB"/>
        </w:rPr>
        <w:t xml:space="preserve"> several recommendations can be made to enhance customer experience and strengthen passenger loyalty within Turkish Airlines.</w:t>
      </w:r>
      <w:r w:rsidR="53D0A03E" w:rsidRPr="36385224">
        <w:rPr>
          <w:rFonts w:ascii="Arial" w:eastAsia="Arial" w:hAnsi="Arial" w:cs="Arial"/>
          <w:sz w:val="20"/>
          <w:szCs w:val="20"/>
          <w:lang w:val="en-GB"/>
        </w:rPr>
        <w:t xml:space="preserve"> These recommendations are grounded in the thematic analysis and reflect both the functional and relational dimensions of service delivery identified in Chapter Four.</w:t>
      </w:r>
    </w:p>
    <w:p w14:paraId="0022689B" w14:textId="62D7C643" w:rsidR="53D0A03E" w:rsidRDefault="53D0A03E" w:rsidP="2622FC74">
      <w:pPr>
        <w:spacing w:before="240" w:after="240" w:line="480" w:lineRule="auto"/>
        <w:rPr>
          <w:rFonts w:ascii="Arial" w:eastAsia="Arial" w:hAnsi="Arial" w:cs="Arial"/>
          <w:sz w:val="20"/>
          <w:szCs w:val="20"/>
          <w:lang w:val="en-GB"/>
        </w:rPr>
      </w:pPr>
      <w:r w:rsidRPr="2622FC74">
        <w:rPr>
          <w:rFonts w:ascii="Arial" w:eastAsia="Arial" w:hAnsi="Arial" w:cs="Arial"/>
          <w:sz w:val="20"/>
          <w:szCs w:val="20"/>
          <w:lang w:val="en-GB"/>
        </w:rPr>
        <w:t>First, Turkish Airlines should prioritise the consistent delivery of high-quality service across all stages of the passenger journey. The findings demonstrate that reliability and consistency are critical determinants of customer satisfaction and loyalty, particularly in the airline industry where service disruptions can significantly affect passenger perceptions (Zeithaml, Bitner and Gremler, 2020). Therefore, implementing service standardisation processes, supported by regular quality monitoring and performance evaluation across different routes and operational contexts, would help ensure a more consistent and predictable customer experience.</w:t>
      </w:r>
    </w:p>
    <w:p w14:paraId="23489BF1" w14:textId="1B15B24C" w:rsidR="53D0A03E" w:rsidRDefault="53D0A03E" w:rsidP="2622FC74">
      <w:pPr>
        <w:spacing w:before="240" w:after="240" w:line="480" w:lineRule="auto"/>
        <w:rPr>
          <w:rFonts w:ascii="Arial" w:eastAsia="Arial" w:hAnsi="Arial" w:cs="Arial"/>
          <w:sz w:val="20"/>
          <w:szCs w:val="20"/>
          <w:lang w:val="en-GB"/>
        </w:rPr>
      </w:pPr>
      <w:r w:rsidRPr="2622FC74">
        <w:rPr>
          <w:rFonts w:ascii="Arial" w:eastAsia="Arial" w:hAnsi="Arial" w:cs="Arial"/>
          <w:sz w:val="20"/>
          <w:szCs w:val="20"/>
          <w:lang w:val="en-GB"/>
        </w:rPr>
        <w:t>Second, the airline should invest in enhancing staff interpersonal skills and service capabilities. The findings highlight that staff behaviour plays a key role in shaping passenger perceptions, with factors such as empathy, communication, and responsiveness significantly influencing satisfaction and loyalty outcomes. This supports existing research emphasising the importance of relational service elements in developing long-term customer relationships (Leon and Dixon, 2023; Rather, 2022). As a result, Turkish Airlines should implement ongoing staff training programmes that focus not only on technical performance but also on customer interaction and emotional intelligence.</w:t>
      </w:r>
    </w:p>
    <w:p w14:paraId="3CC17B02" w14:textId="0B7EFEEF" w:rsidR="53D0A03E" w:rsidRDefault="53D0A03E" w:rsidP="2622FC74">
      <w:pPr>
        <w:spacing w:before="240" w:after="240" w:line="480" w:lineRule="auto"/>
        <w:rPr>
          <w:rFonts w:ascii="Arial" w:eastAsia="Arial" w:hAnsi="Arial" w:cs="Arial"/>
          <w:sz w:val="20"/>
          <w:szCs w:val="20"/>
          <w:lang w:val="en-GB"/>
        </w:rPr>
      </w:pPr>
      <w:r w:rsidRPr="2622FC74">
        <w:rPr>
          <w:rFonts w:ascii="Arial" w:eastAsia="Arial" w:hAnsi="Arial" w:cs="Arial"/>
          <w:sz w:val="20"/>
          <w:szCs w:val="20"/>
          <w:lang w:val="en-GB"/>
        </w:rPr>
        <w:t xml:space="preserve">Third, Turkish Airlines should strengthen its service recovery strategies to effectively manage service failures. Given the inevitability of disruptions within the airline industry, the ability to respond quickly and appropriately to service failures is essential for maintaining customer trust and loyalty. The findings suggest that well-managed service recovery can mitigate negative experiences and, in some cases, enhance customer perceptions of the airline (Tay, 2023). Therefore, empowering frontline staff with the </w:t>
      </w:r>
      <w:r w:rsidRPr="2622FC74">
        <w:rPr>
          <w:rFonts w:ascii="Arial" w:eastAsia="Arial" w:hAnsi="Arial" w:cs="Arial"/>
          <w:sz w:val="20"/>
          <w:szCs w:val="20"/>
          <w:lang w:val="en-GB"/>
        </w:rPr>
        <w:lastRenderedPageBreak/>
        <w:t>authority and resources to resolve customer issues efficiently, alongside clear communication and appropriate compensation, would improve overall customer satisfaction.</w:t>
      </w:r>
    </w:p>
    <w:p w14:paraId="589F3832" w14:textId="5E67115B" w:rsidR="53D0A03E" w:rsidRDefault="53D0A03E" w:rsidP="2622FC74">
      <w:pPr>
        <w:spacing w:before="240" w:after="240" w:line="480" w:lineRule="auto"/>
        <w:rPr>
          <w:rFonts w:ascii="Arial" w:eastAsia="Arial" w:hAnsi="Arial" w:cs="Arial"/>
          <w:sz w:val="20"/>
          <w:szCs w:val="20"/>
          <w:lang w:val="en-GB"/>
        </w:rPr>
      </w:pPr>
      <w:r w:rsidRPr="2622FC74">
        <w:rPr>
          <w:rFonts w:ascii="Arial" w:eastAsia="Arial" w:hAnsi="Arial" w:cs="Arial"/>
          <w:sz w:val="20"/>
          <w:szCs w:val="20"/>
          <w:lang w:val="en-GB"/>
        </w:rPr>
        <w:t xml:space="preserve">Finally, Turkish Airlines should ensure that pricing strategies align with customer perceptions of value. The findings indicate that price is evaluated in relation to service quality, and passengers are more likely to remain loyal when they perceive fairness in the value offered. This supports the view that perceived value plays a key role in shaping customer behaviour (Wirtz and Lovelock, 2021). Consequently, the airline should maintain transparent pricing structures and clearly communicate the benefits associated with its services </w:t>
      </w:r>
      <w:proofErr w:type="gramStart"/>
      <w:r w:rsidRPr="2622FC74">
        <w:rPr>
          <w:rFonts w:ascii="Arial" w:eastAsia="Arial" w:hAnsi="Arial" w:cs="Arial"/>
          <w:sz w:val="20"/>
          <w:szCs w:val="20"/>
          <w:lang w:val="en-GB"/>
        </w:rPr>
        <w:t>in order to</w:t>
      </w:r>
      <w:proofErr w:type="gramEnd"/>
      <w:r w:rsidRPr="2622FC74">
        <w:rPr>
          <w:rFonts w:ascii="Arial" w:eastAsia="Arial" w:hAnsi="Arial" w:cs="Arial"/>
          <w:sz w:val="20"/>
          <w:szCs w:val="20"/>
          <w:lang w:val="en-GB"/>
        </w:rPr>
        <w:t xml:space="preserve"> strengthen the perceived value of the customer experience.</w:t>
      </w:r>
    </w:p>
    <w:p w14:paraId="0C0A2CA0" w14:textId="5A50FF5E" w:rsidR="53D0A03E" w:rsidRDefault="53D0A03E" w:rsidP="2622FC74">
      <w:pPr>
        <w:spacing w:before="240" w:after="240" w:line="480" w:lineRule="auto"/>
        <w:rPr>
          <w:rFonts w:ascii="Arial" w:eastAsia="Arial" w:hAnsi="Arial" w:cs="Arial"/>
          <w:sz w:val="20"/>
          <w:szCs w:val="20"/>
          <w:lang w:val="en-GB"/>
        </w:rPr>
      </w:pPr>
      <w:r w:rsidRPr="2622FC74">
        <w:rPr>
          <w:rFonts w:ascii="Arial" w:eastAsia="Arial" w:hAnsi="Arial" w:cs="Arial"/>
          <w:sz w:val="20"/>
          <w:szCs w:val="20"/>
          <w:lang w:val="en-GB"/>
        </w:rPr>
        <w:t>Overall, these recommendations highlight the importance of adopting an integrated and customer-focused approach to service delivery. By aligning operational performance with customer expectations and relational service elements, Turkish Airlines can enhance passenger satisfaction and build stronger, long-term customer loyalty.</w:t>
      </w:r>
    </w:p>
    <w:p w14:paraId="7EE7DE7E" w14:textId="3C9EE106" w:rsidR="2622FC74" w:rsidRDefault="2622FC74" w:rsidP="2622FC74">
      <w:pPr>
        <w:rPr>
          <w:lang w:val="en-GB"/>
        </w:rPr>
      </w:pPr>
    </w:p>
    <w:p w14:paraId="2BDC201F" w14:textId="65611431" w:rsidR="11940408" w:rsidRPr="003934CC" w:rsidRDefault="11940408" w:rsidP="59CD09D6">
      <w:pPr>
        <w:pStyle w:val="Heading2"/>
        <w:spacing w:before="299" w:after="299"/>
        <w:rPr>
          <w:rFonts w:ascii="Arial" w:eastAsia="Arial" w:hAnsi="Arial" w:cs="Arial"/>
          <w:lang w:val="en-GB"/>
        </w:rPr>
      </w:pPr>
      <w:bookmarkStart w:id="236" w:name="_Toc228398812"/>
      <w:bookmarkStart w:id="237" w:name="_Toc1336525995"/>
      <w:bookmarkStart w:id="238" w:name="_Toc1326585321"/>
      <w:bookmarkStart w:id="239" w:name="_Toc2102173911"/>
      <w:bookmarkStart w:id="240" w:name="_Toc900669290"/>
      <w:r w:rsidRPr="370D7818">
        <w:rPr>
          <w:rFonts w:ascii="Arial" w:eastAsia="Arial" w:hAnsi="Arial" w:cs="Arial"/>
          <w:lang w:val="en-GB"/>
        </w:rPr>
        <w:t>5.4 Limitations</w:t>
      </w:r>
      <w:bookmarkEnd w:id="236"/>
      <w:bookmarkEnd w:id="237"/>
      <w:bookmarkEnd w:id="238"/>
      <w:bookmarkEnd w:id="239"/>
      <w:bookmarkEnd w:id="240"/>
    </w:p>
    <w:p w14:paraId="1381549D" w14:textId="56F53918" w:rsidR="68B40B0F" w:rsidRDefault="7D151F97" w:rsidP="36385224">
      <w:pPr>
        <w:spacing w:before="240" w:after="240" w:line="480" w:lineRule="auto"/>
      </w:pPr>
      <w:r w:rsidRPr="36385224">
        <w:rPr>
          <w:rFonts w:ascii="Arial" w:eastAsia="Arial" w:hAnsi="Arial" w:cs="Arial"/>
          <w:sz w:val="20"/>
          <w:szCs w:val="20"/>
          <w:lang w:val="en-GB"/>
        </w:rPr>
        <w:t xml:space="preserve">This study includes several limitations that should be considered when interpreting the findings. </w:t>
      </w:r>
      <w:r w:rsidR="68B40B0F" w:rsidRPr="36385224">
        <w:rPr>
          <w:rFonts w:ascii="Arial" w:eastAsia="Arial" w:hAnsi="Arial" w:cs="Arial"/>
          <w:sz w:val="20"/>
          <w:szCs w:val="20"/>
          <w:lang w:val="en-GB"/>
        </w:rPr>
        <w:t>The most significant limitation relates to the use of secondary data, as the analysis is based on existing research rather than primary data collected directly from Turkish Airlines passengers. As a result, the findings may be limited in their generalisability to the specific operational and cultural context of Turkish Airlines (Saunders, Lewis and Thornhill, 2023). While the literature reviewed provides valuable insights into customer experience and loyalty across service industries, it may not fully capture the unique characteristics of Turkish Airlines or the specific expectations of its passengers.</w:t>
      </w:r>
    </w:p>
    <w:p w14:paraId="129892EB" w14:textId="11F0A351" w:rsidR="68B40B0F" w:rsidRDefault="68B40B0F" w:rsidP="2622FC74">
      <w:pPr>
        <w:spacing w:before="240" w:after="240" w:line="480" w:lineRule="auto"/>
      </w:pPr>
      <w:r w:rsidRPr="2622FC74">
        <w:rPr>
          <w:rFonts w:ascii="Arial" w:eastAsia="Arial" w:hAnsi="Arial" w:cs="Arial"/>
          <w:sz w:val="20"/>
          <w:szCs w:val="20"/>
          <w:lang w:val="en-GB"/>
        </w:rPr>
        <w:t xml:space="preserve">In addition, the reliance on secondary sources means that the study is dependent on the scope, quality, and context of the original research. This may introduce potential bias, as the findings reflect interpretations of existing studies rather than direct observation of passenger behaviour. Bell and Bryman (2022) argue that secondary research is constrained by the limitations of the original data, which may </w:t>
      </w:r>
      <w:r w:rsidRPr="2622FC74">
        <w:rPr>
          <w:rFonts w:ascii="Arial" w:eastAsia="Arial" w:hAnsi="Arial" w:cs="Arial"/>
          <w:sz w:val="20"/>
          <w:szCs w:val="20"/>
          <w:lang w:val="en-GB"/>
        </w:rPr>
        <w:lastRenderedPageBreak/>
        <w:t>affect the validity and reliability of the conclusions drawn. Furthermore, differences in research design, sample populations, and industry contexts across the selected studies may limit the consistency of the findings.</w:t>
      </w:r>
    </w:p>
    <w:p w14:paraId="684CE8E4" w14:textId="58CB244D" w:rsidR="68B40B0F" w:rsidRDefault="68B40B0F" w:rsidP="2622FC74">
      <w:pPr>
        <w:spacing w:before="240" w:after="240" w:line="480" w:lineRule="auto"/>
      </w:pPr>
      <w:r w:rsidRPr="2622FC74">
        <w:rPr>
          <w:rFonts w:ascii="Arial" w:eastAsia="Arial" w:hAnsi="Arial" w:cs="Arial"/>
          <w:sz w:val="20"/>
          <w:szCs w:val="20"/>
          <w:lang w:val="en-GB"/>
        </w:rPr>
        <w:t>Another limitation relates to the qualitative nature of the research approach. While qualitative analysis allows for a deeper understanding of customer experience, it does not provide statistically generalisable results. Taherdoost (2022) highlights that qualitative and secondary research methods are valuable for exploratory studies but may lack the ability to produce generalisable conclusions across larger populations. This means that the findings should be interpreted with caution, particularly when applied to broader airline industry contexts.</w:t>
      </w:r>
    </w:p>
    <w:p w14:paraId="325213CA" w14:textId="454E4752" w:rsidR="68B40B0F" w:rsidRDefault="68B40B0F" w:rsidP="2622FC74">
      <w:pPr>
        <w:spacing w:before="240" w:after="240" w:line="480" w:lineRule="auto"/>
      </w:pPr>
      <w:r w:rsidRPr="59CD09D6">
        <w:rPr>
          <w:rFonts w:ascii="Arial" w:eastAsia="Arial" w:hAnsi="Arial" w:cs="Arial"/>
          <w:sz w:val="20"/>
          <w:szCs w:val="20"/>
          <w:lang w:val="en-GB"/>
        </w:rPr>
        <w:t>Finally, the study does not incorporate real-time or primary data from Turkish Airlines passengers, which limits the ability to capture current customer perceptions and behaviours. The dynamic nature of the airline industry, particularly in the post-pandemic environment, means that customer expectations may evolve rapidly. Therefore, future research using primary data collection methods, such as surveys or interviews, would provide more context-specific and up-to-date insights into passenger loyalty.</w:t>
      </w:r>
    </w:p>
    <w:p w14:paraId="2925976F" w14:textId="12A5D7E1" w:rsidR="11940408" w:rsidRPr="003934CC" w:rsidRDefault="11940408" w:rsidP="002B41DF">
      <w:pPr>
        <w:pStyle w:val="Heading2"/>
        <w:rPr>
          <w:rFonts w:ascii="Arial" w:eastAsia="Arial" w:hAnsi="Arial" w:cs="Arial"/>
          <w:lang w:val="en-GB"/>
        </w:rPr>
      </w:pPr>
      <w:bookmarkStart w:id="241" w:name="_Toc228398813"/>
      <w:bookmarkStart w:id="242" w:name="_Toc578615527"/>
      <w:bookmarkStart w:id="243" w:name="_Toc2037599725"/>
      <w:bookmarkStart w:id="244" w:name="_Toc1147978870"/>
      <w:bookmarkStart w:id="245" w:name="_Toc1140966645"/>
      <w:r w:rsidRPr="370D7818">
        <w:rPr>
          <w:lang w:val="en-GB"/>
        </w:rPr>
        <w:t xml:space="preserve">5.5 Future </w:t>
      </w:r>
      <w:r w:rsidRPr="370D7818">
        <w:rPr>
          <w:rFonts w:cstheme="minorBidi"/>
          <w:lang w:val="en-GB"/>
        </w:rPr>
        <w:t>Research</w:t>
      </w:r>
      <w:bookmarkEnd w:id="241"/>
      <w:bookmarkEnd w:id="242"/>
      <w:bookmarkEnd w:id="243"/>
      <w:bookmarkEnd w:id="244"/>
      <w:bookmarkEnd w:id="245"/>
    </w:p>
    <w:p w14:paraId="033F7F9B" w14:textId="7130A5CD" w:rsidR="1B12EE83" w:rsidRDefault="0B503747" w:rsidP="36385224">
      <w:pPr>
        <w:spacing w:before="240" w:after="240" w:line="480" w:lineRule="auto"/>
      </w:pPr>
      <w:r w:rsidRPr="36385224">
        <w:rPr>
          <w:rFonts w:ascii="Arial" w:eastAsia="Arial" w:hAnsi="Arial" w:cs="Arial"/>
          <w:sz w:val="20"/>
          <w:szCs w:val="20"/>
          <w:lang w:val="en-GB"/>
        </w:rPr>
        <w:t xml:space="preserve">The findings of this study highlight several key areas for future </w:t>
      </w:r>
      <w:proofErr w:type="gramStart"/>
      <w:r w:rsidRPr="36385224">
        <w:rPr>
          <w:rFonts w:ascii="Arial" w:eastAsia="Arial" w:hAnsi="Arial" w:cs="Arial"/>
          <w:sz w:val="20"/>
          <w:szCs w:val="20"/>
          <w:lang w:val="en-GB"/>
        </w:rPr>
        <w:t>research.</w:t>
      </w:r>
      <w:r w:rsidR="1B12EE83" w:rsidRPr="36385224">
        <w:rPr>
          <w:rFonts w:ascii="Arial" w:eastAsia="Arial" w:hAnsi="Arial" w:cs="Arial"/>
          <w:sz w:val="20"/>
          <w:szCs w:val="20"/>
          <w:lang w:val="en-GB"/>
        </w:rPr>
        <w:t>.</w:t>
      </w:r>
      <w:proofErr w:type="gramEnd"/>
      <w:r w:rsidR="1B12EE83" w:rsidRPr="36385224">
        <w:rPr>
          <w:rFonts w:ascii="Arial" w:eastAsia="Arial" w:hAnsi="Arial" w:cs="Arial"/>
          <w:sz w:val="20"/>
          <w:szCs w:val="20"/>
          <w:lang w:val="en-GB"/>
        </w:rPr>
        <w:t xml:space="preserve"> Given the reliance on secondary data, future studies could adopt primary research methods, such as surveys, interviews, or focus groups, to explore passenger experiences within Turkish Airlines in greater depth. Collecting primary data would provide more context-specific insights into customer perceptions, expectations, and behavioural intentions, thereby enhancing the overall understanding of how customer experience influences passenger loyalty (Xie, Zhang and Morrison, 2020).</w:t>
      </w:r>
    </w:p>
    <w:p w14:paraId="660EE3D0" w14:textId="3B8697C5" w:rsidR="1B12EE83" w:rsidRDefault="1B12EE83" w:rsidP="2622FC74">
      <w:pPr>
        <w:spacing w:before="240" w:after="240" w:line="480" w:lineRule="auto"/>
      </w:pPr>
      <w:r w:rsidRPr="2622FC74">
        <w:rPr>
          <w:rFonts w:ascii="Arial" w:eastAsia="Arial" w:hAnsi="Arial" w:cs="Arial"/>
          <w:sz w:val="20"/>
          <w:szCs w:val="20"/>
          <w:lang w:val="en-GB"/>
        </w:rPr>
        <w:t>In addition, future research could examine customer experience across different passenger segments, such as business and leisure travellers. These groups may have distinct expectations and priorities, which could influence how they evaluate service quality and loyalty. Investigating these differences would provide a more nuanced understanding of passenger behaviour and support the development of more targeted customer experience strategies within Turkish Airlines.</w:t>
      </w:r>
    </w:p>
    <w:p w14:paraId="4768CA22" w14:textId="4600A94E" w:rsidR="1B12EE83" w:rsidRDefault="1B12EE83" w:rsidP="2622FC74">
      <w:pPr>
        <w:spacing w:before="240" w:after="240" w:line="480" w:lineRule="auto"/>
      </w:pPr>
      <w:r w:rsidRPr="2622FC74">
        <w:rPr>
          <w:rFonts w:ascii="Arial" w:eastAsia="Arial" w:hAnsi="Arial" w:cs="Arial"/>
          <w:sz w:val="20"/>
          <w:szCs w:val="20"/>
          <w:lang w:val="en-GB"/>
        </w:rPr>
        <w:lastRenderedPageBreak/>
        <w:t>Furthermore, cross-cultural research could explore how passenger expectations and perceptions of service quality vary across different national and cultural contexts. As Turkish Airlines operates in a highly globalised market, understanding these differences would be particularly valuable for improving service delivery across international routes. This is consistent with previous research suggesting that cultural factors can significantly influence customer expectations and satisfaction levels (Siqueira et al., 2023).</w:t>
      </w:r>
    </w:p>
    <w:p w14:paraId="2F244F32" w14:textId="6886B2E5" w:rsidR="1B12EE83" w:rsidRDefault="1B12EE83" w:rsidP="2622FC74">
      <w:pPr>
        <w:spacing w:before="240" w:after="240" w:line="480" w:lineRule="auto"/>
      </w:pPr>
      <w:r w:rsidRPr="2622FC74">
        <w:rPr>
          <w:rFonts w:ascii="Arial" w:eastAsia="Arial" w:hAnsi="Arial" w:cs="Arial"/>
          <w:sz w:val="20"/>
          <w:szCs w:val="20"/>
          <w:lang w:val="en-GB"/>
        </w:rPr>
        <w:t>Another important area for future research is the role of digital technologies in shaping customer experience and loyalty. The increasing use of mobile applications, online booking platforms, and automated customer service systems may influence how passengers interact with airlines. Exploring how digital service innovations affect customer satisfaction and loyalty would provide valuable insights for improving customer experience in the airline industry.</w:t>
      </w:r>
    </w:p>
    <w:p w14:paraId="468F15B8" w14:textId="364CA25A" w:rsidR="1B12EE83" w:rsidRDefault="1B12EE83" w:rsidP="2622FC74">
      <w:pPr>
        <w:spacing w:before="240" w:after="240" w:line="480" w:lineRule="auto"/>
      </w:pPr>
      <w:r w:rsidRPr="2622FC74">
        <w:rPr>
          <w:rFonts w:ascii="Arial" w:eastAsia="Arial" w:hAnsi="Arial" w:cs="Arial"/>
          <w:sz w:val="20"/>
          <w:szCs w:val="20"/>
          <w:lang w:val="en-GB"/>
        </w:rPr>
        <w:t>Finally, longitudinal research could be conducted to examine how customer loyalty develops over time in response to changes in service quality, pricing strategies, and competitive dynamics. Unlike cross-sectional studies, longitudinal approaches would allow researchers to capture changes in passenger behaviour and provide a more dynamic understanding of loyalty development (Katsoni and Dologlou, 2023). Such research would contribute to both academic knowledge and practical airline management by offering deeper insights into long-term customer relationships</w:t>
      </w:r>
    </w:p>
    <w:p w14:paraId="3B3E3483" w14:textId="77777777" w:rsidR="002B41DF" w:rsidRDefault="002B41DF" w:rsidP="36385224">
      <w:pPr>
        <w:pStyle w:val="Heading2"/>
        <w:spacing w:before="240" w:after="240" w:line="480" w:lineRule="auto"/>
        <w:rPr>
          <w:rFonts w:asciiTheme="minorHAnsi" w:eastAsiaTheme="minorEastAsia" w:hAnsiTheme="minorHAnsi" w:cstheme="minorBidi"/>
          <w:lang w:val="en-GB"/>
        </w:rPr>
      </w:pPr>
      <w:bookmarkStart w:id="246" w:name="_Toc1568150733"/>
      <w:bookmarkStart w:id="247" w:name="_Toc1146993304"/>
      <w:bookmarkStart w:id="248" w:name="_Toc1324571120"/>
    </w:p>
    <w:p w14:paraId="02758703" w14:textId="77777777" w:rsidR="002B41DF" w:rsidRDefault="002B41DF" w:rsidP="36385224">
      <w:pPr>
        <w:pStyle w:val="Heading2"/>
        <w:spacing w:before="240" w:after="240" w:line="480" w:lineRule="auto"/>
        <w:rPr>
          <w:rFonts w:asciiTheme="minorHAnsi" w:eastAsiaTheme="minorEastAsia" w:hAnsiTheme="minorHAnsi" w:cstheme="minorBidi"/>
          <w:lang w:val="en-GB"/>
        </w:rPr>
      </w:pPr>
    </w:p>
    <w:p w14:paraId="4C09D5AC" w14:textId="77777777" w:rsidR="002B41DF" w:rsidRDefault="002B41DF" w:rsidP="36385224">
      <w:pPr>
        <w:pStyle w:val="Heading2"/>
        <w:spacing w:before="240" w:after="240" w:line="480" w:lineRule="auto"/>
        <w:rPr>
          <w:rFonts w:asciiTheme="minorHAnsi" w:eastAsiaTheme="minorEastAsia" w:hAnsiTheme="minorHAnsi" w:cstheme="minorBidi"/>
          <w:lang w:val="en-GB"/>
        </w:rPr>
      </w:pPr>
    </w:p>
    <w:p w14:paraId="15815754" w14:textId="77777777" w:rsidR="002B41DF" w:rsidRDefault="002B41DF" w:rsidP="002B41DF">
      <w:pPr>
        <w:rPr>
          <w:lang w:val="en-GB"/>
        </w:rPr>
      </w:pPr>
    </w:p>
    <w:p w14:paraId="6D2C1D8D" w14:textId="77777777" w:rsidR="002B41DF" w:rsidRDefault="002B41DF" w:rsidP="002B41DF">
      <w:pPr>
        <w:rPr>
          <w:lang w:val="en-GB"/>
        </w:rPr>
      </w:pPr>
    </w:p>
    <w:p w14:paraId="6E75C2D1" w14:textId="77777777" w:rsidR="002B41DF" w:rsidRDefault="002B41DF" w:rsidP="002B41DF">
      <w:pPr>
        <w:rPr>
          <w:lang w:val="en-GB"/>
        </w:rPr>
      </w:pPr>
    </w:p>
    <w:p w14:paraId="75D34D7F" w14:textId="77777777" w:rsidR="002B41DF" w:rsidRDefault="002B41DF" w:rsidP="002B41DF">
      <w:pPr>
        <w:rPr>
          <w:lang w:val="en-GB"/>
        </w:rPr>
      </w:pPr>
    </w:p>
    <w:p w14:paraId="4BDE3E5F" w14:textId="36BFC41D" w:rsidR="11940408" w:rsidRPr="003934CC" w:rsidRDefault="1653DC37" w:rsidP="002B41DF">
      <w:pPr>
        <w:pStyle w:val="Heading2"/>
        <w:rPr>
          <w:lang w:val="en-GB"/>
        </w:rPr>
      </w:pPr>
      <w:bookmarkStart w:id="249" w:name="_Toc1655279450"/>
      <w:r w:rsidRPr="370D7818">
        <w:rPr>
          <w:lang w:val="en-GB"/>
        </w:rPr>
        <w:lastRenderedPageBreak/>
        <w:t>5.6 Personal Reflection (Gibbs Reflective Cycle)</w:t>
      </w:r>
      <w:bookmarkEnd w:id="246"/>
      <w:bookmarkEnd w:id="247"/>
      <w:bookmarkEnd w:id="248"/>
      <w:bookmarkEnd w:id="249"/>
    </w:p>
    <w:p w14:paraId="7F5BDE5D" w14:textId="78343000" w:rsidR="323D0316" w:rsidRDefault="323D0316" w:rsidP="36385224">
      <w:pPr>
        <w:spacing w:before="240" w:after="240" w:line="480" w:lineRule="auto"/>
        <w:rPr>
          <w:rFonts w:ascii="Arial" w:eastAsia="Arial" w:hAnsi="Arial" w:cs="Arial"/>
          <w:sz w:val="20"/>
          <w:szCs w:val="20"/>
          <w:lang w:val="en-GB"/>
        </w:rPr>
      </w:pPr>
      <w:r w:rsidRPr="36385224">
        <w:rPr>
          <w:rFonts w:ascii="Arial" w:eastAsia="Arial" w:hAnsi="Arial" w:cs="Arial"/>
          <w:sz w:val="20"/>
          <w:szCs w:val="20"/>
          <w:lang w:val="en-GB"/>
        </w:rPr>
        <w:t>This reflection is structured using Gibbs’ Reflective Cycle, which provides a systematic framework for analysing experience and supporting reflective learning (Gibbs, 1988; McLeod, 2025).</w:t>
      </w:r>
    </w:p>
    <w:p w14:paraId="7789CE9E" w14:textId="5872ACA2" w:rsidR="323D0316" w:rsidRDefault="323D0316" w:rsidP="36385224">
      <w:pPr>
        <w:spacing w:before="240" w:after="240" w:line="480" w:lineRule="auto"/>
        <w:rPr>
          <w:rFonts w:ascii="Arial" w:eastAsia="Arial" w:hAnsi="Arial" w:cs="Arial"/>
          <w:sz w:val="20"/>
          <w:szCs w:val="20"/>
          <w:lang w:val="en-GB"/>
        </w:rPr>
      </w:pPr>
      <w:r w:rsidRPr="36385224">
        <w:rPr>
          <w:rFonts w:ascii="Arial" w:eastAsia="Arial" w:hAnsi="Arial" w:cs="Arial"/>
          <w:b/>
          <w:bCs/>
          <w:lang w:val="en-GB"/>
        </w:rPr>
        <w:t>Description</w:t>
      </w:r>
      <w:r>
        <w:br/>
      </w:r>
      <w:r w:rsidRPr="36385224">
        <w:rPr>
          <w:rFonts w:ascii="Arial" w:eastAsia="Arial" w:hAnsi="Arial" w:cs="Arial"/>
          <w:sz w:val="20"/>
          <w:szCs w:val="20"/>
          <w:lang w:val="en-GB"/>
        </w:rPr>
        <w:t>This reflection examines my experience of completing an independent dissertation investigating how customer experience influences passenger loyalty within Turkish Airlines. The research adopted a qualitative, secondary data approach based on a systematic literature review and thematic analysis. Turkish Airlines was selected as the case organisation due to its strong global presence and relevance as a full-service international carrier, providing an appropriate context for addressing the research question.</w:t>
      </w:r>
    </w:p>
    <w:p w14:paraId="32901C14" w14:textId="561497C4" w:rsidR="323D0316" w:rsidRDefault="323D0316" w:rsidP="36385224">
      <w:pPr>
        <w:spacing w:before="240" w:after="240" w:line="480" w:lineRule="auto"/>
        <w:rPr>
          <w:rFonts w:ascii="Arial" w:eastAsia="Arial" w:hAnsi="Arial" w:cs="Arial"/>
          <w:sz w:val="20"/>
          <w:szCs w:val="20"/>
          <w:lang w:val="en-GB"/>
        </w:rPr>
      </w:pPr>
      <w:r w:rsidRPr="36385224">
        <w:rPr>
          <w:rFonts w:ascii="Arial" w:eastAsia="Arial" w:hAnsi="Arial" w:cs="Arial"/>
          <w:b/>
          <w:bCs/>
          <w:sz w:val="20"/>
          <w:szCs w:val="20"/>
          <w:lang w:val="en-GB"/>
        </w:rPr>
        <w:t>Feelings</w:t>
      </w:r>
      <w:r>
        <w:br/>
      </w:r>
      <w:r w:rsidRPr="36385224">
        <w:rPr>
          <w:rFonts w:ascii="Arial" w:eastAsia="Arial" w:hAnsi="Arial" w:cs="Arial"/>
          <w:sz w:val="20"/>
          <w:szCs w:val="20"/>
          <w:lang w:val="en-GB"/>
        </w:rPr>
        <w:t>At the beginning of the research process, I felt motivated by the topic but also overwhelmed by the scale and complexity of the project. When it became clear that time constraints would prevent the use of primary data collection methods, I felt frustrated and uncertain about whether a secondary data approach would be sufficient. However, as I engaged more deeply with the literature and received guidance from my lecturer, my confidence gradually increased. Although receiving detailed feedback was sometimes challenging, it ultimately strengthened my academic abilities. In addition, when I first received my Turnitin similarity report, I felt concerned about the relatively high similarity score; however, this encouraged me to improve my paraphrasing and referencing skills.</w:t>
      </w:r>
    </w:p>
    <w:p w14:paraId="35D9DBF0" w14:textId="5BAD28E8" w:rsidR="323D0316" w:rsidRDefault="323D0316" w:rsidP="36385224">
      <w:pPr>
        <w:spacing w:before="240" w:after="240" w:line="480" w:lineRule="auto"/>
        <w:rPr>
          <w:rFonts w:ascii="Arial" w:eastAsia="Arial" w:hAnsi="Arial" w:cs="Arial"/>
          <w:sz w:val="20"/>
          <w:szCs w:val="20"/>
          <w:lang w:val="en-GB"/>
        </w:rPr>
      </w:pPr>
      <w:r w:rsidRPr="36385224">
        <w:rPr>
          <w:rFonts w:ascii="Arial" w:eastAsia="Arial" w:hAnsi="Arial" w:cs="Arial"/>
          <w:b/>
          <w:bCs/>
          <w:sz w:val="20"/>
          <w:szCs w:val="20"/>
          <w:lang w:val="en-GB"/>
        </w:rPr>
        <w:t>Evaluation</w:t>
      </w:r>
      <w:r>
        <w:br/>
      </w:r>
      <w:r w:rsidRPr="36385224">
        <w:rPr>
          <w:rFonts w:ascii="Arial" w:eastAsia="Arial" w:hAnsi="Arial" w:cs="Arial"/>
          <w:sz w:val="20"/>
          <w:szCs w:val="20"/>
          <w:lang w:val="en-GB"/>
        </w:rPr>
        <w:t xml:space="preserve">Several aspects of the research process were successful. Maintaining the same research topic as outlined in my initial proposal ensured consistency and focus throughout the study. Actively engaging with and applying lecturer feedback significantly improved the structure, clarity, and academic rigour of the dissertation. I also developed stronger skills in Harvard referencing, academic writing, and organising findings using structured tables. Furthermore, developing the conceptual framework diagram enhanced my ability to present ideas visually and clearly demonstrate relationships between key concepts. However, the decision to rely on secondary data, while necessary due to time limitations, restricted the </w:t>
      </w:r>
      <w:r w:rsidRPr="36385224">
        <w:rPr>
          <w:rFonts w:ascii="Arial" w:eastAsia="Arial" w:hAnsi="Arial" w:cs="Arial"/>
          <w:sz w:val="20"/>
          <w:szCs w:val="20"/>
          <w:lang w:val="en-GB"/>
        </w:rPr>
        <w:lastRenderedPageBreak/>
        <w:t>ability to gather direct insights from Turkish Airlines passengers, which impacted the generalisability of the findings.</w:t>
      </w:r>
    </w:p>
    <w:p w14:paraId="768E3AF4" w14:textId="66A55008" w:rsidR="36385224" w:rsidRDefault="36385224" w:rsidP="36385224">
      <w:pPr>
        <w:spacing w:before="240" w:after="240" w:line="480" w:lineRule="auto"/>
        <w:rPr>
          <w:rFonts w:ascii="Arial" w:eastAsia="Arial" w:hAnsi="Arial" w:cs="Arial"/>
          <w:b/>
          <w:bCs/>
          <w:sz w:val="20"/>
          <w:szCs w:val="20"/>
          <w:lang w:val="en-GB"/>
        </w:rPr>
      </w:pPr>
    </w:p>
    <w:p w14:paraId="1236DA44" w14:textId="4D3F73A2" w:rsidR="323D0316" w:rsidRDefault="323D0316" w:rsidP="36385224">
      <w:pPr>
        <w:spacing w:before="240" w:after="240" w:line="480" w:lineRule="auto"/>
        <w:rPr>
          <w:rFonts w:ascii="Arial" w:eastAsia="Arial" w:hAnsi="Arial" w:cs="Arial"/>
          <w:sz w:val="20"/>
          <w:szCs w:val="20"/>
          <w:lang w:val="en-GB"/>
        </w:rPr>
      </w:pPr>
      <w:r w:rsidRPr="59CD09D6">
        <w:rPr>
          <w:rFonts w:ascii="Arial" w:eastAsia="Arial" w:hAnsi="Arial" w:cs="Arial"/>
          <w:b/>
          <w:bCs/>
          <w:sz w:val="20"/>
          <w:szCs w:val="20"/>
          <w:lang w:val="en-GB"/>
        </w:rPr>
        <w:t>Analysis</w:t>
      </w:r>
      <w:r>
        <w:br/>
      </w:r>
      <w:r w:rsidRPr="59CD09D6">
        <w:rPr>
          <w:rFonts w:ascii="Arial" w:eastAsia="Arial" w:hAnsi="Arial" w:cs="Arial"/>
          <w:sz w:val="20"/>
          <w:szCs w:val="20"/>
          <w:lang w:val="en-GB"/>
        </w:rPr>
        <w:t>Applying Gibbs’ analytical stage to these experiences, the initial difficulty with theoretical concepts and academic writing standards can be attributed to limited prior experience with dissertation-level research. Through attending meetings and carefully applying feedback, I developed a clearer understanding of key methodological concepts, including the distinction between a critical literature review and a systematic literature review, as well as the appropriate positioning of search strategy and thematic analysis within the methodology chapter. In addition, I developed a stronger understanding of the interpretivist research philosophy and qualitative approach adopted in this study, which supported the exploration and interpretation of customer experience through existing literature. Managing similarity levels and improving paraphrasing further enhanced my understanding of academic integrity and originality. This process also strengthened my ability to critically evaluate sources and organise information into coherent themes, which was essential for conducting thematic analysis.</w:t>
      </w:r>
    </w:p>
    <w:p w14:paraId="0966262A" w14:textId="63F4429B" w:rsidR="59CD09D6" w:rsidRDefault="59CD09D6" w:rsidP="59CD09D6">
      <w:pPr>
        <w:spacing w:before="240" w:after="240" w:line="480" w:lineRule="auto"/>
        <w:rPr>
          <w:rFonts w:ascii="Arial" w:eastAsia="Arial" w:hAnsi="Arial" w:cs="Arial"/>
          <w:b/>
          <w:bCs/>
          <w:sz w:val="20"/>
          <w:szCs w:val="20"/>
          <w:lang w:val="en-GB"/>
        </w:rPr>
      </w:pPr>
    </w:p>
    <w:p w14:paraId="21FA007E" w14:textId="276A0294" w:rsidR="323D0316" w:rsidRDefault="323D0316" w:rsidP="36385224">
      <w:pPr>
        <w:spacing w:before="240" w:after="240" w:line="480" w:lineRule="auto"/>
        <w:rPr>
          <w:rFonts w:ascii="Arial" w:eastAsia="Arial" w:hAnsi="Arial" w:cs="Arial"/>
          <w:sz w:val="20"/>
          <w:szCs w:val="20"/>
          <w:lang w:val="en-GB"/>
        </w:rPr>
      </w:pPr>
      <w:r w:rsidRPr="36385224">
        <w:rPr>
          <w:rFonts w:ascii="Arial" w:eastAsia="Arial" w:hAnsi="Arial" w:cs="Arial"/>
          <w:b/>
          <w:bCs/>
          <w:sz w:val="20"/>
          <w:szCs w:val="20"/>
          <w:lang w:val="en-GB"/>
        </w:rPr>
        <w:t>Conclusion</w:t>
      </w:r>
      <w:r>
        <w:br/>
      </w:r>
      <w:r w:rsidRPr="36385224">
        <w:rPr>
          <w:rFonts w:ascii="Arial" w:eastAsia="Arial" w:hAnsi="Arial" w:cs="Arial"/>
          <w:sz w:val="20"/>
          <w:szCs w:val="20"/>
          <w:lang w:val="en-GB"/>
        </w:rPr>
        <w:t>Overall, this dissertation has contributed significantly to my academic and personal development. I developed key research skills, including the ability to search for and critically evaluate academic sources, apply thematic analysis to secondary qualitative data, and structure a full dissertation in line with academic standards. In addition, I gained a deeper understanding of how theoretical frameworks can be applied within a real-world business context. The process of responding to detailed and constructive feedback was particularly valuable in improving the quality of my work.</w:t>
      </w:r>
    </w:p>
    <w:p w14:paraId="66697AE2" w14:textId="7FE3C780" w:rsidR="36385224" w:rsidRDefault="36385224" w:rsidP="36385224">
      <w:pPr>
        <w:spacing w:before="240" w:after="240" w:line="480" w:lineRule="auto"/>
        <w:rPr>
          <w:rFonts w:ascii="Arial" w:eastAsia="Arial" w:hAnsi="Arial" w:cs="Arial"/>
          <w:b/>
          <w:bCs/>
          <w:sz w:val="20"/>
          <w:szCs w:val="20"/>
          <w:lang w:val="en-GB"/>
        </w:rPr>
      </w:pPr>
    </w:p>
    <w:p w14:paraId="39A25290" w14:textId="77777777" w:rsidR="00E03AFD" w:rsidRDefault="00E03AFD" w:rsidP="36385224">
      <w:pPr>
        <w:spacing w:before="240" w:after="240" w:line="480" w:lineRule="auto"/>
        <w:rPr>
          <w:rFonts w:ascii="Arial" w:eastAsia="Arial" w:hAnsi="Arial" w:cs="Arial"/>
          <w:b/>
          <w:bCs/>
          <w:sz w:val="20"/>
          <w:szCs w:val="20"/>
          <w:lang w:val="en-GB"/>
        </w:rPr>
      </w:pPr>
    </w:p>
    <w:p w14:paraId="3615AA64" w14:textId="2E9F8AF3" w:rsidR="323D0316" w:rsidRDefault="323D0316" w:rsidP="36385224">
      <w:pPr>
        <w:spacing w:before="240" w:after="240" w:line="480" w:lineRule="auto"/>
        <w:rPr>
          <w:rFonts w:ascii="Arial" w:eastAsia="Arial" w:hAnsi="Arial" w:cs="Arial"/>
          <w:b/>
          <w:bCs/>
          <w:sz w:val="20"/>
          <w:szCs w:val="20"/>
          <w:lang w:val="en-GB"/>
        </w:rPr>
      </w:pPr>
      <w:r w:rsidRPr="36385224">
        <w:rPr>
          <w:rFonts w:ascii="Arial" w:eastAsia="Arial" w:hAnsi="Arial" w:cs="Arial"/>
          <w:b/>
          <w:bCs/>
          <w:sz w:val="20"/>
          <w:szCs w:val="20"/>
          <w:lang w:val="en-GB"/>
        </w:rPr>
        <w:lastRenderedPageBreak/>
        <w:t>Action Plan</w:t>
      </w:r>
    </w:p>
    <w:p w14:paraId="7867F1F2" w14:textId="229AABA9" w:rsidR="323D0316" w:rsidRDefault="323D0316" w:rsidP="36385224">
      <w:pPr>
        <w:spacing w:before="240" w:after="240" w:line="480" w:lineRule="auto"/>
        <w:rPr>
          <w:rFonts w:ascii="Arial" w:eastAsia="Arial" w:hAnsi="Arial" w:cs="Arial"/>
          <w:sz w:val="20"/>
          <w:szCs w:val="20"/>
          <w:lang w:val="en-GB"/>
        </w:rPr>
      </w:pPr>
      <w:r w:rsidRPr="36385224">
        <w:rPr>
          <w:rFonts w:ascii="Arial" w:eastAsia="Arial" w:hAnsi="Arial" w:cs="Arial"/>
          <w:sz w:val="20"/>
          <w:szCs w:val="20"/>
          <w:lang w:val="en-GB"/>
        </w:rPr>
        <w:t>If I were to undertake this research again, I would begin the process earlier to allow more time for critical analysis, revision, and the potential inclusion of primary data collection methods such as surveys or interviews. I would also improve my time management by setting clear weekly milestones for each chapter and conducting an initial pilot search of the literature before finalising the research focus. These changes would enable a more comprehensive investigation and enhance the generalisability of the findings, while further developing the academic and analytical skills gained through this study.</w:t>
      </w:r>
    </w:p>
    <w:p w14:paraId="6367913B" w14:textId="3209CBE3" w:rsidR="36385224" w:rsidRDefault="36385224" w:rsidP="36385224">
      <w:pPr>
        <w:spacing w:line="480" w:lineRule="auto"/>
        <w:rPr>
          <w:lang w:val="en-GB"/>
        </w:rPr>
      </w:pPr>
    </w:p>
    <w:p w14:paraId="5322EE7B" w14:textId="083D6723" w:rsidR="417B7172" w:rsidRDefault="417B7172" w:rsidP="417B7172">
      <w:pPr>
        <w:spacing w:before="240" w:after="240" w:line="480" w:lineRule="auto"/>
        <w:rPr>
          <w:rFonts w:ascii="Arial" w:eastAsia="Arial" w:hAnsi="Arial" w:cs="Arial"/>
          <w:sz w:val="20"/>
          <w:szCs w:val="20"/>
          <w:lang w:val="en-GB"/>
        </w:rPr>
      </w:pPr>
    </w:p>
    <w:p w14:paraId="16A7C63C" w14:textId="0033748E" w:rsidR="417B7172" w:rsidRDefault="417B7172" w:rsidP="417B7172">
      <w:pPr>
        <w:spacing w:before="240" w:after="240" w:line="480" w:lineRule="auto"/>
        <w:rPr>
          <w:rFonts w:ascii="Arial" w:eastAsia="Arial" w:hAnsi="Arial" w:cs="Arial"/>
          <w:sz w:val="20"/>
          <w:szCs w:val="20"/>
          <w:lang w:val="en-GB"/>
        </w:rPr>
      </w:pPr>
    </w:p>
    <w:p w14:paraId="0FEA4980" w14:textId="65136161" w:rsidR="417B7172" w:rsidRDefault="417B7172" w:rsidP="417B7172">
      <w:pPr>
        <w:spacing w:before="240" w:after="240" w:line="480" w:lineRule="auto"/>
        <w:rPr>
          <w:rFonts w:ascii="Arial" w:eastAsia="Arial" w:hAnsi="Arial" w:cs="Arial"/>
          <w:sz w:val="20"/>
          <w:szCs w:val="20"/>
          <w:lang w:val="en-GB"/>
        </w:rPr>
      </w:pPr>
    </w:p>
    <w:p w14:paraId="5C35EE26" w14:textId="32C7F0EA" w:rsidR="417B7172" w:rsidRDefault="417B7172" w:rsidP="417B7172">
      <w:pPr>
        <w:spacing w:before="240" w:after="240" w:line="480" w:lineRule="auto"/>
        <w:rPr>
          <w:rFonts w:ascii="Arial" w:eastAsia="Arial" w:hAnsi="Arial" w:cs="Arial"/>
          <w:sz w:val="20"/>
          <w:szCs w:val="20"/>
          <w:lang w:val="en-GB"/>
        </w:rPr>
      </w:pPr>
    </w:p>
    <w:p w14:paraId="2B3A8B01" w14:textId="06FF1D24" w:rsidR="59CD09D6" w:rsidRDefault="59CD09D6" w:rsidP="59CD09D6">
      <w:pPr>
        <w:spacing w:before="240" w:after="240" w:line="480" w:lineRule="auto"/>
      </w:pPr>
    </w:p>
    <w:p w14:paraId="0612ED16" w14:textId="77777777" w:rsidR="007E729C" w:rsidRDefault="007E729C" w:rsidP="59CD09D6">
      <w:pPr>
        <w:pStyle w:val="Heading2"/>
      </w:pPr>
    </w:p>
    <w:p w14:paraId="5EDA3991" w14:textId="77777777" w:rsidR="007E729C" w:rsidRDefault="007E729C" w:rsidP="59CD09D6">
      <w:pPr>
        <w:pStyle w:val="Heading2"/>
      </w:pPr>
    </w:p>
    <w:p w14:paraId="39FC461C" w14:textId="77777777" w:rsidR="007E729C" w:rsidRDefault="007E729C" w:rsidP="59CD09D6">
      <w:pPr>
        <w:pStyle w:val="Heading2"/>
      </w:pPr>
    </w:p>
    <w:p w14:paraId="790C93A8" w14:textId="77777777" w:rsidR="007E729C" w:rsidRDefault="007E729C" w:rsidP="59CD09D6">
      <w:pPr>
        <w:pStyle w:val="Heading2"/>
      </w:pPr>
    </w:p>
    <w:p w14:paraId="1FA47A9A" w14:textId="77777777" w:rsidR="007E729C" w:rsidRDefault="007E729C" w:rsidP="59CD09D6">
      <w:pPr>
        <w:pStyle w:val="Heading2"/>
      </w:pPr>
    </w:p>
    <w:p w14:paraId="1662AD4D" w14:textId="77777777" w:rsidR="007E729C" w:rsidRDefault="007E729C" w:rsidP="59CD09D6">
      <w:pPr>
        <w:pStyle w:val="Heading2"/>
      </w:pPr>
    </w:p>
    <w:p w14:paraId="0932794B" w14:textId="0A5C26F9" w:rsidR="77A44881" w:rsidRPr="007E729C" w:rsidRDefault="77A44881" w:rsidP="007E729C">
      <w:pPr>
        <w:pStyle w:val="Heading2"/>
      </w:pPr>
      <w:r>
        <w:t xml:space="preserve"> </w:t>
      </w:r>
      <w:bookmarkStart w:id="250" w:name="_Toc228398815"/>
      <w:bookmarkStart w:id="251" w:name="_Toc832525001"/>
      <w:bookmarkStart w:id="252" w:name="_Toc180933500"/>
      <w:bookmarkStart w:id="253" w:name="_Toc956648043"/>
      <w:bookmarkStart w:id="254" w:name="_Toc609357029"/>
      <w:r>
        <w:t>Poster Presentation</w:t>
      </w:r>
      <w:bookmarkEnd w:id="250"/>
      <w:bookmarkEnd w:id="251"/>
      <w:bookmarkEnd w:id="252"/>
      <w:bookmarkEnd w:id="253"/>
      <w:bookmarkEnd w:id="254"/>
    </w:p>
    <w:p w14:paraId="2AA3AAEA" w14:textId="674DE897" w:rsidR="6668655F" w:rsidRDefault="6668655F" w:rsidP="417B7172">
      <w:pPr>
        <w:spacing w:before="240" w:after="240" w:line="480" w:lineRule="auto"/>
        <w:rPr>
          <w:rFonts w:ascii="Arial" w:eastAsia="Arial" w:hAnsi="Arial" w:cs="Arial"/>
          <w:sz w:val="20"/>
          <w:szCs w:val="20"/>
        </w:rPr>
      </w:pPr>
      <w:r w:rsidRPr="417B7172">
        <w:rPr>
          <w:rFonts w:ascii="Arial" w:eastAsia="Arial" w:hAnsi="Arial" w:cs="Arial"/>
          <w:sz w:val="20"/>
          <w:szCs w:val="20"/>
        </w:rPr>
        <w:t>This poster provides a visual summary of the research examining the impact of customer experience on passenger loyalty in Turkish Airlines. It brings together the key elements of the study, including the research aim, methodology, conceptual framework, and main findings derived from the analysis of secondary data.</w:t>
      </w:r>
    </w:p>
    <w:p w14:paraId="04A29518" w14:textId="7C32FB66" w:rsidR="6668655F" w:rsidRDefault="6668655F" w:rsidP="417B7172">
      <w:pPr>
        <w:spacing w:before="240" w:after="240" w:line="480" w:lineRule="auto"/>
        <w:rPr>
          <w:rFonts w:ascii="Arial" w:eastAsia="Arial" w:hAnsi="Arial" w:cs="Arial"/>
          <w:sz w:val="20"/>
          <w:szCs w:val="20"/>
        </w:rPr>
      </w:pPr>
      <w:r w:rsidRPr="417B7172">
        <w:rPr>
          <w:rFonts w:ascii="Arial" w:eastAsia="Arial" w:hAnsi="Arial" w:cs="Arial"/>
          <w:sz w:val="20"/>
          <w:szCs w:val="20"/>
        </w:rPr>
        <w:t>The findings demonstrate that customer experience is a multi-dimensional concept, with service quality, staff behaviour, price perception, and service recovery identified as the most influential factors affecting passenger satisfaction and loyalty. These relationships are illustrated through the conceptual framework, which shows how customer experience contributes to satisfaction and ultimately leads to long-term loyalty.</w:t>
      </w:r>
    </w:p>
    <w:p w14:paraId="2969068C" w14:textId="36ACB1E5" w:rsidR="6668655F" w:rsidRDefault="6668655F" w:rsidP="417B7172">
      <w:pPr>
        <w:spacing w:before="240" w:after="240" w:line="480" w:lineRule="auto"/>
        <w:rPr>
          <w:rFonts w:ascii="Arial" w:eastAsia="Arial" w:hAnsi="Arial" w:cs="Arial"/>
          <w:sz w:val="20"/>
          <w:szCs w:val="20"/>
        </w:rPr>
      </w:pPr>
      <w:r w:rsidRPr="417B7172">
        <w:rPr>
          <w:rFonts w:ascii="Arial" w:eastAsia="Arial" w:hAnsi="Arial" w:cs="Arial"/>
          <w:sz w:val="20"/>
          <w:szCs w:val="20"/>
        </w:rPr>
        <w:t>The poster also presents practical recommendations for Turkish Airlines, focusing on improving service consistency, enhancing staff training, and strengthening communication and service recovery strategies. Overall, it offers a clear and structured representation of the study’s findings and their implications for both academic understanding and managerial practice.</w:t>
      </w:r>
    </w:p>
    <w:p w14:paraId="32A8944E" w14:textId="5A156DD9" w:rsidR="58D17744" w:rsidRDefault="58D17744" w:rsidP="417B7172">
      <w:pPr>
        <w:spacing w:before="240" w:after="240" w:line="480" w:lineRule="auto"/>
        <w:rPr>
          <w:rFonts w:ascii="Arial" w:eastAsia="Arial" w:hAnsi="Arial" w:cs="Arial"/>
          <w:sz w:val="20"/>
          <w:szCs w:val="20"/>
        </w:rPr>
      </w:pPr>
      <w:r>
        <w:rPr>
          <w:noProof/>
        </w:rPr>
        <w:lastRenderedPageBreak/>
        <w:drawing>
          <wp:inline distT="0" distB="0" distL="0" distR="0" wp14:anchorId="025B7686" wp14:editId="728BEF58">
            <wp:extent cx="5943600" cy="3962400"/>
            <wp:effectExtent l="0" t="0" r="0" b="0"/>
            <wp:docPr id="17605660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0566065" name="Picture 1760566065"/>
                    <pic:cNvPicPr/>
                  </pic:nvPicPr>
                  <pic:blipFill>
                    <a:blip r:embed="rId11">
                      <a:extLst>
                        <a:ext uri="{28A0092B-C50C-407E-A947-70E740481C1C}">
                          <a14:useLocalDpi xmlns:a14="http://schemas.microsoft.com/office/drawing/2010/main"/>
                        </a:ext>
                      </a:extLst>
                    </a:blip>
                    <a:stretch>
                      <a:fillRect/>
                    </a:stretch>
                  </pic:blipFill>
                  <pic:spPr>
                    <a:xfrm>
                      <a:off x="0" y="0"/>
                      <a:ext cx="5943600" cy="3962400"/>
                    </a:xfrm>
                    <a:prstGeom prst="rect">
                      <a:avLst/>
                    </a:prstGeom>
                  </pic:spPr>
                </pic:pic>
              </a:graphicData>
            </a:graphic>
          </wp:inline>
        </w:drawing>
      </w:r>
    </w:p>
    <w:p w14:paraId="6FEEB7D9" w14:textId="531F24CD" w:rsidR="0F289F70" w:rsidRDefault="0F289F70" w:rsidP="417B7172">
      <w:pPr>
        <w:spacing w:line="480" w:lineRule="auto"/>
        <w:rPr>
          <w:rFonts w:ascii="Arial" w:eastAsia="Arial" w:hAnsi="Arial" w:cs="Arial"/>
          <w:b/>
          <w:bCs/>
          <w:i/>
          <w:iCs/>
          <w:sz w:val="20"/>
          <w:szCs w:val="20"/>
        </w:rPr>
      </w:pPr>
      <w:r w:rsidRPr="417B7172">
        <w:rPr>
          <w:rFonts w:ascii="Arial" w:eastAsia="Arial" w:hAnsi="Arial" w:cs="Arial"/>
          <w:b/>
          <w:bCs/>
          <w:i/>
          <w:iCs/>
          <w:sz w:val="20"/>
          <w:szCs w:val="20"/>
        </w:rPr>
        <w:t>The poster brings together the key insights of the research in a clear and accessible format, highlighting the importance of customer experience in shaping passenger loyalty.</w:t>
      </w:r>
    </w:p>
    <w:p w14:paraId="2076787F" w14:textId="2F10888D" w:rsidR="417B7172" w:rsidRDefault="417B7172" w:rsidP="417B7172"/>
    <w:p w14:paraId="6F03386C" w14:textId="7BF01A10" w:rsidR="417B7172" w:rsidRDefault="417B7172" w:rsidP="417B7172">
      <w:pPr>
        <w:spacing w:line="480" w:lineRule="auto"/>
        <w:rPr>
          <w:rFonts w:ascii="Cambria" w:eastAsia="Cambria" w:hAnsi="Cambria" w:cs="Cambria"/>
          <w:color w:val="000000" w:themeColor="text1"/>
          <w:sz w:val="20"/>
          <w:szCs w:val="20"/>
        </w:rPr>
      </w:pPr>
    </w:p>
    <w:p w14:paraId="6DAFEF70" w14:textId="0CE2DF6A" w:rsidR="417B7172" w:rsidRDefault="417B7172" w:rsidP="417B7172">
      <w:pPr>
        <w:spacing w:line="480" w:lineRule="auto"/>
        <w:rPr>
          <w:rFonts w:ascii="Cambria" w:eastAsia="Cambria" w:hAnsi="Cambria" w:cs="Cambria"/>
          <w:color w:val="000000" w:themeColor="text1"/>
          <w:sz w:val="22"/>
          <w:szCs w:val="22"/>
        </w:rPr>
      </w:pPr>
    </w:p>
    <w:p w14:paraId="10D1C893" w14:textId="58FA8F39" w:rsidR="417B7172" w:rsidRDefault="417B7172" w:rsidP="417B7172"/>
    <w:p w14:paraId="06116739" w14:textId="4E85DB06" w:rsidR="417B7172" w:rsidRDefault="417B7172" w:rsidP="417B7172">
      <w:pPr>
        <w:spacing w:before="240" w:after="240" w:line="480" w:lineRule="auto"/>
        <w:rPr>
          <w:rFonts w:ascii="Arial" w:eastAsia="Arial" w:hAnsi="Arial" w:cs="Arial"/>
          <w:sz w:val="20"/>
          <w:szCs w:val="20"/>
          <w:lang w:val="en-GB"/>
        </w:rPr>
      </w:pPr>
    </w:p>
    <w:p w14:paraId="07A361DE" w14:textId="0EBA7D66" w:rsidR="2622FC74" w:rsidRDefault="2622FC74" w:rsidP="2622FC74">
      <w:pPr>
        <w:spacing w:before="240" w:after="240" w:line="480" w:lineRule="auto"/>
        <w:rPr>
          <w:rFonts w:ascii="Arial" w:eastAsia="Arial" w:hAnsi="Arial" w:cs="Arial"/>
          <w:sz w:val="20"/>
          <w:szCs w:val="20"/>
          <w:lang w:val="en-GB"/>
        </w:rPr>
      </w:pPr>
    </w:p>
    <w:p w14:paraId="77E37C70" w14:textId="5ADB50FD" w:rsidR="2622FC74" w:rsidRDefault="2622FC74" w:rsidP="417B7172">
      <w:pPr>
        <w:spacing w:before="240" w:after="240" w:line="480" w:lineRule="auto"/>
        <w:rPr>
          <w:rFonts w:ascii="Arial" w:eastAsia="Arial" w:hAnsi="Arial" w:cs="Arial"/>
          <w:sz w:val="20"/>
          <w:szCs w:val="20"/>
          <w:lang w:val="en-GB"/>
        </w:rPr>
        <w:sectPr w:rsidR="2622FC74" w:rsidSect="00B018F1">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720" w:footer="720" w:gutter="0"/>
          <w:cols w:space="720"/>
          <w:docGrid w:linePitch="360"/>
        </w:sectPr>
      </w:pPr>
    </w:p>
    <w:p w14:paraId="0CEF1513" w14:textId="40DBF733" w:rsidR="4992B041" w:rsidRPr="00451FA7" w:rsidRDefault="7B4FB54B" w:rsidP="370D7818">
      <w:pPr>
        <w:pStyle w:val="Heading2"/>
        <w:rPr>
          <w:rFonts w:asciiTheme="minorHAnsi" w:eastAsia="Arial" w:hAnsiTheme="minorHAnsi" w:cstheme="minorBidi"/>
          <w:lang w:val="en-GB"/>
        </w:rPr>
      </w:pPr>
      <w:bookmarkStart w:id="255" w:name="_Toc228398818"/>
      <w:bookmarkStart w:id="256" w:name="_Toc1705829331"/>
      <w:bookmarkStart w:id="257" w:name="_Toc2136895749"/>
      <w:bookmarkStart w:id="258" w:name="_Toc1904654648"/>
      <w:bookmarkStart w:id="259" w:name="_Toc1412690050"/>
      <w:r>
        <w:lastRenderedPageBreak/>
        <w:t>References</w:t>
      </w:r>
      <w:bookmarkEnd w:id="255"/>
      <w:bookmarkEnd w:id="256"/>
      <w:bookmarkEnd w:id="257"/>
      <w:bookmarkEnd w:id="258"/>
      <w:bookmarkEnd w:id="259"/>
      <w:r>
        <w:t xml:space="preserve"> </w:t>
      </w:r>
    </w:p>
    <w:p w14:paraId="2A4056B9" w14:textId="18C2D609" w:rsidR="5CADACEE" w:rsidRDefault="5CADACEE" w:rsidP="370D7818">
      <w:pPr>
        <w:spacing w:before="240" w:after="240" w:line="480" w:lineRule="auto"/>
      </w:pPr>
      <w:r w:rsidRPr="0F2934F5">
        <w:rPr>
          <w:rFonts w:ascii="Arial" w:eastAsia="Arial" w:hAnsi="Arial" w:cs="Arial"/>
          <w:sz w:val="20"/>
          <w:szCs w:val="20"/>
        </w:rPr>
        <w:t xml:space="preserve">Ali, B.J., Gardi, B., Othman, B.J., Ahmed, S.A., Ismael, N.B., Hamza, P.A., Aziz, H.M., Sabir, B.Y. and Anwar, G. (2021) ‘Hotel service quality: the impact of service quality on customer satisfaction in hospitality’, </w:t>
      </w:r>
      <w:r w:rsidRPr="0F2934F5">
        <w:rPr>
          <w:rFonts w:ascii="Arial" w:eastAsia="Arial" w:hAnsi="Arial" w:cs="Arial"/>
          <w:i/>
          <w:iCs/>
          <w:sz w:val="20"/>
          <w:szCs w:val="20"/>
        </w:rPr>
        <w:t>International Journal of Engineering, Business and Management</w:t>
      </w:r>
      <w:r w:rsidRPr="0F2934F5">
        <w:rPr>
          <w:rFonts w:ascii="Arial" w:eastAsia="Arial" w:hAnsi="Arial" w:cs="Arial"/>
          <w:sz w:val="20"/>
          <w:szCs w:val="20"/>
        </w:rPr>
        <w:t>, 5(3), pp.</w:t>
      </w:r>
      <w:r w:rsidR="6367791F" w:rsidRPr="0F2934F5">
        <w:rPr>
          <w:rFonts w:ascii="Arial" w:eastAsia="Arial" w:hAnsi="Arial" w:cs="Arial"/>
          <w:sz w:val="20"/>
          <w:szCs w:val="20"/>
        </w:rPr>
        <w:t xml:space="preserve"> </w:t>
      </w:r>
      <w:r w:rsidRPr="0F2934F5">
        <w:rPr>
          <w:rFonts w:ascii="Arial" w:eastAsia="Arial" w:hAnsi="Arial" w:cs="Arial"/>
          <w:sz w:val="20"/>
          <w:szCs w:val="20"/>
        </w:rPr>
        <w:t xml:space="preserve"> 14–28.</w:t>
      </w:r>
    </w:p>
    <w:p w14:paraId="509D6D1F" w14:textId="0FB8C316" w:rsidR="5CADACEE" w:rsidRDefault="5CADACEE" w:rsidP="370D7818">
      <w:pPr>
        <w:spacing w:before="240" w:after="240" w:line="480" w:lineRule="auto"/>
      </w:pPr>
      <w:r w:rsidRPr="0F2934F5">
        <w:rPr>
          <w:rFonts w:ascii="Arial" w:eastAsia="Arial" w:hAnsi="Arial" w:cs="Arial"/>
          <w:sz w:val="20"/>
          <w:szCs w:val="20"/>
        </w:rPr>
        <w:t xml:space="preserve">Amoako, G.K., Caesar, L.D., Dzogbenuku, R.K. and Bonsu, G.A. (2023) ‘Service recovery performance and repurchase intentions: The mediation effect of service quality’, </w:t>
      </w:r>
      <w:r w:rsidRPr="0F2934F5">
        <w:rPr>
          <w:rFonts w:ascii="Arial" w:eastAsia="Arial" w:hAnsi="Arial" w:cs="Arial"/>
          <w:i/>
          <w:iCs/>
          <w:sz w:val="20"/>
          <w:szCs w:val="20"/>
        </w:rPr>
        <w:t>Journal of Hospitality and Tourism Insights</w:t>
      </w:r>
      <w:r w:rsidRPr="0F2934F5">
        <w:rPr>
          <w:rFonts w:ascii="Arial" w:eastAsia="Arial" w:hAnsi="Arial" w:cs="Arial"/>
          <w:sz w:val="20"/>
          <w:szCs w:val="20"/>
        </w:rPr>
        <w:t xml:space="preserve">, 6(1), pp. </w:t>
      </w:r>
      <w:r w:rsidR="4AE40B4F" w:rsidRPr="0F2934F5">
        <w:rPr>
          <w:rFonts w:ascii="Arial" w:eastAsia="Arial" w:hAnsi="Arial" w:cs="Arial"/>
          <w:sz w:val="20"/>
          <w:szCs w:val="20"/>
        </w:rPr>
        <w:t xml:space="preserve"> </w:t>
      </w:r>
      <w:r w:rsidRPr="0F2934F5">
        <w:rPr>
          <w:rFonts w:ascii="Arial" w:eastAsia="Arial" w:hAnsi="Arial" w:cs="Arial"/>
          <w:sz w:val="20"/>
          <w:szCs w:val="20"/>
        </w:rPr>
        <w:t>110–130.</w:t>
      </w:r>
    </w:p>
    <w:p w14:paraId="553CD3E1" w14:textId="5329CA42" w:rsidR="5CADACEE" w:rsidRDefault="5CADACEE" w:rsidP="370D7818">
      <w:pPr>
        <w:spacing w:before="240" w:after="240" w:line="480" w:lineRule="auto"/>
      </w:pPr>
      <w:r w:rsidRPr="370D7818">
        <w:rPr>
          <w:rFonts w:ascii="Arial" w:eastAsia="Arial" w:hAnsi="Arial" w:cs="Arial"/>
          <w:sz w:val="20"/>
          <w:szCs w:val="20"/>
        </w:rPr>
        <w:t xml:space="preserve">Bell, E. and Bryman, A. (2022) </w:t>
      </w:r>
      <w:r w:rsidRPr="370D7818">
        <w:rPr>
          <w:rFonts w:ascii="Arial" w:eastAsia="Arial" w:hAnsi="Arial" w:cs="Arial"/>
          <w:i/>
          <w:iCs/>
          <w:sz w:val="20"/>
          <w:szCs w:val="20"/>
        </w:rPr>
        <w:t>Business Research Methods</w:t>
      </w:r>
      <w:r w:rsidRPr="370D7818">
        <w:rPr>
          <w:rFonts w:ascii="Arial" w:eastAsia="Arial" w:hAnsi="Arial" w:cs="Arial"/>
          <w:sz w:val="20"/>
          <w:szCs w:val="20"/>
        </w:rPr>
        <w:t>. 6th edn. Oxford: Oxford University Press.</w:t>
      </w:r>
    </w:p>
    <w:p w14:paraId="595002A0" w14:textId="59091D9A" w:rsidR="5CADACEE" w:rsidRDefault="5CADACEE" w:rsidP="370D7818">
      <w:pPr>
        <w:spacing w:before="240" w:after="240" w:line="480" w:lineRule="auto"/>
      </w:pPr>
      <w:r w:rsidRPr="0F2934F5">
        <w:rPr>
          <w:rFonts w:ascii="Arial" w:eastAsia="Arial" w:hAnsi="Arial" w:cs="Arial"/>
          <w:sz w:val="20"/>
          <w:szCs w:val="20"/>
        </w:rPr>
        <w:t xml:space="preserve">Braun, V. and Clarke, V. (2021) ‘Can I use TA? Should I use TA? Should I not use TA? Comparing reflexive thematic analysis and other pattern-based qualitative analytic approaches’, </w:t>
      </w:r>
      <w:r w:rsidRPr="0F2934F5">
        <w:rPr>
          <w:rFonts w:ascii="Arial" w:eastAsia="Arial" w:hAnsi="Arial" w:cs="Arial"/>
          <w:i/>
          <w:iCs/>
          <w:sz w:val="20"/>
          <w:szCs w:val="20"/>
        </w:rPr>
        <w:t>Counselling and Psychotherapy Research</w:t>
      </w:r>
      <w:r w:rsidRPr="0F2934F5">
        <w:rPr>
          <w:rFonts w:ascii="Arial" w:eastAsia="Arial" w:hAnsi="Arial" w:cs="Arial"/>
          <w:sz w:val="20"/>
          <w:szCs w:val="20"/>
        </w:rPr>
        <w:t>, 21(1), pp.</w:t>
      </w:r>
      <w:r w:rsidR="2F557CEC" w:rsidRPr="0F2934F5">
        <w:rPr>
          <w:rFonts w:ascii="Arial" w:eastAsia="Arial" w:hAnsi="Arial" w:cs="Arial"/>
          <w:sz w:val="20"/>
          <w:szCs w:val="20"/>
        </w:rPr>
        <w:t xml:space="preserve"> </w:t>
      </w:r>
      <w:r w:rsidRPr="0F2934F5">
        <w:rPr>
          <w:rFonts w:ascii="Arial" w:eastAsia="Arial" w:hAnsi="Arial" w:cs="Arial"/>
          <w:sz w:val="20"/>
          <w:szCs w:val="20"/>
        </w:rPr>
        <w:t xml:space="preserve"> 37–47.</w:t>
      </w:r>
    </w:p>
    <w:p w14:paraId="500D849E" w14:textId="17180099" w:rsidR="5CADACEE" w:rsidRDefault="5CADACEE" w:rsidP="370D7818">
      <w:pPr>
        <w:spacing w:before="240" w:after="240" w:line="480" w:lineRule="auto"/>
      </w:pPr>
      <w:r w:rsidRPr="370D7818">
        <w:rPr>
          <w:rFonts w:ascii="Arial" w:eastAsia="Arial" w:hAnsi="Arial" w:cs="Arial"/>
          <w:sz w:val="20"/>
          <w:szCs w:val="20"/>
        </w:rPr>
        <w:t xml:space="preserve">Braun, V. and Clarke, V. (2022) </w:t>
      </w:r>
      <w:r w:rsidRPr="370D7818">
        <w:rPr>
          <w:rFonts w:ascii="Arial" w:eastAsia="Arial" w:hAnsi="Arial" w:cs="Arial"/>
          <w:i/>
          <w:iCs/>
          <w:sz w:val="20"/>
          <w:szCs w:val="20"/>
        </w:rPr>
        <w:t>Thematic Analysis: A Practical Guide</w:t>
      </w:r>
      <w:r w:rsidRPr="370D7818">
        <w:rPr>
          <w:rFonts w:ascii="Arial" w:eastAsia="Arial" w:hAnsi="Arial" w:cs="Arial"/>
          <w:sz w:val="20"/>
          <w:szCs w:val="20"/>
        </w:rPr>
        <w:t>. London: Sage.</w:t>
      </w:r>
    </w:p>
    <w:p w14:paraId="7F70E4AF" w14:textId="14B6CC9A" w:rsidR="5CADACEE" w:rsidRDefault="5CADACEE" w:rsidP="370D7818">
      <w:pPr>
        <w:spacing w:before="240" w:after="240" w:line="480" w:lineRule="auto"/>
      </w:pPr>
      <w:r w:rsidRPr="370D7818">
        <w:rPr>
          <w:rFonts w:ascii="Arial" w:eastAsia="Arial" w:hAnsi="Arial" w:cs="Arial"/>
          <w:sz w:val="20"/>
          <w:szCs w:val="20"/>
        </w:rPr>
        <w:t xml:space="preserve">Chanpariyavatevong, K., Rungpaka, A. and Petchsawang, P. (2021) ‘Airline passenger loyalty: the combination of service quality and customer satisfaction’, </w:t>
      </w:r>
      <w:r w:rsidRPr="370D7818">
        <w:rPr>
          <w:rFonts w:ascii="Arial" w:eastAsia="Arial" w:hAnsi="Arial" w:cs="Arial"/>
          <w:i/>
          <w:iCs/>
          <w:sz w:val="20"/>
          <w:szCs w:val="20"/>
        </w:rPr>
        <w:t>Journal of Open Innovation: Technology, Market, and Complexity</w:t>
      </w:r>
      <w:r w:rsidRPr="370D7818">
        <w:rPr>
          <w:rFonts w:ascii="Arial" w:eastAsia="Arial" w:hAnsi="Arial" w:cs="Arial"/>
          <w:sz w:val="20"/>
          <w:szCs w:val="20"/>
        </w:rPr>
        <w:t>, 7(2).</w:t>
      </w:r>
    </w:p>
    <w:p w14:paraId="24B1C8C1" w14:textId="4227E80D" w:rsidR="5CADACEE" w:rsidRDefault="5CADACEE" w:rsidP="370D7818">
      <w:pPr>
        <w:spacing w:before="240" w:after="240" w:line="480" w:lineRule="auto"/>
      </w:pPr>
      <w:r w:rsidRPr="370D7818">
        <w:rPr>
          <w:rFonts w:ascii="Arial" w:eastAsia="Arial" w:hAnsi="Arial" w:cs="Arial"/>
          <w:sz w:val="20"/>
          <w:szCs w:val="20"/>
        </w:rPr>
        <w:t xml:space="preserve">Cheong, H., Lyons, A., Houghton, R. and Majumdar, A. (2023) ‘Secondary qualitative research methodology using online data within the context of social sciences’, </w:t>
      </w:r>
      <w:r w:rsidRPr="370D7818">
        <w:rPr>
          <w:rFonts w:ascii="Arial" w:eastAsia="Arial" w:hAnsi="Arial" w:cs="Arial"/>
          <w:i/>
          <w:iCs/>
          <w:sz w:val="20"/>
          <w:szCs w:val="20"/>
        </w:rPr>
        <w:t>International Journal of Qualitative Methods</w:t>
      </w:r>
      <w:r w:rsidRPr="370D7818">
        <w:rPr>
          <w:rFonts w:ascii="Arial" w:eastAsia="Arial" w:hAnsi="Arial" w:cs="Arial"/>
          <w:sz w:val="20"/>
          <w:szCs w:val="20"/>
        </w:rPr>
        <w:t xml:space="preserve">. Available at: </w:t>
      </w:r>
      <w:hyperlink r:id="rId18">
        <w:r w:rsidRPr="370D7818">
          <w:rPr>
            <w:rStyle w:val="Hyperlink"/>
            <w:rFonts w:ascii="Arial" w:eastAsia="Arial" w:hAnsi="Arial" w:cs="Arial"/>
            <w:sz w:val="20"/>
            <w:szCs w:val="20"/>
          </w:rPr>
          <w:t>https://journals.sagepub.com/doi/10.1177/16094069231180160</w:t>
        </w:r>
      </w:hyperlink>
      <w:r w:rsidRPr="370D7818">
        <w:rPr>
          <w:rFonts w:ascii="Arial" w:eastAsia="Arial" w:hAnsi="Arial" w:cs="Arial"/>
          <w:sz w:val="20"/>
          <w:szCs w:val="20"/>
        </w:rPr>
        <w:t xml:space="preserve"> (Accessed: 13 April 2026).</w:t>
      </w:r>
    </w:p>
    <w:p w14:paraId="460B3DF5" w14:textId="554C7A68" w:rsidR="5CADACEE" w:rsidRDefault="5CADACEE" w:rsidP="370D7818">
      <w:pPr>
        <w:spacing w:before="240" w:after="240" w:line="480" w:lineRule="auto"/>
      </w:pPr>
      <w:r w:rsidRPr="370D7818">
        <w:rPr>
          <w:rFonts w:ascii="Arial" w:eastAsia="Arial" w:hAnsi="Arial" w:cs="Arial"/>
          <w:sz w:val="20"/>
          <w:szCs w:val="20"/>
        </w:rPr>
        <w:t xml:space="preserve">Chikazhe, L., Makanyeza, C. and Chigunhah, B. (2021) ‘Understanding mediators of the link between customer satisfaction and loyalty’, </w:t>
      </w:r>
      <w:r w:rsidRPr="370D7818">
        <w:rPr>
          <w:rFonts w:ascii="Arial" w:eastAsia="Arial" w:hAnsi="Arial" w:cs="Arial"/>
          <w:i/>
          <w:iCs/>
          <w:sz w:val="20"/>
          <w:szCs w:val="20"/>
        </w:rPr>
        <w:t>Cogent Business &amp; Management</w:t>
      </w:r>
      <w:r w:rsidRPr="370D7818">
        <w:rPr>
          <w:rFonts w:ascii="Arial" w:eastAsia="Arial" w:hAnsi="Arial" w:cs="Arial"/>
          <w:sz w:val="20"/>
          <w:szCs w:val="20"/>
        </w:rPr>
        <w:t>, 8(1), 1922127.</w:t>
      </w:r>
    </w:p>
    <w:p w14:paraId="4D09A251" w14:textId="3A4E90FD" w:rsidR="5CADACEE" w:rsidRDefault="5CADACEE" w:rsidP="370D7818">
      <w:pPr>
        <w:spacing w:before="240" w:after="240" w:line="480" w:lineRule="auto"/>
      </w:pPr>
      <w:r w:rsidRPr="370D7818">
        <w:rPr>
          <w:rFonts w:ascii="Arial" w:eastAsia="Arial" w:hAnsi="Arial" w:cs="Arial"/>
          <w:sz w:val="20"/>
          <w:szCs w:val="20"/>
        </w:rPr>
        <w:lastRenderedPageBreak/>
        <w:t xml:space="preserve">EUROCONTROL (2024) </w:t>
      </w:r>
      <w:r w:rsidRPr="370D7818">
        <w:rPr>
          <w:rFonts w:ascii="Arial" w:eastAsia="Arial" w:hAnsi="Arial" w:cs="Arial"/>
          <w:i/>
          <w:iCs/>
          <w:sz w:val="20"/>
          <w:szCs w:val="20"/>
        </w:rPr>
        <w:t>European Aviation Overview 2024</w:t>
      </w:r>
      <w:r w:rsidRPr="370D7818">
        <w:rPr>
          <w:rFonts w:ascii="Arial" w:eastAsia="Arial" w:hAnsi="Arial" w:cs="Arial"/>
          <w:sz w:val="20"/>
          <w:szCs w:val="20"/>
        </w:rPr>
        <w:t xml:space="preserve">. Brussels: EUROCONTROL. Available at: </w:t>
      </w:r>
      <w:hyperlink r:id="rId19">
        <w:r w:rsidRPr="370D7818">
          <w:rPr>
            <w:rStyle w:val="Hyperlink"/>
            <w:rFonts w:ascii="Arial" w:eastAsia="Arial" w:hAnsi="Arial" w:cs="Arial"/>
            <w:sz w:val="20"/>
            <w:szCs w:val="20"/>
          </w:rPr>
          <w:t>https://www.eurocontrol.int/sites/default/files/2024-12/eurocontrol-european-aviation-overview-12122024.pdf</w:t>
        </w:r>
      </w:hyperlink>
      <w:r w:rsidRPr="370D7818">
        <w:rPr>
          <w:rFonts w:ascii="Arial" w:eastAsia="Arial" w:hAnsi="Arial" w:cs="Arial"/>
          <w:sz w:val="20"/>
          <w:szCs w:val="20"/>
        </w:rPr>
        <w:t xml:space="preserve"> (Accessed: 13 April 2026).</w:t>
      </w:r>
    </w:p>
    <w:p w14:paraId="7A8E1A38" w14:textId="340EDB9D" w:rsidR="5CADACEE" w:rsidRDefault="5CADACEE" w:rsidP="370D7818">
      <w:pPr>
        <w:spacing w:before="240" w:after="240" w:line="480" w:lineRule="auto"/>
      </w:pPr>
      <w:r w:rsidRPr="0F2934F5">
        <w:rPr>
          <w:rFonts w:ascii="Arial" w:eastAsia="Arial" w:hAnsi="Arial" w:cs="Arial"/>
          <w:sz w:val="20"/>
          <w:szCs w:val="20"/>
        </w:rPr>
        <w:t xml:space="preserve">Farah, N.A. and Hacioglu, U. (2024) ‘The role of quality in airport services in passenger satisfaction’, </w:t>
      </w:r>
      <w:r w:rsidRPr="0F2934F5">
        <w:rPr>
          <w:rFonts w:ascii="Arial" w:eastAsia="Arial" w:hAnsi="Arial" w:cs="Arial"/>
          <w:i/>
          <w:iCs/>
          <w:sz w:val="20"/>
          <w:szCs w:val="20"/>
        </w:rPr>
        <w:t>International Journal of Business Ecosystem and Strategy</w:t>
      </w:r>
      <w:r w:rsidRPr="0F2934F5">
        <w:rPr>
          <w:rFonts w:ascii="Arial" w:eastAsia="Arial" w:hAnsi="Arial" w:cs="Arial"/>
          <w:sz w:val="20"/>
          <w:szCs w:val="20"/>
        </w:rPr>
        <w:t>, 6(1), pp.</w:t>
      </w:r>
      <w:r w:rsidR="36D7B836" w:rsidRPr="0F2934F5">
        <w:rPr>
          <w:rFonts w:ascii="Arial" w:eastAsia="Arial" w:hAnsi="Arial" w:cs="Arial"/>
          <w:sz w:val="20"/>
          <w:szCs w:val="20"/>
        </w:rPr>
        <w:t xml:space="preserve"> </w:t>
      </w:r>
      <w:r w:rsidRPr="0F2934F5">
        <w:rPr>
          <w:rFonts w:ascii="Arial" w:eastAsia="Arial" w:hAnsi="Arial" w:cs="Arial"/>
          <w:sz w:val="20"/>
          <w:szCs w:val="20"/>
        </w:rPr>
        <w:t xml:space="preserve"> 14–27.</w:t>
      </w:r>
    </w:p>
    <w:p w14:paraId="13AB609F" w14:textId="4796FDF2" w:rsidR="5CADACEE" w:rsidRDefault="5CADACEE" w:rsidP="370D7818">
      <w:pPr>
        <w:spacing w:before="240" w:after="240" w:line="480" w:lineRule="auto"/>
      </w:pPr>
      <w:r w:rsidRPr="370D7818">
        <w:rPr>
          <w:rFonts w:ascii="Arial" w:eastAsia="Arial" w:hAnsi="Arial" w:cs="Arial"/>
          <w:sz w:val="20"/>
          <w:szCs w:val="20"/>
        </w:rPr>
        <w:t xml:space="preserve">Gibbs, G. (1988) </w:t>
      </w:r>
      <w:r w:rsidRPr="370D7818">
        <w:rPr>
          <w:rFonts w:ascii="Arial" w:eastAsia="Arial" w:hAnsi="Arial" w:cs="Arial"/>
          <w:i/>
          <w:iCs/>
          <w:sz w:val="20"/>
          <w:szCs w:val="20"/>
        </w:rPr>
        <w:t>Learning by Doing: A Guide to Teaching and Learning Methods</w:t>
      </w:r>
      <w:r w:rsidRPr="370D7818">
        <w:rPr>
          <w:rFonts w:ascii="Arial" w:eastAsia="Arial" w:hAnsi="Arial" w:cs="Arial"/>
          <w:sz w:val="20"/>
          <w:szCs w:val="20"/>
        </w:rPr>
        <w:t>. Oxford: Oxford Polytechnic.</w:t>
      </w:r>
    </w:p>
    <w:p w14:paraId="59130D9D" w14:textId="6642BEEB" w:rsidR="5CADACEE" w:rsidRDefault="5CADACEE" w:rsidP="370D7818">
      <w:pPr>
        <w:spacing w:before="240" w:after="240" w:line="480" w:lineRule="auto"/>
      </w:pPr>
      <w:r w:rsidRPr="370D7818">
        <w:rPr>
          <w:rFonts w:ascii="Arial" w:eastAsia="Arial" w:hAnsi="Arial" w:cs="Arial"/>
          <w:sz w:val="20"/>
          <w:szCs w:val="20"/>
        </w:rPr>
        <w:t xml:space="preserve">Han, H. and Hyun, S.S. (2021) ‘Customer retention in the airline industry: The role of price fairness and service quality’, </w:t>
      </w:r>
      <w:r w:rsidRPr="370D7818">
        <w:rPr>
          <w:rFonts w:ascii="Arial" w:eastAsia="Arial" w:hAnsi="Arial" w:cs="Arial"/>
          <w:i/>
          <w:iCs/>
          <w:sz w:val="20"/>
          <w:szCs w:val="20"/>
        </w:rPr>
        <w:t>Tourism Management</w:t>
      </w:r>
      <w:r w:rsidRPr="370D7818">
        <w:rPr>
          <w:rFonts w:ascii="Arial" w:eastAsia="Arial" w:hAnsi="Arial" w:cs="Arial"/>
          <w:sz w:val="20"/>
          <w:szCs w:val="20"/>
        </w:rPr>
        <w:t>, 83, 104214.</w:t>
      </w:r>
    </w:p>
    <w:p w14:paraId="11C8EFB7" w14:textId="39A6FEA6" w:rsidR="5CADACEE" w:rsidRDefault="5CADACEE" w:rsidP="370D7818">
      <w:pPr>
        <w:spacing w:before="240" w:after="240" w:line="480" w:lineRule="auto"/>
      </w:pPr>
      <w:r w:rsidRPr="370D7818">
        <w:rPr>
          <w:rFonts w:ascii="Arial" w:eastAsia="Arial" w:hAnsi="Arial" w:cs="Arial"/>
          <w:sz w:val="20"/>
          <w:szCs w:val="20"/>
        </w:rPr>
        <w:t xml:space="preserve">Hassan, T.H. and Salem, A.E. (2021) ‘Impact of service quality of low-cost carriers on airline image and consumers' satisfaction and loyalty during the COVID-19 outbreak’, </w:t>
      </w:r>
      <w:r w:rsidRPr="370D7818">
        <w:rPr>
          <w:rFonts w:ascii="Arial" w:eastAsia="Arial" w:hAnsi="Arial" w:cs="Arial"/>
          <w:i/>
          <w:iCs/>
          <w:sz w:val="20"/>
          <w:szCs w:val="20"/>
        </w:rPr>
        <w:t>International Journal of Environmental Research and Public Health</w:t>
      </w:r>
      <w:r w:rsidRPr="370D7818">
        <w:rPr>
          <w:rFonts w:ascii="Arial" w:eastAsia="Arial" w:hAnsi="Arial" w:cs="Arial"/>
          <w:sz w:val="20"/>
          <w:szCs w:val="20"/>
        </w:rPr>
        <w:t>, 19(1).</w:t>
      </w:r>
    </w:p>
    <w:p w14:paraId="5C17C79B" w14:textId="78E7B6BC" w:rsidR="5CADACEE" w:rsidRDefault="5CADACEE" w:rsidP="370D7818">
      <w:pPr>
        <w:spacing w:before="240" w:after="240" w:line="480" w:lineRule="auto"/>
      </w:pPr>
      <w:r w:rsidRPr="370D7818">
        <w:rPr>
          <w:rFonts w:ascii="Arial" w:eastAsia="Arial" w:hAnsi="Arial" w:cs="Arial"/>
          <w:sz w:val="20"/>
          <w:szCs w:val="20"/>
        </w:rPr>
        <w:t xml:space="preserve">Katsoni, V. and Dologlou, N. (2023) ‘Assessment of factors determining airline consumer loyalty: case study in Lithuania’, </w:t>
      </w:r>
      <w:r w:rsidRPr="370D7818">
        <w:rPr>
          <w:rFonts w:ascii="Arial" w:eastAsia="Arial" w:hAnsi="Arial" w:cs="Arial"/>
          <w:i/>
          <w:iCs/>
          <w:sz w:val="20"/>
          <w:szCs w:val="20"/>
        </w:rPr>
        <w:t>Sustainability</w:t>
      </w:r>
      <w:r w:rsidRPr="370D7818">
        <w:rPr>
          <w:rFonts w:ascii="Arial" w:eastAsia="Arial" w:hAnsi="Arial" w:cs="Arial"/>
          <w:sz w:val="20"/>
          <w:szCs w:val="20"/>
        </w:rPr>
        <w:t xml:space="preserve">, 15(2), 1320. Available at: </w:t>
      </w:r>
      <w:hyperlink r:id="rId20">
        <w:r w:rsidRPr="370D7818">
          <w:rPr>
            <w:rStyle w:val="Hyperlink"/>
            <w:rFonts w:ascii="Arial" w:eastAsia="Arial" w:hAnsi="Arial" w:cs="Arial"/>
            <w:sz w:val="20"/>
            <w:szCs w:val="20"/>
          </w:rPr>
          <w:t>https://doi.org/10.3390/su15021320</w:t>
        </w:r>
      </w:hyperlink>
      <w:r w:rsidRPr="370D7818">
        <w:rPr>
          <w:rFonts w:ascii="Arial" w:eastAsia="Arial" w:hAnsi="Arial" w:cs="Arial"/>
          <w:sz w:val="20"/>
          <w:szCs w:val="20"/>
        </w:rPr>
        <w:t xml:space="preserve"> (Accessed: 26 April 2026).</w:t>
      </w:r>
    </w:p>
    <w:p w14:paraId="17938A54" w14:textId="0CF6CDD0" w:rsidR="5CADACEE" w:rsidRDefault="5CADACEE" w:rsidP="370D7818">
      <w:pPr>
        <w:spacing w:before="240" w:after="240" w:line="480" w:lineRule="auto"/>
      </w:pPr>
      <w:r w:rsidRPr="370D7818">
        <w:rPr>
          <w:rFonts w:ascii="Arial" w:eastAsia="Arial" w:hAnsi="Arial" w:cs="Arial"/>
          <w:sz w:val="20"/>
          <w:szCs w:val="20"/>
        </w:rPr>
        <w:t xml:space="preserve">Kotler, P., Bowen, J.T. and Makens, J.C. (2016) </w:t>
      </w:r>
      <w:r w:rsidRPr="370D7818">
        <w:rPr>
          <w:rFonts w:ascii="Arial" w:eastAsia="Arial" w:hAnsi="Arial" w:cs="Arial"/>
          <w:i/>
          <w:iCs/>
          <w:sz w:val="20"/>
          <w:szCs w:val="20"/>
        </w:rPr>
        <w:t>Marketing for Hospitality and Tourism</w:t>
      </w:r>
      <w:r w:rsidRPr="370D7818">
        <w:rPr>
          <w:rFonts w:ascii="Arial" w:eastAsia="Arial" w:hAnsi="Arial" w:cs="Arial"/>
          <w:sz w:val="20"/>
          <w:szCs w:val="20"/>
        </w:rPr>
        <w:t>. 7th edn. Harlow: Pearson Education.</w:t>
      </w:r>
    </w:p>
    <w:p w14:paraId="7C1DA7C9" w14:textId="4F00563D" w:rsidR="5CADACEE" w:rsidRDefault="5CADACEE" w:rsidP="370D7818">
      <w:pPr>
        <w:spacing w:before="240" w:after="240" w:line="480" w:lineRule="auto"/>
      </w:pPr>
      <w:r w:rsidRPr="370D7818">
        <w:rPr>
          <w:rFonts w:ascii="Arial" w:eastAsia="Arial" w:hAnsi="Arial" w:cs="Arial"/>
          <w:sz w:val="20"/>
          <w:szCs w:val="20"/>
        </w:rPr>
        <w:t xml:space="preserve">Lai, W. (2023) </w:t>
      </w:r>
      <w:r w:rsidRPr="370D7818">
        <w:rPr>
          <w:rFonts w:ascii="Arial" w:eastAsia="Arial" w:hAnsi="Arial" w:cs="Arial"/>
          <w:i/>
          <w:iCs/>
          <w:sz w:val="20"/>
          <w:szCs w:val="20"/>
        </w:rPr>
        <w:t>The impacts of service quality, customer satisfaction, and perceived price fairness on customer loyalty</w:t>
      </w:r>
      <w:r w:rsidRPr="370D7818">
        <w:rPr>
          <w:rFonts w:ascii="Arial" w:eastAsia="Arial" w:hAnsi="Arial" w:cs="Arial"/>
          <w:sz w:val="20"/>
          <w:szCs w:val="20"/>
        </w:rPr>
        <w:t xml:space="preserve">. DBA thesis. University of Wales Trinity Saint David. Available at: </w:t>
      </w:r>
      <w:hyperlink r:id="rId21">
        <w:r w:rsidRPr="370D7818">
          <w:rPr>
            <w:rStyle w:val="Hyperlink"/>
            <w:rFonts w:ascii="Arial" w:eastAsia="Arial" w:hAnsi="Arial" w:cs="Arial"/>
            <w:sz w:val="20"/>
            <w:szCs w:val="20"/>
          </w:rPr>
          <w:t>https://repository.uwtsd.ac.uk/id/eprint/2585/</w:t>
        </w:r>
      </w:hyperlink>
      <w:r w:rsidRPr="370D7818">
        <w:rPr>
          <w:rFonts w:ascii="Arial" w:eastAsia="Arial" w:hAnsi="Arial" w:cs="Arial"/>
          <w:sz w:val="20"/>
          <w:szCs w:val="20"/>
        </w:rPr>
        <w:t xml:space="preserve"> (Accessed: 13 April 2026).</w:t>
      </w:r>
    </w:p>
    <w:p w14:paraId="24EFD3AC" w14:textId="00E80A9C" w:rsidR="5CADACEE" w:rsidRDefault="5CADACEE" w:rsidP="370D7818">
      <w:pPr>
        <w:spacing w:before="240" w:after="240" w:line="480" w:lineRule="auto"/>
      </w:pPr>
      <w:r w:rsidRPr="0F2934F5">
        <w:rPr>
          <w:rFonts w:ascii="Arial" w:eastAsia="Arial" w:hAnsi="Arial" w:cs="Arial"/>
          <w:sz w:val="20"/>
          <w:szCs w:val="20"/>
        </w:rPr>
        <w:t xml:space="preserve">Lemon, K.N. and Verhoef, P.C. (2021) ‘Understanding customer experience throughout the customer journey’, </w:t>
      </w:r>
      <w:r w:rsidRPr="0F2934F5">
        <w:rPr>
          <w:rFonts w:ascii="Arial" w:eastAsia="Arial" w:hAnsi="Arial" w:cs="Arial"/>
          <w:i/>
          <w:iCs/>
          <w:sz w:val="20"/>
          <w:szCs w:val="20"/>
        </w:rPr>
        <w:t>Journal of Marketing</w:t>
      </w:r>
      <w:r w:rsidRPr="0F2934F5">
        <w:rPr>
          <w:rFonts w:ascii="Arial" w:eastAsia="Arial" w:hAnsi="Arial" w:cs="Arial"/>
          <w:sz w:val="20"/>
          <w:szCs w:val="20"/>
        </w:rPr>
        <w:t xml:space="preserve">, 85(1), pp. </w:t>
      </w:r>
      <w:r w:rsidR="041CC832" w:rsidRPr="0F2934F5">
        <w:rPr>
          <w:rFonts w:ascii="Arial" w:eastAsia="Arial" w:hAnsi="Arial" w:cs="Arial"/>
          <w:sz w:val="20"/>
          <w:szCs w:val="20"/>
        </w:rPr>
        <w:t xml:space="preserve"> </w:t>
      </w:r>
      <w:r w:rsidRPr="0F2934F5">
        <w:rPr>
          <w:rFonts w:ascii="Arial" w:eastAsia="Arial" w:hAnsi="Arial" w:cs="Arial"/>
          <w:sz w:val="20"/>
          <w:szCs w:val="20"/>
        </w:rPr>
        <w:t>69–96.</w:t>
      </w:r>
    </w:p>
    <w:p w14:paraId="5A910462" w14:textId="75DD56D1" w:rsidR="5CADACEE" w:rsidRDefault="5CADACEE" w:rsidP="370D7818">
      <w:pPr>
        <w:spacing w:before="240" w:after="240" w:line="480" w:lineRule="auto"/>
      </w:pPr>
      <w:r w:rsidRPr="370D7818">
        <w:rPr>
          <w:rFonts w:ascii="Arial" w:eastAsia="Arial" w:hAnsi="Arial" w:cs="Arial"/>
          <w:sz w:val="20"/>
          <w:szCs w:val="20"/>
        </w:rPr>
        <w:lastRenderedPageBreak/>
        <w:t xml:space="preserve">Leon, S. and Dixon, S. (2023) ‘Airline satisfaction and loyalty: assessing the influence of personality, trust and service quality’, </w:t>
      </w:r>
      <w:r w:rsidRPr="370D7818">
        <w:rPr>
          <w:rFonts w:ascii="Arial" w:eastAsia="Arial" w:hAnsi="Arial" w:cs="Arial"/>
          <w:i/>
          <w:iCs/>
          <w:sz w:val="20"/>
          <w:szCs w:val="20"/>
        </w:rPr>
        <w:t>Journal of Air Transport Management</w:t>
      </w:r>
      <w:r w:rsidRPr="370D7818">
        <w:rPr>
          <w:rFonts w:ascii="Arial" w:eastAsia="Arial" w:hAnsi="Arial" w:cs="Arial"/>
          <w:sz w:val="20"/>
          <w:szCs w:val="20"/>
        </w:rPr>
        <w:t>, 113, 102487.</w:t>
      </w:r>
    </w:p>
    <w:p w14:paraId="50EAC091" w14:textId="468C3D2E" w:rsidR="5CADACEE" w:rsidRDefault="5CADACEE" w:rsidP="370D7818">
      <w:pPr>
        <w:spacing w:before="240" w:after="240" w:line="480" w:lineRule="auto"/>
      </w:pPr>
      <w:r w:rsidRPr="0F2934F5">
        <w:rPr>
          <w:rFonts w:ascii="Arial" w:eastAsia="Arial" w:hAnsi="Arial" w:cs="Arial"/>
          <w:sz w:val="20"/>
          <w:szCs w:val="20"/>
        </w:rPr>
        <w:t xml:space="preserve">Li, Y., Xing, A. and Terui, N. (2023) ‘Modeling customer satisfaction's impact on loyalty: Insights for customer-centric resource allocation’, </w:t>
      </w:r>
      <w:r w:rsidRPr="0F2934F5">
        <w:rPr>
          <w:rFonts w:ascii="Arial" w:eastAsia="Arial" w:hAnsi="Arial" w:cs="Arial"/>
          <w:i/>
          <w:iCs/>
          <w:sz w:val="20"/>
          <w:szCs w:val="20"/>
        </w:rPr>
        <w:t>Service Science</w:t>
      </w:r>
      <w:r w:rsidRPr="0F2934F5">
        <w:rPr>
          <w:rFonts w:ascii="Arial" w:eastAsia="Arial" w:hAnsi="Arial" w:cs="Arial"/>
          <w:sz w:val="20"/>
          <w:szCs w:val="20"/>
        </w:rPr>
        <w:t>, 15(2), pp.</w:t>
      </w:r>
      <w:r w:rsidR="468B5017" w:rsidRPr="0F2934F5">
        <w:rPr>
          <w:rFonts w:ascii="Arial" w:eastAsia="Arial" w:hAnsi="Arial" w:cs="Arial"/>
          <w:sz w:val="20"/>
          <w:szCs w:val="20"/>
        </w:rPr>
        <w:t xml:space="preserve"> </w:t>
      </w:r>
      <w:r w:rsidRPr="0F2934F5">
        <w:rPr>
          <w:rFonts w:ascii="Arial" w:eastAsia="Arial" w:hAnsi="Arial" w:cs="Arial"/>
          <w:sz w:val="20"/>
          <w:szCs w:val="20"/>
        </w:rPr>
        <w:t xml:space="preserve"> 107–128.</w:t>
      </w:r>
    </w:p>
    <w:p w14:paraId="49898DA8" w14:textId="70AF4499" w:rsidR="5CADACEE" w:rsidRDefault="5CADACEE" w:rsidP="370D7818">
      <w:pPr>
        <w:spacing w:before="240" w:after="240" w:line="480" w:lineRule="auto"/>
      </w:pPr>
      <w:r w:rsidRPr="370D7818">
        <w:rPr>
          <w:rFonts w:ascii="Arial" w:eastAsia="Arial" w:hAnsi="Arial" w:cs="Arial"/>
          <w:sz w:val="20"/>
          <w:szCs w:val="20"/>
        </w:rPr>
        <w:t xml:space="preserve">Lim, W.M. et al. (2025) ‘From service failure to brand loyalty: evidence of service recovery paradox’, </w:t>
      </w:r>
      <w:r w:rsidRPr="370D7818">
        <w:rPr>
          <w:rFonts w:ascii="Arial" w:eastAsia="Arial" w:hAnsi="Arial" w:cs="Arial"/>
          <w:i/>
          <w:iCs/>
          <w:sz w:val="20"/>
          <w:szCs w:val="20"/>
        </w:rPr>
        <w:t>Journal of Brand Management</w:t>
      </w:r>
      <w:r w:rsidRPr="370D7818">
        <w:rPr>
          <w:rFonts w:ascii="Arial" w:eastAsia="Arial" w:hAnsi="Arial" w:cs="Arial"/>
          <w:sz w:val="20"/>
          <w:szCs w:val="20"/>
        </w:rPr>
        <w:t>.</w:t>
      </w:r>
    </w:p>
    <w:p w14:paraId="10A9937C" w14:textId="3E7A39F3" w:rsidR="5CADACEE" w:rsidRDefault="5CADACEE" w:rsidP="370D7818">
      <w:pPr>
        <w:spacing w:before="240" w:after="240" w:line="480" w:lineRule="auto"/>
      </w:pPr>
      <w:r w:rsidRPr="370D7818">
        <w:rPr>
          <w:rFonts w:ascii="Arial" w:eastAsia="Arial" w:hAnsi="Arial" w:cs="Arial"/>
          <w:sz w:val="20"/>
          <w:szCs w:val="20"/>
        </w:rPr>
        <w:t xml:space="preserve">Marin, A. et al. (2024) ‘Assessing passenger loyalty programs in the airline industry: a comparative analysis of value delivery and customer perceptions at Polish regional airports’, </w:t>
      </w:r>
      <w:r w:rsidRPr="370D7818">
        <w:rPr>
          <w:rFonts w:ascii="Arial" w:eastAsia="Arial" w:hAnsi="Arial" w:cs="Arial"/>
          <w:i/>
          <w:iCs/>
          <w:sz w:val="20"/>
          <w:szCs w:val="20"/>
        </w:rPr>
        <w:t>European Research Studies Journal</w:t>
      </w:r>
      <w:r w:rsidRPr="370D7818">
        <w:rPr>
          <w:rFonts w:ascii="Arial" w:eastAsia="Arial" w:hAnsi="Arial" w:cs="Arial"/>
          <w:sz w:val="20"/>
          <w:szCs w:val="20"/>
        </w:rPr>
        <w:t>, 27(S2).</w:t>
      </w:r>
    </w:p>
    <w:p w14:paraId="72B59A74" w14:textId="6CD69090" w:rsidR="5CADACEE" w:rsidRDefault="5CADACEE" w:rsidP="370D7818">
      <w:pPr>
        <w:spacing w:before="240" w:after="240" w:line="480" w:lineRule="auto"/>
      </w:pPr>
      <w:r w:rsidRPr="370D7818">
        <w:rPr>
          <w:rFonts w:ascii="Arial" w:eastAsia="Arial" w:hAnsi="Arial" w:cs="Arial"/>
          <w:sz w:val="20"/>
          <w:szCs w:val="20"/>
        </w:rPr>
        <w:t xml:space="preserve">McLeod, S. (2025) </w:t>
      </w:r>
      <w:r w:rsidRPr="370D7818">
        <w:rPr>
          <w:rFonts w:ascii="Arial" w:eastAsia="Arial" w:hAnsi="Arial" w:cs="Arial"/>
          <w:i/>
          <w:iCs/>
          <w:sz w:val="20"/>
          <w:szCs w:val="20"/>
        </w:rPr>
        <w:t>Gibbs’ Reflective Cycle</w:t>
      </w:r>
      <w:r w:rsidRPr="370D7818">
        <w:rPr>
          <w:rFonts w:ascii="Arial" w:eastAsia="Arial" w:hAnsi="Arial" w:cs="Arial"/>
          <w:sz w:val="20"/>
          <w:szCs w:val="20"/>
        </w:rPr>
        <w:t xml:space="preserve">. Available at: </w:t>
      </w:r>
      <w:hyperlink r:id="rId22">
        <w:r w:rsidRPr="370D7818">
          <w:rPr>
            <w:rStyle w:val="Hyperlink"/>
            <w:rFonts w:ascii="Arial" w:eastAsia="Arial" w:hAnsi="Arial" w:cs="Arial"/>
            <w:sz w:val="20"/>
            <w:szCs w:val="20"/>
          </w:rPr>
          <w:t>https://www.simplypsychology.org/gibbs-reflective-cycle.html</w:t>
        </w:r>
      </w:hyperlink>
      <w:r w:rsidRPr="370D7818">
        <w:rPr>
          <w:rFonts w:ascii="Arial" w:eastAsia="Arial" w:hAnsi="Arial" w:cs="Arial"/>
          <w:sz w:val="20"/>
          <w:szCs w:val="20"/>
        </w:rPr>
        <w:t xml:space="preserve"> (Accessed: 20 April 2026).</w:t>
      </w:r>
    </w:p>
    <w:p w14:paraId="06D694B5" w14:textId="13B1CBDD" w:rsidR="5CADACEE" w:rsidRDefault="5CADACEE" w:rsidP="370D7818">
      <w:pPr>
        <w:spacing w:before="240" w:after="240" w:line="480" w:lineRule="auto"/>
      </w:pPr>
      <w:r w:rsidRPr="370D7818">
        <w:rPr>
          <w:rFonts w:ascii="Arial" w:eastAsia="Arial" w:hAnsi="Arial" w:cs="Arial"/>
          <w:sz w:val="20"/>
          <w:szCs w:val="20"/>
        </w:rPr>
        <w:t xml:space="preserve">Nguyen, T.H. et al. (2024) ‘Service quality, customer satisfaction and loyalty: a case study in Vietnamese SMEs’, </w:t>
      </w:r>
      <w:r w:rsidRPr="370D7818">
        <w:rPr>
          <w:rFonts w:ascii="Arial" w:eastAsia="Arial" w:hAnsi="Arial" w:cs="Arial"/>
          <w:i/>
          <w:iCs/>
          <w:sz w:val="20"/>
          <w:szCs w:val="20"/>
        </w:rPr>
        <w:t>Cogent Business &amp; Management</w:t>
      </w:r>
      <w:r w:rsidRPr="370D7818">
        <w:rPr>
          <w:rFonts w:ascii="Arial" w:eastAsia="Arial" w:hAnsi="Arial" w:cs="Arial"/>
          <w:sz w:val="20"/>
          <w:szCs w:val="20"/>
        </w:rPr>
        <w:t>, 11(1).</w:t>
      </w:r>
    </w:p>
    <w:p w14:paraId="5FE1F34E" w14:textId="2AFEAA96" w:rsidR="5CADACEE" w:rsidRDefault="5CADACEE" w:rsidP="370D7818">
      <w:pPr>
        <w:spacing w:before="240" w:after="240" w:line="480" w:lineRule="auto"/>
      </w:pPr>
      <w:r w:rsidRPr="370D7818">
        <w:rPr>
          <w:rFonts w:ascii="Arial" w:eastAsia="Arial" w:hAnsi="Arial" w:cs="Arial"/>
          <w:sz w:val="20"/>
          <w:szCs w:val="20"/>
        </w:rPr>
        <w:t xml:space="preserve">Oliver, R.L. (2020) </w:t>
      </w:r>
      <w:r w:rsidRPr="370D7818">
        <w:rPr>
          <w:rFonts w:ascii="Arial" w:eastAsia="Arial" w:hAnsi="Arial" w:cs="Arial"/>
          <w:i/>
          <w:iCs/>
          <w:sz w:val="20"/>
          <w:szCs w:val="20"/>
        </w:rPr>
        <w:t>Satisfaction: A Behavioral Perspective on the Consumer</w:t>
      </w:r>
      <w:r w:rsidRPr="370D7818">
        <w:rPr>
          <w:rFonts w:ascii="Arial" w:eastAsia="Arial" w:hAnsi="Arial" w:cs="Arial"/>
          <w:sz w:val="20"/>
          <w:szCs w:val="20"/>
        </w:rPr>
        <w:t>. 3rd edn. New York: Routledge.</w:t>
      </w:r>
    </w:p>
    <w:p w14:paraId="1CA9EF23" w14:textId="16C89DF5" w:rsidR="5CADACEE" w:rsidRDefault="5CADACEE" w:rsidP="370D7818">
      <w:pPr>
        <w:spacing w:before="240" w:after="240" w:line="480" w:lineRule="auto"/>
      </w:pPr>
      <w:r w:rsidRPr="0F2934F5">
        <w:rPr>
          <w:rFonts w:ascii="Arial" w:eastAsia="Arial" w:hAnsi="Arial" w:cs="Arial"/>
          <w:sz w:val="20"/>
          <w:szCs w:val="20"/>
        </w:rPr>
        <w:t xml:space="preserve">Rather, R.A. (2022) ‘Customer experience and loyalty: The role of trust and satisfaction’, </w:t>
      </w:r>
      <w:r w:rsidRPr="0F2934F5">
        <w:rPr>
          <w:rFonts w:ascii="Arial" w:eastAsia="Arial" w:hAnsi="Arial" w:cs="Arial"/>
          <w:i/>
          <w:iCs/>
          <w:sz w:val="20"/>
          <w:szCs w:val="20"/>
        </w:rPr>
        <w:t>Journal of Hospitality and Tourism Management</w:t>
      </w:r>
      <w:r w:rsidRPr="0F2934F5">
        <w:rPr>
          <w:rFonts w:ascii="Arial" w:eastAsia="Arial" w:hAnsi="Arial" w:cs="Arial"/>
          <w:sz w:val="20"/>
          <w:szCs w:val="20"/>
        </w:rPr>
        <w:t>, 50, pp.</w:t>
      </w:r>
      <w:r w:rsidR="6B192B56" w:rsidRPr="0F2934F5">
        <w:rPr>
          <w:rFonts w:ascii="Arial" w:eastAsia="Arial" w:hAnsi="Arial" w:cs="Arial"/>
          <w:sz w:val="20"/>
          <w:szCs w:val="20"/>
        </w:rPr>
        <w:t xml:space="preserve"> </w:t>
      </w:r>
      <w:r w:rsidRPr="0F2934F5">
        <w:rPr>
          <w:rFonts w:ascii="Arial" w:eastAsia="Arial" w:hAnsi="Arial" w:cs="Arial"/>
          <w:sz w:val="20"/>
          <w:szCs w:val="20"/>
        </w:rPr>
        <w:t xml:space="preserve"> 1–10.</w:t>
      </w:r>
    </w:p>
    <w:p w14:paraId="2D0B1065" w14:textId="10C4450D" w:rsidR="5CADACEE" w:rsidRDefault="5CADACEE" w:rsidP="370D7818">
      <w:pPr>
        <w:spacing w:before="240" w:after="240" w:line="480" w:lineRule="auto"/>
      </w:pPr>
      <w:r w:rsidRPr="0F2934F5">
        <w:rPr>
          <w:rFonts w:ascii="Arial" w:eastAsia="Arial" w:hAnsi="Arial" w:cs="Arial"/>
          <w:sz w:val="20"/>
          <w:szCs w:val="20"/>
        </w:rPr>
        <w:t xml:space="preserve">Sauer, P.C. and Seuring, S. (2023) ‘How to conduct systematic literature reviews in management research: a guide in 6 steps and 14 decisions’, </w:t>
      </w:r>
      <w:r w:rsidRPr="0F2934F5">
        <w:rPr>
          <w:rFonts w:ascii="Arial" w:eastAsia="Arial" w:hAnsi="Arial" w:cs="Arial"/>
          <w:i/>
          <w:iCs/>
          <w:sz w:val="20"/>
          <w:szCs w:val="20"/>
        </w:rPr>
        <w:t>Review of Managerial Science</w:t>
      </w:r>
      <w:r w:rsidRPr="0F2934F5">
        <w:rPr>
          <w:rFonts w:ascii="Arial" w:eastAsia="Arial" w:hAnsi="Arial" w:cs="Arial"/>
          <w:sz w:val="20"/>
          <w:szCs w:val="20"/>
        </w:rPr>
        <w:t xml:space="preserve">, 17(5), pp. </w:t>
      </w:r>
      <w:r w:rsidR="0D74CF49" w:rsidRPr="0F2934F5">
        <w:rPr>
          <w:rFonts w:ascii="Arial" w:eastAsia="Arial" w:hAnsi="Arial" w:cs="Arial"/>
          <w:sz w:val="20"/>
          <w:szCs w:val="20"/>
        </w:rPr>
        <w:t xml:space="preserve"> </w:t>
      </w:r>
      <w:r w:rsidRPr="0F2934F5">
        <w:rPr>
          <w:rFonts w:ascii="Arial" w:eastAsia="Arial" w:hAnsi="Arial" w:cs="Arial"/>
          <w:sz w:val="20"/>
          <w:szCs w:val="20"/>
        </w:rPr>
        <w:t>1899–1933.</w:t>
      </w:r>
    </w:p>
    <w:p w14:paraId="29C910E3" w14:textId="1F5E347B" w:rsidR="5CADACEE" w:rsidRDefault="5CADACEE" w:rsidP="370D7818">
      <w:pPr>
        <w:spacing w:before="240" w:after="240" w:line="480" w:lineRule="auto"/>
      </w:pPr>
      <w:r w:rsidRPr="370D7818">
        <w:rPr>
          <w:rFonts w:ascii="Arial" w:eastAsia="Arial" w:hAnsi="Arial" w:cs="Arial"/>
          <w:sz w:val="20"/>
          <w:szCs w:val="20"/>
        </w:rPr>
        <w:t xml:space="preserve">Saunders, M.N.K., Lewis, P. and Thornhill, A. (2023) </w:t>
      </w:r>
      <w:r w:rsidRPr="370D7818">
        <w:rPr>
          <w:rFonts w:ascii="Arial" w:eastAsia="Arial" w:hAnsi="Arial" w:cs="Arial"/>
          <w:i/>
          <w:iCs/>
          <w:sz w:val="20"/>
          <w:szCs w:val="20"/>
        </w:rPr>
        <w:t>Research Methods for Business Students</w:t>
      </w:r>
      <w:r w:rsidRPr="370D7818">
        <w:rPr>
          <w:rFonts w:ascii="Arial" w:eastAsia="Arial" w:hAnsi="Arial" w:cs="Arial"/>
          <w:sz w:val="20"/>
          <w:szCs w:val="20"/>
        </w:rPr>
        <w:t>. 9th edn. Harlow: Pearson Education.</w:t>
      </w:r>
    </w:p>
    <w:p w14:paraId="55A1E1B1" w14:textId="055B7FAA" w:rsidR="5CADACEE" w:rsidRDefault="5CADACEE" w:rsidP="370D7818">
      <w:pPr>
        <w:spacing w:before="240" w:after="240" w:line="480" w:lineRule="auto"/>
      </w:pPr>
      <w:r w:rsidRPr="0F2934F5">
        <w:rPr>
          <w:rFonts w:ascii="Arial" w:eastAsia="Arial" w:hAnsi="Arial" w:cs="Arial"/>
          <w:sz w:val="20"/>
          <w:szCs w:val="20"/>
        </w:rPr>
        <w:lastRenderedPageBreak/>
        <w:t xml:space="preserve">Siqueira, J.R., Bendixen, M., Reinoso-Carvalho, F. and Campo, R. (2023) ‘Key drivers of brand trust in a Latin American airline: the impact of Colombia's Avianca customer experience’, </w:t>
      </w:r>
      <w:r w:rsidRPr="0F2934F5">
        <w:rPr>
          <w:rFonts w:ascii="Arial" w:eastAsia="Arial" w:hAnsi="Arial" w:cs="Arial"/>
          <w:i/>
          <w:iCs/>
          <w:sz w:val="20"/>
          <w:szCs w:val="20"/>
        </w:rPr>
        <w:t>Journal of Marketing Analytics</w:t>
      </w:r>
      <w:r w:rsidRPr="0F2934F5">
        <w:rPr>
          <w:rFonts w:ascii="Arial" w:eastAsia="Arial" w:hAnsi="Arial" w:cs="Arial"/>
          <w:sz w:val="20"/>
          <w:szCs w:val="20"/>
        </w:rPr>
        <w:t>, 11(2), pp.</w:t>
      </w:r>
      <w:r w:rsidR="3000FCF9" w:rsidRPr="0F2934F5">
        <w:rPr>
          <w:rFonts w:ascii="Arial" w:eastAsia="Arial" w:hAnsi="Arial" w:cs="Arial"/>
          <w:sz w:val="20"/>
          <w:szCs w:val="20"/>
        </w:rPr>
        <w:t xml:space="preserve"> </w:t>
      </w:r>
      <w:r w:rsidRPr="0F2934F5">
        <w:rPr>
          <w:rFonts w:ascii="Arial" w:eastAsia="Arial" w:hAnsi="Arial" w:cs="Arial"/>
          <w:sz w:val="20"/>
          <w:szCs w:val="20"/>
        </w:rPr>
        <w:t xml:space="preserve"> 186–201.</w:t>
      </w:r>
    </w:p>
    <w:p w14:paraId="04D7F627" w14:textId="3E656E1C" w:rsidR="5CADACEE" w:rsidRDefault="5CADACEE" w:rsidP="370D7818">
      <w:pPr>
        <w:spacing w:before="240" w:after="240" w:line="480" w:lineRule="auto"/>
      </w:pPr>
      <w:r w:rsidRPr="370D7818">
        <w:rPr>
          <w:rFonts w:ascii="Arial" w:eastAsia="Arial" w:hAnsi="Arial" w:cs="Arial"/>
          <w:sz w:val="20"/>
          <w:szCs w:val="20"/>
        </w:rPr>
        <w:t xml:space="preserve">Skytrax (2023) </w:t>
      </w:r>
      <w:r w:rsidRPr="370D7818">
        <w:rPr>
          <w:rFonts w:ascii="Arial" w:eastAsia="Arial" w:hAnsi="Arial" w:cs="Arial"/>
          <w:i/>
          <w:iCs/>
          <w:sz w:val="20"/>
          <w:szCs w:val="20"/>
        </w:rPr>
        <w:t>Airline ratings and passenger reviews: Turkish Airlines</w:t>
      </w:r>
      <w:r w:rsidRPr="370D7818">
        <w:rPr>
          <w:rFonts w:ascii="Arial" w:eastAsia="Arial" w:hAnsi="Arial" w:cs="Arial"/>
          <w:sz w:val="20"/>
          <w:szCs w:val="20"/>
        </w:rPr>
        <w:t xml:space="preserve">. Available at: </w:t>
      </w:r>
      <w:hyperlink r:id="rId23">
        <w:r w:rsidRPr="370D7818">
          <w:rPr>
            <w:rStyle w:val="Hyperlink"/>
            <w:rFonts w:ascii="Arial" w:eastAsia="Arial" w:hAnsi="Arial" w:cs="Arial"/>
            <w:sz w:val="20"/>
            <w:szCs w:val="20"/>
          </w:rPr>
          <w:t>https://www.airlinequality.com/airline-reviews/turkish-airlines/</w:t>
        </w:r>
      </w:hyperlink>
      <w:r w:rsidRPr="370D7818">
        <w:rPr>
          <w:rFonts w:ascii="Arial" w:eastAsia="Arial" w:hAnsi="Arial" w:cs="Arial"/>
          <w:sz w:val="20"/>
          <w:szCs w:val="20"/>
        </w:rPr>
        <w:t xml:space="preserve"> (Accessed: 13 April 2026).</w:t>
      </w:r>
    </w:p>
    <w:p w14:paraId="6A637AC8" w14:textId="602466D5" w:rsidR="5CADACEE" w:rsidRDefault="5CADACEE" w:rsidP="370D7818">
      <w:pPr>
        <w:spacing w:before="240" w:after="240" w:line="480" w:lineRule="auto"/>
      </w:pPr>
      <w:r w:rsidRPr="370D7818">
        <w:rPr>
          <w:rFonts w:ascii="Arial" w:eastAsia="Arial" w:hAnsi="Arial" w:cs="Arial"/>
          <w:sz w:val="20"/>
          <w:szCs w:val="20"/>
        </w:rPr>
        <w:t xml:space="preserve">So, K.K.F., Yang, Y. and Li, X. (2025) ‘Fifteen years of research on customer loyalty formation: a meta-analytic structural equation model’, </w:t>
      </w:r>
      <w:r w:rsidRPr="370D7818">
        <w:rPr>
          <w:rFonts w:ascii="Arial" w:eastAsia="Arial" w:hAnsi="Arial" w:cs="Arial"/>
          <w:i/>
          <w:iCs/>
          <w:sz w:val="20"/>
          <w:szCs w:val="20"/>
        </w:rPr>
        <w:t>Journal of Travel Research</w:t>
      </w:r>
      <w:r w:rsidRPr="370D7818">
        <w:rPr>
          <w:rFonts w:ascii="Arial" w:eastAsia="Arial" w:hAnsi="Arial" w:cs="Arial"/>
          <w:sz w:val="20"/>
          <w:szCs w:val="20"/>
        </w:rPr>
        <w:t>.</w:t>
      </w:r>
    </w:p>
    <w:p w14:paraId="12EF8B72" w14:textId="383504A7" w:rsidR="5CADACEE" w:rsidRDefault="5CADACEE" w:rsidP="370D7818">
      <w:pPr>
        <w:spacing w:before="240" w:after="240" w:line="480" w:lineRule="auto"/>
      </w:pPr>
      <w:r w:rsidRPr="370D7818">
        <w:rPr>
          <w:rFonts w:ascii="Arial" w:eastAsia="Arial" w:hAnsi="Arial" w:cs="Arial"/>
          <w:sz w:val="20"/>
          <w:szCs w:val="20"/>
        </w:rPr>
        <w:t xml:space="preserve">Statista (2023) </w:t>
      </w:r>
      <w:r w:rsidRPr="370D7818">
        <w:rPr>
          <w:rFonts w:ascii="Arial" w:eastAsia="Arial" w:hAnsi="Arial" w:cs="Arial"/>
          <w:i/>
          <w:iCs/>
          <w:sz w:val="20"/>
          <w:szCs w:val="20"/>
        </w:rPr>
        <w:t>Airline customer satisfaction and loyalty trends worldwide</w:t>
      </w:r>
      <w:r w:rsidRPr="370D7818">
        <w:rPr>
          <w:rFonts w:ascii="Arial" w:eastAsia="Arial" w:hAnsi="Arial" w:cs="Arial"/>
          <w:sz w:val="20"/>
          <w:szCs w:val="20"/>
        </w:rPr>
        <w:t xml:space="preserve">. Available at: </w:t>
      </w:r>
      <w:hyperlink r:id="rId24" w:anchor="topicOverview">
        <w:r w:rsidRPr="370D7818">
          <w:rPr>
            <w:rStyle w:val="Hyperlink"/>
            <w:rFonts w:ascii="Arial" w:eastAsia="Arial" w:hAnsi="Arial" w:cs="Arial"/>
            <w:sz w:val="20"/>
            <w:szCs w:val="20"/>
          </w:rPr>
          <w:t>https://www.statista.com/topics/1707/air-transportation/#topicOverview</w:t>
        </w:r>
      </w:hyperlink>
      <w:r w:rsidRPr="370D7818">
        <w:rPr>
          <w:rFonts w:ascii="Arial" w:eastAsia="Arial" w:hAnsi="Arial" w:cs="Arial"/>
          <w:sz w:val="20"/>
          <w:szCs w:val="20"/>
        </w:rPr>
        <w:t xml:space="preserve"> (Accessed: 13 April 2026).</w:t>
      </w:r>
    </w:p>
    <w:p w14:paraId="3368C958" w14:textId="064D44D7" w:rsidR="5CADACEE" w:rsidRDefault="5CADACEE" w:rsidP="370D7818">
      <w:pPr>
        <w:spacing w:before="240" w:after="240" w:line="480" w:lineRule="auto"/>
      </w:pPr>
      <w:r w:rsidRPr="370D7818">
        <w:rPr>
          <w:rFonts w:ascii="Arial" w:eastAsia="Arial" w:hAnsi="Arial" w:cs="Arial"/>
          <w:sz w:val="20"/>
          <w:szCs w:val="20"/>
        </w:rPr>
        <w:t xml:space="preserve">Taherdoost, H. (2022) ‘What are different research approaches? Comprehensive review of qualitative, quantitative, and mixed method research, their applications, types, and limitations’, </w:t>
      </w:r>
      <w:r w:rsidRPr="370D7818">
        <w:rPr>
          <w:rFonts w:ascii="Arial" w:eastAsia="Arial" w:hAnsi="Arial" w:cs="Arial"/>
          <w:i/>
          <w:iCs/>
          <w:sz w:val="20"/>
          <w:szCs w:val="20"/>
        </w:rPr>
        <w:t>Journal of Management Science and Engineering Research</w:t>
      </w:r>
      <w:r w:rsidRPr="370D7818">
        <w:rPr>
          <w:rFonts w:ascii="Arial" w:eastAsia="Arial" w:hAnsi="Arial" w:cs="Arial"/>
          <w:sz w:val="20"/>
          <w:szCs w:val="20"/>
        </w:rPr>
        <w:t xml:space="preserve">, 5(1), pp. 53–63. Available at: </w:t>
      </w:r>
      <w:hyperlink r:id="rId25">
        <w:r w:rsidRPr="370D7818">
          <w:rPr>
            <w:rStyle w:val="Hyperlink"/>
            <w:rFonts w:ascii="Arial" w:eastAsia="Arial" w:hAnsi="Arial" w:cs="Arial"/>
            <w:sz w:val="20"/>
            <w:szCs w:val="20"/>
          </w:rPr>
          <w:t>https://doi.org/10.30564/jmser.v5i1.4538</w:t>
        </w:r>
      </w:hyperlink>
      <w:r w:rsidRPr="370D7818">
        <w:rPr>
          <w:rFonts w:ascii="Arial" w:eastAsia="Arial" w:hAnsi="Arial" w:cs="Arial"/>
          <w:sz w:val="20"/>
          <w:szCs w:val="20"/>
        </w:rPr>
        <w:t xml:space="preserve"> (Accessed: 26 April 2026).</w:t>
      </w:r>
    </w:p>
    <w:p w14:paraId="5B564494" w14:textId="269B0560" w:rsidR="5CADACEE" w:rsidRDefault="5CADACEE" w:rsidP="370D7818">
      <w:pPr>
        <w:spacing w:before="240" w:after="240" w:line="480" w:lineRule="auto"/>
      </w:pPr>
      <w:r w:rsidRPr="370D7818">
        <w:rPr>
          <w:rFonts w:ascii="Arial" w:eastAsia="Arial" w:hAnsi="Arial" w:cs="Arial"/>
          <w:sz w:val="20"/>
          <w:szCs w:val="20"/>
        </w:rPr>
        <w:t xml:space="preserve">Tay, A. (2023) ‘The impact of airline responses to service failure towards customer satisfaction and loyalty in the airline industry’, </w:t>
      </w:r>
      <w:r w:rsidRPr="370D7818">
        <w:rPr>
          <w:rFonts w:ascii="Arial" w:eastAsia="Arial" w:hAnsi="Arial" w:cs="Arial"/>
          <w:i/>
          <w:iCs/>
          <w:sz w:val="20"/>
          <w:szCs w:val="20"/>
        </w:rPr>
        <w:t>International Journal of Current Science Research and Review</w:t>
      </w:r>
      <w:r w:rsidRPr="370D7818">
        <w:rPr>
          <w:rFonts w:ascii="Arial" w:eastAsia="Arial" w:hAnsi="Arial" w:cs="Arial"/>
          <w:sz w:val="20"/>
          <w:szCs w:val="20"/>
        </w:rPr>
        <w:t>, 6(7), pp. 4753–4762.</w:t>
      </w:r>
    </w:p>
    <w:p w14:paraId="7281E945" w14:textId="5D2997CA" w:rsidR="5CADACEE" w:rsidRDefault="5CADACEE" w:rsidP="370D7818">
      <w:pPr>
        <w:spacing w:before="240" w:after="240" w:line="480" w:lineRule="auto"/>
      </w:pPr>
      <w:r w:rsidRPr="370D7818">
        <w:rPr>
          <w:rFonts w:ascii="Arial" w:eastAsia="Arial" w:hAnsi="Arial" w:cs="Arial"/>
          <w:sz w:val="20"/>
          <w:szCs w:val="20"/>
        </w:rPr>
        <w:t xml:space="preserve">Wirtz, J. and Lovelock, C. (2021) </w:t>
      </w:r>
      <w:r w:rsidRPr="370D7818">
        <w:rPr>
          <w:rFonts w:ascii="Arial" w:eastAsia="Arial" w:hAnsi="Arial" w:cs="Arial"/>
          <w:i/>
          <w:iCs/>
          <w:sz w:val="20"/>
          <w:szCs w:val="20"/>
        </w:rPr>
        <w:t>Services Marketing: People, Technology, Strategy</w:t>
      </w:r>
      <w:r w:rsidRPr="370D7818">
        <w:rPr>
          <w:rFonts w:ascii="Arial" w:eastAsia="Arial" w:hAnsi="Arial" w:cs="Arial"/>
          <w:sz w:val="20"/>
          <w:szCs w:val="20"/>
        </w:rPr>
        <w:t>. 9th edn. Singapore: World Scientific Publishing.</w:t>
      </w:r>
    </w:p>
    <w:p w14:paraId="14EF7545" w14:textId="0430FB14" w:rsidR="5CADACEE" w:rsidRDefault="5CADACEE" w:rsidP="370D7818">
      <w:pPr>
        <w:spacing w:before="240" w:after="240" w:line="480" w:lineRule="auto"/>
      </w:pPr>
      <w:r w:rsidRPr="370D7818">
        <w:rPr>
          <w:rFonts w:ascii="Arial" w:eastAsia="Arial" w:hAnsi="Arial" w:cs="Arial"/>
          <w:sz w:val="20"/>
          <w:szCs w:val="20"/>
        </w:rPr>
        <w:t xml:space="preserve">Xie, C., Zhang, J. and Morrison, A.M. (2020) ‘Developing a model of passenger experience and loyalty in the airline industry’, </w:t>
      </w:r>
      <w:r w:rsidRPr="370D7818">
        <w:rPr>
          <w:rFonts w:ascii="Arial" w:eastAsia="Arial" w:hAnsi="Arial" w:cs="Arial"/>
          <w:i/>
          <w:iCs/>
          <w:sz w:val="20"/>
          <w:szCs w:val="20"/>
        </w:rPr>
        <w:t>Journal of Air Transport Management</w:t>
      </w:r>
      <w:r w:rsidRPr="370D7818">
        <w:rPr>
          <w:rFonts w:ascii="Arial" w:eastAsia="Arial" w:hAnsi="Arial" w:cs="Arial"/>
          <w:sz w:val="20"/>
          <w:szCs w:val="20"/>
        </w:rPr>
        <w:t>, 83, 101760.</w:t>
      </w:r>
    </w:p>
    <w:p w14:paraId="1B492801" w14:textId="0A638211" w:rsidR="370D7818" w:rsidRDefault="5CADACEE" w:rsidP="370D7818">
      <w:pPr>
        <w:spacing w:before="240" w:after="240" w:line="480" w:lineRule="auto"/>
      </w:pPr>
      <w:r w:rsidRPr="01320B32">
        <w:rPr>
          <w:rFonts w:ascii="Arial" w:eastAsia="Arial" w:hAnsi="Arial" w:cs="Arial"/>
          <w:sz w:val="20"/>
          <w:szCs w:val="20"/>
        </w:rPr>
        <w:t xml:space="preserve">Zeithaml, V.A., Bitner, M.J. and Gremler, D.D. (2020) </w:t>
      </w:r>
      <w:r w:rsidRPr="01320B32">
        <w:rPr>
          <w:rFonts w:ascii="Arial" w:eastAsia="Arial" w:hAnsi="Arial" w:cs="Arial"/>
          <w:i/>
          <w:iCs/>
          <w:sz w:val="20"/>
          <w:szCs w:val="20"/>
        </w:rPr>
        <w:t>Services Marketing: Integrating Customer Focus Across the Firm</w:t>
      </w:r>
      <w:r w:rsidRPr="01320B32">
        <w:rPr>
          <w:rFonts w:ascii="Arial" w:eastAsia="Arial" w:hAnsi="Arial" w:cs="Arial"/>
          <w:sz w:val="20"/>
          <w:szCs w:val="20"/>
        </w:rPr>
        <w:t>. 7th edn. New York: McGraw-Hill.</w:t>
      </w:r>
    </w:p>
    <w:p w14:paraId="24BB913A" w14:textId="0EE43B1E" w:rsidR="36385224" w:rsidRDefault="36385224" w:rsidP="01320B32">
      <w:pPr>
        <w:spacing w:before="240" w:after="240"/>
        <w:rPr>
          <w:rFonts w:ascii="Arial" w:eastAsia="Arial" w:hAnsi="Arial" w:cs="Arial"/>
          <w:sz w:val="20"/>
          <w:szCs w:val="20"/>
        </w:rPr>
      </w:pPr>
    </w:p>
    <w:p w14:paraId="3F21BD4C" w14:textId="3055DEA3" w:rsidR="007E729C" w:rsidRDefault="007E729C" w:rsidP="01320B32">
      <w:pPr>
        <w:pStyle w:val="Heading2"/>
        <w:spacing w:before="240" w:after="240"/>
        <w:rPr>
          <w:rFonts w:ascii="Arial" w:eastAsia="Arial" w:hAnsi="Arial" w:cs="Arial"/>
          <w:sz w:val="20"/>
          <w:szCs w:val="20"/>
        </w:rPr>
      </w:pPr>
      <w:bookmarkStart w:id="260" w:name="_Toc1059274548"/>
      <w:r>
        <w:lastRenderedPageBreak/>
        <w:t>Appendix 1 Ethical form</w:t>
      </w:r>
      <w:bookmarkEnd w:id="260"/>
      <w:r>
        <w:t xml:space="preserve"> </w:t>
      </w:r>
    </w:p>
    <w:p w14:paraId="3687594E" w14:textId="671AFEC1" w:rsidR="0F029F4E" w:rsidRDefault="0F029F4E" w:rsidP="370D7818">
      <w:r>
        <w:rPr>
          <w:noProof/>
        </w:rPr>
        <w:drawing>
          <wp:inline distT="0" distB="0" distL="0" distR="0" wp14:anchorId="46FDFD31" wp14:editId="73F3C18D">
            <wp:extent cx="4200525" cy="5943600"/>
            <wp:effectExtent l="0" t="0" r="0" b="0"/>
            <wp:docPr id="162647728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477283" name="Picture 1626477283"/>
                    <pic:cNvPicPr/>
                  </pic:nvPicPr>
                  <pic:blipFill>
                    <a:blip r:embed="rId26">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75026FC8" w14:textId="339D2FA0" w:rsidR="370D7818" w:rsidRDefault="370D7818" w:rsidP="370D7818"/>
    <w:p w14:paraId="6F77EACB" w14:textId="6DB36840" w:rsidR="0F029F4E" w:rsidRDefault="0F029F4E" w:rsidP="370D7818">
      <w:r>
        <w:rPr>
          <w:noProof/>
        </w:rPr>
        <w:lastRenderedPageBreak/>
        <w:drawing>
          <wp:inline distT="0" distB="0" distL="0" distR="0" wp14:anchorId="29773012" wp14:editId="557EF61E">
            <wp:extent cx="4200525" cy="5943600"/>
            <wp:effectExtent l="0" t="0" r="0" b="0"/>
            <wp:docPr id="2345883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588365" name="Picture 234588365"/>
                    <pic:cNvPicPr/>
                  </pic:nvPicPr>
                  <pic:blipFill>
                    <a:blip r:embed="rId27">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3B258F24" w14:textId="455FEB93" w:rsidR="74E3A175" w:rsidRDefault="74E3A175" w:rsidP="370D7818">
      <w:r>
        <w:rPr>
          <w:noProof/>
        </w:rPr>
        <w:lastRenderedPageBreak/>
        <w:drawing>
          <wp:inline distT="0" distB="0" distL="0" distR="0" wp14:anchorId="6DCE8532" wp14:editId="69339A63">
            <wp:extent cx="4200525" cy="5943600"/>
            <wp:effectExtent l="0" t="0" r="0" b="0"/>
            <wp:docPr id="29751545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515455" name="Picture 297515455"/>
                    <pic:cNvPicPr/>
                  </pic:nvPicPr>
                  <pic:blipFill>
                    <a:blip r:embed="rId28">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22E21E13" w14:textId="78E01D0F" w:rsidR="74E3A175" w:rsidRDefault="74E3A175" w:rsidP="370D7818">
      <w:r>
        <w:rPr>
          <w:noProof/>
        </w:rPr>
        <w:lastRenderedPageBreak/>
        <w:drawing>
          <wp:inline distT="0" distB="0" distL="0" distR="0" wp14:anchorId="10EF2F06" wp14:editId="240930E5">
            <wp:extent cx="4200525" cy="5943600"/>
            <wp:effectExtent l="0" t="0" r="0" b="0"/>
            <wp:docPr id="98284769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847695" name="Picture 982847695"/>
                    <pic:cNvPicPr/>
                  </pic:nvPicPr>
                  <pic:blipFill>
                    <a:blip r:embed="rId29">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0142CED5" w14:textId="77777777" w:rsidR="009867B0" w:rsidRPr="009867B0" w:rsidRDefault="009867B0" w:rsidP="009867B0"/>
    <w:p w14:paraId="0416236A" w14:textId="0A4F3119" w:rsidR="74E3A175" w:rsidRDefault="74E3A175">
      <w:r>
        <w:rPr>
          <w:noProof/>
        </w:rPr>
        <w:lastRenderedPageBreak/>
        <w:drawing>
          <wp:inline distT="0" distB="0" distL="0" distR="0" wp14:anchorId="778A17A5" wp14:editId="7520A01F">
            <wp:extent cx="4200525" cy="5943600"/>
            <wp:effectExtent l="0" t="0" r="0" b="0"/>
            <wp:docPr id="15978619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86191" name="Picture 159786191"/>
                    <pic:cNvPicPr/>
                  </pic:nvPicPr>
                  <pic:blipFill>
                    <a:blip r:embed="rId30">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007C64F4" w14:textId="003F1184" w:rsidR="74E3A175" w:rsidRDefault="74E3A175">
      <w:r>
        <w:rPr>
          <w:noProof/>
        </w:rPr>
        <w:lastRenderedPageBreak/>
        <w:drawing>
          <wp:inline distT="0" distB="0" distL="0" distR="0" wp14:anchorId="7EDEFBA9" wp14:editId="619AB0CD">
            <wp:extent cx="4200525" cy="5943600"/>
            <wp:effectExtent l="0" t="0" r="0" b="0"/>
            <wp:docPr id="92350427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504275" name="Picture 923504275"/>
                    <pic:cNvPicPr/>
                  </pic:nvPicPr>
                  <pic:blipFill>
                    <a:blip r:embed="rId31">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60765891" w14:textId="28CD3500" w:rsidR="74E3A175" w:rsidRDefault="74E3A175">
      <w:r>
        <w:rPr>
          <w:noProof/>
        </w:rPr>
        <w:lastRenderedPageBreak/>
        <w:drawing>
          <wp:inline distT="0" distB="0" distL="0" distR="0" wp14:anchorId="73550EBA" wp14:editId="00F23BA0">
            <wp:extent cx="4200525" cy="5943600"/>
            <wp:effectExtent l="0" t="0" r="0" b="0"/>
            <wp:docPr id="45683692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6836922" name="Picture 456836922"/>
                    <pic:cNvPicPr/>
                  </pic:nvPicPr>
                  <pic:blipFill>
                    <a:blip r:embed="rId32">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1A3C0879" w14:textId="77777777" w:rsidR="00A65BAD" w:rsidRPr="00A65BAD" w:rsidRDefault="00A65BAD" w:rsidP="00A65BAD"/>
    <w:p w14:paraId="662ED1E6" w14:textId="05B846D3" w:rsidR="74E3A175" w:rsidRDefault="74E3A175">
      <w:r>
        <w:rPr>
          <w:noProof/>
        </w:rPr>
        <w:lastRenderedPageBreak/>
        <w:drawing>
          <wp:inline distT="0" distB="0" distL="0" distR="0" wp14:anchorId="593692FA" wp14:editId="4C1C8246">
            <wp:extent cx="4200525" cy="5943600"/>
            <wp:effectExtent l="0" t="0" r="0" b="0"/>
            <wp:docPr id="18388244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824438" name="Picture 1838824438"/>
                    <pic:cNvPicPr/>
                  </pic:nvPicPr>
                  <pic:blipFill>
                    <a:blip r:embed="rId33">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339A3816" w14:textId="74D27B5C" w:rsidR="4DE00164" w:rsidRDefault="4DE00164">
      <w:r>
        <w:rPr>
          <w:noProof/>
        </w:rPr>
        <w:lastRenderedPageBreak/>
        <w:drawing>
          <wp:inline distT="0" distB="0" distL="0" distR="0" wp14:anchorId="063E41D7" wp14:editId="2EC0C18E">
            <wp:extent cx="4200525" cy="5943600"/>
            <wp:effectExtent l="0" t="0" r="0" b="0"/>
            <wp:docPr id="132377322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773223" name="Picture 1323773223"/>
                    <pic:cNvPicPr/>
                  </pic:nvPicPr>
                  <pic:blipFill>
                    <a:blip r:embed="rId34">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73CD876E" w14:textId="5F74FA6D" w:rsidR="4DE00164" w:rsidRDefault="4DE00164">
      <w:r>
        <w:rPr>
          <w:noProof/>
        </w:rPr>
        <w:lastRenderedPageBreak/>
        <w:drawing>
          <wp:inline distT="0" distB="0" distL="0" distR="0" wp14:anchorId="75495BC4" wp14:editId="6CF6C90E">
            <wp:extent cx="4200525" cy="5943600"/>
            <wp:effectExtent l="0" t="0" r="0" b="0"/>
            <wp:docPr id="205567961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5679619" name="Picture 2055679619"/>
                    <pic:cNvPicPr/>
                  </pic:nvPicPr>
                  <pic:blipFill>
                    <a:blip r:embed="rId35">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1B4D29A4" w14:textId="6B94122D" w:rsidR="4DE00164" w:rsidRDefault="4DE00164">
      <w:r>
        <w:rPr>
          <w:noProof/>
        </w:rPr>
        <w:lastRenderedPageBreak/>
        <w:drawing>
          <wp:inline distT="0" distB="0" distL="0" distR="0" wp14:anchorId="4C085984" wp14:editId="5270EF18">
            <wp:extent cx="4200525" cy="5943600"/>
            <wp:effectExtent l="0" t="0" r="0" b="0"/>
            <wp:docPr id="13478441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844171" name="Picture 1347844171"/>
                    <pic:cNvPicPr/>
                  </pic:nvPicPr>
                  <pic:blipFill>
                    <a:blip r:embed="rId36">
                      <a:extLst>
                        <a:ext uri="{28A0092B-C50C-407E-A947-70E740481C1C}">
                          <a14:useLocalDpi xmlns:a14="http://schemas.microsoft.com/office/drawing/2010/main"/>
                        </a:ext>
                      </a:extLst>
                    </a:blip>
                    <a:stretch>
                      <a:fillRect/>
                    </a:stretch>
                  </pic:blipFill>
                  <pic:spPr>
                    <a:xfrm>
                      <a:off x="0" y="0"/>
                      <a:ext cx="4200525" cy="5943600"/>
                    </a:xfrm>
                    <a:prstGeom prst="rect">
                      <a:avLst/>
                    </a:prstGeom>
                  </pic:spPr>
                </pic:pic>
              </a:graphicData>
            </a:graphic>
          </wp:inline>
        </w:drawing>
      </w:r>
    </w:p>
    <w:p w14:paraId="3DB80936" w14:textId="14CC6880" w:rsidR="370D7818" w:rsidRDefault="370D7818"/>
    <w:p w14:paraId="452AF0CB" w14:textId="77777777" w:rsidR="00061C1D" w:rsidRDefault="00061C1D" w:rsidP="00061C1D"/>
    <w:p w14:paraId="79AC255B" w14:textId="77777777" w:rsidR="00061C1D" w:rsidRPr="00061C1D" w:rsidRDefault="00061C1D" w:rsidP="00061C1D"/>
    <w:p w14:paraId="62384507" w14:textId="7E371808" w:rsidR="59CD09D6" w:rsidRDefault="59CD09D6" w:rsidP="59CD09D6"/>
    <w:p w14:paraId="3767354E" w14:textId="2E6DD1BD" w:rsidR="36385224" w:rsidRDefault="36385224" w:rsidP="36385224"/>
    <w:p w14:paraId="12A5C7CD" w14:textId="3BC21BEB" w:rsidR="36385224" w:rsidRDefault="36385224" w:rsidP="36385224">
      <w:pPr>
        <w:spacing w:before="240" w:after="240"/>
        <w:rPr>
          <w:rFonts w:ascii="Arial" w:eastAsia="Arial" w:hAnsi="Arial" w:cs="Arial"/>
          <w:sz w:val="20"/>
          <w:szCs w:val="20"/>
        </w:rPr>
      </w:pPr>
    </w:p>
    <w:p w14:paraId="2BA57C88" w14:textId="0D4FC649" w:rsidR="36385224" w:rsidRDefault="36385224" w:rsidP="36385224">
      <w:pPr>
        <w:spacing w:before="240" w:after="240"/>
        <w:rPr>
          <w:rFonts w:ascii="Arial" w:eastAsia="Arial" w:hAnsi="Arial" w:cs="Arial"/>
          <w:sz w:val="20"/>
          <w:szCs w:val="20"/>
        </w:rPr>
      </w:pPr>
    </w:p>
    <w:p w14:paraId="49DA6B97" w14:textId="768168B7" w:rsidR="36385224" w:rsidRDefault="36385224" w:rsidP="36385224">
      <w:pPr>
        <w:spacing w:before="240" w:after="240"/>
        <w:rPr>
          <w:rFonts w:ascii="Arial" w:eastAsia="Arial" w:hAnsi="Arial" w:cs="Arial"/>
          <w:sz w:val="20"/>
          <w:szCs w:val="20"/>
        </w:rPr>
      </w:pPr>
    </w:p>
    <w:p w14:paraId="1C700FEE" w14:textId="104AFE0B" w:rsidR="36385224" w:rsidRDefault="36385224" w:rsidP="36385224">
      <w:pPr>
        <w:spacing w:before="240" w:after="240"/>
        <w:rPr>
          <w:rFonts w:ascii="Arial" w:eastAsia="Arial" w:hAnsi="Arial" w:cs="Arial"/>
          <w:sz w:val="20"/>
          <w:szCs w:val="20"/>
        </w:rPr>
      </w:pPr>
    </w:p>
    <w:p w14:paraId="2A62E36C" w14:textId="50E2B9EE" w:rsidR="36385224" w:rsidRDefault="36385224" w:rsidP="36385224">
      <w:pPr>
        <w:spacing w:before="240" w:after="240"/>
        <w:rPr>
          <w:rFonts w:ascii="Arial" w:eastAsia="Arial" w:hAnsi="Arial" w:cs="Arial"/>
          <w:sz w:val="20"/>
          <w:szCs w:val="20"/>
        </w:rPr>
      </w:pPr>
    </w:p>
    <w:p w14:paraId="13F068E8" w14:textId="035F0843" w:rsidR="36385224" w:rsidRDefault="36385224" w:rsidP="36385224">
      <w:pPr>
        <w:spacing w:before="240" w:after="240"/>
        <w:rPr>
          <w:rFonts w:ascii="Arial" w:eastAsia="Arial" w:hAnsi="Arial" w:cs="Arial"/>
          <w:sz w:val="20"/>
          <w:szCs w:val="20"/>
        </w:rPr>
      </w:pPr>
    </w:p>
    <w:p w14:paraId="6479C4B9" w14:textId="44AFEF08" w:rsidR="36385224" w:rsidRDefault="36385224" w:rsidP="36385224">
      <w:pPr>
        <w:spacing w:before="240" w:after="240"/>
        <w:rPr>
          <w:rFonts w:ascii="Arial" w:eastAsia="Arial" w:hAnsi="Arial" w:cs="Arial"/>
          <w:sz w:val="20"/>
          <w:szCs w:val="20"/>
        </w:rPr>
      </w:pPr>
    </w:p>
    <w:p w14:paraId="19086467" w14:textId="2CD48B53" w:rsidR="36385224" w:rsidRDefault="36385224" w:rsidP="36385224">
      <w:pPr>
        <w:spacing w:before="240" w:after="240"/>
        <w:rPr>
          <w:rFonts w:ascii="Arial" w:eastAsia="Arial" w:hAnsi="Arial" w:cs="Arial"/>
          <w:sz w:val="20"/>
          <w:szCs w:val="20"/>
        </w:rPr>
      </w:pPr>
    </w:p>
    <w:p w14:paraId="0C55D055" w14:textId="0C1C88DD" w:rsidR="36385224" w:rsidRDefault="36385224" w:rsidP="36385224">
      <w:pPr>
        <w:spacing w:before="240" w:after="240"/>
        <w:rPr>
          <w:rFonts w:ascii="Arial" w:eastAsia="Arial" w:hAnsi="Arial" w:cs="Arial"/>
          <w:sz w:val="20"/>
          <w:szCs w:val="20"/>
        </w:rPr>
      </w:pPr>
    </w:p>
    <w:p w14:paraId="5654951B" w14:textId="3C3B4CE8" w:rsidR="36385224" w:rsidRDefault="36385224" w:rsidP="36385224">
      <w:pPr>
        <w:spacing w:before="240" w:after="240"/>
        <w:rPr>
          <w:rFonts w:ascii="Arial" w:eastAsia="Arial" w:hAnsi="Arial" w:cs="Arial"/>
          <w:sz w:val="20"/>
          <w:szCs w:val="20"/>
        </w:rPr>
      </w:pPr>
    </w:p>
    <w:p w14:paraId="0B610D10" w14:textId="7E3DE414" w:rsidR="36385224" w:rsidRDefault="36385224" w:rsidP="36385224">
      <w:pPr>
        <w:spacing w:before="240" w:after="240"/>
        <w:rPr>
          <w:rFonts w:ascii="Arial" w:eastAsia="Arial" w:hAnsi="Arial" w:cs="Arial"/>
          <w:sz w:val="20"/>
          <w:szCs w:val="20"/>
        </w:rPr>
      </w:pPr>
    </w:p>
    <w:p w14:paraId="575D34FE" w14:textId="52EA93C9" w:rsidR="36385224" w:rsidRDefault="36385224" w:rsidP="36385224">
      <w:pPr>
        <w:spacing w:before="240" w:after="240"/>
        <w:rPr>
          <w:rFonts w:ascii="Arial" w:eastAsia="Arial" w:hAnsi="Arial" w:cs="Arial"/>
          <w:i/>
          <w:iCs/>
          <w:sz w:val="20"/>
          <w:szCs w:val="20"/>
        </w:rPr>
      </w:pPr>
    </w:p>
    <w:p w14:paraId="09B2CDCA" w14:textId="45BBA4CB" w:rsidR="2E4158E0" w:rsidRDefault="2E4158E0" w:rsidP="2622FC74">
      <w:pPr>
        <w:spacing w:before="240" w:after="240"/>
        <w:rPr>
          <w:rFonts w:ascii="Arial" w:eastAsia="Arial" w:hAnsi="Arial" w:cs="Arial"/>
          <w:sz w:val="20"/>
          <w:szCs w:val="20"/>
        </w:rPr>
      </w:pPr>
    </w:p>
    <w:p w14:paraId="7480C455" w14:textId="08C71BEC" w:rsidR="2E4158E0" w:rsidRDefault="2E4158E0" w:rsidP="2E4158E0">
      <w:pPr>
        <w:spacing w:before="240" w:after="240"/>
        <w:rPr>
          <w:rFonts w:ascii="Arial" w:eastAsia="Arial" w:hAnsi="Arial" w:cs="Arial"/>
          <w:sz w:val="20"/>
          <w:szCs w:val="20"/>
        </w:rPr>
      </w:pPr>
    </w:p>
    <w:p w14:paraId="5DF349DF" w14:textId="3E2393A0" w:rsidR="13E6C6E7" w:rsidRDefault="13E6C6E7" w:rsidP="13E6C6E7">
      <w:pPr>
        <w:spacing w:before="240" w:after="240"/>
        <w:rPr>
          <w:rFonts w:ascii="Arial" w:eastAsia="Arial" w:hAnsi="Arial" w:cs="Arial"/>
          <w:sz w:val="20"/>
          <w:szCs w:val="20"/>
        </w:rPr>
      </w:pPr>
    </w:p>
    <w:p w14:paraId="25CC2F65" w14:textId="4B905624" w:rsidR="14DC6D0A" w:rsidRDefault="14DC6D0A" w:rsidP="14DC6D0A">
      <w:pPr>
        <w:spacing w:before="240" w:after="240"/>
        <w:rPr>
          <w:rFonts w:ascii="Arial" w:eastAsia="Arial" w:hAnsi="Arial" w:cs="Arial"/>
          <w:i/>
          <w:iCs/>
          <w:sz w:val="20"/>
          <w:szCs w:val="20"/>
        </w:rPr>
      </w:pPr>
    </w:p>
    <w:p w14:paraId="7548307C" w14:textId="1565E66C" w:rsidR="4992B041" w:rsidRDefault="4992B041" w:rsidP="1309A58B">
      <w:pPr>
        <w:spacing w:before="240" w:after="240"/>
        <w:rPr>
          <w:rFonts w:ascii="Arial" w:eastAsia="Arial" w:hAnsi="Arial" w:cs="Arial"/>
          <w:i/>
          <w:iCs/>
          <w:sz w:val="20"/>
          <w:szCs w:val="20"/>
        </w:rPr>
      </w:pPr>
    </w:p>
    <w:p w14:paraId="4750449A" w14:textId="42BA6360" w:rsidR="4992B041" w:rsidRDefault="4992B041" w:rsidP="4992B041"/>
    <w:p w14:paraId="4D04F82C" w14:textId="01C98A86" w:rsidR="4992B041" w:rsidRDefault="4992B041" w:rsidP="4992B041">
      <w:pPr>
        <w:spacing w:before="240" w:after="240"/>
        <w:rPr>
          <w:rFonts w:ascii="Arial" w:eastAsia="Arial" w:hAnsi="Arial" w:cs="Arial"/>
        </w:rPr>
      </w:pPr>
    </w:p>
    <w:p w14:paraId="31550B21" w14:textId="20BB6176" w:rsidR="4992B041" w:rsidRDefault="4992B041" w:rsidP="4992B041"/>
    <w:sectPr w:rsidR="4992B041">
      <w:headerReference w:type="default" r:id="rId37"/>
      <w:foot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49E95B" w14:textId="77777777" w:rsidR="0005654F" w:rsidRDefault="0005654F">
      <w:pPr>
        <w:spacing w:after="0" w:line="240" w:lineRule="auto"/>
      </w:pPr>
      <w:r>
        <w:separator/>
      </w:r>
    </w:p>
  </w:endnote>
  <w:endnote w:type="continuationSeparator" w:id="0">
    <w:p w14:paraId="44ED8CA3" w14:textId="77777777" w:rsidR="0005654F" w:rsidRDefault="0005654F">
      <w:pPr>
        <w:spacing w:after="0" w:line="240" w:lineRule="auto"/>
      </w:pPr>
      <w:r>
        <w:continuationSeparator/>
      </w:r>
    </w:p>
  </w:endnote>
  <w:endnote w:type="continuationNotice" w:id="1">
    <w:p w14:paraId="726488DE" w14:textId="77777777" w:rsidR="0005654F" w:rsidRDefault="000565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Mincho">
    <w:altName w:val="ＭＳ 明朝"/>
    <w:panose1 w:val="020206090402050803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Nova">
    <w:panose1 w:val="020B0504020202020204"/>
    <w:charset w:val="00"/>
    <w:family w:val="swiss"/>
    <w:pitch w:val="variable"/>
    <w:sig w:usb0="0000028F" w:usb1="00000002" w:usb2="00000000" w:usb3="00000000" w:csb0="0000019F" w:csb1="00000000"/>
  </w:font>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563837516"/>
      <w:docPartObj>
        <w:docPartGallery w:val="Page Numbers (Bottom of Page)"/>
        <w:docPartUnique/>
      </w:docPartObj>
    </w:sdtPr>
    <w:sdtContent>
      <w:p w14:paraId="3B73FB2D" w14:textId="69E85339" w:rsidR="00C76866" w:rsidRDefault="00C768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5A6F796" w14:textId="45E69F24" w:rsidR="00B018F1" w:rsidRDefault="00B018F1" w:rsidP="00C76866">
    <w:pPr>
      <w:spacing w:line="259" w:lineRule="auto"/>
      <w:ind w:right="360"/>
    </w:pPr>
    <w:r>
      <w:rPr>
        <w:sz w:val="20"/>
      </w:rPr>
      <w:t>April 2022`PG2 Ethical Approval Form</w:t>
    </w:r>
    <w:r>
      <w:rPr>
        <w:rFonts w:ascii="Times New Roman" w:eastAsia="Times New Roman" w:hAnsi="Times New Roman" w:cs="Times New Roman"/>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71039772"/>
      <w:docPartObj>
        <w:docPartGallery w:val="Page Numbers (Bottom of Page)"/>
        <w:docPartUnique/>
      </w:docPartObj>
    </w:sdtPr>
    <w:sdtContent>
      <w:p w14:paraId="0C3733E1" w14:textId="5D22AA8F" w:rsidR="00C76866" w:rsidRDefault="00C7686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06ED729C" w14:textId="2BB6633B" w:rsidR="00B018F1" w:rsidRPr="00866599" w:rsidRDefault="00B018F1" w:rsidP="00C76866">
    <w:pPr>
      <w:spacing w:line="259" w:lineRule="auto"/>
      <w:ind w:right="360"/>
      <w:rPr>
        <w:lang w:val="en-GB"/>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FE5FE2" w14:textId="77777777" w:rsidR="00B018F1" w:rsidRDefault="00B018F1">
    <w:pPr>
      <w:spacing w:line="259" w:lineRule="auto"/>
    </w:pPr>
    <w:r>
      <w:rPr>
        <w:sz w:val="20"/>
      </w:rPr>
      <w:t>April 2022`</w:t>
    </w:r>
    <w:r>
      <w:fldChar w:fldCharType="begin"/>
    </w:r>
    <w:r>
      <w:instrText xml:space="preserve"> PAGE   \* MERGEFORMAT </w:instrText>
    </w:r>
    <w:r>
      <w:fldChar w:fldCharType="separate"/>
    </w:r>
    <w:r>
      <w:rPr>
        <w:sz w:val="20"/>
      </w:rPr>
      <w:t>1</w:t>
    </w:r>
    <w:r>
      <w:rPr>
        <w:sz w:val="20"/>
      </w:rPr>
      <w:fldChar w:fldCharType="end"/>
    </w:r>
    <w:r>
      <w:rPr>
        <w:sz w:val="20"/>
      </w:rPr>
      <w:t>PG2 Ethical Approval Form</w:t>
    </w:r>
    <w:r>
      <w:rPr>
        <w:rFonts w:ascii="Times New Roman" w:eastAsia="Times New Roman" w:hAnsi="Times New Roman" w:cs="Times New Roman"/>
        <w:sz w:val="20"/>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ook w:val="06A0" w:firstRow="1" w:lastRow="0" w:firstColumn="1" w:lastColumn="0" w:noHBand="1" w:noVBand="1"/>
    </w:tblPr>
    <w:tblGrid>
      <w:gridCol w:w="3120"/>
      <w:gridCol w:w="3120"/>
      <w:gridCol w:w="3120"/>
    </w:tblGrid>
    <w:tr w:rsidR="3ED7C0A8" w14:paraId="66804028" w14:textId="77777777" w:rsidTr="77DF9B16">
      <w:trPr>
        <w:trHeight w:val="300"/>
      </w:trPr>
      <w:tc>
        <w:tcPr>
          <w:tcW w:w="3120" w:type="dxa"/>
        </w:tcPr>
        <w:p w14:paraId="3EB86216" w14:textId="2A169C51" w:rsidR="3ED7C0A8" w:rsidRDefault="3ED7C0A8" w:rsidP="3ED7C0A8">
          <w:pPr>
            <w:pStyle w:val="Header"/>
            <w:ind w:left="-115"/>
          </w:pPr>
        </w:p>
      </w:tc>
      <w:tc>
        <w:tcPr>
          <w:tcW w:w="3120" w:type="dxa"/>
        </w:tcPr>
        <w:p w14:paraId="6C61DBA3" w14:textId="708BD638" w:rsidR="3ED7C0A8" w:rsidRDefault="3ED7C0A8" w:rsidP="3ED7C0A8">
          <w:pPr>
            <w:pStyle w:val="Header"/>
            <w:jc w:val="center"/>
          </w:pPr>
        </w:p>
      </w:tc>
      <w:tc>
        <w:tcPr>
          <w:tcW w:w="3120" w:type="dxa"/>
        </w:tcPr>
        <w:p w14:paraId="783D7501" w14:textId="6C097162" w:rsidR="3ED7C0A8" w:rsidRDefault="3ED7C0A8" w:rsidP="00B018F1">
          <w:pPr>
            <w:pStyle w:val="Header"/>
            <w:ind w:right="-115"/>
            <w:rPr>
              <w:sz w:val="16"/>
              <w:szCs w:val="16"/>
            </w:rPr>
          </w:pPr>
        </w:p>
      </w:tc>
    </w:tr>
  </w:tbl>
  <w:p w14:paraId="0479BE2C" w14:textId="46047BF7" w:rsidR="3ED7C0A8" w:rsidRDefault="3ED7C0A8" w:rsidP="3ED7C0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79FB9E" w14:textId="77777777" w:rsidR="0005654F" w:rsidRDefault="0005654F">
      <w:pPr>
        <w:spacing w:after="0" w:line="240" w:lineRule="auto"/>
      </w:pPr>
      <w:r>
        <w:separator/>
      </w:r>
    </w:p>
  </w:footnote>
  <w:footnote w:type="continuationSeparator" w:id="0">
    <w:p w14:paraId="77B10864" w14:textId="77777777" w:rsidR="0005654F" w:rsidRDefault="0005654F">
      <w:pPr>
        <w:spacing w:after="0" w:line="240" w:lineRule="auto"/>
      </w:pPr>
      <w:r>
        <w:continuationSeparator/>
      </w:r>
    </w:p>
  </w:footnote>
  <w:footnote w:type="continuationNotice" w:id="1">
    <w:p w14:paraId="40FFA28D" w14:textId="77777777" w:rsidR="0005654F" w:rsidRDefault="000565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00B358" w14:textId="77777777" w:rsidR="00B018F1" w:rsidRDefault="00B018F1">
    <w:pPr>
      <w:tabs>
        <w:tab w:val="right" w:pos="10498"/>
      </w:tabs>
      <w:spacing w:line="259" w:lineRule="auto"/>
      <w:ind w:left="-2"/>
    </w:pPr>
    <w:r>
      <w:rPr>
        <w:noProof/>
      </w:rPr>
      <w:drawing>
        <wp:anchor distT="0" distB="0" distL="114300" distR="114300" simplePos="0" relativeHeight="251658240" behindDoc="0" locked="0" layoutInCell="1" allowOverlap="0" wp14:anchorId="0A1728B6" wp14:editId="35818351">
          <wp:simplePos x="0" y="0"/>
          <wp:positionH relativeFrom="page">
            <wp:posOffset>450215</wp:posOffset>
          </wp:positionH>
          <wp:positionV relativeFrom="page">
            <wp:posOffset>180340</wp:posOffset>
          </wp:positionV>
          <wp:extent cx="1791335" cy="600710"/>
          <wp:effectExtent l="0" t="0" r="0" b="0"/>
          <wp:wrapSquare wrapText="bothSides"/>
          <wp:docPr id="807737334" name="Picture 807737334"/>
          <wp:cNvGraphicFramePr/>
          <a:graphic xmlns:a="http://schemas.openxmlformats.org/drawingml/2006/main">
            <a:graphicData uri="http://schemas.openxmlformats.org/drawingml/2006/picture">
              <pic:pic xmlns:pic="http://schemas.openxmlformats.org/drawingml/2006/picture">
                <pic:nvPicPr>
                  <pic:cNvPr id="5593" name="Picture 5593"/>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PG2 / E1 FORM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EC07545" w14:textId="54A47AEA" w:rsidR="00B018F1" w:rsidRDefault="00B018F1" w:rsidP="00866599">
    <w:pPr>
      <w:tabs>
        <w:tab w:val="right" w:pos="10498"/>
      </w:tabs>
      <w:spacing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5B55E" w14:textId="77777777" w:rsidR="00B018F1" w:rsidRDefault="00B018F1">
    <w:pPr>
      <w:tabs>
        <w:tab w:val="right" w:pos="10498"/>
      </w:tabs>
      <w:spacing w:line="259" w:lineRule="auto"/>
      <w:ind w:left="-2"/>
    </w:pPr>
    <w:r>
      <w:rPr>
        <w:noProof/>
      </w:rPr>
      <w:drawing>
        <wp:anchor distT="0" distB="0" distL="114300" distR="114300" simplePos="0" relativeHeight="251658241" behindDoc="0" locked="0" layoutInCell="1" allowOverlap="0" wp14:anchorId="4B16B83B" wp14:editId="41A69D47">
          <wp:simplePos x="0" y="0"/>
          <wp:positionH relativeFrom="page">
            <wp:posOffset>450215</wp:posOffset>
          </wp:positionH>
          <wp:positionV relativeFrom="page">
            <wp:posOffset>180340</wp:posOffset>
          </wp:positionV>
          <wp:extent cx="1791335" cy="600710"/>
          <wp:effectExtent l="0" t="0" r="0" b="0"/>
          <wp:wrapSquare wrapText="bothSides"/>
          <wp:docPr id="1561243433" name="Picture 1561243433"/>
          <wp:cNvGraphicFramePr/>
          <a:graphic xmlns:a="http://schemas.openxmlformats.org/drawingml/2006/main">
            <a:graphicData uri="http://schemas.openxmlformats.org/drawingml/2006/picture">
              <pic:pic xmlns:pic="http://schemas.openxmlformats.org/drawingml/2006/picture">
                <pic:nvPicPr>
                  <pic:cNvPr id="5593" name="Picture 5593"/>
                  <pic:cNvPicPr/>
                </pic:nvPicPr>
                <pic:blipFill>
                  <a:blip r:embed="rId1"/>
                  <a:stretch>
                    <a:fillRect/>
                  </a:stretch>
                </pic:blipFill>
                <pic:spPr>
                  <a:xfrm>
                    <a:off x="0" y="0"/>
                    <a:ext cx="1791335" cy="600710"/>
                  </a:xfrm>
                  <a:prstGeom prst="rect">
                    <a:avLst/>
                  </a:prstGeom>
                </pic:spPr>
              </pic:pic>
            </a:graphicData>
          </a:graphic>
        </wp:anchor>
      </w:drawing>
    </w:r>
    <w:r>
      <w:rPr>
        <w:rFonts w:ascii="Arial" w:eastAsia="Arial" w:hAnsi="Arial" w:cs="Arial"/>
        <w:b/>
      </w:rPr>
      <w:tab/>
      <w:t xml:space="preserve">PG2 / E1 FORM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4648" w:type="dxa"/>
      <w:tblLook w:val="06A0" w:firstRow="1" w:lastRow="0" w:firstColumn="1" w:lastColumn="0" w:noHBand="1" w:noVBand="1"/>
    </w:tblPr>
    <w:tblGrid>
      <w:gridCol w:w="3120"/>
      <w:gridCol w:w="1528"/>
    </w:tblGrid>
    <w:tr w:rsidR="3ED7C0A8" w14:paraId="0BEB3F2C" w14:textId="77777777" w:rsidTr="77DF9B16">
      <w:trPr>
        <w:trHeight w:val="300"/>
      </w:trPr>
      <w:tc>
        <w:tcPr>
          <w:tcW w:w="3120" w:type="dxa"/>
        </w:tcPr>
        <w:p w14:paraId="4CF9F3FE" w14:textId="66B5D930" w:rsidR="3ED7C0A8" w:rsidRDefault="3ED7C0A8" w:rsidP="3ED7C0A8">
          <w:pPr>
            <w:pStyle w:val="Header"/>
            <w:ind w:left="-115"/>
          </w:pPr>
        </w:p>
      </w:tc>
      <w:tc>
        <w:tcPr>
          <w:tcW w:w="1528" w:type="dxa"/>
        </w:tcPr>
        <w:p w14:paraId="6681E503" w14:textId="6D19F2B2" w:rsidR="3ED7C0A8" w:rsidRDefault="3ED7C0A8" w:rsidP="3ED7C0A8">
          <w:pPr>
            <w:pStyle w:val="Header"/>
            <w:jc w:val="center"/>
          </w:pPr>
        </w:p>
      </w:tc>
    </w:tr>
  </w:tbl>
  <w:p w14:paraId="00DEC8AE" w14:textId="2A893561" w:rsidR="3ED7C0A8" w:rsidRDefault="3ED7C0A8" w:rsidP="3ED7C0A8">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x3UOt92r" int2:invalidationBookmarkName="" int2:hashCode="/QpJUL573Z+EMy" int2:id="wwDVLlLU">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57C55"/>
    <w:multiLevelType w:val="hybridMultilevel"/>
    <w:tmpl w:val="1AE8BCF8"/>
    <w:lvl w:ilvl="0" w:tplc="1CF8D3DC">
      <w:start w:val="4"/>
      <w:numFmt w:val="lowerLetter"/>
      <w:lvlText w:val="(%1)"/>
      <w:lvlJc w:val="left"/>
      <w:pPr>
        <w:ind w:left="30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3F24C4CC">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7EFE77B6">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E9F88D18">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4A309102">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639A744A">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C0B20D82">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8796F964">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23B8D1F2">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17A63F91"/>
    <w:multiLevelType w:val="hybridMultilevel"/>
    <w:tmpl w:val="3A8EB05A"/>
    <w:lvl w:ilvl="0" w:tplc="DB9ECE6A">
      <w:start w:val="1"/>
      <w:numFmt w:val="bullet"/>
      <w:lvlText w:val=""/>
      <w:lvlJc w:val="left"/>
      <w:pPr>
        <w:ind w:left="720" w:hanging="360"/>
      </w:pPr>
      <w:rPr>
        <w:rFonts w:ascii="Symbol" w:hAnsi="Symbol" w:hint="default"/>
      </w:rPr>
    </w:lvl>
    <w:lvl w:ilvl="1" w:tplc="4EFA581A">
      <w:start w:val="1"/>
      <w:numFmt w:val="bullet"/>
      <w:lvlText w:val="o"/>
      <w:lvlJc w:val="left"/>
      <w:pPr>
        <w:ind w:left="1440" w:hanging="360"/>
      </w:pPr>
      <w:rPr>
        <w:rFonts w:ascii="Courier New" w:hAnsi="Courier New" w:hint="default"/>
      </w:rPr>
    </w:lvl>
    <w:lvl w:ilvl="2" w:tplc="63AC12EC">
      <w:start w:val="1"/>
      <w:numFmt w:val="bullet"/>
      <w:lvlText w:val=""/>
      <w:lvlJc w:val="left"/>
      <w:pPr>
        <w:ind w:left="2160" w:hanging="360"/>
      </w:pPr>
      <w:rPr>
        <w:rFonts w:ascii="Wingdings" w:hAnsi="Wingdings" w:hint="default"/>
      </w:rPr>
    </w:lvl>
    <w:lvl w:ilvl="3" w:tplc="38AEE7A2">
      <w:start w:val="1"/>
      <w:numFmt w:val="bullet"/>
      <w:lvlText w:val=""/>
      <w:lvlJc w:val="left"/>
      <w:pPr>
        <w:ind w:left="2880" w:hanging="360"/>
      </w:pPr>
      <w:rPr>
        <w:rFonts w:ascii="Symbol" w:hAnsi="Symbol" w:hint="default"/>
      </w:rPr>
    </w:lvl>
    <w:lvl w:ilvl="4" w:tplc="DBDE525A">
      <w:start w:val="1"/>
      <w:numFmt w:val="bullet"/>
      <w:lvlText w:val="o"/>
      <w:lvlJc w:val="left"/>
      <w:pPr>
        <w:ind w:left="3600" w:hanging="360"/>
      </w:pPr>
      <w:rPr>
        <w:rFonts w:ascii="Courier New" w:hAnsi="Courier New" w:hint="default"/>
      </w:rPr>
    </w:lvl>
    <w:lvl w:ilvl="5" w:tplc="D40C6480">
      <w:start w:val="1"/>
      <w:numFmt w:val="bullet"/>
      <w:lvlText w:val=""/>
      <w:lvlJc w:val="left"/>
      <w:pPr>
        <w:ind w:left="4320" w:hanging="360"/>
      </w:pPr>
      <w:rPr>
        <w:rFonts w:ascii="Wingdings" w:hAnsi="Wingdings" w:hint="default"/>
      </w:rPr>
    </w:lvl>
    <w:lvl w:ilvl="6" w:tplc="1EC27268">
      <w:start w:val="1"/>
      <w:numFmt w:val="bullet"/>
      <w:lvlText w:val=""/>
      <w:lvlJc w:val="left"/>
      <w:pPr>
        <w:ind w:left="5040" w:hanging="360"/>
      </w:pPr>
      <w:rPr>
        <w:rFonts w:ascii="Symbol" w:hAnsi="Symbol" w:hint="default"/>
      </w:rPr>
    </w:lvl>
    <w:lvl w:ilvl="7" w:tplc="5A1C5A10">
      <w:start w:val="1"/>
      <w:numFmt w:val="bullet"/>
      <w:lvlText w:val="o"/>
      <w:lvlJc w:val="left"/>
      <w:pPr>
        <w:ind w:left="5760" w:hanging="360"/>
      </w:pPr>
      <w:rPr>
        <w:rFonts w:ascii="Courier New" w:hAnsi="Courier New" w:hint="default"/>
      </w:rPr>
    </w:lvl>
    <w:lvl w:ilvl="8" w:tplc="99ACE0BC">
      <w:start w:val="1"/>
      <w:numFmt w:val="bullet"/>
      <w:lvlText w:val=""/>
      <w:lvlJc w:val="left"/>
      <w:pPr>
        <w:ind w:left="6480" w:hanging="360"/>
      </w:pPr>
      <w:rPr>
        <w:rFonts w:ascii="Wingdings" w:hAnsi="Wingdings" w:hint="default"/>
      </w:rPr>
    </w:lvl>
  </w:abstractNum>
  <w:abstractNum w:abstractNumId="2" w15:restartNumberingAfterBreak="0">
    <w:nsid w:val="1BA4DC3B"/>
    <w:multiLevelType w:val="hybridMultilevel"/>
    <w:tmpl w:val="03A2A5A6"/>
    <w:lvl w:ilvl="0" w:tplc="842AD93C">
      <w:start w:val="1"/>
      <w:numFmt w:val="bullet"/>
      <w:lvlText w:val=""/>
      <w:lvlJc w:val="left"/>
      <w:pPr>
        <w:ind w:left="720" w:hanging="360"/>
      </w:pPr>
      <w:rPr>
        <w:rFonts w:ascii="Symbol" w:hAnsi="Symbol" w:hint="default"/>
      </w:rPr>
    </w:lvl>
    <w:lvl w:ilvl="1" w:tplc="586EF2E8">
      <w:start w:val="1"/>
      <w:numFmt w:val="bullet"/>
      <w:lvlText w:val="o"/>
      <w:lvlJc w:val="left"/>
      <w:pPr>
        <w:ind w:left="1440" w:hanging="360"/>
      </w:pPr>
      <w:rPr>
        <w:rFonts w:ascii="Courier New" w:hAnsi="Courier New" w:hint="default"/>
      </w:rPr>
    </w:lvl>
    <w:lvl w:ilvl="2" w:tplc="41BC18E8">
      <w:start w:val="1"/>
      <w:numFmt w:val="bullet"/>
      <w:lvlText w:val=""/>
      <w:lvlJc w:val="left"/>
      <w:pPr>
        <w:ind w:left="2160" w:hanging="360"/>
      </w:pPr>
      <w:rPr>
        <w:rFonts w:ascii="Wingdings" w:hAnsi="Wingdings" w:hint="default"/>
      </w:rPr>
    </w:lvl>
    <w:lvl w:ilvl="3" w:tplc="EB9A2B88">
      <w:start w:val="1"/>
      <w:numFmt w:val="bullet"/>
      <w:lvlText w:val=""/>
      <w:lvlJc w:val="left"/>
      <w:pPr>
        <w:ind w:left="2880" w:hanging="360"/>
      </w:pPr>
      <w:rPr>
        <w:rFonts w:ascii="Symbol" w:hAnsi="Symbol" w:hint="default"/>
      </w:rPr>
    </w:lvl>
    <w:lvl w:ilvl="4" w:tplc="78B2CB58">
      <w:start w:val="1"/>
      <w:numFmt w:val="bullet"/>
      <w:lvlText w:val="o"/>
      <w:lvlJc w:val="left"/>
      <w:pPr>
        <w:ind w:left="3600" w:hanging="360"/>
      </w:pPr>
      <w:rPr>
        <w:rFonts w:ascii="Courier New" w:hAnsi="Courier New" w:hint="default"/>
      </w:rPr>
    </w:lvl>
    <w:lvl w:ilvl="5" w:tplc="7EA88D62">
      <w:start w:val="1"/>
      <w:numFmt w:val="bullet"/>
      <w:lvlText w:val=""/>
      <w:lvlJc w:val="left"/>
      <w:pPr>
        <w:ind w:left="4320" w:hanging="360"/>
      </w:pPr>
      <w:rPr>
        <w:rFonts w:ascii="Wingdings" w:hAnsi="Wingdings" w:hint="default"/>
      </w:rPr>
    </w:lvl>
    <w:lvl w:ilvl="6" w:tplc="74928E52">
      <w:start w:val="1"/>
      <w:numFmt w:val="bullet"/>
      <w:lvlText w:val=""/>
      <w:lvlJc w:val="left"/>
      <w:pPr>
        <w:ind w:left="5040" w:hanging="360"/>
      </w:pPr>
      <w:rPr>
        <w:rFonts w:ascii="Symbol" w:hAnsi="Symbol" w:hint="default"/>
      </w:rPr>
    </w:lvl>
    <w:lvl w:ilvl="7" w:tplc="55587808">
      <w:start w:val="1"/>
      <w:numFmt w:val="bullet"/>
      <w:lvlText w:val="o"/>
      <w:lvlJc w:val="left"/>
      <w:pPr>
        <w:ind w:left="5760" w:hanging="360"/>
      </w:pPr>
      <w:rPr>
        <w:rFonts w:ascii="Courier New" w:hAnsi="Courier New" w:hint="default"/>
      </w:rPr>
    </w:lvl>
    <w:lvl w:ilvl="8" w:tplc="5F2C7BCE">
      <w:start w:val="1"/>
      <w:numFmt w:val="bullet"/>
      <w:lvlText w:val=""/>
      <w:lvlJc w:val="left"/>
      <w:pPr>
        <w:ind w:left="6480" w:hanging="360"/>
      </w:pPr>
      <w:rPr>
        <w:rFonts w:ascii="Wingdings" w:hAnsi="Wingdings" w:hint="default"/>
      </w:rPr>
    </w:lvl>
  </w:abstractNum>
  <w:abstractNum w:abstractNumId="3" w15:restartNumberingAfterBreak="0">
    <w:nsid w:val="2C5E6C0A"/>
    <w:multiLevelType w:val="hybridMultilevel"/>
    <w:tmpl w:val="F4006422"/>
    <w:lvl w:ilvl="0" w:tplc="0B74B34E">
      <w:start w:val="1"/>
      <w:numFmt w:val="bullet"/>
      <w:lvlText w:val=""/>
      <w:lvlJc w:val="left"/>
      <w:pPr>
        <w:ind w:left="720" w:hanging="360"/>
      </w:pPr>
      <w:rPr>
        <w:rFonts w:ascii="Symbol" w:hAnsi="Symbol" w:hint="default"/>
      </w:rPr>
    </w:lvl>
    <w:lvl w:ilvl="1" w:tplc="422ACC6A">
      <w:start w:val="1"/>
      <w:numFmt w:val="bullet"/>
      <w:lvlText w:val="o"/>
      <w:lvlJc w:val="left"/>
      <w:pPr>
        <w:ind w:left="1440" w:hanging="360"/>
      </w:pPr>
      <w:rPr>
        <w:rFonts w:ascii="Courier New" w:hAnsi="Courier New" w:hint="default"/>
      </w:rPr>
    </w:lvl>
    <w:lvl w:ilvl="2" w:tplc="B0E61000">
      <w:start w:val="1"/>
      <w:numFmt w:val="bullet"/>
      <w:lvlText w:val=""/>
      <w:lvlJc w:val="left"/>
      <w:pPr>
        <w:ind w:left="2160" w:hanging="360"/>
      </w:pPr>
      <w:rPr>
        <w:rFonts w:ascii="Wingdings" w:hAnsi="Wingdings" w:hint="default"/>
      </w:rPr>
    </w:lvl>
    <w:lvl w:ilvl="3" w:tplc="14008DDE">
      <w:start w:val="1"/>
      <w:numFmt w:val="bullet"/>
      <w:lvlText w:val=""/>
      <w:lvlJc w:val="left"/>
      <w:pPr>
        <w:ind w:left="2880" w:hanging="360"/>
      </w:pPr>
      <w:rPr>
        <w:rFonts w:ascii="Symbol" w:hAnsi="Symbol" w:hint="default"/>
      </w:rPr>
    </w:lvl>
    <w:lvl w:ilvl="4" w:tplc="1D0A8006">
      <w:start w:val="1"/>
      <w:numFmt w:val="bullet"/>
      <w:lvlText w:val="o"/>
      <w:lvlJc w:val="left"/>
      <w:pPr>
        <w:ind w:left="3600" w:hanging="360"/>
      </w:pPr>
      <w:rPr>
        <w:rFonts w:ascii="Courier New" w:hAnsi="Courier New" w:hint="default"/>
      </w:rPr>
    </w:lvl>
    <w:lvl w:ilvl="5" w:tplc="08167720">
      <w:start w:val="1"/>
      <w:numFmt w:val="bullet"/>
      <w:lvlText w:val=""/>
      <w:lvlJc w:val="left"/>
      <w:pPr>
        <w:ind w:left="4320" w:hanging="360"/>
      </w:pPr>
      <w:rPr>
        <w:rFonts w:ascii="Wingdings" w:hAnsi="Wingdings" w:hint="default"/>
      </w:rPr>
    </w:lvl>
    <w:lvl w:ilvl="6" w:tplc="67B6123C">
      <w:start w:val="1"/>
      <w:numFmt w:val="bullet"/>
      <w:lvlText w:val=""/>
      <w:lvlJc w:val="left"/>
      <w:pPr>
        <w:ind w:left="5040" w:hanging="360"/>
      </w:pPr>
      <w:rPr>
        <w:rFonts w:ascii="Symbol" w:hAnsi="Symbol" w:hint="default"/>
      </w:rPr>
    </w:lvl>
    <w:lvl w:ilvl="7" w:tplc="CEB0E166">
      <w:start w:val="1"/>
      <w:numFmt w:val="bullet"/>
      <w:lvlText w:val="o"/>
      <w:lvlJc w:val="left"/>
      <w:pPr>
        <w:ind w:left="5760" w:hanging="360"/>
      </w:pPr>
      <w:rPr>
        <w:rFonts w:ascii="Courier New" w:hAnsi="Courier New" w:hint="default"/>
      </w:rPr>
    </w:lvl>
    <w:lvl w:ilvl="8" w:tplc="B3BCD480">
      <w:start w:val="1"/>
      <w:numFmt w:val="bullet"/>
      <w:lvlText w:val=""/>
      <w:lvlJc w:val="left"/>
      <w:pPr>
        <w:ind w:left="6480" w:hanging="360"/>
      </w:pPr>
      <w:rPr>
        <w:rFonts w:ascii="Wingdings" w:hAnsi="Wingdings" w:hint="default"/>
      </w:rPr>
    </w:lvl>
  </w:abstractNum>
  <w:abstractNum w:abstractNumId="4" w15:restartNumberingAfterBreak="0">
    <w:nsid w:val="2D82919B"/>
    <w:multiLevelType w:val="hybridMultilevel"/>
    <w:tmpl w:val="736A4E84"/>
    <w:lvl w:ilvl="0" w:tplc="ACC6D210">
      <w:start w:val="1"/>
      <w:numFmt w:val="bullet"/>
      <w:lvlText w:val=""/>
      <w:lvlJc w:val="left"/>
      <w:pPr>
        <w:ind w:left="720" w:hanging="360"/>
      </w:pPr>
      <w:rPr>
        <w:rFonts w:ascii="Symbol" w:hAnsi="Symbol" w:hint="default"/>
      </w:rPr>
    </w:lvl>
    <w:lvl w:ilvl="1" w:tplc="271CBC9A">
      <w:start w:val="1"/>
      <w:numFmt w:val="bullet"/>
      <w:lvlText w:val="o"/>
      <w:lvlJc w:val="left"/>
      <w:pPr>
        <w:ind w:left="1440" w:hanging="360"/>
      </w:pPr>
      <w:rPr>
        <w:rFonts w:ascii="Courier New" w:hAnsi="Courier New" w:hint="default"/>
      </w:rPr>
    </w:lvl>
    <w:lvl w:ilvl="2" w:tplc="F61AF15A">
      <w:start w:val="1"/>
      <w:numFmt w:val="bullet"/>
      <w:lvlText w:val=""/>
      <w:lvlJc w:val="left"/>
      <w:pPr>
        <w:ind w:left="2160" w:hanging="360"/>
      </w:pPr>
      <w:rPr>
        <w:rFonts w:ascii="Wingdings" w:hAnsi="Wingdings" w:hint="default"/>
      </w:rPr>
    </w:lvl>
    <w:lvl w:ilvl="3" w:tplc="B71C3CB2">
      <w:start w:val="1"/>
      <w:numFmt w:val="bullet"/>
      <w:lvlText w:val=""/>
      <w:lvlJc w:val="left"/>
      <w:pPr>
        <w:ind w:left="2880" w:hanging="360"/>
      </w:pPr>
      <w:rPr>
        <w:rFonts w:ascii="Symbol" w:hAnsi="Symbol" w:hint="default"/>
      </w:rPr>
    </w:lvl>
    <w:lvl w:ilvl="4" w:tplc="E48A37A4">
      <w:start w:val="1"/>
      <w:numFmt w:val="bullet"/>
      <w:lvlText w:val="o"/>
      <w:lvlJc w:val="left"/>
      <w:pPr>
        <w:ind w:left="3600" w:hanging="360"/>
      </w:pPr>
      <w:rPr>
        <w:rFonts w:ascii="Courier New" w:hAnsi="Courier New" w:hint="default"/>
      </w:rPr>
    </w:lvl>
    <w:lvl w:ilvl="5" w:tplc="DF38FC24">
      <w:start w:val="1"/>
      <w:numFmt w:val="bullet"/>
      <w:lvlText w:val=""/>
      <w:lvlJc w:val="left"/>
      <w:pPr>
        <w:ind w:left="4320" w:hanging="360"/>
      </w:pPr>
      <w:rPr>
        <w:rFonts w:ascii="Wingdings" w:hAnsi="Wingdings" w:hint="default"/>
      </w:rPr>
    </w:lvl>
    <w:lvl w:ilvl="6" w:tplc="9C48FDE6">
      <w:start w:val="1"/>
      <w:numFmt w:val="bullet"/>
      <w:lvlText w:val=""/>
      <w:lvlJc w:val="left"/>
      <w:pPr>
        <w:ind w:left="5040" w:hanging="360"/>
      </w:pPr>
      <w:rPr>
        <w:rFonts w:ascii="Symbol" w:hAnsi="Symbol" w:hint="default"/>
      </w:rPr>
    </w:lvl>
    <w:lvl w:ilvl="7" w:tplc="2342E800">
      <w:start w:val="1"/>
      <w:numFmt w:val="bullet"/>
      <w:lvlText w:val="o"/>
      <w:lvlJc w:val="left"/>
      <w:pPr>
        <w:ind w:left="5760" w:hanging="360"/>
      </w:pPr>
      <w:rPr>
        <w:rFonts w:ascii="Courier New" w:hAnsi="Courier New" w:hint="default"/>
      </w:rPr>
    </w:lvl>
    <w:lvl w:ilvl="8" w:tplc="EFFADE58">
      <w:start w:val="1"/>
      <w:numFmt w:val="bullet"/>
      <w:lvlText w:val=""/>
      <w:lvlJc w:val="left"/>
      <w:pPr>
        <w:ind w:left="6480" w:hanging="360"/>
      </w:pPr>
      <w:rPr>
        <w:rFonts w:ascii="Wingdings" w:hAnsi="Wingdings" w:hint="default"/>
      </w:rPr>
    </w:lvl>
  </w:abstractNum>
  <w:abstractNum w:abstractNumId="5" w15:restartNumberingAfterBreak="0">
    <w:nsid w:val="357E356B"/>
    <w:multiLevelType w:val="hybridMultilevel"/>
    <w:tmpl w:val="FD44C744"/>
    <w:lvl w:ilvl="0" w:tplc="1D2A1DD2">
      <w:start w:val="1"/>
      <w:numFmt w:val="bullet"/>
      <w:lvlText w:val=""/>
      <w:lvlJc w:val="left"/>
      <w:pPr>
        <w:ind w:left="720" w:hanging="360"/>
      </w:pPr>
      <w:rPr>
        <w:rFonts w:ascii="Wingdings" w:hAnsi="Wingdings" w:hint="default"/>
      </w:rPr>
    </w:lvl>
    <w:lvl w:ilvl="1" w:tplc="4E34A542">
      <w:start w:val="1"/>
      <w:numFmt w:val="bullet"/>
      <w:lvlText w:val="o"/>
      <w:lvlJc w:val="left"/>
      <w:pPr>
        <w:ind w:left="1440" w:hanging="360"/>
      </w:pPr>
      <w:rPr>
        <w:rFonts w:ascii="Courier New" w:hAnsi="Courier New" w:hint="default"/>
      </w:rPr>
    </w:lvl>
    <w:lvl w:ilvl="2" w:tplc="79FE9918">
      <w:start w:val="1"/>
      <w:numFmt w:val="bullet"/>
      <w:lvlText w:val=""/>
      <w:lvlJc w:val="left"/>
      <w:pPr>
        <w:ind w:left="2160" w:hanging="360"/>
      </w:pPr>
      <w:rPr>
        <w:rFonts w:ascii="Wingdings" w:hAnsi="Wingdings" w:hint="default"/>
      </w:rPr>
    </w:lvl>
    <w:lvl w:ilvl="3" w:tplc="A11E8404">
      <w:start w:val="1"/>
      <w:numFmt w:val="bullet"/>
      <w:lvlText w:val=""/>
      <w:lvlJc w:val="left"/>
      <w:pPr>
        <w:ind w:left="2880" w:hanging="360"/>
      </w:pPr>
      <w:rPr>
        <w:rFonts w:ascii="Symbol" w:hAnsi="Symbol" w:hint="default"/>
      </w:rPr>
    </w:lvl>
    <w:lvl w:ilvl="4" w:tplc="F23C9F76">
      <w:start w:val="1"/>
      <w:numFmt w:val="bullet"/>
      <w:lvlText w:val="o"/>
      <w:lvlJc w:val="left"/>
      <w:pPr>
        <w:ind w:left="3600" w:hanging="360"/>
      </w:pPr>
      <w:rPr>
        <w:rFonts w:ascii="Courier New" w:hAnsi="Courier New" w:hint="default"/>
      </w:rPr>
    </w:lvl>
    <w:lvl w:ilvl="5" w:tplc="D802479A">
      <w:start w:val="1"/>
      <w:numFmt w:val="bullet"/>
      <w:lvlText w:val=""/>
      <w:lvlJc w:val="left"/>
      <w:pPr>
        <w:ind w:left="4320" w:hanging="360"/>
      </w:pPr>
      <w:rPr>
        <w:rFonts w:ascii="Wingdings" w:hAnsi="Wingdings" w:hint="default"/>
      </w:rPr>
    </w:lvl>
    <w:lvl w:ilvl="6" w:tplc="7436D0EC">
      <w:start w:val="1"/>
      <w:numFmt w:val="bullet"/>
      <w:lvlText w:val=""/>
      <w:lvlJc w:val="left"/>
      <w:pPr>
        <w:ind w:left="5040" w:hanging="360"/>
      </w:pPr>
      <w:rPr>
        <w:rFonts w:ascii="Symbol" w:hAnsi="Symbol" w:hint="default"/>
      </w:rPr>
    </w:lvl>
    <w:lvl w:ilvl="7" w:tplc="8D1AAC10">
      <w:start w:val="1"/>
      <w:numFmt w:val="bullet"/>
      <w:lvlText w:val="o"/>
      <w:lvlJc w:val="left"/>
      <w:pPr>
        <w:ind w:left="5760" w:hanging="360"/>
      </w:pPr>
      <w:rPr>
        <w:rFonts w:ascii="Courier New" w:hAnsi="Courier New" w:hint="default"/>
      </w:rPr>
    </w:lvl>
    <w:lvl w:ilvl="8" w:tplc="915E3EC4">
      <w:start w:val="1"/>
      <w:numFmt w:val="bullet"/>
      <w:lvlText w:val=""/>
      <w:lvlJc w:val="left"/>
      <w:pPr>
        <w:ind w:left="6480" w:hanging="360"/>
      </w:pPr>
      <w:rPr>
        <w:rFonts w:ascii="Wingdings" w:hAnsi="Wingdings" w:hint="default"/>
      </w:rPr>
    </w:lvl>
  </w:abstractNum>
  <w:abstractNum w:abstractNumId="6" w15:restartNumberingAfterBreak="0">
    <w:nsid w:val="3B24D1A3"/>
    <w:multiLevelType w:val="hybridMultilevel"/>
    <w:tmpl w:val="2AEAA3AA"/>
    <w:lvl w:ilvl="0" w:tplc="1C60CEA2">
      <w:start w:val="1"/>
      <w:numFmt w:val="bullet"/>
      <w:lvlText w:val=""/>
      <w:lvlJc w:val="left"/>
      <w:pPr>
        <w:ind w:left="720" w:hanging="360"/>
      </w:pPr>
      <w:rPr>
        <w:rFonts w:ascii="Symbol" w:hAnsi="Symbol" w:hint="default"/>
      </w:rPr>
    </w:lvl>
    <w:lvl w:ilvl="1" w:tplc="9272A0A4">
      <w:start w:val="1"/>
      <w:numFmt w:val="bullet"/>
      <w:lvlText w:val="o"/>
      <w:lvlJc w:val="left"/>
      <w:pPr>
        <w:ind w:left="1440" w:hanging="360"/>
      </w:pPr>
      <w:rPr>
        <w:rFonts w:ascii="Courier New" w:hAnsi="Courier New" w:hint="default"/>
      </w:rPr>
    </w:lvl>
    <w:lvl w:ilvl="2" w:tplc="37145C88">
      <w:start w:val="1"/>
      <w:numFmt w:val="bullet"/>
      <w:lvlText w:val=""/>
      <w:lvlJc w:val="left"/>
      <w:pPr>
        <w:ind w:left="2160" w:hanging="360"/>
      </w:pPr>
      <w:rPr>
        <w:rFonts w:ascii="Wingdings" w:hAnsi="Wingdings" w:hint="default"/>
      </w:rPr>
    </w:lvl>
    <w:lvl w:ilvl="3" w:tplc="5E50B0E4">
      <w:start w:val="1"/>
      <w:numFmt w:val="bullet"/>
      <w:lvlText w:val=""/>
      <w:lvlJc w:val="left"/>
      <w:pPr>
        <w:ind w:left="2880" w:hanging="360"/>
      </w:pPr>
      <w:rPr>
        <w:rFonts w:ascii="Symbol" w:hAnsi="Symbol" w:hint="default"/>
      </w:rPr>
    </w:lvl>
    <w:lvl w:ilvl="4" w:tplc="A8D44130">
      <w:start w:val="1"/>
      <w:numFmt w:val="bullet"/>
      <w:lvlText w:val="o"/>
      <w:lvlJc w:val="left"/>
      <w:pPr>
        <w:ind w:left="3600" w:hanging="360"/>
      </w:pPr>
      <w:rPr>
        <w:rFonts w:ascii="Courier New" w:hAnsi="Courier New" w:hint="default"/>
      </w:rPr>
    </w:lvl>
    <w:lvl w:ilvl="5" w:tplc="2E363E9A">
      <w:start w:val="1"/>
      <w:numFmt w:val="bullet"/>
      <w:lvlText w:val=""/>
      <w:lvlJc w:val="left"/>
      <w:pPr>
        <w:ind w:left="4320" w:hanging="360"/>
      </w:pPr>
      <w:rPr>
        <w:rFonts w:ascii="Wingdings" w:hAnsi="Wingdings" w:hint="default"/>
      </w:rPr>
    </w:lvl>
    <w:lvl w:ilvl="6" w:tplc="22D6DF1C">
      <w:start w:val="1"/>
      <w:numFmt w:val="bullet"/>
      <w:lvlText w:val=""/>
      <w:lvlJc w:val="left"/>
      <w:pPr>
        <w:ind w:left="5040" w:hanging="360"/>
      </w:pPr>
      <w:rPr>
        <w:rFonts w:ascii="Symbol" w:hAnsi="Symbol" w:hint="default"/>
      </w:rPr>
    </w:lvl>
    <w:lvl w:ilvl="7" w:tplc="FA205B70">
      <w:start w:val="1"/>
      <w:numFmt w:val="bullet"/>
      <w:lvlText w:val="o"/>
      <w:lvlJc w:val="left"/>
      <w:pPr>
        <w:ind w:left="5760" w:hanging="360"/>
      </w:pPr>
      <w:rPr>
        <w:rFonts w:ascii="Courier New" w:hAnsi="Courier New" w:hint="default"/>
      </w:rPr>
    </w:lvl>
    <w:lvl w:ilvl="8" w:tplc="33105D36">
      <w:start w:val="1"/>
      <w:numFmt w:val="bullet"/>
      <w:lvlText w:val=""/>
      <w:lvlJc w:val="left"/>
      <w:pPr>
        <w:ind w:left="6480" w:hanging="360"/>
      </w:pPr>
      <w:rPr>
        <w:rFonts w:ascii="Wingdings" w:hAnsi="Wingdings" w:hint="default"/>
      </w:rPr>
    </w:lvl>
  </w:abstractNum>
  <w:abstractNum w:abstractNumId="7" w15:restartNumberingAfterBreak="0">
    <w:nsid w:val="406A3B47"/>
    <w:multiLevelType w:val="hybridMultilevel"/>
    <w:tmpl w:val="D110CDB2"/>
    <w:lvl w:ilvl="0" w:tplc="CFC67244">
      <w:start w:val="1"/>
      <w:numFmt w:val="bullet"/>
      <w:lvlText w:val=""/>
      <w:lvlJc w:val="left"/>
      <w:pPr>
        <w:ind w:left="720" w:hanging="360"/>
      </w:pPr>
      <w:rPr>
        <w:rFonts w:ascii="Wingdings" w:hAnsi="Wingdings" w:hint="default"/>
      </w:rPr>
    </w:lvl>
    <w:lvl w:ilvl="1" w:tplc="2DB4DE66">
      <w:start w:val="1"/>
      <w:numFmt w:val="bullet"/>
      <w:lvlText w:val="o"/>
      <w:lvlJc w:val="left"/>
      <w:pPr>
        <w:ind w:left="1440" w:hanging="360"/>
      </w:pPr>
      <w:rPr>
        <w:rFonts w:ascii="Courier New" w:hAnsi="Courier New" w:hint="default"/>
      </w:rPr>
    </w:lvl>
    <w:lvl w:ilvl="2" w:tplc="A16E871C">
      <w:start w:val="1"/>
      <w:numFmt w:val="bullet"/>
      <w:lvlText w:val=""/>
      <w:lvlJc w:val="left"/>
      <w:pPr>
        <w:ind w:left="2160" w:hanging="360"/>
      </w:pPr>
      <w:rPr>
        <w:rFonts w:ascii="Wingdings" w:hAnsi="Wingdings" w:hint="default"/>
      </w:rPr>
    </w:lvl>
    <w:lvl w:ilvl="3" w:tplc="AAE24130">
      <w:start w:val="1"/>
      <w:numFmt w:val="bullet"/>
      <w:lvlText w:val=""/>
      <w:lvlJc w:val="left"/>
      <w:pPr>
        <w:ind w:left="2880" w:hanging="360"/>
      </w:pPr>
      <w:rPr>
        <w:rFonts w:ascii="Symbol" w:hAnsi="Symbol" w:hint="default"/>
      </w:rPr>
    </w:lvl>
    <w:lvl w:ilvl="4" w:tplc="6054D45C">
      <w:start w:val="1"/>
      <w:numFmt w:val="bullet"/>
      <w:lvlText w:val="o"/>
      <w:lvlJc w:val="left"/>
      <w:pPr>
        <w:ind w:left="3600" w:hanging="360"/>
      </w:pPr>
      <w:rPr>
        <w:rFonts w:ascii="Courier New" w:hAnsi="Courier New" w:hint="default"/>
      </w:rPr>
    </w:lvl>
    <w:lvl w:ilvl="5" w:tplc="6CFEB090">
      <w:start w:val="1"/>
      <w:numFmt w:val="bullet"/>
      <w:lvlText w:val=""/>
      <w:lvlJc w:val="left"/>
      <w:pPr>
        <w:ind w:left="4320" w:hanging="360"/>
      </w:pPr>
      <w:rPr>
        <w:rFonts w:ascii="Wingdings" w:hAnsi="Wingdings" w:hint="default"/>
      </w:rPr>
    </w:lvl>
    <w:lvl w:ilvl="6" w:tplc="F4DE8F06">
      <w:start w:val="1"/>
      <w:numFmt w:val="bullet"/>
      <w:lvlText w:val=""/>
      <w:lvlJc w:val="left"/>
      <w:pPr>
        <w:ind w:left="5040" w:hanging="360"/>
      </w:pPr>
      <w:rPr>
        <w:rFonts w:ascii="Symbol" w:hAnsi="Symbol" w:hint="default"/>
      </w:rPr>
    </w:lvl>
    <w:lvl w:ilvl="7" w:tplc="61009928">
      <w:start w:val="1"/>
      <w:numFmt w:val="bullet"/>
      <w:lvlText w:val="o"/>
      <w:lvlJc w:val="left"/>
      <w:pPr>
        <w:ind w:left="5760" w:hanging="360"/>
      </w:pPr>
      <w:rPr>
        <w:rFonts w:ascii="Courier New" w:hAnsi="Courier New" w:hint="default"/>
      </w:rPr>
    </w:lvl>
    <w:lvl w:ilvl="8" w:tplc="30DE3E8C">
      <w:start w:val="1"/>
      <w:numFmt w:val="bullet"/>
      <w:lvlText w:val=""/>
      <w:lvlJc w:val="left"/>
      <w:pPr>
        <w:ind w:left="6480" w:hanging="360"/>
      </w:pPr>
      <w:rPr>
        <w:rFonts w:ascii="Wingdings" w:hAnsi="Wingdings" w:hint="default"/>
      </w:rPr>
    </w:lvl>
  </w:abstractNum>
  <w:abstractNum w:abstractNumId="8" w15:restartNumberingAfterBreak="0">
    <w:nsid w:val="4AB96355"/>
    <w:multiLevelType w:val="hybridMultilevel"/>
    <w:tmpl w:val="15A0F092"/>
    <w:lvl w:ilvl="0" w:tplc="CF4401F0">
      <w:start w:val="4"/>
      <w:numFmt w:val="lowerLetter"/>
      <w:lvlText w:val="(%1)"/>
      <w:lvlJc w:val="left"/>
      <w:pPr>
        <w:ind w:left="302"/>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1" w:tplc="BC602D70">
      <w:start w:val="1"/>
      <w:numFmt w:val="lowerLetter"/>
      <w:lvlText w:val="%2"/>
      <w:lvlJc w:val="left"/>
      <w:pPr>
        <w:ind w:left="11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2" w:tplc="7E48212C">
      <w:start w:val="1"/>
      <w:numFmt w:val="lowerRoman"/>
      <w:lvlText w:val="%3"/>
      <w:lvlJc w:val="left"/>
      <w:pPr>
        <w:ind w:left="19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3" w:tplc="1E9C9F66">
      <w:start w:val="1"/>
      <w:numFmt w:val="decimal"/>
      <w:lvlText w:val="%4"/>
      <w:lvlJc w:val="left"/>
      <w:pPr>
        <w:ind w:left="26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4" w:tplc="B2C4A65C">
      <w:start w:val="1"/>
      <w:numFmt w:val="lowerLetter"/>
      <w:lvlText w:val="%5"/>
      <w:lvlJc w:val="left"/>
      <w:pPr>
        <w:ind w:left="334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5" w:tplc="8ABE3184">
      <w:start w:val="1"/>
      <w:numFmt w:val="lowerRoman"/>
      <w:lvlText w:val="%6"/>
      <w:lvlJc w:val="left"/>
      <w:pPr>
        <w:ind w:left="406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6" w:tplc="E1B2F7DA">
      <w:start w:val="1"/>
      <w:numFmt w:val="decimal"/>
      <w:lvlText w:val="%7"/>
      <w:lvlJc w:val="left"/>
      <w:pPr>
        <w:ind w:left="478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7" w:tplc="F81CD2C2">
      <w:start w:val="1"/>
      <w:numFmt w:val="lowerLetter"/>
      <w:lvlText w:val="%8"/>
      <w:lvlJc w:val="left"/>
      <w:pPr>
        <w:ind w:left="550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lvl w:ilvl="8" w:tplc="E7C63784">
      <w:start w:val="1"/>
      <w:numFmt w:val="lowerRoman"/>
      <w:lvlText w:val="%9"/>
      <w:lvlJc w:val="left"/>
      <w:pPr>
        <w:ind w:left="6226"/>
      </w:pPr>
      <w:rPr>
        <w:rFonts w:ascii="Arial" w:eastAsia="Arial" w:hAnsi="Arial" w:cs="Arial"/>
        <w:b w:val="0"/>
        <w:i/>
        <w:iCs/>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F67539B"/>
    <w:multiLevelType w:val="hybridMultilevel"/>
    <w:tmpl w:val="625E3A5C"/>
    <w:lvl w:ilvl="0" w:tplc="50A67CE0">
      <w:start w:val="1"/>
      <w:numFmt w:val="bullet"/>
      <w:lvlText w:val=""/>
      <w:lvlJc w:val="left"/>
      <w:pPr>
        <w:ind w:left="720" w:hanging="360"/>
      </w:pPr>
      <w:rPr>
        <w:rFonts w:ascii="Symbol" w:hAnsi="Symbol" w:hint="default"/>
      </w:rPr>
    </w:lvl>
    <w:lvl w:ilvl="1" w:tplc="3368970E">
      <w:start w:val="1"/>
      <w:numFmt w:val="bullet"/>
      <w:lvlText w:val="o"/>
      <w:lvlJc w:val="left"/>
      <w:pPr>
        <w:ind w:left="1440" w:hanging="360"/>
      </w:pPr>
      <w:rPr>
        <w:rFonts w:ascii="Courier New" w:hAnsi="Courier New" w:hint="default"/>
      </w:rPr>
    </w:lvl>
    <w:lvl w:ilvl="2" w:tplc="73A89772">
      <w:start w:val="1"/>
      <w:numFmt w:val="bullet"/>
      <w:lvlText w:val=""/>
      <w:lvlJc w:val="left"/>
      <w:pPr>
        <w:ind w:left="2160" w:hanging="360"/>
      </w:pPr>
      <w:rPr>
        <w:rFonts w:ascii="Wingdings" w:hAnsi="Wingdings" w:hint="default"/>
      </w:rPr>
    </w:lvl>
    <w:lvl w:ilvl="3" w:tplc="74AC6BA0">
      <w:start w:val="1"/>
      <w:numFmt w:val="bullet"/>
      <w:lvlText w:val=""/>
      <w:lvlJc w:val="left"/>
      <w:pPr>
        <w:ind w:left="2880" w:hanging="360"/>
      </w:pPr>
      <w:rPr>
        <w:rFonts w:ascii="Symbol" w:hAnsi="Symbol" w:hint="default"/>
      </w:rPr>
    </w:lvl>
    <w:lvl w:ilvl="4" w:tplc="578ABCB0">
      <w:start w:val="1"/>
      <w:numFmt w:val="bullet"/>
      <w:lvlText w:val="o"/>
      <w:lvlJc w:val="left"/>
      <w:pPr>
        <w:ind w:left="3600" w:hanging="360"/>
      </w:pPr>
      <w:rPr>
        <w:rFonts w:ascii="Courier New" w:hAnsi="Courier New" w:hint="default"/>
      </w:rPr>
    </w:lvl>
    <w:lvl w:ilvl="5" w:tplc="3208D6D6">
      <w:start w:val="1"/>
      <w:numFmt w:val="bullet"/>
      <w:lvlText w:val=""/>
      <w:lvlJc w:val="left"/>
      <w:pPr>
        <w:ind w:left="4320" w:hanging="360"/>
      </w:pPr>
      <w:rPr>
        <w:rFonts w:ascii="Wingdings" w:hAnsi="Wingdings" w:hint="default"/>
      </w:rPr>
    </w:lvl>
    <w:lvl w:ilvl="6" w:tplc="523EAE92">
      <w:start w:val="1"/>
      <w:numFmt w:val="bullet"/>
      <w:lvlText w:val=""/>
      <w:lvlJc w:val="left"/>
      <w:pPr>
        <w:ind w:left="5040" w:hanging="360"/>
      </w:pPr>
      <w:rPr>
        <w:rFonts w:ascii="Symbol" w:hAnsi="Symbol" w:hint="default"/>
      </w:rPr>
    </w:lvl>
    <w:lvl w:ilvl="7" w:tplc="986AC48E">
      <w:start w:val="1"/>
      <w:numFmt w:val="bullet"/>
      <w:lvlText w:val="o"/>
      <w:lvlJc w:val="left"/>
      <w:pPr>
        <w:ind w:left="5760" w:hanging="360"/>
      </w:pPr>
      <w:rPr>
        <w:rFonts w:ascii="Courier New" w:hAnsi="Courier New" w:hint="default"/>
      </w:rPr>
    </w:lvl>
    <w:lvl w:ilvl="8" w:tplc="F7DA1248">
      <w:start w:val="1"/>
      <w:numFmt w:val="bullet"/>
      <w:lvlText w:val=""/>
      <w:lvlJc w:val="left"/>
      <w:pPr>
        <w:ind w:left="6480" w:hanging="360"/>
      </w:pPr>
      <w:rPr>
        <w:rFonts w:ascii="Wingdings" w:hAnsi="Wingdings" w:hint="default"/>
      </w:rPr>
    </w:lvl>
  </w:abstractNum>
  <w:abstractNum w:abstractNumId="10" w15:restartNumberingAfterBreak="0">
    <w:nsid w:val="51CF6049"/>
    <w:multiLevelType w:val="hybridMultilevel"/>
    <w:tmpl w:val="AE58F4FE"/>
    <w:lvl w:ilvl="0" w:tplc="6E8A1C4A">
      <w:start w:val="1"/>
      <w:numFmt w:val="bullet"/>
      <w:lvlText w:val=""/>
      <w:lvlJc w:val="left"/>
      <w:pPr>
        <w:ind w:left="720" w:hanging="360"/>
      </w:pPr>
      <w:rPr>
        <w:rFonts w:ascii="Symbol" w:hAnsi="Symbol" w:hint="default"/>
      </w:rPr>
    </w:lvl>
    <w:lvl w:ilvl="1" w:tplc="A62C9372">
      <w:start w:val="1"/>
      <w:numFmt w:val="bullet"/>
      <w:lvlText w:val="o"/>
      <w:lvlJc w:val="left"/>
      <w:pPr>
        <w:ind w:left="1440" w:hanging="360"/>
      </w:pPr>
      <w:rPr>
        <w:rFonts w:ascii="Courier New" w:hAnsi="Courier New" w:hint="default"/>
      </w:rPr>
    </w:lvl>
    <w:lvl w:ilvl="2" w:tplc="E40EA8D2">
      <w:start w:val="1"/>
      <w:numFmt w:val="bullet"/>
      <w:lvlText w:val=""/>
      <w:lvlJc w:val="left"/>
      <w:pPr>
        <w:ind w:left="2160" w:hanging="360"/>
      </w:pPr>
      <w:rPr>
        <w:rFonts w:ascii="Wingdings" w:hAnsi="Wingdings" w:hint="default"/>
      </w:rPr>
    </w:lvl>
    <w:lvl w:ilvl="3" w:tplc="EBBC0F20">
      <w:start w:val="1"/>
      <w:numFmt w:val="bullet"/>
      <w:lvlText w:val=""/>
      <w:lvlJc w:val="left"/>
      <w:pPr>
        <w:ind w:left="2880" w:hanging="360"/>
      </w:pPr>
      <w:rPr>
        <w:rFonts w:ascii="Symbol" w:hAnsi="Symbol" w:hint="default"/>
      </w:rPr>
    </w:lvl>
    <w:lvl w:ilvl="4" w:tplc="C2D84C2E">
      <w:start w:val="1"/>
      <w:numFmt w:val="bullet"/>
      <w:lvlText w:val="o"/>
      <w:lvlJc w:val="left"/>
      <w:pPr>
        <w:ind w:left="3600" w:hanging="360"/>
      </w:pPr>
      <w:rPr>
        <w:rFonts w:ascii="Courier New" w:hAnsi="Courier New" w:hint="default"/>
      </w:rPr>
    </w:lvl>
    <w:lvl w:ilvl="5" w:tplc="0382E05E">
      <w:start w:val="1"/>
      <w:numFmt w:val="bullet"/>
      <w:lvlText w:val=""/>
      <w:lvlJc w:val="left"/>
      <w:pPr>
        <w:ind w:left="4320" w:hanging="360"/>
      </w:pPr>
      <w:rPr>
        <w:rFonts w:ascii="Wingdings" w:hAnsi="Wingdings" w:hint="default"/>
      </w:rPr>
    </w:lvl>
    <w:lvl w:ilvl="6" w:tplc="30A8292E">
      <w:start w:val="1"/>
      <w:numFmt w:val="bullet"/>
      <w:lvlText w:val=""/>
      <w:lvlJc w:val="left"/>
      <w:pPr>
        <w:ind w:left="5040" w:hanging="360"/>
      </w:pPr>
      <w:rPr>
        <w:rFonts w:ascii="Symbol" w:hAnsi="Symbol" w:hint="default"/>
      </w:rPr>
    </w:lvl>
    <w:lvl w:ilvl="7" w:tplc="5414D494">
      <w:start w:val="1"/>
      <w:numFmt w:val="bullet"/>
      <w:lvlText w:val="o"/>
      <w:lvlJc w:val="left"/>
      <w:pPr>
        <w:ind w:left="5760" w:hanging="360"/>
      </w:pPr>
      <w:rPr>
        <w:rFonts w:ascii="Courier New" w:hAnsi="Courier New" w:hint="default"/>
      </w:rPr>
    </w:lvl>
    <w:lvl w:ilvl="8" w:tplc="F132AB46">
      <w:start w:val="1"/>
      <w:numFmt w:val="bullet"/>
      <w:lvlText w:val=""/>
      <w:lvlJc w:val="left"/>
      <w:pPr>
        <w:ind w:left="6480" w:hanging="360"/>
      </w:pPr>
      <w:rPr>
        <w:rFonts w:ascii="Wingdings" w:hAnsi="Wingdings" w:hint="default"/>
      </w:rPr>
    </w:lvl>
  </w:abstractNum>
  <w:abstractNum w:abstractNumId="11" w15:restartNumberingAfterBreak="0">
    <w:nsid w:val="5850F637"/>
    <w:multiLevelType w:val="hybridMultilevel"/>
    <w:tmpl w:val="C164BEEC"/>
    <w:lvl w:ilvl="0" w:tplc="1EB69780">
      <w:start w:val="1"/>
      <w:numFmt w:val="bullet"/>
      <w:lvlText w:val=""/>
      <w:lvlJc w:val="left"/>
      <w:pPr>
        <w:ind w:left="720" w:hanging="360"/>
      </w:pPr>
      <w:rPr>
        <w:rFonts w:ascii="Symbol" w:hAnsi="Symbol" w:hint="default"/>
      </w:rPr>
    </w:lvl>
    <w:lvl w:ilvl="1" w:tplc="90FC95E6">
      <w:start w:val="1"/>
      <w:numFmt w:val="bullet"/>
      <w:lvlText w:val="o"/>
      <w:lvlJc w:val="left"/>
      <w:pPr>
        <w:ind w:left="1440" w:hanging="360"/>
      </w:pPr>
      <w:rPr>
        <w:rFonts w:ascii="Courier New" w:hAnsi="Courier New" w:hint="default"/>
      </w:rPr>
    </w:lvl>
    <w:lvl w:ilvl="2" w:tplc="34A2A280">
      <w:start w:val="1"/>
      <w:numFmt w:val="bullet"/>
      <w:lvlText w:val=""/>
      <w:lvlJc w:val="left"/>
      <w:pPr>
        <w:ind w:left="2160" w:hanging="360"/>
      </w:pPr>
      <w:rPr>
        <w:rFonts w:ascii="Wingdings" w:hAnsi="Wingdings" w:hint="default"/>
      </w:rPr>
    </w:lvl>
    <w:lvl w:ilvl="3" w:tplc="B91257B8">
      <w:start w:val="1"/>
      <w:numFmt w:val="bullet"/>
      <w:lvlText w:val=""/>
      <w:lvlJc w:val="left"/>
      <w:pPr>
        <w:ind w:left="2880" w:hanging="360"/>
      </w:pPr>
      <w:rPr>
        <w:rFonts w:ascii="Symbol" w:hAnsi="Symbol" w:hint="default"/>
      </w:rPr>
    </w:lvl>
    <w:lvl w:ilvl="4" w:tplc="C234D686">
      <w:start w:val="1"/>
      <w:numFmt w:val="bullet"/>
      <w:lvlText w:val="o"/>
      <w:lvlJc w:val="left"/>
      <w:pPr>
        <w:ind w:left="3600" w:hanging="360"/>
      </w:pPr>
      <w:rPr>
        <w:rFonts w:ascii="Courier New" w:hAnsi="Courier New" w:hint="default"/>
      </w:rPr>
    </w:lvl>
    <w:lvl w:ilvl="5" w:tplc="9280CEC4">
      <w:start w:val="1"/>
      <w:numFmt w:val="bullet"/>
      <w:lvlText w:val=""/>
      <w:lvlJc w:val="left"/>
      <w:pPr>
        <w:ind w:left="4320" w:hanging="360"/>
      </w:pPr>
      <w:rPr>
        <w:rFonts w:ascii="Wingdings" w:hAnsi="Wingdings" w:hint="default"/>
      </w:rPr>
    </w:lvl>
    <w:lvl w:ilvl="6" w:tplc="EFF2C7F4">
      <w:start w:val="1"/>
      <w:numFmt w:val="bullet"/>
      <w:lvlText w:val=""/>
      <w:lvlJc w:val="left"/>
      <w:pPr>
        <w:ind w:left="5040" w:hanging="360"/>
      </w:pPr>
      <w:rPr>
        <w:rFonts w:ascii="Symbol" w:hAnsi="Symbol" w:hint="default"/>
      </w:rPr>
    </w:lvl>
    <w:lvl w:ilvl="7" w:tplc="99D0599C">
      <w:start w:val="1"/>
      <w:numFmt w:val="bullet"/>
      <w:lvlText w:val="o"/>
      <w:lvlJc w:val="left"/>
      <w:pPr>
        <w:ind w:left="5760" w:hanging="360"/>
      </w:pPr>
      <w:rPr>
        <w:rFonts w:ascii="Courier New" w:hAnsi="Courier New" w:hint="default"/>
      </w:rPr>
    </w:lvl>
    <w:lvl w:ilvl="8" w:tplc="49DE4410">
      <w:start w:val="1"/>
      <w:numFmt w:val="bullet"/>
      <w:lvlText w:val=""/>
      <w:lvlJc w:val="left"/>
      <w:pPr>
        <w:ind w:left="6480" w:hanging="360"/>
      </w:pPr>
      <w:rPr>
        <w:rFonts w:ascii="Wingdings" w:hAnsi="Wingdings" w:hint="default"/>
      </w:rPr>
    </w:lvl>
  </w:abstractNum>
  <w:abstractNum w:abstractNumId="12" w15:restartNumberingAfterBreak="0">
    <w:nsid w:val="7AE7BC39"/>
    <w:multiLevelType w:val="hybridMultilevel"/>
    <w:tmpl w:val="C2C45C5A"/>
    <w:lvl w:ilvl="0" w:tplc="4C629A5E">
      <w:start w:val="1"/>
      <w:numFmt w:val="bullet"/>
      <w:lvlText w:val=""/>
      <w:lvlJc w:val="left"/>
      <w:pPr>
        <w:ind w:left="720" w:hanging="360"/>
      </w:pPr>
      <w:rPr>
        <w:rFonts w:ascii="Symbol" w:hAnsi="Symbol" w:hint="default"/>
      </w:rPr>
    </w:lvl>
    <w:lvl w:ilvl="1" w:tplc="8AFC755C">
      <w:start w:val="1"/>
      <w:numFmt w:val="bullet"/>
      <w:lvlText w:val="o"/>
      <w:lvlJc w:val="left"/>
      <w:pPr>
        <w:ind w:left="1440" w:hanging="360"/>
      </w:pPr>
      <w:rPr>
        <w:rFonts w:ascii="Courier New" w:hAnsi="Courier New" w:hint="default"/>
      </w:rPr>
    </w:lvl>
    <w:lvl w:ilvl="2" w:tplc="B994D07E">
      <w:start w:val="1"/>
      <w:numFmt w:val="bullet"/>
      <w:lvlText w:val=""/>
      <w:lvlJc w:val="left"/>
      <w:pPr>
        <w:ind w:left="2160" w:hanging="360"/>
      </w:pPr>
      <w:rPr>
        <w:rFonts w:ascii="Wingdings" w:hAnsi="Wingdings" w:hint="default"/>
      </w:rPr>
    </w:lvl>
    <w:lvl w:ilvl="3" w:tplc="F7DC5A52">
      <w:start w:val="1"/>
      <w:numFmt w:val="bullet"/>
      <w:lvlText w:val=""/>
      <w:lvlJc w:val="left"/>
      <w:pPr>
        <w:ind w:left="2880" w:hanging="360"/>
      </w:pPr>
      <w:rPr>
        <w:rFonts w:ascii="Symbol" w:hAnsi="Symbol" w:hint="default"/>
      </w:rPr>
    </w:lvl>
    <w:lvl w:ilvl="4" w:tplc="6786DDDC">
      <w:start w:val="1"/>
      <w:numFmt w:val="bullet"/>
      <w:lvlText w:val="o"/>
      <w:lvlJc w:val="left"/>
      <w:pPr>
        <w:ind w:left="3600" w:hanging="360"/>
      </w:pPr>
      <w:rPr>
        <w:rFonts w:ascii="Courier New" w:hAnsi="Courier New" w:hint="default"/>
      </w:rPr>
    </w:lvl>
    <w:lvl w:ilvl="5" w:tplc="FD86C22C">
      <w:start w:val="1"/>
      <w:numFmt w:val="bullet"/>
      <w:lvlText w:val=""/>
      <w:lvlJc w:val="left"/>
      <w:pPr>
        <w:ind w:left="4320" w:hanging="360"/>
      </w:pPr>
      <w:rPr>
        <w:rFonts w:ascii="Wingdings" w:hAnsi="Wingdings" w:hint="default"/>
      </w:rPr>
    </w:lvl>
    <w:lvl w:ilvl="6" w:tplc="B55E79BC">
      <w:start w:val="1"/>
      <w:numFmt w:val="bullet"/>
      <w:lvlText w:val=""/>
      <w:lvlJc w:val="left"/>
      <w:pPr>
        <w:ind w:left="5040" w:hanging="360"/>
      </w:pPr>
      <w:rPr>
        <w:rFonts w:ascii="Symbol" w:hAnsi="Symbol" w:hint="default"/>
      </w:rPr>
    </w:lvl>
    <w:lvl w:ilvl="7" w:tplc="8D18368A">
      <w:start w:val="1"/>
      <w:numFmt w:val="bullet"/>
      <w:lvlText w:val="o"/>
      <w:lvlJc w:val="left"/>
      <w:pPr>
        <w:ind w:left="5760" w:hanging="360"/>
      </w:pPr>
      <w:rPr>
        <w:rFonts w:ascii="Courier New" w:hAnsi="Courier New" w:hint="default"/>
      </w:rPr>
    </w:lvl>
    <w:lvl w:ilvl="8" w:tplc="98F2ED76">
      <w:start w:val="1"/>
      <w:numFmt w:val="bullet"/>
      <w:lvlText w:val=""/>
      <w:lvlJc w:val="left"/>
      <w:pPr>
        <w:ind w:left="6480" w:hanging="360"/>
      </w:pPr>
      <w:rPr>
        <w:rFonts w:ascii="Wingdings" w:hAnsi="Wingdings" w:hint="default"/>
      </w:rPr>
    </w:lvl>
  </w:abstractNum>
  <w:num w:numId="1" w16cid:durableId="1511719595">
    <w:abstractNumId w:val="7"/>
  </w:num>
  <w:num w:numId="2" w16cid:durableId="671185555">
    <w:abstractNumId w:val="5"/>
  </w:num>
  <w:num w:numId="3" w16cid:durableId="209802270">
    <w:abstractNumId w:val="12"/>
  </w:num>
  <w:num w:numId="4" w16cid:durableId="1145124829">
    <w:abstractNumId w:val="1"/>
  </w:num>
  <w:num w:numId="5" w16cid:durableId="64231522">
    <w:abstractNumId w:val="9"/>
  </w:num>
  <w:num w:numId="6" w16cid:durableId="1720281289">
    <w:abstractNumId w:val="10"/>
  </w:num>
  <w:num w:numId="7" w16cid:durableId="580988195">
    <w:abstractNumId w:val="4"/>
  </w:num>
  <w:num w:numId="8" w16cid:durableId="24790742">
    <w:abstractNumId w:val="11"/>
  </w:num>
  <w:num w:numId="9" w16cid:durableId="1928032812">
    <w:abstractNumId w:val="6"/>
  </w:num>
  <w:num w:numId="10" w16cid:durableId="199099627">
    <w:abstractNumId w:val="2"/>
  </w:num>
  <w:num w:numId="11" w16cid:durableId="1947037935">
    <w:abstractNumId w:val="3"/>
  </w:num>
  <w:num w:numId="12" w16cid:durableId="882250666">
    <w:abstractNumId w:val="8"/>
  </w:num>
  <w:num w:numId="13" w16cid:durableId="17247952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784C7F6"/>
    <w:rsid w:val="00053084"/>
    <w:rsid w:val="00053A37"/>
    <w:rsid w:val="0005654F"/>
    <w:rsid w:val="000610B6"/>
    <w:rsid w:val="00061C17"/>
    <w:rsid w:val="00061C1D"/>
    <w:rsid w:val="0007280E"/>
    <w:rsid w:val="000766DA"/>
    <w:rsid w:val="0009574B"/>
    <w:rsid w:val="000C4744"/>
    <w:rsid w:val="000C5A2F"/>
    <w:rsid w:val="000C7BAB"/>
    <w:rsid w:val="000D4E76"/>
    <w:rsid w:val="001241EC"/>
    <w:rsid w:val="00133CDB"/>
    <w:rsid w:val="00135515"/>
    <w:rsid w:val="00170F11"/>
    <w:rsid w:val="00175C8E"/>
    <w:rsid w:val="00193AEF"/>
    <w:rsid w:val="001961FD"/>
    <w:rsid w:val="001E3B65"/>
    <w:rsid w:val="001F5679"/>
    <w:rsid w:val="002308CB"/>
    <w:rsid w:val="00232D66"/>
    <w:rsid w:val="00233B6E"/>
    <w:rsid w:val="002341DA"/>
    <w:rsid w:val="00235960"/>
    <w:rsid w:val="00254353"/>
    <w:rsid w:val="00256EFB"/>
    <w:rsid w:val="00262DEE"/>
    <w:rsid w:val="002675ED"/>
    <w:rsid w:val="00267FD0"/>
    <w:rsid w:val="00295B77"/>
    <w:rsid w:val="002A2986"/>
    <w:rsid w:val="002A4464"/>
    <w:rsid w:val="002A6126"/>
    <w:rsid w:val="002B3432"/>
    <w:rsid w:val="002B41DF"/>
    <w:rsid w:val="002B4BF7"/>
    <w:rsid w:val="002C0C92"/>
    <w:rsid w:val="002C66E2"/>
    <w:rsid w:val="002D7C90"/>
    <w:rsid w:val="002F0877"/>
    <w:rsid w:val="00337F00"/>
    <w:rsid w:val="00370989"/>
    <w:rsid w:val="00372271"/>
    <w:rsid w:val="003934CC"/>
    <w:rsid w:val="003B0B73"/>
    <w:rsid w:val="003B26E8"/>
    <w:rsid w:val="003B36CE"/>
    <w:rsid w:val="003B6DB1"/>
    <w:rsid w:val="003B7306"/>
    <w:rsid w:val="00400828"/>
    <w:rsid w:val="004017AC"/>
    <w:rsid w:val="00403B62"/>
    <w:rsid w:val="00425782"/>
    <w:rsid w:val="004315B8"/>
    <w:rsid w:val="00451FA7"/>
    <w:rsid w:val="00472D57"/>
    <w:rsid w:val="004756FA"/>
    <w:rsid w:val="004774B5"/>
    <w:rsid w:val="00492A23"/>
    <w:rsid w:val="004931E7"/>
    <w:rsid w:val="004A6187"/>
    <w:rsid w:val="004B54CE"/>
    <w:rsid w:val="004C1126"/>
    <w:rsid w:val="004C6511"/>
    <w:rsid w:val="004D2F65"/>
    <w:rsid w:val="005025D7"/>
    <w:rsid w:val="00507DE2"/>
    <w:rsid w:val="005102E0"/>
    <w:rsid w:val="00525502"/>
    <w:rsid w:val="00530695"/>
    <w:rsid w:val="005737DF"/>
    <w:rsid w:val="005744D7"/>
    <w:rsid w:val="00594BDD"/>
    <w:rsid w:val="00595BD6"/>
    <w:rsid w:val="005D131A"/>
    <w:rsid w:val="005E18D4"/>
    <w:rsid w:val="006053FD"/>
    <w:rsid w:val="00606673"/>
    <w:rsid w:val="0062419D"/>
    <w:rsid w:val="00650F99"/>
    <w:rsid w:val="00652AD5"/>
    <w:rsid w:val="006637C5"/>
    <w:rsid w:val="00671E2D"/>
    <w:rsid w:val="0069071B"/>
    <w:rsid w:val="00692DD3"/>
    <w:rsid w:val="006B3E51"/>
    <w:rsid w:val="006C3E9C"/>
    <w:rsid w:val="006D229B"/>
    <w:rsid w:val="006F38F5"/>
    <w:rsid w:val="006F3B38"/>
    <w:rsid w:val="006F7EE6"/>
    <w:rsid w:val="00701A9C"/>
    <w:rsid w:val="00716BFE"/>
    <w:rsid w:val="00734445"/>
    <w:rsid w:val="0073652B"/>
    <w:rsid w:val="00736CF1"/>
    <w:rsid w:val="00743A79"/>
    <w:rsid w:val="00751BDD"/>
    <w:rsid w:val="00796C4A"/>
    <w:rsid w:val="007C185B"/>
    <w:rsid w:val="007C739F"/>
    <w:rsid w:val="007D3C07"/>
    <w:rsid w:val="007E23A2"/>
    <w:rsid w:val="007E729C"/>
    <w:rsid w:val="00801938"/>
    <w:rsid w:val="00817071"/>
    <w:rsid w:val="0084741A"/>
    <w:rsid w:val="00866599"/>
    <w:rsid w:val="008954C0"/>
    <w:rsid w:val="008A7867"/>
    <w:rsid w:val="008D0D7A"/>
    <w:rsid w:val="00910659"/>
    <w:rsid w:val="00910B84"/>
    <w:rsid w:val="009223BC"/>
    <w:rsid w:val="00930C51"/>
    <w:rsid w:val="0095008D"/>
    <w:rsid w:val="00960021"/>
    <w:rsid w:val="009647AE"/>
    <w:rsid w:val="009802E9"/>
    <w:rsid w:val="009867B0"/>
    <w:rsid w:val="009A192C"/>
    <w:rsid w:val="009D33C0"/>
    <w:rsid w:val="009E30DA"/>
    <w:rsid w:val="00A009C5"/>
    <w:rsid w:val="00A5210A"/>
    <w:rsid w:val="00A5669A"/>
    <w:rsid w:val="00A65BAD"/>
    <w:rsid w:val="00AB749E"/>
    <w:rsid w:val="00AC1068"/>
    <w:rsid w:val="00AD68E2"/>
    <w:rsid w:val="00AE4165"/>
    <w:rsid w:val="00AE66E2"/>
    <w:rsid w:val="00B018F1"/>
    <w:rsid w:val="00B02FE1"/>
    <w:rsid w:val="00B32F4F"/>
    <w:rsid w:val="00B34D09"/>
    <w:rsid w:val="00B35AC8"/>
    <w:rsid w:val="00B453A1"/>
    <w:rsid w:val="00B45E93"/>
    <w:rsid w:val="00B470C6"/>
    <w:rsid w:val="00B63CDA"/>
    <w:rsid w:val="00B82391"/>
    <w:rsid w:val="00B96BAE"/>
    <w:rsid w:val="00BC3CEA"/>
    <w:rsid w:val="00BF04CA"/>
    <w:rsid w:val="00C0321A"/>
    <w:rsid w:val="00C249F9"/>
    <w:rsid w:val="00C70464"/>
    <w:rsid w:val="00C71E2B"/>
    <w:rsid w:val="00C76866"/>
    <w:rsid w:val="00C83CB6"/>
    <w:rsid w:val="00C94AB8"/>
    <w:rsid w:val="00D04C99"/>
    <w:rsid w:val="00D07B66"/>
    <w:rsid w:val="00D16BB2"/>
    <w:rsid w:val="00D2572F"/>
    <w:rsid w:val="00D25A4E"/>
    <w:rsid w:val="00D76434"/>
    <w:rsid w:val="00D84C3B"/>
    <w:rsid w:val="00DA4C79"/>
    <w:rsid w:val="00DA6CDC"/>
    <w:rsid w:val="00DC5030"/>
    <w:rsid w:val="00DD1999"/>
    <w:rsid w:val="00DE5C8B"/>
    <w:rsid w:val="00E0259C"/>
    <w:rsid w:val="00E03AFD"/>
    <w:rsid w:val="00E10EA2"/>
    <w:rsid w:val="00E5689B"/>
    <w:rsid w:val="00E86118"/>
    <w:rsid w:val="00E94F4C"/>
    <w:rsid w:val="00E96557"/>
    <w:rsid w:val="00EA53AA"/>
    <w:rsid w:val="00EB52F8"/>
    <w:rsid w:val="00EC0CD2"/>
    <w:rsid w:val="00EC72AB"/>
    <w:rsid w:val="00ED3BED"/>
    <w:rsid w:val="00F36FAB"/>
    <w:rsid w:val="00F42824"/>
    <w:rsid w:val="00F42A31"/>
    <w:rsid w:val="00F507DB"/>
    <w:rsid w:val="00F56543"/>
    <w:rsid w:val="00F819F4"/>
    <w:rsid w:val="00F91D7A"/>
    <w:rsid w:val="00FA5A97"/>
    <w:rsid w:val="00FB60E0"/>
    <w:rsid w:val="00FE16B2"/>
    <w:rsid w:val="00FE5F7A"/>
    <w:rsid w:val="010BD85B"/>
    <w:rsid w:val="01250105"/>
    <w:rsid w:val="01320B32"/>
    <w:rsid w:val="01579940"/>
    <w:rsid w:val="01A6E283"/>
    <w:rsid w:val="01A71FA9"/>
    <w:rsid w:val="01E24C44"/>
    <w:rsid w:val="01F2AE4C"/>
    <w:rsid w:val="02040FFF"/>
    <w:rsid w:val="022939A1"/>
    <w:rsid w:val="024C3AEC"/>
    <w:rsid w:val="02E87268"/>
    <w:rsid w:val="0305F4AD"/>
    <w:rsid w:val="03F7FA1C"/>
    <w:rsid w:val="0402B60A"/>
    <w:rsid w:val="041CC832"/>
    <w:rsid w:val="047ADDFC"/>
    <w:rsid w:val="04C4F180"/>
    <w:rsid w:val="04C82FE3"/>
    <w:rsid w:val="04F7B388"/>
    <w:rsid w:val="0544CE9D"/>
    <w:rsid w:val="0570E79B"/>
    <w:rsid w:val="0588412E"/>
    <w:rsid w:val="05B25AB4"/>
    <w:rsid w:val="05C5A8FB"/>
    <w:rsid w:val="05CE778A"/>
    <w:rsid w:val="0601AB55"/>
    <w:rsid w:val="0606A5B4"/>
    <w:rsid w:val="061C0790"/>
    <w:rsid w:val="063C42C3"/>
    <w:rsid w:val="063CD8C6"/>
    <w:rsid w:val="0642A8AF"/>
    <w:rsid w:val="069A10A7"/>
    <w:rsid w:val="06D87F64"/>
    <w:rsid w:val="0703A2A8"/>
    <w:rsid w:val="075F81DD"/>
    <w:rsid w:val="0787C558"/>
    <w:rsid w:val="07C7308F"/>
    <w:rsid w:val="07E781CE"/>
    <w:rsid w:val="07EBC9AD"/>
    <w:rsid w:val="083EECD5"/>
    <w:rsid w:val="08588832"/>
    <w:rsid w:val="087D20E6"/>
    <w:rsid w:val="0938FF9F"/>
    <w:rsid w:val="095F6B44"/>
    <w:rsid w:val="09680E6D"/>
    <w:rsid w:val="0991C94F"/>
    <w:rsid w:val="09952F04"/>
    <w:rsid w:val="09959CF9"/>
    <w:rsid w:val="099EEF37"/>
    <w:rsid w:val="09B1FE1C"/>
    <w:rsid w:val="09B48D77"/>
    <w:rsid w:val="09F07DE0"/>
    <w:rsid w:val="0A3455FE"/>
    <w:rsid w:val="0A5D8A98"/>
    <w:rsid w:val="0A6BE466"/>
    <w:rsid w:val="0A8B8256"/>
    <w:rsid w:val="0A9A8BEE"/>
    <w:rsid w:val="0AC899C7"/>
    <w:rsid w:val="0B44E730"/>
    <w:rsid w:val="0B503747"/>
    <w:rsid w:val="0B88C71B"/>
    <w:rsid w:val="0BA30642"/>
    <w:rsid w:val="0BCDD0AF"/>
    <w:rsid w:val="0BFCF515"/>
    <w:rsid w:val="0C070826"/>
    <w:rsid w:val="0C28FB40"/>
    <w:rsid w:val="0C2E06FB"/>
    <w:rsid w:val="0CA244AD"/>
    <w:rsid w:val="0CB7744E"/>
    <w:rsid w:val="0CEEE6E5"/>
    <w:rsid w:val="0CF05F15"/>
    <w:rsid w:val="0D20F31F"/>
    <w:rsid w:val="0D3A12C9"/>
    <w:rsid w:val="0D4068D4"/>
    <w:rsid w:val="0D74CF49"/>
    <w:rsid w:val="0DB18998"/>
    <w:rsid w:val="0DE01E4F"/>
    <w:rsid w:val="0E0A60F8"/>
    <w:rsid w:val="0E51D117"/>
    <w:rsid w:val="0E560DCD"/>
    <w:rsid w:val="0E7A52DF"/>
    <w:rsid w:val="0EE30800"/>
    <w:rsid w:val="0F029F4E"/>
    <w:rsid w:val="0F10BC7E"/>
    <w:rsid w:val="0F289F70"/>
    <w:rsid w:val="0F2934F5"/>
    <w:rsid w:val="0F7F025F"/>
    <w:rsid w:val="0F933C15"/>
    <w:rsid w:val="0FACDD3F"/>
    <w:rsid w:val="0FC7B237"/>
    <w:rsid w:val="1014A594"/>
    <w:rsid w:val="1031A6CD"/>
    <w:rsid w:val="1037D3BD"/>
    <w:rsid w:val="10EB2642"/>
    <w:rsid w:val="11294869"/>
    <w:rsid w:val="1145A13A"/>
    <w:rsid w:val="114BC3F0"/>
    <w:rsid w:val="11940408"/>
    <w:rsid w:val="11E07E8B"/>
    <w:rsid w:val="1243DC1B"/>
    <w:rsid w:val="124AA3DC"/>
    <w:rsid w:val="12620A43"/>
    <w:rsid w:val="127C905E"/>
    <w:rsid w:val="12982B5B"/>
    <w:rsid w:val="1309A58B"/>
    <w:rsid w:val="13137D54"/>
    <w:rsid w:val="1352B43D"/>
    <w:rsid w:val="13978C0C"/>
    <w:rsid w:val="13A65522"/>
    <w:rsid w:val="13E6C6E7"/>
    <w:rsid w:val="13FA406D"/>
    <w:rsid w:val="148CF653"/>
    <w:rsid w:val="14DC6D0A"/>
    <w:rsid w:val="14DD1784"/>
    <w:rsid w:val="14E14D73"/>
    <w:rsid w:val="14EAF1F4"/>
    <w:rsid w:val="14F6B008"/>
    <w:rsid w:val="1562D0BD"/>
    <w:rsid w:val="15A2F698"/>
    <w:rsid w:val="15C09D93"/>
    <w:rsid w:val="15C6A640"/>
    <w:rsid w:val="160E59D5"/>
    <w:rsid w:val="1653DC37"/>
    <w:rsid w:val="16A13AC0"/>
    <w:rsid w:val="16A1F770"/>
    <w:rsid w:val="17092397"/>
    <w:rsid w:val="170CC5EE"/>
    <w:rsid w:val="171B4AE9"/>
    <w:rsid w:val="172BE0B9"/>
    <w:rsid w:val="1758DFBA"/>
    <w:rsid w:val="1784C7F6"/>
    <w:rsid w:val="1792EB1C"/>
    <w:rsid w:val="17A8E7A4"/>
    <w:rsid w:val="17C36507"/>
    <w:rsid w:val="1810DEA4"/>
    <w:rsid w:val="181ED8CC"/>
    <w:rsid w:val="1823B130"/>
    <w:rsid w:val="184F7254"/>
    <w:rsid w:val="1851A5BF"/>
    <w:rsid w:val="18595806"/>
    <w:rsid w:val="1880037B"/>
    <w:rsid w:val="18BEEDEC"/>
    <w:rsid w:val="18EDD04A"/>
    <w:rsid w:val="18F77485"/>
    <w:rsid w:val="19192685"/>
    <w:rsid w:val="193976A3"/>
    <w:rsid w:val="1969E595"/>
    <w:rsid w:val="19C707C3"/>
    <w:rsid w:val="1A2A420C"/>
    <w:rsid w:val="1AE248B3"/>
    <w:rsid w:val="1B12EE83"/>
    <w:rsid w:val="1B20D37D"/>
    <w:rsid w:val="1B62114E"/>
    <w:rsid w:val="1BCFBE9B"/>
    <w:rsid w:val="1BD68BCD"/>
    <w:rsid w:val="1BE9EEF2"/>
    <w:rsid w:val="1BEABE51"/>
    <w:rsid w:val="1C3EC83C"/>
    <w:rsid w:val="1C4823B0"/>
    <w:rsid w:val="1C708AF7"/>
    <w:rsid w:val="1C830F58"/>
    <w:rsid w:val="1CC337AF"/>
    <w:rsid w:val="1CE33EDE"/>
    <w:rsid w:val="1D041F1A"/>
    <w:rsid w:val="1D4F69BC"/>
    <w:rsid w:val="1D780400"/>
    <w:rsid w:val="1D79577A"/>
    <w:rsid w:val="1D9074F9"/>
    <w:rsid w:val="1DD865FD"/>
    <w:rsid w:val="1E2AC41E"/>
    <w:rsid w:val="1E5A75DE"/>
    <w:rsid w:val="1E785FE3"/>
    <w:rsid w:val="1EAB7419"/>
    <w:rsid w:val="1EACDD11"/>
    <w:rsid w:val="1EBCAF49"/>
    <w:rsid w:val="1ECD812D"/>
    <w:rsid w:val="1ED24F17"/>
    <w:rsid w:val="1F010B0E"/>
    <w:rsid w:val="1F0D8F3D"/>
    <w:rsid w:val="1F26F8FD"/>
    <w:rsid w:val="1F39CE78"/>
    <w:rsid w:val="1F7C4319"/>
    <w:rsid w:val="1F7FC663"/>
    <w:rsid w:val="1FCD23BC"/>
    <w:rsid w:val="201BDF3C"/>
    <w:rsid w:val="2029FCFA"/>
    <w:rsid w:val="2063D7E4"/>
    <w:rsid w:val="2071898F"/>
    <w:rsid w:val="20966810"/>
    <w:rsid w:val="209F7DCB"/>
    <w:rsid w:val="20A4BA14"/>
    <w:rsid w:val="20AEE196"/>
    <w:rsid w:val="20B064E9"/>
    <w:rsid w:val="20C3C39E"/>
    <w:rsid w:val="20C8930A"/>
    <w:rsid w:val="20DC1BB2"/>
    <w:rsid w:val="20F97642"/>
    <w:rsid w:val="211DAD7A"/>
    <w:rsid w:val="212CA5C0"/>
    <w:rsid w:val="214E919A"/>
    <w:rsid w:val="219327B8"/>
    <w:rsid w:val="219A1A2A"/>
    <w:rsid w:val="2213D192"/>
    <w:rsid w:val="22356337"/>
    <w:rsid w:val="223F6AAB"/>
    <w:rsid w:val="22784AA7"/>
    <w:rsid w:val="227F13FE"/>
    <w:rsid w:val="22B3CA68"/>
    <w:rsid w:val="22D04085"/>
    <w:rsid w:val="2317E262"/>
    <w:rsid w:val="233D7B6E"/>
    <w:rsid w:val="23580964"/>
    <w:rsid w:val="240625A4"/>
    <w:rsid w:val="244E85CD"/>
    <w:rsid w:val="246E56F0"/>
    <w:rsid w:val="2499D3E9"/>
    <w:rsid w:val="2499FCBF"/>
    <w:rsid w:val="24CDC0C0"/>
    <w:rsid w:val="255AC4BF"/>
    <w:rsid w:val="257D9F8D"/>
    <w:rsid w:val="2584F62B"/>
    <w:rsid w:val="259EA727"/>
    <w:rsid w:val="25A39433"/>
    <w:rsid w:val="2605CAA5"/>
    <w:rsid w:val="26222DAC"/>
    <w:rsid w:val="2622FC74"/>
    <w:rsid w:val="26753F70"/>
    <w:rsid w:val="268F0BA5"/>
    <w:rsid w:val="269D75D8"/>
    <w:rsid w:val="26A4403C"/>
    <w:rsid w:val="26A62540"/>
    <w:rsid w:val="26D53E6B"/>
    <w:rsid w:val="26E41D0B"/>
    <w:rsid w:val="26FA2D96"/>
    <w:rsid w:val="26FBF5C8"/>
    <w:rsid w:val="271AEA6A"/>
    <w:rsid w:val="276E4820"/>
    <w:rsid w:val="27B4ACA6"/>
    <w:rsid w:val="27CF95CA"/>
    <w:rsid w:val="27EF349F"/>
    <w:rsid w:val="2831273E"/>
    <w:rsid w:val="283E5A34"/>
    <w:rsid w:val="286C4145"/>
    <w:rsid w:val="2916FAB6"/>
    <w:rsid w:val="29341F55"/>
    <w:rsid w:val="2934C3A3"/>
    <w:rsid w:val="298271D3"/>
    <w:rsid w:val="2986126F"/>
    <w:rsid w:val="29C311B5"/>
    <w:rsid w:val="2A41628B"/>
    <w:rsid w:val="2AE08BF2"/>
    <w:rsid w:val="2AE455F2"/>
    <w:rsid w:val="2AFC645D"/>
    <w:rsid w:val="2B501802"/>
    <w:rsid w:val="2B56B7D4"/>
    <w:rsid w:val="2B75AC73"/>
    <w:rsid w:val="2B7F5D72"/>
    <w:rsid w:val="2BA8A736"/>
    <w:rsid w:val="2BCFF7CA"/>
    <w:rsid w:val="2C1AADD0"/>
    <w:rsid w:val="2C8403D4"/>
    <w:rsid w:val="2CDE3290"/>
    <w:rsid w:val="2CF11097"/>
    <w:rsid w:val="2CF8C63C"/>
    <w:rsid w:val="2D18F268"/>
    <w:rsid w:val="2D2D9625"/>
    <w:rsid w:val="2D51A894"/>
    <w:rsid w:val="2DBFF41E"/>
    <w:rsid w:val="2DC90B8C"/>
    <w:rsid w:val="2DEC6CB6"/>
    <w:rsid w:val="2E4158E0"/>
    <w:rsid w:val="2E4D3F20"/>
    <w:rsid w:val="2E733ADC"/>
    <w:rsid w:val="2EB0CCDA"/>
    <w:rsid w:val="2EB38B15"/>
    <w:rsid w:val="2EC4F124"/>
    <w:rsid w:val="2F15EFD8"/>
    <w:rsid w:val="2F425F7B"/>
    <w:rsid w:val="2F557CEC"/>
    <w:rsid w:val="2FB974BE"/>
    <w:rsid w:val="2FC63C9B"/>
    <w:rsid w:val="2FD019EC"/>
    <w:rsid w:val="2FE551ED"/>
    <w:rsid w:val="2FF330D5"/>
    <w:rsid w:val="3000FCF9"/>
    <w:rsid w:val="30103C67"/>
    <w:rsid w:val="30141FE6"/>
    <w:rsid w:val="3033EC0C"/>
    <w:rsid w:val="30433C1A"/>
    <w:rsid w:val="30778C5F"/>
    <w:rsid w:val="307904F7"/>
    <w:rsid w:val="307F10A5"/>
    <w:rsid w:val="310B8B2E"/>
    <w:rsid w:val="3166CF46"/>
    <w:rsid w:val="316DB517"/>
    <w:rsid w:val="31C94EE4"/>
    <w:rsid w:val="31D5E37A"/>
    <w:rsid w:val="32035047"/>
    <w:rsid w:val="32309BD3"/>
    <w:rsid w:val="323D0316"/>
    <w:rsid w:val="325C1BDC"/>
    <w:rsid w:val="3279292D"/>
    <w:rsid w:val="32818554"/>
    <w:rsid w:val="32BD2DDF"/>
    <w:rsid w:val="3309AA6F"/>
    <w:rsid w:val="3359E8C7"/>
    <w:rsid w:val="338A6146"/>
    <w:rsid w:val="33954E55"/>
    <w:rsid w:val="33BF3051"/>
    <w:rsid w:val="33DFF15D"/>
    <w:rsid w:val="340452FE"/>
    <w:rsid w:val="345D869A"/>
    <w:rsid w:val="34A60CC7"/>
    <w:rsid w:val="350336E4"/>
    <w:rsid w:val="352A6033"/>
    <w:rsid w:val="35607C5F"/>
    <w:rsid w:val="3571D49E"/>
    <w:rsid w:val="35B0444A"/>
    <w:rsid w:val="361DA30E"/>
    <w:rsid w:val="3632DB81"/>
    <w:rsid w:val="36385224"/>
    <w:rsid w:val="3685DC94"/>
    <w:rsid w:val="36A5D08D"/>
    <w:rsid w:val="36D7B836"/>
    <w:rsid w:val="36DBBC49"/>
    <w:rsid w:val="36DDE7BE"/>
    <w:rsid w:val="36E59353"/>
    <w:rsid w:val="36FEB2E2"/>
    <w:rsid w:val="370D7818"/>
    <w:rsid w:val="37137CE4"/>
    <w:rsid w:val="371541F4"/>
    <w:rsid w:val="371B3667"/>
    <w:rsid w:val="3737A7C6"/>
    <w:rsid w:val="3745195D"/>
    <w:rsid w:val="3748B0F2"/>
    <w:rsid w:val="37A3DBB7"/>
    <w:rsid w:val="37A63083"/>
    <w:rsid w:val="37F544E8"/>
    <w:rsid w:val="382AE5A6"/>
    <w:rsid w:val="3835A89A"/>
    <w:rsid w:val="3835CE5E"/>
    <w:rsid w:val="38979BF6"/>
    <w:rsid w:val="38CFED29"/>
    <w:rsid w:val="3941B53E"/>
    <w:rsid w:val="395A961B"/>
    <w:rsid w:val="3984FBD0"/>
    <w:rsid w:val="399A52A0"/>
    <w:rsid w:val="3A78D324"/>
    <w:rsid w:val="3ACEB1CF"/>
    <w:rsid w:val="3AF1655B"/>
    <w:rsid w:val="3B0CDF62"/>
    <w:rsid w:val="3B28B7EC"/>
    <w:rsid w:val="3B4640DF"/>
    <w:rsid w:val="3B954DAD"/>
    <w:rsid w:val="3BBF7FE5"/>
    <w:rsid w:val="3BC04062"/>
    <w:rsid w:val="3C06EE83"/>
    <w:rsid w:val="3C110D19"/>
    <w:rsid w:val="3C3DFF93"/>
    <w:rsid w:val="3C53156A"/>
    <w:rsid w:val="3C552C8B"/>
    <w:rsid w:val="3C8D4FB8"/>
    <w:rsid w:val="3CB94401"/>
    <w:rsid w:val="3CD5919E"/>
    <w:rsid w:val="3CE55CBC"/>
    <w:rsid w:val="3CFAF5A2"/>
    <w:rsid w:val="3D2C2F5D"/>
    <w:rsid w:val="3D5A98BC"/>
    <w:rsid w:val="3DB25E7F"/>
    <w:rsid w:val="3DE9B4B8"/>
    <w:rsid w:val="3E57E0E5"/>
    <w:rsid w:val="3E63D038"/>
    <w:rsid w:val="3E64528F"/>
    <w:rsid w:val="3E9B4183"/>
    <w:rsid w:val="3EC6A91B"/>
    <w:rsid w:val="3ED7C0A8"/>
    <w:rsid w:val="3EF23C4C"/>
    <w:rsid w:val="3F12EA81"/>
    <w:rsid w:val="3F27C984"/>
    <w:rsid w:val="3F4570EA"/>
    <w:rsid w:val="3F59E2C4"/>
    <w:rsid w:val="3F6779BE"/>
    <w:rsid w:val="3F7F5E3C"/>
    <w:rsid w:val="3F979FB1"/>
    <w:rsid w:val="3FAD4ED8"/>
    <w:rsid w:val="3FBB5C1D"/>
    <w:rsid w:val="3FE70520"/>
    <w:rsid w:val="3FE8CD2E"/>
    <w:rsid w:val="3FEFF288"/>
    <w:rsid w:val="4016A1AF"/>
    <w:rsid w:val="401A3E03"/>
    <w:rsid w:val="4020D7AE"/>
    <w:rsid w:val="402D37E0"/>
    <w:rsid w:val="4058FF7C"/>
    <w:rsid w:val="408D7FDB"/>
    <w:rsid w:val="40953C48"/>
    <w:rsid w:val="40B1E903"/>
    <w:rsid w:val="40B48A1A"/>
    <w:rsid w:val="40B6A484"/>
    <w:rsid w:val="40C39E68"/>
    <w:rsid w:val="40E4BE97"/>
    <w:rsid w:val="410A426B"/>
    <w:rsid w:val="410C48DE"/>
    <w:rsid w:val="41331C1C"/>
    <w:rsid w:val="414317AE"/>
    <w:rsid w:val="415170F9"/>
    <w:rsid w:val="417B7172"/>
    <w:rsid w:val="4214EBD2"/>
    <w:rsid w:val="4219E257"/>
    <w:rsid w:val="422E2624"/>
    <w:rsid w:val="429217CC"/>
    <w:rsid w:val="42D6DA90"/>
    <w:rsid w:val="42E04260"/>
    <w:rsid w:val="42F56E97"/>
    <w:rsid w:val="4300CB33"/>
    <w:rsid w:val="43746C42"/>
    <w:rsid w:val="437D651B"/>
    <w:rsid w:val="438CB9AC"/>
    <w:rsid w:val="43D539C5"/>
    <w:rsid w:val="43E77AF5"/>
    <w:rsid w:val="43EF38C0"/>
    <w:rsid w:val="43FCD65A"/>
    <w:rsid w:val="440C6541"/>
    <w:rsid w:val="4464F9C5"/>
    <w:rsid w:val="44A0C665"/>
    <w:rsid w:val="44BD913E"/>
    <w:rsid w:val="44C18A12"/>
    <w:rsid w:val="44D7AA0C"/>
    <w:rsid w:val="44DCF887"/>
    <w:rsid w:val="45793827"/>
    <w:rsid w:val="457A2330"/>
    <w:rsid w:val="45A8363A"/>
    <w:rsid w:val="45FDB53C"/>
    <w:rsid w:val="4601DA66"/>
    <w:rsid w:val="461DA0D0"/>
    <w:rsid w:val="46617A41"/>
    <w:rsid w:val="468B5017"/>
    <w:rsid w:val="46C058C9"/>
    <w:rsid w:val="46C54876"/>
    <w:rsid w:val="46CC5BB8"/>
    <w:rsid w:val="46D29BD5"/>
    <w:rsid w:val="46DDADDB"/>
    <w:rsid w:val="46E8CDCF"/>
    <w:rsid w:val="46F767FC"/>
    <w:rsid w:val="4713D0D5"/>
    <w:rsid w:val="4716BD60"/>
    <w:rsid w:val="4728E62F"/>
    <w:rsid w:val="478B055A"/>
    <w:rsid w:val="47D7A324"/>
    <w:rsid w:val="47DC550C"/>
    <w:rsid w:val="47E34817"/>
    <w:rsid w:val="47F5A789"/>
    <w:rsid w:val="48250ECE"/>
    <w:rsid w:val="485464AD"/>
    <w:rsid w:val="485C3D7B"/>
    <w:rsid w:val="48D894E7"/>
    <w:rsid w:val="48E5E4D9"/>
    <w:rsid w:val="4907C63A"/>
    <w:rsid w:val="492FD846"/>
    <w:rsid w:val="49311482"/>
    <w:rsid w:val="493137EC"/>
    <w:rsid w:val="4958D11A"/>
    <w:rsid w:val="495B42C5"/>
    <w:rsid w:val="4992B041"/>
    <w:rsid w:val="49BFACBF"/>
    <w:rsid w:val="49CD9EED"/>
    <w:rsid w:val="49EDCA9D"/>
    <w:rsid w:val="4A18C76A"/>
    <w:rsid w:val="4A922408"/>
    <w:rsid w:val="4AA27400"/>
    <w:rsid w:val="4AAFCB5E"/>
    <w:rsid w:val="4AD1D830"/>
    <w:rsid w:val="4AE40B4F"/>
    <w:rsid w:val="4B05EEC4"/>
    <w:rsid w:val="4B75A553"/>
    <w:rsid w:val="4B7A1B02"/>
    <w:rsid w:val="4BFDE52D"/>
    <w:rsid w:val="4C506CBA"/>
    <w:rsid w:val="4C523FF2"/>
    <w:rsid w:val="4C60ABF9"/>
    <w:rsid w:val="4C9E4370"/>
    <w:rsid w:val="4CB64A19"/>
    <w:rsid w:val="4CC23037"/>
    <w:rsid w:val="4D11D972"/>
    <w:rsid w:val="4DAB164F"/>
    <w:rsid w:val="4DE00164"/>
    <w:rsid w:val="4E161625"/>
    <w:rsid w:val="4E25E573"/>
    <w:rsid w:val="4E35E022"/>
    <w:rsid w:val="4E46F9BB"/>
    <w:rsid w:val="4E4DCCD4"/>
    <w:rsid w:val="4E8918CF"/>
    <w:rsid w:val="4E8C7E1B"/>
    <w:rsid w:val="4EF6CF4A"/>
    <w:rsid w:val="4F19EF0C"/>
    <w:rsid w:val="4F6E8049"/>
    <w:rsid w:val="4F6FEA11"/>
    <w:rsid w:val="4F7588AC"/>
    <w:rsid w:val="4F841FEE"/>
    <w:rsid w:val="4FBB455F"/>
    <w:rsid w:val="4FC227FC"/>
    <w:rsid w:val="4FD2BE5B"/>
    <w:rsid w:val="4FEB86AE"/>
    <w:rsid w:val="500306F7"/>
    <w:rsid w:val="50125C2E"/>
    <w:rsid w:val="5029FEA0"/>
    <w:rsid w:val="503D5AD4"/>
    <w:rsid w:val="504999BA"/>
    <w:rsid w:val="505CE51F"/>
    <w:rsid w:val="50C22EAD"/>
    <w:rsid w:val="50F567C4"/>
    <w:rsid w:val="511AD46D"/>
    <w:rsid w:val="5126E6EF"/>
    <w:rsid w:val="5164AA27"/>
    <w:rsid w:val="519EC4EE"/>
    <w:rsid w:val="51C952CE"/>
    <w:rsid w:val="520A5993"/>
    <w:rsid w:val="52162F49"/>
    <w:rsid w:val="5217A1C9"/>
    <w:rsid w:val="524EC24A"/>
    <w:rsid w:val="528F3023"/>
    <w:rsid w:val="529C4230"/>
    <w:rsid w:val="52BBC4CA"/>
    <w:rsid w:val="531C2DEA"/>
    <w:rsid w:val="534ECB2B"/>
    <w:rsid w:val="5396389A"/>
    <w:rsid w:val="5399F24C"/>
    <w:rsid w:val="53BA16CA"/>
    <w:rsid w:val="53C1937A"/>
    <w:rsid w:val="53D0A03E"/>
    <w:rsid w:val="542E2BC4"/>
    <w:rsid w:val="5437EDD4"/>
    <w:rsid w:val="5450ED40"/>
    <w:rsid w:val="5464AA20"/>
    <w:rsid w:val="546D2530"/>
    <w:rsid w:val="547D6277"/>
    <w:rsid w:val="5494D1D8"/>
    <w:rsid w:val="54976A28"/>
    <w:rsid w:val="54ADADBD"/>
    <w:rsid w:val="5581BF71"/>
    <w:rsid w:val="559F78C1"/>
    <w:rsid w:val="559F9B8E"/>
    <w:rsid w:val="55A63193"/>
    <w:rsid w:val="55B6B9DD"/>
    <w:rsid w:val="562FDE37"/>
    <w:rsid w:val="5637626B"/>
    <w:rsid w:val="5651C862"/>
    <w:rsid w:val="565F5FA3"/>
    <w:rsid w:val="567FA3D4"/>
    <w:rsid w:val="568EBF70"/>
    <w:rsid w:val="569DF9B7"/>
    <w:rsid w:val="56A6011C"/>
    <w:rsid w:val="56C68E57"/>
    <w:rsid w:val="56F4F934"/>
    <w:rsid w:val="56FA7BC8"/>
    <w:rsid w:val="570102A4"/>
    <w:rsid w:val="571220A2"/>
    <w:rsid w:val="5767DDF2"/>
    <w:rsid w:val="57A94676"/>
    <w:rsid w:val="57B1292F"/>
    <w:rsid w:val="57FE0E03"/>
    <w:rsid w:val="58301EAE"/>
    <w:rsid w:val="58762786"/>
    <w:rsid w:val="5892BF9B"/>
    <w:rsid w:val="58D17744"/>
    <w:rsid w:val="598EB4C9"/>
    <w:rsid w:val="59A6AE8D"/>
    <w:rsid w:val="59ACC748"/>
    <w:rsid w:val="59B38080"/>
    <w:rsid w:val="59BEB73C"/>
    <w:rsid w:val="59C0A4E8"/>
    <w:rsid w:val="59CD09D6"/>
    <w:rsid w:val="5A2D7D41"/>
    <w:rsid w:val="5A37315A"/>
    <w:rsid w:val="5A4F6AA0"/>
    <w:rsid w:val="5A5A1D0A"/>
    <w:rsid w:val="5A9589B1"/>
    <w:rsid w:val="5AA8A83B"/>
    <w:rsid w:val="5AB038BE"/>
    <w:rsid w:val="5AE75557"/>
    <w:rsid w:val="5B05E0D8"/>
    <w:rsid w:val="5B2F3E7F"/>
    <w:rsid w:val="5B8AF4BF"/>
    <w:rsid w:val="5BB00117"/>
    <w:rsid w:val="5BC94E5E"/>
    <w:rsid w:val="5BF39CF1"/>
    <w:rsid w:val="5C25668A"/>
    <w:rsid w:val="5C3E25ED"/>
    <w:rsid w:val="5C46E547"/>
    <w:rsid w:val="5C49C226"/>
    <w:rsid w:val="5C525481"/>
    <w:rsid w:val="5C73D966"/>
    <w:rsid w:val="5C7EB0E6"/>
    <w:rsid w:val="5C8F3F26"/>
    <w:rsid w:val="5CA0E00B"/>
    <w:rsid w:val="5CADACEE"/>
    <w:rsid w:val="5CF6E045"/>
    <w:rsid w:val="5D060DBB"/>
    <w:rsid w:val="5D174D7E"/>
    <w:rsid w:val="5D38FDF2"/>
    <w:rsid w:val="5DA4CE81"/>
    <w:rsid w:val="5DFF3FB0"/>
    <w:rsid w:val="5E12B667"/>
    <w:rsid w:val="5E14FD55"/>
    <w:rsid w:val="5EA7F6C8"/>
    <w:rsid w:val="5EB34D8D"/>
    <w:rsid w:val="5EBCD520"/>
    <w:rsid w:val="5ECECA47"/>
    <w:rsid w:val="5ED2A2DC"/>
    <w:rsid w:val="5EDBB68C"/>
    <w:rsid w:val="5EE84566"/>
    <w:rsid w:val="5F92588A"/>
    <w:rsid w:val="5FB40CC5"/>
    <w:rsid w:val="5FDECB9D"/>
    <w:rsid w:val="60035A58"/>
    <w:rsid w:val="601A7C49"/>
    <w:rsid w:val="605F01DF"/>
    <w:rsid w:val="60782B13"/>
    <w:rsid w:val="60787A47"/>
    <w:rsid w:val="60BAB912"/>
    <w:rsid w:val="60BACD8B"/>
    <w:rsid w:val="60E047D6"/>
    <w:rsid w:val="60F8F5AF"/>
    <w:rsid w:val="61865072"/>
    <w:rsid w:val="62068BEC"/>
    <w:rsid w:val="6242E186"/>
    <w:rsid w:val="62795857"/>
    <w:rsid w:val="6279F828"/>
    <w:rsid w:val="627CC46A"/>
    <w:rsid w:val="62A3494B"/>
    <w:rsid w:val="62D22931"/>
    <w:rsid w:val="62F06B50"/>
    <w:rsid w:val="62F65BAB"/>
    <w:rsid w:val="631DEA5E"/>
    <w:rsid w:val="63348B6C"/>
    <w:rsid w:val="6367791F"/>
    <w:rsid w:val="63B7CF4E"/>
    <w:rsid w:val="648684A9"/>
    <w:rsid w:val="648853BB"/>
    <w:rsid w:val="64BF8C1B"/>
    <w:rsid w:val="6577795F"/>
    <w:rsid w:val="6598D0EC"/>
    <w:rsid w:val="659F6D7F"/>
    <w:rsid w:val="65A000A6"/>
    <w:rsid w:val="65A5454E"/>
    <w:rsid w:val="65CC41DD"/>
    <w:rsid w:val="65D560E6"/>
    <w:rsid w:val="65F5F2E3"/>
    <w:rsid w:val="666338C2"/>
    <w:rsid w:val="6668655F"/>
    <w:rsid w:val="6678265C"/>
    <w:rsid w:val="66836BAD"/>
    <w:rsid w:val="66B8F399"/>
    <w:rsid w:val="66DFDBAA"/>
    <w:rsid w:val="66F1C909"/>
    <w:rsid w:val="6733811B"/>
    <w:rsid w:val="675C104D"/>
    <w:rsid w:val="676B8871"/>
    <w:rsid w:val="67A8CF61"/>
    <w:rsid w:val="67AAF5DA"/>
    <w:rsid w:val="6808436A"/>
    <w:rsid w:val="682EF76A"/>
    <w:rsid w:val="6851031A"/>
    <w:rsid w:val="68951444"/>
    <w:rsid w:val="68B40B0F"/>
    <w:rsid w:val="68C39729"/>
    <w:rsid w:val="68C50A5E"/>
    <w:rsid w:val="68E7B672"/>
    <w:rsid w:val="696DC293"/>
    <w:rsid w:val="69A1CAB9"/>
    <w:rsid w:val="6A448EBE"/>
    <w:rsid w:val="6A701FFB"/>
    <w:rsid w:val="6A77A18F"/>
    <w:rsid w:val="6AD02FF6"/>
    <w:rsid w:val="6AE8786F"/>
    <w:rsid w:val="6B192B56"/>
    <w:rsid w:val="6B27E940"/>
    <w:rsid w:val="6B4E079F"/>
    <w:rsid w:val="6B5EFAC5"/>
    <w:rsid w:val="6B79A5F2"/>
    <w:rsid w:val="6BED2769"/>
    <w:rsid w:val="6C1ACA91"/>
    <w:rsid w:val="6C1ACFE5"/>
    <w:rsid w:val="6C24ED84"/>
    <w:rsid w:val="6C7FC43E"/>
    <w:rsid w:val="6CE264FC"/>
    <w:rsid w:val="6CE2A519"/>
    <w:rsid w:val="6D11D9F3"/>
    <w:rsid w:val="6D935CE5"/>
    <w:rsid w:val="6DDD1C07"/>
    <w:rsid w:val="6E441AD0"/>
    <w:rsid w:val="6E71888A"/>
    <w:rsid w:val="6E7AB94A"/>
    <w:rsid w:val="6EB5826F"/>
    <w:rsid w:val="6EC7EDEC"/>
    <w:rsid w:val="6EF69AAE"/>
    <w:rsid w:val="6FCCD420"/>
    <w:rsid w:val="6FDAF9F2"/>
    <w:rsid w:val="6FFAA8FE"/>
    <w:rsid w:val="70256ED3"/>
    <w:rsid w:val="707DC59C"/>
    <w:rsid w:val="70B0EC2A"/>
    <w:rsid w:val="71360713"/>
    <w:rsid w:val="71546E63"/>
    <w:rsid w:val="71CC85C2"/>
    <w:rsid w:val="71D6776D"/>
    <w:rsid w:val="71E337E7"/>
    <w:rsid w:val="72110DB6"/>
    <w:rsid w:val="72204AFD"/>
    <w:rsid w:val="72562546"/>
    <w:rsid w:val="727029C0"/>
    <w:rsid w:val="72CBCEA7"/>
    <w:rsid w:val="72F1B611"/>
    <w:rsid w:val="7316D7AE"/>
    <w:rsid w:val="731F2898"/>
    <w:rsid w:val="734A8035"/>
    <w:rsid w:val="7376712A"/>
    <w:rsid w:val="737D8F6C"/>
    <w:rsid w:val="738F1C1E"/>
    <w:rsid w:val="73A5F7D4"/>
    <w:rsid w:val="73F96F15"/>
    <w:rsid w:val="741E35E4"/>
    <w:rsid w:val="743CF92C"/>
    <w:rsid w:val="74A38045"/>
    <w:rsid w:val="74AE2D0F"/>
    <w:rsid w:val="74C8845E"/>
    <w:rsid w:val="74E3A175"/>
    <w:rsid w:val="75642E89"/>
    <w:rsid w:val="7576869C"/>
    <w:rsid w:val="759804F3"/>
    <w:rsid w:val="75B2E045"/>
    <w:rsid w:val="75B3C674"/>
    <w:rsid w:val="75D003CD"/>
    <w:rsid w:val="75EB0588"/>
    <w:rsid w:val="76775D27"/>
    <w:rsid w:val="768781EC"/>
    <w:rsid w:val="76CB9687"/>
    <w:rsid w:val="76ED5AD1"/>
    <w:rsid w:val="76ED5E41"/>
    <w:rsid w:val="771CD52D"/>
    <w:rsid w:val="7766C360"/>
    <w:rsid w:val="7781D7AF"/>
    <w:rsid w:val="77A44881"/>
    <w:rsid w:val="77D78B47"/>
    <w:rsid w:val="77DF9B16"/>
    <w:rsid w:val="78046EF9"/>
    <w:rsid w:val="78389315"/>
    <w:rsid w:val="79121B37"/>
    <w:rsid w:val="79B82813"/>
    <w:rsid w:val="79EFF8B1"/>
    <w:rsid w:val="7A2B50D7"/>
    <w:rsid w:val="7A484735"/>
    <w:rsid w:val="7A485E73"/>
    <w:rsid w:val="7A6B6092"/>
    <w:rsid w:val="7B4FB54B"/>
    <w:rsid w:val="7B9EB60B"/>
    <w:rsid w:val="7BA7C5CD"/>
    <w:rsid w:val="7BB3C449"/>
    <w:rsid w:val="7BE72376"/>
    <w:rsid w:val="7C2731E7"/>
    <w:rsid w:val="7C361907"/>
    <w:rsid w:val="7C37C9E6"/>
    <w:rsid w:val="7C49F4D0"/>
    <w:rsid w:val="7C64F16D"/>
    <w:rsid w:val="7C80C7AC"/>
    <w:rsid w:val="7CB7072D"/>
    <w:rsid w:val="7CC8C899"/>
    <w:rsid w:val="7D151F97"/>
    <w:rsid w:val="7D18B72F"/>
    <w:rsid w:val="7D33C0E5"/>
    <w:rsid w:val="7D3458DA"/>
    <w:rsid w:val="7D347ACE"/>
    <w:rsid w:val="7D5BBCBF"/>
    <w:rsid w:val="7D8F1B73"/>
    <w:rsid w:val="7DDEFBF1"/>
    <w:rsid w:val="7DEE5058"/>
    <w:rsid w:val="7E8E873A"/>
    <w:rsid w:val="7E957C04"/>
    <w:rsid w:val="7EB135A9"/>
    <w:rsid w:val="7EB2BB57"/>
    <w:rsid w:val="7ED38A57"/>
    <w:rsid w:val="7EE50DEF"/>
    <w:rsid w:val="7EFD233C"/>
    <w:rsid w:val="7F46224D"/>
    <w:rsid w:val="7F8E4D57"/>
    <w:rsid w:val="7FA7F997"/>
    <w:rsid w:val="7FC533CE"/>
    <w:rsid w:val="7FEF45E5"/>
    <w:rsid w:val="7FFAC97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4C7F6"/>
  <w15:chartTrackingRefBased/>
  <w15:docId w15:val="{F128E6B6-7105-473E-A382-75776F65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4992B0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992B0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4992B041"/>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992B041"/>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Spacing">
    <w:name w:val="No Spacing"/>
    <w:uiPriority w:val="1"/>
    <w:qFormat/>
    <w:rsid w:val="48250ECE"/>
    <w:pPr>
      <w:spacing w:after="0"/>
    </w:pPr>
  </w:style>
  <w:style w:type="character" w:styleId="Hyperlink">
    <w:name w:val="Hyperlink"/>
    <w:basedOn w:val="DefaultParagraphFont"/>
    <w:uiPriority w:val="99"/>
    <w:unhideWhenUsed/>
    <w:rsid w:val="1309A58B"/>
    <w:rPr>
      <w:color w:val="467886"/>
      <w:u w:val="single"/>
    </w:rPr>
  </w:style>
  <w:style w:type="paragraph" w:styleId="Header">
    <w:name w:val="header"/>
    <w:basedOn w:val="Normal"/>
    <w:uiPriority w:val="99"/>
    <w:unhideWhenUsed/>
    <w:rsid w:val="3ED7C0A8"/>
    <w:pPr>
      <w:tabs>
        <w:tab w:val="center" w:pos="4680"/>
        <w:tab w:val="right" w:pos="9360"/>
      </w:tabs>
      <w:spacing w:after="0" w:line="240" w:lineRule="auto"/>
    </w:pPr>
  </w:style>
  <w:style w:type="paragraph" w:styleId="Footer">
    <w:name w:val="footer"/>
    <w:basedOn w:val="Normal"/>
    <w:uiPriority w:val="99"/>
    <w:unhideWhenUsed/>
    <w:rsid w:val="3ED7C0A8"/>
    <w:pPr>
      <w:tabs>
        <w:tab w:val="center" w:pos="4680"/>
        <w:tab w:val="right" w:pos="9360"/>
      </w:tabs>
      <w:spacing w:after="0" w:line="240" w:lineRule="auto"/>
    </w:pPr>
  </w:style>
  <w:style w:type="character" w:customStyle="1" w:styleId="Heading1Char">
    <w:name w:val="Heading 1 Char"/>
    <w:link w:val="Heading1"/>
    <w:rsid w:val="00267FD0"/>
    <w:rPr>
      <w:rFonts w:asciiTheme="majorHAnsi" w:eastAsiaTheme="majorEastAsia" w:hAnsiTheme="majorHAnsi" w:cstheme="majorBidi"/>
      <w:color w:val="0F4761" w:themeColor="accent1" w:themeShade="BF"/>
      <w:sz w:val="40"/>
      <w:szCs w:val="40"/>
    </w:rPr>
  </w:style>
  <w:style w:type="table" w:customStyle="1" w:styleId="TableGrid0">
    <w:name w:val="TableGrid"/>
    <w:rsid w:val="00267FD0"/>
    <w:pPr>
      <w:spacing w:after="0" w:line="240" w:lineRule="auto"/>
    </w:pPr>
    <w:rPr>
      <w:kern w:val="2"/>
      <w:lang w:val="en-GB" w:eastAsia="en-GB"/>
      <w14:ligatures w14:val="standardContextual"/>
    </w:rPr>
    <w:tblPr>
      <w:tblCellMar>
        <w:top w:w="0" w:type="dxa"/>
        <w:left w:w="0" w:type="dxa"/>
        <w:bottom w:w="0" w:type="dxa"/>
        <w:right w:w="0" w:type="dxa"/>
      </w:tblCellMar>
    </w:tblPr>
  </w:style>
  <w:style w:type="character" w:styleId="IntenseReference">
    <w:name w:val="Intense Reference"/>
    <w:basedOn w:val="DefaultParagraphFont"/>
    <w:uiPriority w:val="32"/>
    <w:qFormat/>
    <w:rsid w:val="00E0259C"/>
    <w:rPr>
      <w:b/>
      <w:bCs/>
      <w:smallCaps/>
      <w:color w:val="156082" w:themeColor="accent1"/>
      <w:spacing w:val="5"/>
    </w:rPr>
  </w:style>
  <w:style w:type="paragraph" w:styleId="NormalWeb">
    <w:name w:val="Normal (Web)"/>
    <w:basedOn w:val="Normal"/>
    <w:uiPriority w:val="99"/>
    <w:unhideWhenUsed/>
    <w:rsid w:val="00E10EA2"/>
    <w:pPr>
      <w:spacing w:before="100" w:beforeAutospacing="1" w:after="100" w:afterAutospacing="1" w:line="240" w:lineRule="auto"/>
    </w:pPr>
    <w:rPr>
      <w:rFonts w:ascii="Times New Roman" w:eastAsia="Times New Roman" w:hAnsi="Times New Roman" w:cs="Times New Roman"/>
      <w:lang w:val="en-GB" w:eastAsia="en-GB"/>
    </w:rPr>
  </w:style>
  <w:style w:type="character" w:styleId="PageNumber">
    <w:name w:val="page number"/>
    <w:basedOn w:val="DefaultParagraphFont"/>
    <w:uiPriority w:val="99"/>
    <w:semiHidden/>
    <w:unhideWhenUsed/>
    <w:rsid w:val="00C76866"/>
  </w:style>
  <w:style w:type="paragraph" w:styleId="TOCHeading">
    <w:name w:val="TOC Heading"/>
    <w:basedOn w:val="Heading1"/>
    <w:next w:val="Normal"/>
    <w:uiPriority w:val="39"/>
    <w:unhideWhenUsed/>
    <w:qFormat/>
    <w:rsid w:val="00736CF1"/>
    <w:pPr>
      <w:spacing w:before="480" w:after="0" w:line="276" w:lineRule="auto"/>
      <w:outlineLvl w:val="9"/>
    </w:pPr>
    <w:rPr>
      <w:b/>
      <w:bCs/>
      <w:sz w:val="28"/>
      <w:szCs w:val="28"/>
      <w:lang w:eastAsia="en-US"/>
    </w:rPr>
  </w:style>
  <w:style w:type="paragraph" w:styleId="TOC2">
    <w:name w:val="toc 2"/>
    <w:basedOn w:val="Normal"/>
    <w:next w:val="Normal"/>
    <w:autoRedefine/>
    <w:uiPriority w:val="39"/>
    <w:unhideWhenUsed/>
    <w:rsid w:val="00736CF1"/>
    <w:pPr>
      <w:spacing w:before="120" w:after="0"/>
      <w:ind w:left="240"/>
    </w:pPr>
    <w:rPr>
      <w:rFonts w:cstheme="minorHAnsi"/>
      <w:b/>
      <w:bCs/>
      <w:sz w:val="22"/>
      <w:szCs w:val="22"/>
    </w:rPr>
  </w:style>
  <w:style w:type="paragraph" w:styleId="TOC1">
    <w:name w:val="toc 1"/>
    <w:basedOn w:val="Normal"/>
    <w:next w:val="Normal"/>
    <w:autoRedefine/>
    <w:uiPriority w:val="39"/>
    <w:unhideWhenUsed/>
    <w:rsid w:val="00736CF1"/>
    <w:pPr>
      <w:spacing w:before="120" w:after="0"/>
    </w:pPr>
    <w:rPr>
      <w:rFonts w:cstheme="minorHAnsi"/>
      <w:b/>
      <w:bCs/>
      <w:i/>
      <w:iCs/>
    </w:rPr>
  </w:style>
  <w:style w:type="paragraph" w:styleId="TOC3">
    <w:name w:val="toc 3"/>
    <w:basedOn w:val="Normal"/>
    <w:next w:val="Normal"/>
    <w:autoRedefine/>
    <w:uiPriority w:val="39"/>
    <w:unhideWhenUsed/>
    <w:rsid w:val="00736CF1"/>
    <w:pPr>
      <w:spacing w:after="0"/>
      <w:ind w:left="480"/>
    </w:pPr>
    <w:rPr>
      <w:rFonts w:cstheme="minorHAnsi"/>
      <w:sz w:val="20"/>
      <w:szCs w:val="20"/>
    </w:rPr>
  </w:style>
  <w:style w:type="paragraph" w:styleId="TOC4">
    <w:name w:val="toc 4"/>
    <w:basedOn w:val="Normal"/>
    <w:next w:val="Normal"/>
    <w:autoRedefine/>
    <w:uiPriority w:val="39"/>
    <w:unhideWhenUsed/>
    <w:rsid w:val="00736CF1"/>
    <w:pPr>
      <w:spacing w:after="0"/>
      <w:ind w:left="720"/>
    </w:pPr>
    <w:rPr>
      <w:rFonts w:cstheme="minorHAnsi"/>
      <w:sz w:val="20"/>
      <w:szCs w:val="20"/>
    </w:rPr>
  </w:style>
  <w:style w:type="paragraph" w:styleId="TOC5">
    <w:name w:val="toc 5"/>
    <w:basedOn w:val="Normal"/>
    <w:next w:val="Normal"/>
    <w:autoRedefine/>
    <w:uiPriority w:val="39"/>
    <w:unhideWhenUsed/>
    <w:rsid w:val="00736CF1"/>
    <w:pPr>
      <w:spacing w:after="0"/>
      <w:ind w:left="960"/>
    </w:pPr>
    <w:rPr>
      <w:rFonts w:cstheme="minorHAnsi"/>
      <w:sz w:val="20"/>
      <w:szCs w:val="20"/>
    </w:rPr>
  </w:style>
  <w:style w:type="paragraph" w:styleId="TOC6">
    <w:name w:val="toc 6"/>
    <w:basedOn w:val="Normal"/>
    <w:next w:val="Normal"/>
    <w:autoRedefine/>
    <w:uiPriority w:val="39"/>
    <w:unhideWhenUsed/>
    <w:rsid w:val="00736CF1"/>
    <w:pPr>
      <w:spacing w:after="0"/>
      <w:ind w:left="1200"/>
    </w:pPr>
    <w:rPr>
      <w:rFonts w:cstheme="minorHAnsi"/>
      <w:sz w:val="20"/>
      <w:szCs w:val="20"/>
    </w:rPr>
  </w:style>
  <w:style w:type="paragraph" w:styleId="TOC7">
    <w:name w:val="toc 7"/>
    <w:basedOn w:val="Normal"/>
    <w:next w:val="Normal"/>
    <w:autoRedefine/>
    <w:uiPriority w:val="39"/>
    <w:unhideWhenUsed/>
    <w:rsid w:val="00736CF1"/>
    <w:pPr>
      <w:spacing w:after="0"/>
      <w:ind w:left="1440"/>
    </w:pPr>
    <w:rPr>
      <w:rFonts w:cstheme="minorHAnsi"/>
      <w:sz w:val="20"/>
      <w:szCs w:val="20"/>
    </w:rPr>
  </w:style>
  <w:style w:type="paragraph" w:styleId="TOC8">
    <w:name w:val="toc 8"/>
    <w:basedOn w:val="Normal"/>
    <w:next w:val="Normal"/>
    <w:autoRedefine/>
    <w:uiPriority w:val="39"/>
    <w:unhideWhenUsed/>
    <w:rsid w:val="00736CF1"/>
    <w:pPr>
      <w:spacing w:after="0"/>
      <w:ind w:left="1680"/>
    </w:pPr>
    <w:rPr>
      <w:rFonts w:cstheme="minorHAnsi"/>
      <w:sz w:val="20"/>
      <w:szCs w:val="20"/>
    </w:rPr>
  </w:style>
  <w:style w:type="paragraph" w:styleId="TOC9">
    <w:name w:val="toc 9"/>
    <w:basedOn w:val="Normal"/>
    <w:next w:val="Normal"/>
    <w:autoRedefine/>
    <w:uiPriority w:val="39"/>
    <w:unhideWhenUsed/>
    <w:rsid w:val="00736CF1"/>
    <w:pPr>
      <w:spacing w:after="0"/>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92507518">
      <w:bodyDiv w:val="1"/>
      <w:marLeft w:val="0"/>
      <w:marRight w:val="0"/>
      <w:marTop w:val="0"/>
      <w:marBottom w:val="0"/>
      <w:divBdr>
        <w:top w:val="none" w:sz="0" w:space="0" w:color="auto"/>
        <w:left w:val="none" w:sz="0" w:space="0" w:color="auto"/>
        <w:bottom w:val="none" w:sz="0" w:space="0" w:color="auto"/>
        <w:right w:val="none" w:sz="0" w:space="0" w:color="auto"/>
      </w:divBdr>
      <w:divsChild>
        <w:div w:id="372771306">
          <w:marLeft w:val="0"/>
          <w:marRight w:val="0"/>
          <w:marTop w:val="0"/>
          <w:marBottom w:val="0"/>
          <w:divBdr>
            <w:top w:val="none" w:sz="0" w:space="0" w:color="auto"/>
            <w:left w:val="none" w:sz="0" w:space="0" w:color="auto"/>
            <w:bottom w:val="none" w:sz="0" w:space="0" w:color="auto"/>
            <w:right w:val="none" w:sz="0" w:space="0" w:color="auto"/>
          </w:divBdr>
          <w:divsChild>
            <w:div w:id="1328244570">
              <w:marLeft w:val="0"/>
              <w:marRight w:val="0"/>
              <w:marTop w:val="0"/>
              <w:marBottom w:val="0"/>
              <w:divBdr>
                <w:top w:val="none" w:sz="0" w:space="0" w:color="auto"/>
                <w:left w:val="none" w:sz="0" w:space="0" w:color="auto"/>
                <w:bottom w:val="none" w:sz="0" w:space="0" w:color="auto"/>
                <w:right w:val="none" w:sz="0" w:space="0" w:color="auto"/>
              </w:divBdr>
              <w:divsChild>
                <w:div w:id="130195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encoding w:val="windows-1252"/>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journals.sagepub.com/doi/10.1177/16094069231180160" TargetMode="External"/><Relationship Id="rId26" Type="http://schemas.openxmlformats.org/officeDocument/2006/relationships/image" Target="media/image6.jpg"/><Relationship Id="rId39" Type="http://schemas.openxmlformats.org/officeDocument/2006/relationships/fontTable" Target="fontTable.xml"/><Relationship Id="rId21" Type="http://schemas.openxmlformats.org/officeDocument/2006/relationships/hyperlink" Target="https://repository.uwtsd.ac.uk/id/eprint/2585/" TargetMode="External"/><Relationship Id="rId34" Type="http://schemas.openxmlformats.org/officeDocument/2006/relationships/image" Target="media/image14.jp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yperlink" Target="https://doi.org/10.3390/su15021320" TargetMode="External"/><Relationship Id="rId29" Type="http://schemas.openxmlformats.org/officeDocument/2006/relationships/image" Target="media/image9.jpg"/><Relationship Id="rId41"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tatista.com/topics/1707/air-transportation/" TargetMode="External"/><Relationship Id="rId32" Type="http://schemas.openxmlformats.org/officeDocument/2006/relationships/image" Target="media/image12.jpg"/><Relationship Id="rId37" Type="http://schemas.openxmlformats.org/officeDocument/2006/relationships/header" Target="header4.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yperlink" Target="https://www.airlinequality.com/airline-reviews/turkish-airlines/" TargetMode="External"/><Relationship Id="rId28" Type="http://schemas.openxmlformats.org/officeDocument/2006/relationships/image" Target="media/image8.jpg"/><Relationship Id="rId36" Type="http://schemas.openxmlformats.org/officeDocument/2006/relationships/image" Target="media/image16.jpg"/><Relationship Id="rId10" Type="http://schemas.openxmlformats.org/officeDocument/2006/relationships/image" Target="media/image3.png"/><Relationship Id="rId19" Type="http://schemas.openxmlformats.org/officeDocument/2006/relationships/hyperlink" Target="https://www.eurocontrol.int/sites/default/files/2024-12/eurocontrol-european-aviation-overview-12122024.pdf" TargetMode="External"/><Relationship Id="rId31" Type="http://schemas.openxmlformats.org/officeDocument/2006/relationships/image" Target="media/image11.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 Id="rId22" Type="http://schemas.openxmlformats.org/officeDocument/2006/relationships/hyperlink" Target="https://www.simplypsychology.org/gibbs-reflective-cycle.html" TargetMode="External"/><Relationship Id="rId27" Type="http://schemas.openxmlformats.org/officeDocument/2006/relationships/image" Target="media/image7.jpg"/><Relationship Id="rId30" Type="http://schemas.openxmlformats.org/officeDocument/2006/relationships/image" Target="media/image10.jpg"/><Relationship Id="rId35" Type="http://schemas.openxmlformats.org/officeDocument/2006/relationships/image" Target="media/image15.jpg"/><Relationship Id="rId8" Type="http://schemas.openxmlformats.org/officeDocument/2006/relationships/image" Target="media/image1.jpg"/><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hyperlink" Target="https://doi.org/10.30564/jmser.v5i1.4538" TargetMode="External"/><Relationship Id="rId33" Type="http://schemas.openxmlformats.org/officeDocument/2006/relationships/image" Target="media/image13.jpg"/><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_rels/header3.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60474-7C64-B540-BD49-4C4242346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63</Pages>
  <Words>13052</Words>
  <Characters>74401</Characters>
  <Application>Microsoft Office Word</Application>
  <DocSecurity>0</DocSecurity>
  <Lines>620</Lines>
  <Paragraphs>174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87279</CharactersWithSpaces>
  <SharedDoc>false</SharedDoc>
  <HLinks>
    <vt:vector size="366" baseType="variant">
      <vt:variant>
        <vt:i4>5767254</vt:i4>
      </vt:variant>
      <vt:variant>
        <vt:i4>342</vt:i4>
      </vt:variant>
      <vt:variant>
        <vt:i4>0</vt:i4>
      </vt:variant>
      <vt:variant>
        <vt:i4>5</vt:i4>
      </vt:variant>
      <vt:variant>
        <vt:lpwstr>https://doi.org/10.30564/jmser.v5i1.4538</vt:lpwstr>
      </vt:variant>
      <vt:variant>
        <vt:lpwstr/>
      </vt:variant>
      <vt:variant>
        <vt:i4>5832780</vt:i4>
      </vt:variant>
      <vt:variant>
        <vt:i4>339</vt:i4>
      </vt:variant>
      <vt:variant>
        <vt:i4>0</vt:i4>
      </vt:variant>
      <vt:variant>
        <vt:i4>5</vt:i4>
      </vt:variant>
      <vt:variant>
        <vt:lpwstr>https://www.statista.com/topics/1707/air-transportation/</vt:lpwstr>
      </vt:variant>
      <vt:variant>
        <vt:lpwstr>topicOverview</vt:lpwstr>
      </vt:variant>
      <vt:variant>
        <vt:i4>1507350</vt:i4>
      </vt:variant>
      <vt:variant>
        <vt:i4>336</vt:i4>
      </vt:variant>
      <vt:variant>
        <vt:i4>0</vt:i4>
      </vt:variant>
      <vt:variant>
        <vt:i4>5</vt:i4>
      </vt:variant>
      <vt:variant>
        <vt:lpwstr>https://www.airlinequality.com/airline-reviews/turkish-airlines/</vt:lpwstr>
      </vt:variant>
      <vt:variant>
        <vt:lpwstr/>
      </vt:variant>
      <vt:variant>
        <vt:i4>4325387</vt:i4>
      </vt:variant>
      <vt:variant>
        <vt:i4>333</vt:i4>
      </vt:variant>
      <vt:variant>
        <vt:i4>0</vt:i4>
      </vt:variant>
      <vt:variant>
        <vt:i4>5</vt:i4>
      </vt:variant>
      <vt:variant>
        <vt:lpwstr>https://www.simplypsychology.org/gibbs-reflective-cycle.html</vt:lpwstr>
      </vt:variant>
      <vt:variant>
        <vt:lpwstr/>
      </vt:variant>
      <vt:variant>
        <vt:i4>2818104</vt:i4>
      </vt:variant>
      <vt:variant>
        <vt:i4>330</vt:i4>
      </vt:variant>
      <vt:variant>
        <vt:i4>0</vt:i4>
      </vt:variant>
      <vt:variant>
        <vt:i4>5</vt:i4>
      </vt:variant>
      <vt:variant>
        <vt:lpwstr>https://repository.uwtsd.ac.uk/id/eprint/2585/</vt:lpwstr>
      </vt:variant>
      <vt:variant>
        <vt:lpwstr/>
      </vt:variant>
      <vt:variant>
        <vt:i4>6881320</vt:i4>
      </vt:variant>
      <vt:variant>
        <vt:i4>327</vt:i4>
      </vt:variant>
      <vt:variant>
        <vt:i4>0</vt:i4>
      </vt:variant>
      <vt:variant>
        <vt:i4>5</vt:i4>
      </vt:variant>
      <vt:variant>
        <vt:lpwstr>https://doi.org/10.3390/su15021320</vt:lpwstr>
      </vt:variant>
      <vt:variant>
        <vt:lpwstr/>
      </vt:variant>
      <vt:variant>
        <vt:i4>2621495</vt:i4>
      </vt:variant>
      <vt:variant>
        <vt:i4>324</vt:i4>
      </vt:variant>
      <vt:variant>
        <vt:i4>0</vt:i4>
      </vt:variant>
      <vt:variant>
        <vt:i4>5</vt:i4>
      </vt:variant>
      <vt:variant>
        <vt:lpwstr>https://www.eurocontrol.int/sites/default/files/2024-12/eurocontrol-european-aviation-overview-12122024.pdf</vt:lpwstr>
      </vt:variant>
      <vt:variant>
        <vt:lpwstr/>
      </vt:variant>
      <vt:variant>
        <vt:i4>3866679</vt:i4>
      </vt:variant>
      <vt:variant>
        <vt:i4>321</vt:i4>
      </vt:variant>
      <vt:variant>
        <vt:i4>0</vt:i4>
      </vt:variant>
      <vt:variant>
        <vt:i4>5</vt:i4>
      </vt:variant>
      <vt:variant>
        <vt:lpwstr>https://journals.sagepub.com/doi/10.1177/16094069231180160</vt:lpwstr>
      </vt:variant>
      <vt:variant>
        <vt:lpwstr/>
      </vt:variant>
      <vt:variant>
        <vt:i4>2359302</vt:i4>
      </vt:variant>
      <vt:variant>
        <vt:i4>314</vt:i4>
      </vt:variant>
      <vt:variant>
        <vt:i4>0</vt:i4>
      </vt:variant>
      <vt:variant>
        <vt:i4>5</vt:i4>
      </vt:variant>
      <vt:variant>
        <vt:lpwstr/>
      </vt:variant>
      <vt:variant>
        <vt:lpwstr>_Toc1059274548</vt:lpwstr>
      </vt:variant>
      <vt:variant>
        <vt:i4>2621443</vt:i4>
      </vt:variant>
      <vt:variant>
        <vt:i4>308</vt:i4>
      </vt:variant>
      <vt:variant>
        <vt:i4>0</vt:i4>
      </vt:variant>
      <vt:variant>
        <vt:i4>5</vt:i4>
      </vt:variant>
      <vt:variant>
        <vt:lpwstr/>
      </vt:variant>
      <vt:variant>
        <vt:lpwstr>_Toc1412690050</vt:lpwstr>
      </vt:variant>
      <vt:variant>
        <vt:i4>1114170</vt:i4>
      </vt:variant>
      <vt:variant>
        <vt:i4>302</vt:i4>
      </vt:variant>
      <vt:variant>
        <vt:i4>0</vt:i4>
      </vt:variant>
      <vt:variant>
        <vt:i4>5</vt:i4>
      </vt:variant>
      <vt:variant>
        <vt:lpwstr/>
      </vt:variant>
      <vt:variant>
        <vt:lpwstr>_Toc609357029</vt:lpwstr>
      </vt:variant>
      <vt:variant>
        <vt:i4>2555914</vt:i4>
      </vt:variant>
      <vt:variant>
        <vt:i4>296</vt:i4>
      </vt:variant>
      <vt:variant>
        <vt:i4>0</vt:i4>
      </vt:variant>
      <vt:variant>
        <vt:i4>5</vt:i4>
      </vt:variant>
      <vt:variant>
        <vt:lpwstr/>
      </vt:variant>
      <vt:variant>
        <vt:lpwstr>_Toc1655279450</vt:lpwstr>
      </vt:variant>
      <vt:variant>
        <vt:i4>2293774</vt:i4>
      </vt:variant>
      <vt:variant>
        <vt:i4>290</vt:i4>
      </vt:variant>
      <vt:variant>
        <vt:i4>0</vt:i4>
      </vt:variant>
      <vt:variant>
        <vt:i4>5</vt:i4>
      </vt:variant>
      <vt:variant>
        <vt:lpwstr/>
      </vt:variant>
      <vt:variant>
        <vt:lpwstr>_Toc1140966645</vt:lpwstr>
      </vt:variant>
      <vt:variant>
        <vt:i4>1114173</vt:i4>
      </vt:variant>
      <vt:variant>
        <vt:i4>284</vt:i4>
      </vt:variant>
      <vt:variant>
        <vt:i4>0</vt:i4>
      </vt:variant>
      <vt:variant>
        <vt:i4>5</vt:i4>
      </vt:variant>
      <vt:variant>
        <vt:lpwstr/>
      </vt:variant>
      <vt:variant>
        <vt:lpwstr>_Toc900669290</vt:lpwstr>
      </vt:variant>
      <vt:variant>
        <vt:i4>2293764</vt:i4>
      </vt:variant>
      <vt:variant>
        <vt:i4>278</vt:i4>
      </vt:variant>
      <vt:variant>
        <vt:i4>0</vt:i4>
      </vt:variant>
      <vt:variant>
        <vt:i4>5</vt:i4>
      </vt:variant>
      <vt:variant>
        <vt:lpwstr/>
      </vt:variant>
      <vt:variant>
        <vt:lpwstr>_Toc1243060112</vt:lpwstr>
      </vt:variant>
      <vt:variant>
        <vt:i4>1048626</vt:i4>
      </vt:variant>
      <vt:variant>
        <vt:i4>272</vt:i4>
      </vt:variant>
      <vt:variant>
        <vt:i4>0</vt:i4>
      </vt:variant>
      <vt:variant>
        <vt:i4>5</vt:i4>
      </vt:variant>
      <vt:variant>
        <vt:lpwstr/>
      </vt:variant>
      <vt:variant>
        <vt:lpwstr>_Toc210775746</vt:lpwstr>
      </vt:variant>
      <vt:variant>
        <vt:i4>2031673</vt:i4>
      </vt:variant>
      <vt:variant>
        <vt:i4>266</vt:i4>
      </vt:variant>
      <vt:variant>
        <vt:i4>0</vt:i4>
      </vt:variant>
      <vt:variant>
        <vt:i4>5</vt:i4>
      </vt:variant>
      <vt:variant>
        <vt:lpwstr/>
      </vt:variant>
      <vt:variant>
        <vt:lpwstr>_Toc599606518</vt:lpwstr>
      </vt:variant>
      <vt:variant>
        <vt:i4>3014664</vt:i4>
      </vt:variant>
      <vt:variant>
        <vt:i4>260</vt:i4>
      </vt:variant>
      <vt:variant>
        <vt:i4>0</vt:i4>
      </vt:variant>
      <vt:variant>
        <vt:i4>5</vt:i4>
      </vt:variant>
      <vt:variant>
        <vt:lpwstr/>
      </vt:variant>
      <vt:variant>
        <vt:lpwstr>_Toc1643488410</vt:lpwstr>
      </vt:variant>
      <vt:variant>
        <vt:i4>1966141</vt:i4>
      </vt:variant>
      <vt:variant>
        <vt:i4>254</vt:i4>
      </vt:variant>
      <vt:variant>
        <vt:i4>0</vt:i4>
      </vt:variant>
      <vt:variant>
        <vt:i4>5</vt:i4>
      </vt:variant>
      <vt:variant>
        <vt:lpwstr/>
      </vt:variant>
      <vt:variant>
        <vt:lpwstr>_Toc499225277</vt:lpwstr>
      </vt:variant>
      <vt:variant>
        <vt:i4>1769524</vt:i4>
      </vt:variant>
      <vt:variant>
        <vt:i4>248</vt:i4>
      </vt:variant>
      <vt:variant>
        <vt:i4>0</vt:i4>
      </vt:variant>
      <vt:variant>
        <vt:i4>5</vt:i4>
      </vt:variant>
      <vt:variant>
        <vt:lpwstr/>
      </vt:variant>
      <vt:variant>
        <vt:lpwstr>_Toc280456362</vt:lpwstr>
      </vt:variant>
      <vt:variant>
        <vt:i4>1179704</vt:i4>
      </vt:variant>
      <vt:variant>
        <vt:i4>242</vt:i4>
      </vt:variant>
      <vt:variant>
        <vt:i4>0</vt:i4>
      </vt:variant>
      <vt:variant>
        <vt:i4>5</vt:i4>
      </vt:variant>
      <vt:variant>
        <vt:lpwstr/>
      </vt:variant>
      <vt:variant>
        <vt:lpwstr>_Toc151396153</vt:lpwstr>
      </vt:variant>
      <vt:variant>
        <vt:i4>1179697</vt:i4>
      </vt:variant>
      <vt:variant>
        <vt:i4>236</vt:i4>
      </vt:variant>
      <vt:variant>
        <vt:i4>0</vt:i4>
      </vt:variant>
      <vt:variant>
        <vt:i4>5</vt:i4>
      </vt:variant>
      <vt:variant>
        <vt:lpwstr/>
      </vt:variant>
      <vt:variant>
        <vt:lpwstr>_Toc383199854</vt:lpwstr>
      </vt:variant>
      <vt:variant>
        <vt:i4>1114175</vt:i4>
      </vt:variant>
      <vt:variant>
        <vt:i4>230</vt:i4>
      </vt:variant>
      <vt:variant>
        <vt:i4>0</vt:i4>
      </vt:variant>
      <vt:variant>
        <vt:i4>5</vt:i4>
      </vt:variant>
      <vt:variant>
        <vt:lpwstr/>
      </vt:variant>
      <vt:variant>
        <vt:lpwstr>_Toc921562134</vt:lpwstr>
      </vt:variant>
      <vt:variant>
        <vt:i4>1114160</vt:i4>
      </vt:variant>
      <vt:variant>
        <vt:i4>224</vt:i4>
      </vt:variant>
      <vt:variant>
        <vt:i4>0</vt:i4>
      </vt:variant>
      <vt:variant>
        <vt:i4>5</vt:i4>
      </vt:variant>
      <vt:variant>
        <vt:lpwstr/>
      </vt:variant>
      <vt:variant>
        <vt:lpwstr>_Toc124676245</vt:lpwstr>
      </vt:variant>
      <vt:variant>
        <vt:i4>1638456</vt:i4>
      </vt:variant>
      <vt:variant>
        <vt:i4>218</vt:i4>
      </vt:variant>
      <vt:variant>
        <vt:i4>0</vt:i4>
      </vt:variant>
      <vt:variant>
        <vt:i4>5</vt:i4>
      </vt:variant>
      <vt:variant>
        <vt:lpwstr/>
      </vt:variant>
      <vt:variant>
        <vt:lpwstr>_Toc446399304</vt:lpwstr>
      </vt:variant>
      <vt:variant>
        <vt:i4>2752512</vt:i4>
      </vt:variant>
      <vt:variant>
        <vt:i4>212</vt:i4>
      </vt:variant>
      <vt:variant>
        <vt:i4>0</vt:i4>
      </vt:variant>
      <vt:variant>
        <vt:i4>5</vt:i4>
      </vt:variant>
      <vt:variant>
        <vt:lpwstr/>
      </vt:variant>
      <vt:variant>
        <vt:lpwstr>_Toc2104424822</vt:lpwstr>
      </vt:variant>
      <vt:variant>
        <vt:i4>2097164</vt:i4>
      </vt:variant>
      <vt:variant>
        <vt:i4>206</vt:i4>
      </vt:variant>
      <vt:variant>
        <vt:i4>0</vt:i4>
      </vt:variant>
      <vt:variant>
        <vt:i4>5</vt:i4>
      </vt:variant>
      <vt:variant>
        <vt:lpwstr/>
      </vt:variant>
      <vt:variant>
        <vt:lpwstr>_Toc1096503829</vt:lpwstr>
      </vt:variant>
      <vt:variant>
        <vt:i4>1048626</vt:i4>
      </vt:variant>
      <vt:variant>
        <vt:i4>200</vt:i4>
      </vt:variant>
      <vt:variant>
        <vt:i4>0</vt:i4>
      </vt:variant>
      <vt:variant>
        <vt:i4>5</vt:i4>
      </vt:variant>
      <vt:variant>
        <vt:lpwstr/>
      </vt:variant>
      <vt:variant>
        <vt:lpwstr>_Toc393668403</vt:lpwstr>
      </vt:variant>
      <vt:variant>
        <vt:i4>1179703</vt:i4>
      </vt:variant>
      <vt:variant>
        <vt:i4>194</vt:i4>
      </vt:variant>
      <vt:variant>
        <vt:i4>0</vt:i4>
      </vt:variant>
      <vt:variant>
        <vt:i4>5</vt:i4>
      </vt:variant>
      <vt:variant>
        <vt:lpwstr/>
      </vt:variant>
      <vt:variant>
        <vt:lpwstr>_Toc102370367</vt:lpwstr>
      </vt:variant>
      <vt:variant>
        <vt:i4>2686980</vt:i4>
      </vt:variant>
      <vt:variant>
        <vt:i4>188</vt:i4>
      </vt:variant>
      <vt:variant>
        <vt:i4>0</vt:i4>
      </vt:variant>
      <vt:variant>
        <vt:i4>5</vt:i4>
      </vt:variant>
      <vt:variant>
        <vt:lpwstr/>
      </vt:variant>
      <vt:variant>
        <vt:lpwstr>_Toc1892837037</vt:lpwstr>
      </vt:variant>
      <vt:variant>
        <vt:i4>2359299</vt:i4>
      </vt:variant>
      <vt:variant>
        <vt:i4>182</vt:i4>
      </vt:variant>
      <vt:variant>
        <vt:i4>0</vt:i4>
      </vt:variant>
      <vt:variant>
        <vt:i4>5</vt:i4>
      </vt:variant>
      <vt:variant>
        <vt:lpwstr/>
      </vt:variant>
      <vt:variant>
        <vt:lpwstr>_Toc2107682558</vt:lpwstr>
      </vt:variant>
      <vt:variant>
        <vt:i4>2359306</vt:i4>
      </vt:variant>
      <vt:variant>
        <vt:i4>176</vt:i4>
      </vt:variant>
      <vt:variant>
        <vt:i4>0</vt:i4>
      </vt:variant>
      <vt:variant>
        <vt:i4>5</vt:i4>
      </vt:variant>
      <vt:variant>
        <vt:lpwstr/>
      </vt:variant>
      <vt:variant>
        <vt:lpwstr>_Toc1069419803</vt:lpwstr>
      </vt:variant>
      <vt:variant>
        <vt:i4>1245233</vt:i4>
      </vt:variant>
      <vt:variant>
        <vt:i4>170</vt:i4>
      </vt:variant>
      <vt:variant>
        <vt:i4>0</vt:i4>
      </vt:variant>
      <vt:variant>
        <vt:i4>5</vt:i4>
      </vt:variant>
      <vt:variant>
        <vt:lpwstr/>
      </vt:variant>
      <vt:variant>
        <vt:lpwstr>_Toc326063259</vt:lpwstr>
      </vt:variant>
      <vt:variant>
        <vt:i4>1441845</vt:i4>
      </vt:variant>
      <vt:variant>
        <vt:i4>164</vt:i4>
      </vt:variant>
      <vt:variant>
        <vt:i4>0</vt:i4>
      </vt:variant>
      <vt:variant>
        <vt:i4>5</vt:i4>
      </vt:variant>
      <vt:variant>
        <vt:lpwstr/>
      </vt:variant>
      <vt:variant>
        <vt:lpwstr>_Toc496069110</vt:lpwstr>
      </vt:variant>
      <vt:variant>
        <vt:i4>1769529</vt:i4>
      </vt:variant>
      <vt:variant>
        <vt:i4>158</vt:i4>
      </vt:variant>
      <vt:variant>
        <vt:i4>0</vt:i4>
      </vt:variant>
      <vt:variant>
        <vt:i4>5</vt:i4>
      </vt:variant>
      <vt:variant>
        <vt:lpwstr/>
      </vt:variant>
      <vt:variant>
        <vt:lpwstr>_Toc870972609</vt:lpwstr>
      </vt:variant>
      <vt:variant>
        <vt:i4>2949133</vt:i4>
      </vt:variant>
      <vt:variant>
        <vt:i4>152</vt:i4>
      </vt:variant>
      <vt:variant>
        <vt:i4>0</vt:i4>
      </vt:variant>
      <vt:variant>
        <vt:i4>5</vt:i4>
      </vt:variant>
      <vt:variant>
        <vt:lpwstr/>
      </vt:variant>
      <vt:variant>
        <vt:lpwstr>_Toc1816276390</vt:lpwstr>
      </vt:variant>
      <vt:variant>
        <vt:i4>1507386</vt:i4>
      </vt:variant>
      <vt:variant>
        <vt:i4>146</vt:i4>
      </vt:variant>
      <vt:variant>
        <vt:i4>0</vt:i4>
      </vt:variant>
      <vt:variant>
        <vt:i4>5</vt:i4>
      </vt:variant>
      <vt:variant>
        <vt:lpwstr/>
      </vt:variant>
      <vt:variant>
        <vt:lpwstr>_Toc871443708</vt:lpwstr>
      </vt:variant>
      <vt:variant>
        <vt:i4>1900594</vt:i4>
      </vt:variant>
      <vt:variant>
        <vt:i4>140</vt:i4>
      </vt:variant>
      <vt:variant>
        <vt:i4>0</vt:i4>
      </vt:variant>
      <vt:variant>
        <vt:i4>5</vt:i4>
      </vt:variant>
      <vt:variant>
        <vt:lpwstr/>
      </vt:variant>
      <vt:variant>
        <vt:lpwstr>_Toc483551069</vt:lpwstr>
      </vt:variant>
      <vt:variant>
        <vt:i4>2949128</vt:i4>
      </vt:variant>
      <vt:variant>
        <vt:i4>134</vt:i4>
      </vt:variant>
      <vt:variant>
        <vt:i4>0</vt:i4>
      </vt:variant>
      <vt:variant>
        <vt:i4>5</vt:i4>
      </vt:variant>
      <vt:variant>
        <vt:lpwstr/>
      </vt:variant>
      <vt:variant>
        <vt:lpwstr>_Toc1511982432</vt:lpwstr>
      </vt:variant>
      <vt:variant>
        <vt:i4>2162696</vt:i4>
      </vt:variant>
      <vt:variant>
        <vt:i4>128</vt:i4>
      </vt:variant>
      <vt:variant>
        <vt:i4>0</vt:i4>
      </vt:variant>
      <vt:variant>
        <vt:i4>5</vt:i4>
      </vt:variant>
      <vt:variant>
        <vt:lpwstr/>
      </vt:variant>
      <vt:variant>
        <vt:lpwstr>_Toc1774046584</vt:lpwstr>
      </vt:variant>
      <vt:variant>
        <vt:i4>1179700</vt:i4>
      </vt:variant>
      <vt:variant>
        <vt:i4>122</vt:i4>
      </vt:variant>
      <vt:variant>
        <vt:i4>0</vt:i4>
      </vt:variant>
      <vt:variant>
        <vt:i4>5</vt:i4>
      </vt:variant>
      <vt:variant>
        <vt:lpwstr/>
      </vt:variant>
      <vt:variant>
        <vt:lpwstr>_Toc435632621</vt:lpwstr>
      </vt:variant>
      <vt:variant>
        <vt:i4>1179704</vt:i4>
      </vt:variant>
      <vt:variant>
        <vt:i4>116</vt:i4>
      </vt:variant>
      <vt:variant>
        <vt:i4>0</vt:i4>
      </vt:variant>
      <vt:variant>
        <vt:i4>5</vt:i4>
      </vt:variant>
      <vt:variant>
        <vt:lpwstr/>
      </vt:variant>
      <vt:variant>
        <vt:lpwstr>_Toc29906559</vt:lpwstr>
      </vt:variant>
      <vt:variant>
        <vt:i4>2686991</vt:i4>
      </vt:variant>
      <vt:variant>
        <vt:i4>110</vt:i4>
      </vt:variant>
      <vt:variant>
        <vt:i4>0</vt:i4>
      </vt:variant>
      <vt:variant>
        <vt:i4>5</vt:i4>
      </vt:variant>
      <vt:variant>
        <vt:lpwstr/>
      </vt:variant>
      <vt:variant>
        <vt:lpwstr>_Toc1755872912</vt:lpwstr>
      </vt:variant>
      <vt:variant>
        <vt:i4>1310780</vt:i4>
      </vt:variant>
      <vt:variant>
        <vt:i4>104</vt:i4>
      </vt:variant>
      <vt:variant>
        <vt:i4>0</vt:i4>
      </vt:variant>
      <vt:variant>
        <vt:i4>5</vt:i4>
      </vt:variant>
      <vt:variant>
        <vt:lpwstr/>
      </vt:variant>
      <vt:variant>
        <vt:lpwstr>_Toc568412039</vt:lpwstr>
      </vt:variant>
      <vt:variant>
        <vt:i4>2293763</vt:i4>
      </vt:variant>
      <vt:variant>
        <vt:i4>98</vt:i4>
      </vt:variant>
      <vt:variant>
        <vt:i4>0</vt:i4>
      </vt:variant>
      <vt:variant>
        <vt:i4>5</vt:i4>
      </vt:variant>
      <vt:variant>
        <vt:lpwstr/>
      </vt:variant>
      <vt:variant>
        <vt:lpwstr>_Toc1031257545</vt:lpwstr>
      </vt:variant>
      <vt:variant>
        <vt:i4>1048634</vt:i4>
      </vt:variant>
      <vt:variant>
        <vt:i4>92</vt:i4>
      </vt:variant>
      <vt:variant>
        <vt:i4>0</vt:i4>
      </vt:variant>
      <vt:variant>
        <vt:i4>5</vt:i4>
      </vt:variant>
      <vt:variant>
        <vt:lpwstr/>
      </vt:variant>
      <vt:variant>
        <vt:lpwstr>_Toc903104020</vt:lpwstr>
      </vt:variant>
      <vt:variant>
        <vt:i4>2949130</vt:i4>
      </vt:variant>
      <vt:variant>
        <vt:i4>86</vt:i4>
      </vt:variant>
      <vt:variant>
        <vt:i4>0</vt:i4>
      </vt:variant>
      <vt:variant>
        <vt:i4>5</vt:i4>
      </vt:variant>
      <vt:variant>
        <vt:lpwstr/>
      </vt:variant>
      <vt:variant>
        <vt:lpwstr>_Toc1327564088</vt:lpwstr>
      </vt:variant>
      <vt:variant>
        <vt:i4>2031668</vt:i4>
      </vt:variant>
      <vt:variant>
        <vt:i4>80</vt:i4>
      </vt:variant>
      <vt:variant>
        <vt:i4>0</vt:i4>
      </vt:variant>
      <vt:variant>
        <vt:i4>5</vt:i4>
      </vt:variant>
      <vt:variant>
        <vt:lpwstr/>
      </vt:variant>
      <vt:variant>
        <vt:lpwstr>_Toc743826227</vt:lpwstr>
      </vt:variant>
      <vt:variant>
        <vt:i4>1638463</vt:i4>
      </vt:variant>
      <vt:variant>
        <vt:i4>74</vt:i4>
      </vt:variant>
      <vt:variant>
        <vt:i4>0</vt:i4>
      </vt:variant>
      <vt:variant>
        <vt:i4>5</vt:i4>
      </vt:variant>
      <vt:variant>
        <vt:lpwstr/>
      </vt:variant>
      <vt:variant>
        <vt:lpwstr>_Toc776766887</vt:lpwstr>
      </vt:variant>
      <vt:variant>
        <vt:i4>2818055</vt:i4>
      </vt:variant>
      <vt:variant>
        <vt:i4>68</vt:i4>
      </vt:variant>
      <vt:variant>
        <vt:i4>0</vt:i4>
      </vt:variant>
      <vt:variant>
        <vt:i4>5</vt:i4>
      </vt:variant>
      <vt:variant>
        <vt:lpwstr/>
      </vt:variant>
      <vt:variant>
        <vt:lpwstr>_Toc1861222205</vt:lpwstr>
      </vt:variant>
      <vt:variant>
        <vt:i4>2293770</vt:i4>
      </vt:variant>
      <vt:variant>
        <vt:i4>62</vt:i4>
      </vt:variant>
      <vt:variant>
        <vt:i4>0</vt:i4>
      </vt:variant>
      <vt:variant>
        <vt:i4>5</vt:i4>
      </vt:variant>
      <vt:variant>
        <vt:lpwstr/>
      </vt:variant>
      <vt:variant>
        <vt:lpwstr>_Toc1411238103</vt:lpwstr>
      </vt:variant>
      <vt:variant>
        <vt:i4>2686976</vt:i4>
      </vt:variant>
      <vt:variant>
        <vt:i4>56</vt:i4>
      </vt:variant>
      <vt:variant>
        <vt:i4>0</vt:i4>
      </vt:variant>
      <vt:variant>
        <vt:i4>5</vt:i4>
      </vt:variant>
      <vt:variant>
        <vt:lpwstr/>
      </vt:variant>
      <vt:variant>
        <vt:lpwstr>_Toc1108486936</vt:lpwstr>
      </vt:variant>
      <vt:variant>
        <vt:i4>1769533</vt:i4>
      </vt:variant>
      <vt:variant>
        <vt:i4>50</vt:i4>
      </vt:variant>
      <vt:variant>
        <vt:i4>0</vt:i4>
      </vt:variant>
      <vt:variant>
        <vt:i4>5</vt:i4>
      </vt:variant>
      <vt:variant>
        <vt:lpwstr/>
      </vt:variant>
      <vt:variant>
        <vt:lpwstr>_Toc270497686</vt:lpwstr>
      </vt:variant>
      <vt:variant>
        <vt:i4>2031668</vt:i4>
      </vt:variant>
      <vt:variant>
        <vt:i4>44</vt:i4>
      </vt:variant>
      <vt:variant>
        <vt:i4>0</vt:i4>
      </vt:variant>
      <vt:variant>
        <vt:i4>5</vt:i4>
      </vt:variant>
      <vt:variant>
        <vt:lpwstr/>
      </vt:variant>
      <vt:variant>
        <vt:lpwstr>_Toc330427589</vt:lpwstr>
      </vt:variant>
      <vt:variant>
        <vt:i4>2621445</vt:i4>
      </vt:variant>
      <vt:variant>
        <vt:i4>38</vt:i4>
      </vt:variant>
      <vt:variant>
        <vt:i4>0</vt:i4>
      </vt:variant>
      <vt:variant>
        <vt:i4>5</vt:i4>
      </vt:variant>
      <vt:variant>
        <vt:lpwstr/>
      </vt:variant>
      <vt:variant>
        <vt:lpwstr>_Toc2109420431</vt:lpwstr>
      </vt:variant>
      <vt:variant>
        <vt:i4>2424842</vt:i4>
      </vt:variant>
      <vt:variant>
        <vt:i4>32</vt:i4>
      </vt:variant>
      <vt:variant>
        <vt:i4>0</vt:i4>
      </vt:variant>
      <vt:variant>
        <vt:i4>5</vt:i4>
      </vt:variant>
      <vt:variant>
        <vt:lpwstr/>
      </vt:variant>
      <vt:variant>
        <vt:lpwstr>_Toc1495262623</vt:lpwstr>
      </vt:variant>
      <vt:variant>
        <vt:i4>2555906</vt:i4>
      </vt:variant>
      <vt:variant>
        <vt:i4>26</vt:i4>
      </vt:variant>
      <vt:variant>
        <vt:i4>0</vt:i4>
      </vt:variant>
      <vt:variant>
        <vt:i4>5</vt:i4>
      </vt:variant>
      <vt:variant>
        <vt:lpwstr/>
      </vt:variant>
      <vt:variant>
        <vt:lpwstr>_Toc1400218095</vt:lpwstr>
      </vt:variant>
      <vt:variant>
        <vt:i4>2490374</vt:i4>
      </vt:variant>
      <vt:variant>
        <vt:i4>20</vt:i4>
      </vt:variant>
      <vt:variant>
        <vt:i4>0</vt:i4>
      </vt:variant>
      <vt:variant>
        <vt:i4>5</vt:i4>
      </vt:variant>
      <vt:variant>
        <vt:lpwstr/>
      </vt:variant>
      <vt:variant>
        <vt:lpwstr>_Toc2132255205</vt:lpwstr>
      </vt:variant>
      <vt:variant>
        <vt:i4>2883588</vt:i4>
      </vt:variant>
      <vt:variant>
        <vt:i4>14</vt:i4>
      </vt:variant>
      <vt:variant>
        <vt:i4>0</vt:i4>
      </vt:variant>
      <vt:variant>
        <vt:i4>5</vt:i4>
      </vt:variant>
      <vt:variant>
        <vt:lpwstr/>
      </vt:variant>
      <vt:variant>
        <vt:lpwstr>_Toc1237781402</vt:lpwstr>
      </vt:variant>
      <vt:variant>
        <vt:i4>2228228</vt:i4>
      </vt:variant>
      <vt:variant>
        <vt:i4>8</vt:i4>
      </vt:variant>
      <vt:variant>
        <vt:i4>0</vt:i4>
      </vt:variant>
      <vt:variant>
        <vt:i4>5</vt:i4>
      </vt:variant>
      <vt:variant>
        <vt:lpwstr/>
      </vt:variant>
      <vt:variant>
        <vt:lpwstr>_Toc1128255900</vt:lpwstr>
      </vt:variant>
      <vt:variant>
        <vt:i4>2883595</vt:i4>
      </vt:variant>
      <vt:variant>
        <vt:i4>2</vt:i4>
      </vt:variant>
      <vt:variant>
        <vt:i4>0</vt:i4>
      </vt:variant>
      <vt:variant>
        <vt:i4>5</vt:i4>
      </vt:variant>
      <vt:variant>
        <vt:lpwstr/>
      </vt:variant>
      <vt:variant>
        <vt:lpwstr>_Toc1154935439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lika keinasvili</dc:creator>
  <cp:keywords/>
  <dc:description/>
  <cp:lastModifiedBy>lika keinasvili</cp:lastModifiedBy>
  <cp:revision>2</cp:revision>
  <dcterms:created xsi:type="dcterms:W3CDTF">2026-05-01T08:41:00Z</dcterms:created>
  <dcterms:modified xsi:type="dcterms:W3CDTF">2026-05-01T08:41:00Z</dcterms:modified>
</cp:coreProperties>
</file>