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74A4E6E0" w:rsidP="662C315C" w:rsidRDefault="74A4E6E0" w14:paraId="741F9CB8" w14:textId="747CBED0">
      <w:pPr>
        <w:spacing w:before="240" w:beforeAutospacing="off" w:after="240" w:afterAutospacing="off"/>
      </w:pPr>
      <w:r w:rsidRPr="662C315C" w:rsidR="58B01279">
        <w:rPr>
          <w:rFonts w:ascii="Arial Nova" w:hAnsi="Arial Nova" w:eastAsia="Arial Nova" w:cs="Arial Nova"/>
          <w:b w:val="1"/>
          <w:bCs w:val="1"/>
          <w:noProof w:val="0"/>
          <w:sz w:val="40"/>
          <w:szCs w:val="40"/>
          <w:lang w:val="en-GB"/>
        </w:rPr>
        <w:t>Introduction</w:t>
      </w:r>
    </w:p>
    <w:p w:rsidR="74A4E6E0" w:rsidP="662C315C" w:rsidRDefault="74A4E6E0" w14:paraId="768604EF" w14:textId="6904C91F">
      <w:pPr>
        <w:spacing w:before="240" w:beforeAutospacing="off" w:after="240" w:afterAutospacing="off"/>
        <w:rPr>
          <w:rFonts w:ascii="Arial Nova" w:hAnsi="Arial Nova" w:eastAsia="Arial Nova" w:cs="Arial Nova"/>
          <w:b w:val="1"/>
          <w:bCs w:val="1"/>
          <w:sz w:val="22"/>
          <w:szCs w:val="22"/>
        </w:rPr>
      </w:pPr>
      <w:r w:rsidRPr="662C315C" w:rsidR="58B01279">
        <w:rPr>
          <w:rFonts w:ascii="Arial Nova" w:hAnsi="Arial Nova" w:eastAsia="Arial Nova" w:cs="Arial Nova"/>
          <w:noProof w:val="0"/>
          <w:sz w:val="22"/>
          <w:szCs w:val="22"/>
          <w:lang w:val="en-GB"/>
        </w:rPr>
        <w:t xml:space="preserve">This report examines patient safety issues in UK health and social care, focusing on preventing harm through reducing medication errors, improving communication, and minimising clinical mistakes. Patient safety </w:t>
      </w:r>
      <w:r w:rsidRPr="662C315C" w:rsidR="58B01279">
        <w:rPr>
          <w:rFonts w:ascii="Arial Nova" w:hAnsi="Arial Nova" w:eastAsia="Arial Nova" w:cs="Arial Nova"/>
          <w:noProof w:val="0"/>
          <w:sz w:val="22"/>
          <w:szCs w:val="22"/>
          <w:lang w:val="en-GB"/>
        </w:rPr>
        <w:t>remains</w:t>
      </w:r>
      <w:r w:rsidRPr="662C315C" w:rsidR="58B01279">
        <w:rPr>
          <w:rFonts w:ascii="Arial Nova" w:hAnsi="Arial Nova" w:eastAsia="Arial Nova" w:cs="Arial Nova"/>
          <w:noProof w:val="0"/>
          <w:sz w:val="22"/>
          <w:szCs w:val="22"/>
          <w:lang w:val="en-GB"/>
        </w:rPr>
        <w:t xml:space="preserve"> a priority, with strategies aimed at creating safer systems and improving care quality.</w:t>
      </w:r>
      <w:r w:rsidRPr="662C315C" w:rsidR="58B01279">
        <w:rPr>
          <w:rFonts w:ascii="Arial Nova" w:hAnsi="Arial Nova" w:eastAsia="Arial Nova" w:cs="Arial Nova"/>
          <w:b w:val="1"/>
          <w:bCs w:val="1"/>
          <w:sz w:val="22"/>
          <w:szCs w:val="22"/>
        </w:rPr>
        <w:t xml:space="preserve"> </w:t>
      </w:r>
      <w:r w:rsidRPr="662C315C" w:rsidR="33387993">
        <w:rPr>
          <w:rFonts w:ascii="Arial Nova" w:hAnsi="Arial Nova" w:eastAsia="Arial Nova" w:cs="Arial Nova"/>
          <w:b w:val="1"/>
          <w:bCs w:val="1"/>
          <w:sz w:val="22"/>
          <w:szCs w:val="22"/>
        </w:rPr>
        <w:t>(National Health Services, 2019).</w:t>
      </w:r>
    </w:p>
    <w:p w:rsidR="74A4E6E0" w:rsidP="662C315C" w:rsidRDefault="74A4E6E0" w14:paraId="554A9E2C" w14:textId="25F7E5AB">
      <w:pPr>
        <w:spacing w:before="240" w:beforeAutospacing="off" w:after="240" w:afterAutospacing="off"/>
        <w:rPr>
          <w:rFonts w:ascii="Arial Nova" w:hAnsi="Arial Nova" w:eastAsia="Arial Nova" w:cs="Arial Nova"/>
          <w:b w:val="1"/>
          <w:bCs w:val="1"/>
          <w:sz w:val="22"/>
          <w:szCs w:val="22"/>
        </w:rPr>
      </w:pPr>
    </w:p>
    <w:p w:rsidR="74A4E6E0" w:rsidP="662C315C" w:rsidRDefault="74A4E6E0" w14:paraId="0F27590D" w14:textId="7E506973">
      <w:pPr>
        <w:spacing w:before="240" w:beforeAutospacing="off" w:after="240" w:afterAutospacing="off"/>
        <w:rPr>
          <w:rFonts w:ascii="Arial Nova" w:hAnsi="Arial Nova" w:eastAsia="Arial Nova" w:cs="Arial Nova"/>
          <w:b w:val="1"/>
          <w:bCs w:val="1"/>
          <w:sz w:val="22"/>
          <w:szCs w:val="22"/>
        </w:rPr>
      </w:pPr>
    </w:p>
    <w:p w:rsidR="74A4E6E0" w:rsidP="662C315C" w:rsidRDefault="74A4E6E0" w14:paraId="755426E7" w14:textId="6349BBD5">
      <w:pPr>
        <w:spacing w:before="240" w:beforeAutospacing="off" w:after="240" w:afterAutospacing="off"/>
        <w:rPr>
          <w:rFonts w:ascii="Arial Nova" w:hAnsi="Arial Nova" w:eastAsia="Arial Nova" w:cs="Arial Nova"/>
          <w:b w:val="1"/>
          <w:bCs w:val="1"/>
          <w:sz w:val="22"/>
          <w:szCs w:val="22"/>
        </w:rPr>
      </w:pPr>
    </w:p>
    <w:p w:rsidR="74A4E6E0" w:rsidP="662C315C" w:rsidRDefault="74A4E6E0" w14:paraId="7EACE090" w14:textId="6217B71E">
      <w:pPr>
        <w:spacing w:before="240" w:beforeAutospacing="off" w:after="240" w:afterAutospacing="off"/>
        <w:rPr>
          <w:rFonts w:ascii="Arial Nova" w:hAnsi="Arial Nova" w:eastAsia="Arial Nova" w:cs="Arial Nova"/>
          <w:b w:val="1"/>
          <w:bCs w:val="1"/>
          <w:sz w:val="40"/>
          <w:szCs w:val="40"/>
        </w:rPr>
      </w:pPr>
      <w:r w:rsidRPr="662C315C" w:rsidR="12DB7DBB">
        <w:rPr>
          <w:rFonts w:ascii="Arial Nova" w:hAnsi="Arial Nova" w:eastAsia="Arial Nova" w:cs="Arial Nova"/>
          <w:b w:val="1"/>
          <w:bCs w:val="1"/>
          <w:sz w:val="40"/>
          <w:szCs w:val="40"/>
        </w:rPr>
        <w:t>Information evaluation</w:t>
      </w:r>
    </w:p>
    <w:p w:rsidR="74A4E6E0" w:rsidP="662C315C" w:rsidRDefault="74A4E6E0" w14:paraId="52FF99F5" w14:textId="3D32AB63">
      <w:pPr>
        <w:spacing w:beforeAutospacing="on" w:afterAutospacing="on" w:line="240" w:lineRule="auto"/>
        <w:rPr>
          <w:rFonts w:ascii="Times New Roman" w:hAnsi="Times New Roman" w:cs="Times New Roman"/>
          <w:lang w:eastAsia="en-GB"/>
        </w:rPr>
      </w:pPr>
      <w:r w:rsidRPr="662C315C" w:rsidR="12DB7DBB">
        <w:rPr>
          <w:rFonts w:ascii="Times New Roman" w:hAnsi="Times New Roman" w:cs="Times New Roman"/>
          <w:lang w:eastAsia="en-GB"/>
        </w:rPr>
        <w:t>Donovan et al. (2018) analysed UK guidelines on prescribing unlicensed medicines using the AGREE II quality assessment tool. The study reviewed 52 guidelines and found that while many were clearly written, they often lacked strong evidence in their development process. This source is useful because it highlights inconsistencies in guidance that may affect patient safety when unlicensed medicines are prescribed. It supports my report by showing that better guideline development is needed to reduce risks. However, the study mainly focuses on guideline quality and does not examine how these guidelines are applied in real clinical practice, which creates a gap in understanding how prescribing decisions are made.</w:t>
      </w:r>
    </w:p>
    <w:p w:rsidR="74A4E6E0" w:rsidP="662C315C" w:rsidRDefault="74A4E6E0" w14:paraId="619EA54D" w14:textId="7EF420A1">
      <w:pPr>
        <w:spacing w:beforeAutospacing="on" w:afterAutospacing="on" w:line="240" w:lineRule="auto"/>
        <w:rPr>
          <w:rFonts w:ascii="Times New Roman" w:hAnsi="Times New Roman" w:cs="Times New Roman"/>
          <w:lang w:eastAsia="en-GB"/>
        </w:rPr>
      </w:pPr>
    </w:p>
    <w:p w:rsidR="74A4E6E0" w:rsidP="662C315C" w:rsidRDefault="74A4E6E0" w14:paraId="206FDF80" w14:textId="1A0052AC">
      <w:pPr>
        <w:spacing w:beforeAutospacing="on" w:afterAutospacing="on" w:line="240" w:lineRule="auto"/>
        <w:rPr>
          <w:rFonts w:ascii="Times New Roman" w:hAnsi="Times New Roman" w:cs="Times New Roman"/>
          <w:lang w:eastAsia="en-GB"/>
        </w:rPr>
      </w:pPr>
      <w:r w:rsidRPr="662C315C" w:rsidR="12DB7DBB">
        <w:rPr>
          <w:rFonts w:ascii="Times New Roman" w:hAnsi="Times New Roman" w:cs="Times New Roman"/>
          <w:lang w:eastAsia="en-GB"/>
        </w:rPr>
        <w:t>Lichtner et al. (2025) explored the implementation of the Scan4Safety programme in NHS hospitals through interviews with healthcare professionals and analysis of documents. The research found that barcode scanning systems improve patient identification and the tracking of medicines and devices, which helps reduce errors. This source supports my work because it demonstrates how technology can improve patient safety and reduce human error in healthcare settings. However, the study also identified challenges such as inconsistent use of scanning systems and problems with data quality. A limitation of the research is that it focuses on a small number of demonstrator sites.</w:t>
      </w:r>
    </w:p>
    <w:p w:rsidR="74A4E6E0" w:rsidP="662C315C" w:rsidRDefault="74A4E6E0" w14:paraId="1FD75008" w14:textId="32D179F8">
      <w:pPr>
        <w:spacing w:beforeAutospacing="on" w:afterAutospacing="on" w:line="240" w:lineRule="auto"/>
        <w:rPr>
          <w:rFonts w:ascii="Times New Roman" w:hAnsi="Times New Roman" w:cs="Times New Roman"/>
          <w:lang w:eastAsia="en-GB"/>
        </w:rPr>
      </w:pPr>
    </w:p>
    <w:p w:rsidR="74A4E6E0" w:rsidP="662C315C" w:rsidRDefault="74A4E6E0" w14:paraId="234E1C64" w14:textId="761F0FF7">
      <w:pPr>
        <w:pStyle w:val="Normal"/>
        <w:spacing w:before="240" w:beforeAutospacing="off" w:after="240" w:afterAutospacing="off"/>
        <w:rPr>
          <w:rFonts w:ascii="Times New Roman" w:hAnsi="Times New Roman" w:cs="Times New Roman"/>
          <w:lang w:eastAsia="en-GB"/>
        </w:rPr>
      </w:pPr>
      <w:r w:rsidRPr="662C315C" w:rsidR="12DB7DBB">
        <w:rPr>
          <w:rFonts w:ascii="Times New Roman" w:hAnsi="Times New Roman" w:cs="Times New Roman"/>
          <w:lang w:eastAsia="en-GB"/>
        </w:rPr>
        <w:t>McKibbon et al. (2013) conducted a review examining the role of communication technologies. The study highlights how effective communication between healthcare professionals is essential for reducing medical errors and improving patient outcomes. This source supports my discussion of communication as a key factor in patient safety. However, the research focuses broadly on communication technology rather than specific patient safety incidents, meaning further research could explore how communication failures directly contribute to errors in clinical practice</w:t>
      </w:r>
    </w:p>
    <w:p w:rsidR="74A4E6E0" w:rsidP="662C315C" w:rsidRDefault="74A4E6E0" w14:paraId="75832923" w14:textId="2F09F728">
      <w:pPr>
        <w:pStyle w:val="Normal"/>
        <w:spacing w:before="240" w:beforeAutospacing="off" w:after="240" w:afterAutospacing="off"/>
        <w:rPr>
          <w:rFonts w:ascii="Times New Roman" w:hAnsi="Times New Roman" w:cs="Times New Roman"/>
          <w:b w:val="1"/>
          <w:bCs w:val="1"/>
          <w:sz w:val="40"/>
          <w:szCs w:val="40"/>
          <w:lang w:eastAsia="en-GB"/>
        </w:rPr>
      </w:pPr>
      <w:r w:rsidRPr="662C315C" w:rsidR="12DB7DBB">
        <w:rPr>
          <w:rFonts w:ascii="Times New Roman" w:hAnsi="Times New Roman" w:cs="Times New Roman"/>
          <w:b w:val="1"/>
          <w:bCs w:val="1"/>
          <w:sz w:val="40"/>
          <w:szCs w:val="40"/>
          <w:lang w:eastAsia="en-GB"/>
        </w:rPr>
        <w:t>Sources</w:t>
      </w:r>
    </w:p>
    <w:p w:rsidR="74A4E6E0" w:rsidP="662C315C" w:rsidRDefault="74A4E6E0" w14:paraId="085299AB" w14:textId="554E4554">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Research from NHS England (2023) highlights communication failures as a major patient safety issue within the UK healthcare system. Evidence from national incident reports shows that poor communication is </w:t>
      </w:r>
      <w:r w:rsidRPr="662C315C" w:rsidR="78705C9D">
        <w:rPr>
          <w:rFonts w:ascii="Times New Roman" w:hAnsi="Times New Roman" w:eastAsia="Times New Roman" w:cs="Times New Roman"/>
          <w:noProof w:val="0"/>
          <w:sz w:val="22"/>
          <w:szCs w:val="22"/>
          <w:lang w:val="en-GB"/>
        </w:rPr>
        <w:t>frequently</w:t>
      </w:r>
      <w:r w:rsidRPr="662C315C" w:rsidR="78705C9D">
        <w:rPr>
          <w:rFonts w:ascii="Times New Roman" w:hAnsi="Times New Roman" w:eastAsia="Times New Roman" w:cs="Times New Roman"/>
          <w:noProof w:val="0"/>
          <w:sz w:val="22"/>
          <w:szCs w:val="22"/>
          <w:lang w:val="en-GB"/>
        </w:rPr>
        <w:t xml:space="preserve"> </w:t>
      </w:r>
      <w:r w:rsidRPr="662C315C" w:rsidR="78705C9D">
        <w:rPr>
          <w:rFonts w:ascii="Times New Roman" w:hAnsi="Times New Roman" w:eastAsia="Times New Roman" w:cs="Times New Roman"/>
          <w:noProof w:val="0"/>
          <w:sz w:val="22"/>
          <w:szCs w:val="22"/>
          <w:lang w:val="en-GB"/>
        </w:rPr>
        <w:t>identified</w:t>
      </w:r>
      <w:r w:rsidRPr="662C315C" w:rsidR="78705C9D">
        <w:rPr>
          <w:rFonts w:ascii="Times New Roman" w:hAnsi="Times New Roman" w:eastAsia="Times New Roman" w:cs="Times New Roman"/>
          <w:noProof w:val="0"/>
          <w:sz w:val="22"/>
          <w:szCs w:val="22"/>
          <w:lang w:val="en-GB"/>
        </w:rPr>
        <w:t xml:space="preserve"> in serious incidents, suggesting it is a persistent and widespread problem. Breakdowns in communication between healthcare professionals can lead to incorrect treatment decisions, delays in care, and avoidable harm to patients. This source is particularly useful because it is based on large-scale national data, increasing its reliability and relevance to current NHS practice. However, it </w:t>
      </w:r>
      <w:r w:rsidRPr="662C315C" w:rsidR="78705C9D">
        <w:rPr>
          <w:rFonts w:ascii="Times New Roman" w:hAnsi="Times New Roman" w:eastAsia="Times New Roman" w:cs="Times New Roman"/>
          <w:noProof w:val="0"/>
          <w:sz w:val="22"/>
          <w:szCs w:val="22"/>
          <w:lang w:val="en-GB"/>
        </w:rPr>
        <w:t>mainly focuses</w:t>
      </w:r>
      <w:r w:rsidRPr="662C315C" w:rsidR="78705C9D">
        <w:rPr>
          <w:rFonts w:ascii="Times New Roman" w:hAnsi="Times New Roman" w:eastAsia="Times New Roman" w:cs="Times New Roman"/>
          <w:noProof w:val="0"/>
          <w:sz w:val="22"/>
          <w:szCs w:val="22"/>
          <w:lang w:val="en-GB"/>
        </w:rPr>
        <w:t xml:space="preserve"> on spoken communication and does not fully explore other important forms such as written documentation or digital systems, which limits the overall scope of analysis.</w:t>
      </w:r>
    </w:p>
    <w:p w:rsidR="74A4E6E0" w:rsidP="662C315C" w:rsidRDefault="74A4E6E0" w14:paraId="5B1537D2" w14:textId="2106222B">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Alrowily</w:t>
      </w:r>
      <w:r w:rsidRPr="662C315C" w:rsidR="78705C9D">
        <w:rPr>
          <w:rFonts w:ascii="Times New Roman" w:hAnsi="Times New Roman" w:eastAsia="Times New Roman" w:cs="Times New Roman"/>
          <w:noProof w:val="0"/>
          <w:sz w:val="22"/>
          <w:szCs w:val="22"/>
          <w:lang w:val="en-GB"/>
        </w:rPr>
        <w:t xml:space="preserve"> et al. (2024) examine high-risk medication errors using data from the National Reporting and Learning System. The study </w:t>
      </w:r>
      <w:r w:rsidRPr="662C315C" w:rsidR="78705C9D">
        <w:rPr>
          <w:rFonts w:ascii="Times New Roman" w:hAnsi="Times New Roman" w:eastAsia="Times New Roman" w:cs="Times New Roman"/>
          <w:noProof w:val="0"/>
          <w:sz w:val="22"/>
          <w:szCs w:val="22"/>
          <w:lang w:val="en-GB"/>
        </w:rPr>
        <w:t>identifies</w:t>
      </w:r>
      <w:r w:rsidRPr="662C315C" w:rsidR="78705C9D">
        <w:rPr>
          <w:rFonts w:ascii="Times New Roman" w:hAnsi="Times New Roman" w:eastAsia="Times New Roman" w:cs="Times New Roman"/>
          <w:noProof w:val="0"/>
          <w:sz w:val="22"/>
          <w:szCs w:val="22"/>
          <w:lang w:val="en-GB"/>
        </w:rPr>
        <w:t xml:space="preserve"> medication errors as a significant threat to patient safety, particularly when high-risk drugs are involved. The strength of this source lies in its use of extensive national data, which provides </w:t>
      </w:r>
      <w:r w:rsidRPr="662C315C" w:rsidR="163370D1">
        <w:rPr>
          <w:rFonts w:ascii="Times New Roman" w:hAnsi="Times New Roman" w:eastAsia="Times New Roman" w:cs="Times New Roman"/>
          <w:noProof w:val="0"/>
          <w:sz w:val="22"/>
          <w:szCs w:val="22"/>
          <w:lang w:val="en-GB"/>
        </w:rPr>
        <w:t>strong evidence</w:t>
      </w:r>
      <w:r w:rsidRPr="662C315C" w:rsidR="78705C9D">
        <w:rPr>
          <w:rFonts w:ascii="Times New Roman" w:hAnsi="Times New Roman" w:eastAsia="Times New Roman" w:cs="Times New Roman"/>
          <w:noProof w:val="0"/>
          <w:sz w:val="22"/>
          <w:szCs w:val="22"/>
          <w:lang w:val="en-GB"/>
        </w:rPr>
        <w:t xml:space="preserve"> base and highlights the scale of the problem across the UK. It supports the argument that medication errors </w:t>
      </w:r>
      <w:r w:rsidRPr="662C315C" w:rsidR="78705C9D">
        <w:rPr>
          <w:rFonts w:ascii="Times New Roman" w:hAnsi="Times New Roman" w:eastAsia="Times New Roman" w:cs="Times New Roman"/>
          <w:noProof w:val="0"/>
          <w:sz w:val="22"/>
          <w:szCs w:val="22"/>
          <w:lang w:val="en-GB"/>
        </w:rPr>
        <w:t>remain</w:t>
      </w:r>
      <w:r w:rsidRPr="662C315C" w:rsidR="78705C9D">
        <w:rPr>
          <w:rFonts w:ascii="Times New Roman" w:hAnsi="Times New Roman" w:eastAsia="Times New Roman" w:cs="Times New Roman"/>
          <w:noProof w:val="0"/>
          <w:sz w:val="22"/>
          <w:szCs w:val="22"/>
          <w:lang w:val="en-GB"/>
        </w:rPr>
        <w:t xml:space="preserve"> a key concern in healthcare settings. However, a limitation is that the data relies on incident reporting systems, meaning that not all errors are captured due to underreporting. This reduces the overall accuracy and may underestimate the true extent of the issue (Alrowily et al., 2024).</w:t>
      </w:r>
    </w:p>
    <w:p w:rsidR="74A4E6E0" w:rsidP="662C315C" w:rsidRDefault="74A4E6E0" w14:paraId="53ECA9A2" w14:textId="15703E9E">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England et al. (2020) investigate patient safety incidents during emergency medication administration in pre-hospital care. The study </w:t>
      </w:r>
      <w:r w:rsidRPr="662C315C" w:rsidR="78705C9D">
        <w:rPr>
          <w:rFonts w:ascii="Times New Roman" w:hAnsi="Times New Roman" w:eastAsia="Times New Roman" w:cs="Times New Roman"/>
          <w:noProof w:val="0"/>
          <w:sz w:val="22"/>
          <w:szCs w:val="22"/>
          <w:lang w:val="en-GB"/>
        </w:rPr>
        <w:t>demonstrates</w:t>
      </w:r>
      <w:r w:rsidRPr="662C315C" w:rsidR="78705C9D">
        <w:rPr>
          <w:rFonts w:ascii="Times New Roman" w:hAnsi="Times New Roman" w:eastAsia="Times New Roman" w:cs="Times New Roman"/>
          <w:noProof w:val="0"/>
          <w:sz w:val="22"/>
          <w:szCs w:val="22"/>
          <w:lang w:val="en-GB"/>
        </w:rPr>
        <w:t xml:space="preserve"> that medication errors can occur even in controlled environments, emphasising the complexity and risks associated with emergency care. This source is valuable because it provides insight into real-life clinical situations, supporting the idea that high-pressure environments increase the likelihood of error. However, its focus on pre-hospital settings means the findings may not be fully generalisable to hospital-based care, limiting its broader applicability (England et al., 2020).</w:t>
      </w:r>
    </w:p>
    <w:p w:rsidR="74A4E6E0" w:rsidP="662C315C" w:rsidRDefault="74A4E6E0" w14:paraId="72BBEF33" w14:textId="1531C7CB">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A 2024 systematic review protocol exploring communication and patient safety </w:t>
      </w:r>
      <w:r w:rsidRPr="662C315C" w:rsidR="78705C9D">
        <w:rPr>
          <w:rFonts w:ascii="Times New Roman" w:hAnsi="Times New Roman" w:eastAsia="Times New Roman" w:cs="Times New Roman"/>
          <w:noProof w:val="0"/>
          <w:sz w:val="22"/>
          <w:szCs w:val="22"/>
          <w:lang w:val="en-GB"/>
        </w:rPr>
        <w:t>identifies</w:t>
      </w:r>
      <w:r w:rsidRPr="662C315C" w:rsidR="78705C9D">
        <w:rPr>
          <w:rFonts w:ascii="Times New Roman" w:hAnsi="Times New Roman" w:eastAsia="Times New Roman" w:cs="Times New Roman"/>
          <w:noProof w:val="0"/>
          <w:sz w:val="22"/>
          <w:szCs w:val="22"/>
          <w:lang w:val="en-GB"/>
        </w:rPr>
        <w:t xml:space="preserve"> a strong link between communication failures and patient harm. The study highlights that medication errors contribute to a </w:t>
      </w:r>
      <w:r w:rsidRPr="662C315C" w:rsidR="78705C9D">
        <w:rPr>
          <w:rFonts w:ascii="Times New Roman" w:hAnsi="Times New Roman" w:eastAsia="Times New Roman" w:cs="Times New Roman"/>
          <w:noProof w:val="0"/>
          <w:sz w:val="22"/>
          <w:szCs w:val="22"/>
          <w:lang w:val="en-GB"/>
        </w:rPr>
        <w:t>significant number</w:t>
      </w:r>
      <w:r w:rsidRPr="662C315C" w:rsidR="78705C9D">
        <w:rPr>
          <w:rFonts w:ascii="Times New Roman" w:hAnsi="Times New Roman" w:eastAsia="Times New Roman" w:cs="Times New Roman"/>
          <w:noProof w:val="0"/>
          <w:sz w:val="22"/>
          <w:szCs w:val="22"/>
          <w:lang w:val="en-GB"/>
        </w:rPr>
        <w:t xml:space="preserve"> of avoidable deaths each year in the UK, </w:t>
      </w:r>
      <w:r w:rsidRPr="662C315C" w:rsidR="78705C9D">
        <w:rPr>
          <w:rFonts w:ascii="Times New Roman" w:hAnsi="Times New Roman" w:eastAsia="Times New Roman" w:cs="Times New Roman"/>
          <w:noProof w:val="0"/>
          <w:sz w:val="22"/>
          <w:szCs w:val="22"/>
          <w:lang w:val="en-GB"/>
        </w:rPr>
        <w:t>demonstrating</w:t>
      </w:r>
      <w:r w:rsidRPr="662C315C" w:rsidR="78705C9D">
        <w:rPr>
          <w:rFonts w:ascii="Times New Roman" w:hAnsi="Times New Roman" w:eastAsia="Times New Roman" w:cs="Times New Roman"/>
          <w:noProof w:val="0"/>
          <w:sz w:val="22"/>
          <w:szCs w:val="22"/>
          <w:lang w:val="en-GB"/>
        </w:rPr>
        <w:t xml:space="preserve"> the seriousness of the issue. This source is useful because it provides statistical context and reinforces the importance of addressing communication problems. However, as a protocol, it outlines planned research rather than completed findings, which limits its immediate usefulness for drawing firm conclusions (2024).</w:t>
      </w:r>
    </w:p>
    <w:p w:rsidR="74A4E6E0" w:rsidP="662C315C" w:rsidRDefault="74A4E6E0" w14:paraId="77013864" w14:textId="0CEF371B">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Tingle (2025) discusses ongoing concerns about communication failures in NHS patient safety reports, reinforcing that communication </w:t>
      </w:r>
      <w:r w:rsidRPr="662C315C" w:rsidR="78705C9D">
        <w:rPr>
          <w:rFonts w:ascii="Times New Roman" w:hAnsi="Times New Roman" w:eastAsia="Times New Roman" w:cs="Times New Roman"/>
          <w:noProof w:val="0"/>
          <w:sz w:val="22"/>
          <w:szCs w:val="22"/>
          <w:lang w:val="en-GB"/>
        </w:rPr>
        <w:t>remains</w:t>
      </w:r>
      <w:r w:rsidRPr="662C315C" w:rsidR="78705C9D">
        <w:rPr>
          <w:rFonts w:ascii="Times New Roman" w:hAnsi="Times New Roman" w:eastAsia="Times New Roman" w:cs="Times New Roman"/>
          <w:noProof w:val="0"/>
          <w:sz w:val="22"/>
          <w:szCs w:val="22"/>
          <w:lang w:val="en-GB"/>
        </w:rPr>
        <w:t xml:space="preserve"> a consistent issue over time. The source is relevant because it reflects recent discussions and shows that despite improvements, problems persist. However, it provides more of a commentary than detailed empirical research, which limits the depth and reliability of the evidence presented (Tingle, 2025).</w:t>
      </w:r>
    </w:p>
    <w:p w:rsidR="74A4E6E0" w:rsidP="662C315C" w:rsidRDefault="74A4E6E0" w14:paraId="69998231" w14:textId="21C1E8BB">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Finally, further discussion by Tingle (2025) highlights broader communication breakdowns across NHS settings, linking these failures to unsafe care and patient harm. This supports the wider literature showing that communication is a recurring theme in patient safety issues. However, </w:t>
      </w:r>
      <w:r w:rsidRPr="662C315C" w:rsidR="78705C9D">
        <w:rPr>
          <w:rFonts w:ascii="Times New Roman" w:hAnsi="Times New Roman" w:eastAsia="Times New Roman" w:cs="Times New Roman"/>
          <w:noProof w:val="0"/>
          <w:sz w:val="22"/>
          <w:szCs w:val="22"/>
          <w:lang w:val="en-GB"/>
        </w:rPr>
        <w:t>similar to</w:t>
      </w:r>
      <w:r w:rsidRPr="662C315C" w:rsidR="78705C9D">
        <w:rPr>
          <w:rFonts w:ascii="Times New Roman" w:hAnsi="Times New Roman" w:eastAsia="Times New Roman" w:cs="Times New Roman"/>
          <w:noProof w:val="0"/>
          <w:sz w:val="22"/>
          <w:szCs w:val="22"/>
          <w:lang w:val="en-GB"/>
        </w:rPr>
        <w:t xml:space="preserve"> the </w:t>
      </w:r>
      <w:r w:rsidRPr="662C315C" w:rsidR="78705C9D">
        <w:rPr>
          <w:rFonts w:ascii="Times New Roman" w:hAnsi="Times New Roman" w:eastAsia="Times New Roman" w:cs="Times New Roman"/>
          <w:noProof w:val="0"/>
          <w:sz w:val="22"/>
          <w:szCs w:val="22"/>
          <w:lang w:val="en-GB"/>
        </w:rPr>
        <w:t>previous</w:t>
      </w:r>
      <w:r w:rsidRPr="662C315C" w:rsidR="78705C9D">
        <w:rPr>
          <w:rFonts w:ascii="Times New Roman" w:hAnsi="Times New Roman" w:eastAsia="Times New Roman" w:cs="Times New Roman"/>
          <w:noProof w:val="0"/>
          <w:sz w:val="22"/>
          <w:szCs w:val="22"/>
          <w:lang w:val="en-GB"/>
        </w:rPr>
        <w:t xml:space="preserve"> source, it lacks detailed data and relies more on opinion-based analysis than primary research evidence.</w:t>
      </w:r>
    </w:p>
    <w:p w:rsidR="74A4E6E0" w:rsidP="662C315C" w:rsidRDefault="74A4E6E0" w14:paraId="33440691" w14:textId="7C39B4EB">
      <w:pPr>
        <w:spacing w:before="240" w:beforeAutospacing="off" w:after="240" w:afterAutospacing="off"/>
        <w:rPr>
          <w:rFonts w:ascii="Times New Roman" w:hAnsi="Times New Roman" w:eastAsia="Times New Roman" w:cs="Times New Roman"/>
          <w:noProof w:val="0"/>
          <w:sz w:val="22"/>
          <w:szCs w:val="22"/>
          <w:lang w:val="en-GB"/>
        </w:rPr>
      </w:pPr>
      <w:r w:rsidRPr="662C315C" w:rsidR="78705C9D">
        <w:rPr>
          <w:rFonts w:ascii="Times New Roman" w:hAnsi="Times New Roman" w:eastAsia="Times New Roman" w:cs="Times New Roman"/>
          <w:noProof w:val="0"/>
          <w:sz w:val="22"/>
          <w:szCs w:val="22"/>
          <w:lang w:val="en-GB"/>
        </w:rPr>
        <w:t xml:space="preserve">Overall, these sources consistently </w:t>
      </w:r>
      <w:r w:rsidRPr="662C315C" w:rsidR="78705C9D">
        <w:rPr>
          <w:rFonts w:ascii="Times New Roman" w:hAnsi="Times New Roman" w:eastAsia="Times New Roman" w:cs="Times New Roman"/>
          <w:noProof w:val="0"/>
          <w:sz w:val="22"/>
          <w:szCs w:val="22"/>
          <w:lang w:val="en-GB"/>
        </w:rPr>
        <w:t>identify</w:t>
      </w:r>
      <w:r w:rsidRPr="662C315C" w:rsidR="78705C9D">
        <w:rPr>
          <w:rFonts w:ascii="Times New Roman" w:hAnsi="Times New Roman" w:eastAsia="Times New Roman" w:cs="Times New Roman"/>
          <w:noProof w:val="0"/>
          <w:sz w:val="22"/>
          <w:szCs w:val="22"/>
          <w:lang w:val="en-GB"/>
        </w:rPr>
        <w:t xml:space="preserve"> communication failures, medication errors, and system weaknesses as key patient safety problems in the UK. While they </w:t>
      </w:r>
      <w:r w:rsidRPr="662C315C" w:rsidR="78705C9D">
        <w:rPr>
          <w:rFonts w:ascii="Times New Roman" w:hAnsi="Times New Roman" w:eastAsia="Times New Roman" w:cs="Times New Roman"/>
          <w:noProof w:val="0"/>
          <w:sz w:val="22"/>
          <w:szCs w:val="22"/>
          <w:lang w:val="en-GB"/>
        </w:rPr>
        <w:t>provide</w:t>
      </w:r>
      <w:r w:rsidRPr="662C315C" w:rsidR="78705C9D">
        <w:rPr>
          <w:rFonts w:ascii="Times New Roman" w:hAnsi="Times New Roman" w:eastAsia="Times New Roman" w:cs="Times New Roman"/>
          <w:noProof w:val="0"/>
          <w:sz w:val="22"/>
          <w:szCs w:val="22"/>
          <w:lang w:val="en-GB"/>
        </w:rPr>
        <w:t xml:space="preserve"> valuable insights, common limitations such as underreporting, narrow focus, and lack of real-world application highlight the need for further comprehensive research.</w:t>
      </w:r>
    </w:p>
    <w:p w:rsidRPr="005656F1" w:rsidR="00EE0291" w:rsidP="662C315C" w:rsidRDefault="00EE0291" w14:paraId="647B388A" w14:textId="6C57E44B">
      <w:pPr>
        <w:spacing w:before="240" w:beforeAutospacing="off" w:after="240" w:afterAutospacing="off" w:line="240" w:lineRule="auto"/>
        <w:rPr>
          <w:rFonts w:ascii="Times New Roman" w:hAnsi="Times New Roman" w:eastAsia="Times New Roman" w:cs="Times New Roman"/>
          <w:b w:val="1"/>
          <w:bCs w:val="1"/>
          <w:noProof w:val="0"/>
          <w:sz w:val="40"/>
          <w:szCs w:val="40"/>
          <w:lang w:val="en-GB"/>
        </w:rPr>
      </w:pPr>
      <w:r w:rsidRPr="662C315C" w:rsidR="6546EA91">
        <w:rPr>
          <w:rFonts w:ascii="Times New Roman" w:hAnsi="Times New Roman" w:eastAsia="Times New Roman" w:cs="Times New Roman"/>
          <w:b w:val="1"/>
          <w:bCs w:val="1"/>
          <w:noProof w:val="0"/>
          <w:sz w:val="40"/>
          <w:szCs w:val="40"/>
          <w:lang w:val="en-GB"/>
        </w:rPr>
        <w:t>Summary</w:t>
      </w:r>
    </w:p>
    <w:p w:rsidRPr="005656F1" w:rsidR="00EE0291" w:rsidP="662C315C" w:rsidRDefault="00EE0291" w14:paraId="59EBB108" w14:textId="34FA7B70">
      <w:pPr>
        <w:spacing w:before="240" w:beforeAutospacing="off" w:after="240" w:afterAutospacing="off" w:line="240" w:lineRule="auto"/>
      </w:pPr>
      <w:r w:rsidRPr="662C315C" w:rsidR="6546EA91">
        <w:rPr>
          <w:rFonts w:ascii="Times New Roman" w:hAnsi="Times New Roman" w:eastAsia="Times New Roman" w:cs="Times New Roman"/>
          <w:noProof w:val="0"/>
          <w:sz w:val="22"/>
          <w:szCs w:val="22"/>
          <w:lang w:val="en-GB"/>
        </w:rPr>
        <w:t>Research on patient safety in the UK consistently identifies communication failures, medication errors, and system weaknesses as major concerns. Evidence from NHS England (2023) shows that poor communication is a frequent factor in serious incidents, leading to delays, incorrect treatment, and patient harm. While this data is reliable due to its national scope, it mainly focuses on spoken communication, limiting its overall coverage.</w:t>
      </w:r>
    </w:p>
    <w:p w:rsidRPr="005656F1" w:rsidR="00EE0291" w:rsidP="662C315C" w:rsidRDefault="00EE0291" w14:paraId="5615A171" w14:textId="6DBF7391">
      <w:pPr>
        <w:spacing w:before="240" w:beforeAutospacing="off" w:after="240" w:afterAutospacing="off" w:line="240" w:lineRule="auto"/>
      </w:pPr>
      <w:r w:rsidRPr="662C315C" w:rsidR="6546EA91">
        <w:rPr>
          <w:rFonts w:ascii="Times New Roman" w:hAnsi="Times New Roman" w:eastAsia="Times New Roman" w:cs="Times New Roman"/>
          <w:noProof w:val="0"/>
          <w:sz w:val="22"/>
          <w:szCs w:val="22"/>
          <w:lang w:val="en-GB"/>
        </w:rPr>
        <w:t>Medication errors are another significant issue, as highlighted by Alrowily et al. (2024) using data from the National Reporting and Learning System. This large-scale dataset strengthens the reliability of findings, showing that high-risk drugs are commonly involved in patient harm. However, underreporting of incidents means the true scale of the problem may be underestimated.</w:t>
      </w:r>
    </w:p>
    <w:p w:rsidRPr="005656F1" w:rsidR="00EE0291" w:rsidP="662C315C" w:rsidRDefault="00EE0291" w14:paraId="0E27F839" w14:textId="652B1478">
      <w:pPr>
        <w:spacing w:before="240" w:beforeAutospacing="off" w:after="240" w:afterAutospacing="off" w:line="240" w:lineRule="auto"/>
      </w:pPr>
      <w:r w:rsidRPr="662C315C" w:rsidR="6546EA91">
        <w:rPr>
          <w:rFonts w:ascii="Times New Roman" w:hAnsi="Times New Roman" w:eastAsia="Times New Roman" w:cs="Times New Roman"/>
          <w:noProof w:val="0"/>
          <w:sz w:val="22"/>
          <w:szCs w:val="22"/>
          <w:lang w:val="en-GB"/>
        </w:rPr>
        <w:t>England et al. (2020) further demonstrate that errors can occur in high-pressure environments such as emergency care, emphasising the complexity of safe medication administration. Although useful, this research is limited to pre-hospital settings. Similarly, a 2024 systematic review protocol links communication failures to avoidable deaths, reinforcing the seriousness of the issue, but lacks completed findings.</w:t>
      </w:r>
    </w:p>
    <w:p w:rsidRPr="005656F1" w:rsidR="00EE0291" w:rsidP="662C315C" w:rsidRDefault="00EE0291" w14:paraId="09371D40" w14:textId="4B1C6893">
      <w:pPr>
        <w:spacing w:before="240" w:beforeAutospacing="off" w:after="240" w:afterAutospacing="off" w:line="240" w:lineRule="auto"/>
      </w:pPr>
      <w:r w:rsidRPr="662C315C" w:rsidR="6546EA91">
        <w:rPr>
          <w:rFonts w:ascii="Times New Roman" w:hAnsi="Times New Roman" w:eastAsia="Times New Roman" w:cs="Times New Roman"/>
          <w:noProof w:val="0"/>
          <w:sz w:val="22"/>
          <w:szCs w:val="22"/>
          <w:lang w:val="en-GB"/>
        </w:rPr>
        <w:t>More recent commentary by Tingle (2025) confirms that communication problems remain persistent within NHS settings. However, these sources rely more on opinion than detailed data.</w:t>
      </w:r>
    </w:p>
    <w:p w:rsidRPr="005656F1" w:rsidR="00EE0291" w:rsidP="662C315C" w:rsidRDefault="00EE0291" w14:paraId="20E2E70C" w14:textId="0C262CFF">
      <w:pPr>
        <w:spacing w:before="240" w:beforeAutospacing="off" w:after="240" w:afterAutospacing="off" w:line="240" w:lineRule="auto"/>
      </w:pPr>
      <w:r w:rsidRPr="662C315C" w:rsidR="6546EA91">
        <w:rPr>
          <w:rFonts w:ascii="Times New Roman" w:hAnsi="Times New Roman" w:eastAsia="Times New Roman" w:cs="Times New Roman"/>
          <w:noProof w:val="0"/>
          <w:sz w:val="22"/>
          <w:szCs w:val="22"/>
          <w:lang w:val="en-GB"/>
        </w:rPr>
        <w:t xml:space="preserve">Overall, while the sources provide </w:t>
      </w:r>
      <w:r w:rsidRPr="662C315C" w:rsidR="6546EA91">
        <w:rPr>
          <w:rFonts w:ascii="Times New Roman" w:hAnsi="Times New Roman" w:eastAsia="Times New Roman" w:cs="Times New Roman"/>
          <w:noProof w:val="0"/>
          <w:sz w:val="22"/>
          <w:szCs w:val="22"/>
          <w:lang w:val="en-GB"/>
        </w:rPr>
        <w:t>strong evidence</w:t>
      </w:r>
      <w:r w:rsidRPr="662C315C" w:rsidR="6546EA91">
        <w:rPr>
          <w:rFonts w:ascii="Times New Roman" w:hAnsi="Times New Roman" w:eastAsia="Times New Roman" w:cs="Times New Roman"/>
          <w:noProof w:val="0"/>
          <w:sz w:val="22"/>
          <w:szCs w:val="22"/>
          <w:lang w:val="en-GB"/>
        </w:rPr>
        <w:t xml:space="preserve"> of key patient safety problems, limitations such as narrow focus, lack of real-world application, and underreporting highlight the need for further research</w:t>
      </w:r>
      <w:r w:rsidRPr="662C315C" w:rsidR="1F6C7E17">
        <w:rPr>
          <w:rFonts w:ascii="Times New Roman" w:hAnsi="Times New Roman" w:eastAsia="Times New Roman" w:cs="Times New Roman"/>
          <w:noProof w:val="0"/>
          <w:sz w:val="22"/>
          <w:szCs w:val="22"/>
          <w:lang w:val="en-GB"/>
        </w:rPr>
        <w:t>0</w:t>
      </w:r>
    </w:p>
    <w:p w:rsidRPr="005656F1" w:rsidR="00EE0291" w:rsidP="662C315C" w:rsidRDefault="00EE0291" w14:paraId="2E1F3C81" w14:textId="1471F5D5">
      <w:pPr>
        <w:pStyle w:val="Normal"/>
        <w:suppressLineNumbers w:val="0"/>
        <w:bidi w:val="0"/>
        <w:spacing w:beforeAutospacing="on" w:afterAutospacing="on" w:line="240" w:lineRule="auto"/>
        <w:ind w:left="0" w:right="0"/>
        <w:jc w:val="left"/>
        <w:rPr>
          <w:rFonts w:ascii="Times New Roman" w:hAnsi="Times New Roman" w:eastAsia="Times New Roman" w:cs="Times New Roman"/>
          <w:b w:val="1"/>
          <w:bCs w:val="1"/>
          <w:sz w:val="40"/>
          <w:szCs w:val="40"/>
          <w:lang w:eastAsia="en-GB"/>
        </w:rPr>
      </w:pPr>
      <w:r w:rsidRPr="00EE0291">
        <w:rPr>
          <w:rFonts w:ascii="Times New Roman" w:hAnsi="Times New Roman" w:eastAsia="Times New Roman" w:cs="Times New Roman"/>
          <w:noProof/>
          <w:lang w:eastAsia="en-GB"/>
        </w:rPr>
        <mc:AlternateContent>
          <mc:Choice Requires="wps">
            <w:drawing>
              <wp:inline distT="0" distB="0" distL="0" distR="0" wp14:anchorId="5E17B90E" wp14:editId="4F232EF8">
                <wp:extent cx="8863330" cy="1270"/>
                <wp:effectExtent l="0" t="31750" r="0" b="36830"/>
                <wp:docPr id="112856226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w:pict>
              <v:rect id="Rectangle 1" style="width:697.9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38C4DF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">
                <o:lock v:ext="edit" aspectratio="t"/>
                <w10:anchorlock/>
              </v:rect>
            </w:pict>
          </mc:Fallback>
        </mc:AlternateContent>
      </w:r>
    </w:p>
    <w:p w:rsidR="00C96117" w:rsidP="662C315C" w:rsidRDefault="00C96117" w14:paraId="787C0156" w14:textId="5135FED2">
      <w:pPr>
        <w:spacing w:beforeAutospacing="on" w:afterAutospacing="on" w:line="240" w:lineRule="auto"/>
        <w:rPr>
          <w:rFonts w:ascii="Times New Roman" w:hAnsi="Times New Roman" w:cs="Times New Roman"/>
          <w:b w:val="1"/>
          <w:bCs w:val="1"/>
          <w:sz w:val="40"/>
          <w:szCs w:val="40"/>
          <w:lang w:eastAsia="en-GB"/>
        </w:rPr>
      </w:pPr>
      <w:r w:rsidRPr="662C315C" w:rsidR="4AC6AF95">
        <w:rPr>
          <w:rFonts w:ascii="Times New Roman" w:hAnsi="Times New Roman" w:cs="Times New Roman"/>
          <w:b w:val="1"/>
          <w:bCs w:val="1"/>
          <w:sz w:val="40"/>
          <w:szCs w:val="40"/>
          <w:lang w:eastAsia="en-GB"/>
        </w:rPr>
        <w:t>Research Methods</w:t>
      </w:r>
    </w:p>
    <w:p w:rsidR="33DCFB93" w:rsidP="33DCFB93" w:rsidRDefault="33DCFB93" w14:paraId="52066C8D" w14:textId="78858B36">
      <w:pPr>
        <w:pStyle w:val="p1"/>
        <w:rPr>
          <w:rStyle w:val="s1"/>
        </w:rPr>
      </w:pPr>
    </w:p>
    <w:p w:rsidR="00571EC7" w:rsidRDefault="00571EC7" w14:paraId="19D3B11C" w14:textId="77777777">
      <w:pPr>
        <w:pStyle w:val="p1"/>
      </w:pPr>
      <w:r>
        <w:rPr>
          <w:rStyle w:val="s1"/>
        </w:rPr>
        <w:t xml:space="preserve">In </w:t>
      </w:r>
      <w:hyperlink w:history="1" r:id="rId10">
        <w:r>
          <w:rPr>
            <w:rStyle w:val="s2"/>
            <w:color w:val="0000FF"/>
            <w:u w:val="single"/>
          </w:rPr>
          <w:t>Patient Safety</w:t>
        </w:r>
      </w:hyperlink>
      <w:r>
        <w:rPr>
          <w:rStyle w:val="s1"/>
        </w:rPr>
        <w:t xml:space="preserve"> research, </w:t>
      </w:r>
      <w:r>
        <w:rPr>
          <w:rStyle w:val="s3"/>
        </w:rPr>
        <w:t>methodology</w:t>
      </w:r>
      <w:r>
        <w:rPr>
          <w:rStyle w:val="s1"/>
        </w:rPr>
        <w:t xml:space="preserve"> explains how a researcher plans a study and </w:t>
      </w:r>
      <w:r>
        <w:rPr>
          <w:rStyle w:val="s3"/>
        </w:rPr>
        <w:t>collects and analyses data</w:t>
      </w:r>
      <w:r>
        <w:rPr>
          <w:rStyle w:val="s1"/>
        </w:rPr>
        <w:t>. Data collection can include surveys, interviews, observations, questionnaires, and reviewing hospital records or safety reports. Choosing the correct research method is important because it helps researchers produce reliable information that can improve healthcare practice.</w:t>
      </w:r>
    </w:p>
    <w:p w:rsidR="00571EC7" w:rsidRDefault="00571EC7" w14:paraId="693E2EC0" w14:textId="77777777">
      <w:pPr>
        <w:pStyle w:val="p2"/>
      </w:pPr>
    </w:p>
    <w:p w:rsidR="00571EC7" w:rsidRDefault="00571EC7" w14:paraId="119462B4" w14:textId="6027143F">
      <w:pPr>
        <w:pStyle w:val="p1"/>
      </w:pPr>
      <w:r w:rsidRPr="33DCFB93" w:rsidR="12732ED8">
        <w:rPr>
          <w:rStyle w:val="s3"/>
        </w:rPr>
        <w:t>Quantitative research</w:t>
      </w:r>
      <w:r w:rsidRPr="33DCFB93" w:rsidR="12732ED8">
        <w:rPr>
          <w:rStyle w:val="s1"/>
        </w:rPr>
        <w:t xml:space="preserve"> focuses on </w:t>
      </w:r>
      <w:r w:rsidRPr="33DCFB93" w:rsidR="12732ED8">
        <w:rPr>
          <w:rStyle w:val="s3"/>
        </w:rPr>
        <w:t>numbers and measurable data</w:t>
      </w:r>
      <w:r w:rsidRPr="33DCFB93" w:rsidR="12732ED8">
        <w:rPr>
          <w:rStyle w:val="s1"/>
        </w:rPr>
        <w:t xml:space="preserve">. It usually uses structured tools such as surveys with closed questions, hospital statistics, or safety incident reports. The data is analysed using statistics to </w:t>
      </w:r>
      <w:r w:rsidRPr="33DCFB93" w:rsidR="12732ED8">
        <w:rPr>
          <w:rStyle w:val="s1"/>
        </w:rPr>
        <w:t>identify</w:t>
      </w:r>
      <w:r w:rsidRPr="33DCFB93" w:rsidR="12732ED8">
        <w:rPr>
          <w:rStyle w:val="s1"/>
        </w:rPr>
        <w:t xml:space="preserve"> patterns or </w:t>
      </w:r>
      <w:r w:rsidRPr="33DCFB93" w:rsidR="33BC3E49">
        <w:rPr>
          <w:rStyle w:val="s1"/>
        </w:rPr>
        <w:t>trends. Quantitative</w:t>
      </w:r>
      <w:r w:rsidRPr="33DCFB93" w:rsidR="12732ED8">
        <w:rPr>
          <w:rStyle w:val="s1"/>
        </w:rPr>
        <w:t xml:space="preserve"> research is useful because it provides clear results that can often be compared and applied to larger groups.</w:t>
      </w:r>
    </w:p>
    <w:p w:rsidR="00571EC7" w:rsidRDefault="00571EC7" w14:paraId="049B5CE6" w14:textId="77777777">
      <w:pPr>
        <w:pStyle w:val="p2"/>
      </w:pPr>
    </w:p>
    <w:p w:rsidR="00571EC7" w:rsidRDefault="00571EC7" w14:paraId="57479E4C" w14:textId="77777777">
      <w:pPr>
        <w:pStyle w:val="p1"/>
      </w:pPr>
      <w:r>
        <w:rPr>
          <w:rStyle w:val="s3"/>
        </w:rPr>
        <w:t>Qualitative research</w:t>
      </w:r>
      <w:r>
        <w:rPr>
          <w:rStyle w:val="s1"/>
        </w:rPr>
        <w:t xml:space="preserve"> focuses on </w:t>
      </w:r>
      <w:r>
        <w:rPr>
          <w:rStyle w:val="s3"/>
        </w:rPr>
        <w:t>people’s experiences, opinions, and behaviours</w:t>
      </w:r>
      <w:r>
        <w:rPr>
          <w:rStyle w:val="s1"/>
        </w:rPr>
        <w:t>. Instead of numbers, it collects detailed information through interviews, focus groups, or observations. In patient safety studies, researchers might interview nurses or doctors to understand why mistakes happen or how communication problems affect patient care. This method helps researchers understand the reasons behind problems.</w:t>
      </w:r>
    </w:p>
    <w:p w:rsidR="00571EC7" w:rsidRDefault="00571EC7" w14:paraId="7190B308" w14:textId="77777777">
      <w:pPr>
        <w:pStyle w:val="p2"/>
      </w:pPr>
    </w:p>
    <w:p w:rsidR="00571EC7" w:rsidRDefault="00571EC7" w14:paraId="5731298C" w14:textId="37830921">
      <w:pPr>
        <w:pStyle w:val="p1"/>
      </w:pPr>
      <w:r w:rsidRPr="33DCFB93" w:rsidR="12732ED8">
        <w:rPr>
          <w:rStyle w:val="s3"/>
        </w:rPr>
        <w:t>Mixed-method research</w:t>
      </w:r>
      <w:r w:rsidRPr="33DCFB93" w:rsidR="12732ED8">
        <w:rPr>
          <w:rStyle w:val="s1"/>
        </w:rPr>
        <w:t xml:space="preserve"> combines </w:t>
      </w:r>
      <w:r w:rsidRPr="33DCFB93" w:rsidR="12732ED8">
        <w:rPr>
          <w:rStyle w:val="s3"/>
        </w:rPr>
        <w:t>both quantitative and qualitative approaches</w:t>
      </w:r>
      <w:r w:rsidRPr="33DCFB93" w:rsidR="12732ED8">
        <w:rPr>
          <w:rStyle w:val="s1"/>
        </w:rPr>
        <w:t xml:space="preserve"> in one study. For example, a researcher may analyse patient safety statistics </w:t>
      </w:r>
      <w:r w:rsidRPr="33DCFB93" w:rsidR="7F66F971">
        <w:rPr>
          <w:rStyle w:val="s1"/>
        </w:rPr>
        <w:t>and</w:t>
      </w:r>
      <w:r w:rsidRPr="33DCFB93" w:rsidR="12732ED8">
        <w:rPr>
          <w:rStyle w:val="s1"/>
        </w:rPr>
        <w:t xml:space="preserve"> interview healthcare staff. This approach provides a more complete understanding</w:t>
      </w:r>
      <w:r w:rsidRPr="33DCFB93" w:rsidR="4864C5C9">
        <w:rPr>
          <w:rStyle w:val="s1"/>
        </w:rPr>
        <w:t>.</w:t>
      </w:r>
    </w:p>
    <w:p w:rsidR="1721741F" w:rsidP="1721741F" w:rsidRDefault="1721741F" w14:paraId="17FEC224" w14:textId="3988C56F">
      <w:pPr>
        <w:pStyle w:val="p1"/>
        <w:rPr>
          <w:rStyle w:val="s1"/>
        </w:rPr>
      </w:pPr>
    </w:p>
    <w:p w:rsidRPr="000B7F61" w:rsidR="000B7F61" w:rsidP="1721741F" w:rsidRDefault="000B7F61" w14:paraId="2B521CA1" w14:textId="77777777">
      <w:pPr>
        <w:spacing w:before="100" w:beforeAutospacing="1" w:after="100" w:afterAutospacing="1" w:line="240" w:lineRule="auto"/>
        <w:outlineLvl w:val="2"/>
        <w:rPr>
          <w:rFonts w:ascii="Times New Roman" w:hAnsi="Times New Roman" w:eastAsia="Times New Roman" w:cs="Times New Roman"/>
          <w:b/>
          <w:bCs/>
          <w:sz w:val="40"/>
          <w:szCs w:val="40"/>
          <w:lang w:eastAsia="en-GB"/>
        </w:rPr>
      </w:pPr>
      <w:r w:rsidRPr="662C315C" w:rsidR="000B7F61">
        <w:rPr>
          <w:rFonts w:ascii="Times New Roman" w:hAnsi="Times New Roman" w:eastAsia="Times New Roman" w:cs="Times New Roman"/>
          <w:b w:val="1"/>
          <w:bCs w:val="1"/>
          <w:sz w:val="40"/>
          <w:szCs w:val="40"/>
          <w:lang w:eastAsia="en-GB"/>
        </w:rPr>
        <w:t>Conclusion</w:t>
      </w:r>
    </w:p>
    <w:p w:rsidR="3AA35DD5" w:rsidP="662C315C" w:rsidRDefault="3AA35DD5" w14:paraId="70C9B8A6" w14:textId="6870175E">
      <w:pPr>
        <w:spacing w:before="240" w:beforeAutospacing="off" w:after="240" w:afterAutospacing="off"/>
        <w:rPr>
          <w:rFonts w:ascii="Times New Roman" w:hAnsi="Times New Roman" w:eastAsia="Times New Roman" w:cs="Times New Roman"/>
          <w:noProof w:val="0"/>
          <w:sz w:val="22"/>
          <w:szCs w:val="22"/>
          <w:lang w:val="en-GB"/>
        </w:rPr>
      </w:pPr>
      <w:r w:rsidRPr="662C315C" w:rsidR="3AA35DD5">
        <w:rPr>
          <w:rFonts w:ascii="Times New Roman" w:hAnsi="Times New Roman" w:eastAsia="Times New Roman" w:cs="Times New Roman"/>
          <w:noProof w:val="0"/>
          <w:sz w:val="22"/>
          <w:szCs w:val="22"/>
          <w:lang w:val="en-GB"/>
        </w:rPr>
        <w:t xml:space="preserve">In conclusion, choosing the right research </w:t>
      </w:r>
      <w:r w:rsidRPr="662C315C" w:rsidR="3AA35DD5">
        <w:rPr>
          <w:rFonts w:ascii="Times New Roman" w:hAnsi="Times New Roman" w:eastAsia="Times New Roman" w:cs="Times New Roman"/>
          <w:noProof w:val="0"/>
          <w:sz w:val="22"/>
          <w:szCs w:val="22"/>
          <w:lang w:val="en-GB"/>
        </w:rPr>
        <w:t>methodology</w:t>
      </w:r>
      <w:r w:rsidRPr="662C315C" w:rsidR="3AA35DD5">
        <w:rPr>
          <w:rFonts w:ascii="Times New Roman" w:hAnsi="Times New Roman" w:eastAsia="Times New Roman" w:cs="Times New Roman"/>
          <w:noProof w:val="0"/>
          <w:sz w:val="22"/>
          <w:szCs w:val="22"/>
          <w:lang w:val="en-GB"/>
        </w:rPr>
        <w:t xml:space="preserve"> is important in healthcare research, as it helps </w:t>
      </w:r>
      <w:r w:rsidRPr="662C315C" w:rsidR="3AA35DD5">
        <w:rPr>
          <w:rFonts w:ascii="Times New Roman" w:hAnsi="Times New Roman" w:eastAsia="Times New Roman" w:cs="Times New Roman"/>
          <w:noProof w:val="0"/>
          <w:sz w:val="22"/>
          <w:szCs w:val="22"/>
          <w:lang w:val="en-GB"/>
        </w:rPr>
        <w:t>identify</w:t>
      </w:r>
      <w:r w:rsidRPr="662C315C" w:rsidR="3AA35DD5">
        <w:rPr>
          <w:rFonts w:ascii="Times New Roman" w:hAnsi="Times New Roman" w:eastAsia="Times New Roman" w:cs="Times New Roman"/>
          <w:noProof w:val="0"/>
          <w:sz w:val="22"/>
          <w:szCs w:val="22"/>
          <w:lang w:val="en-GB"/>
        </w:rPr>
        <w:t xml:space="preserve"> problems and improve patient care. Quantitative, qualitative, and </w:t>
      </w:r>
      <w:r w:rsidRPr="662C315C" w:rsidR="3AA35DD5">
        <w:rPr>
          <w:rFonts w:ascii="Times New Roman" w:hAnsi="Times New Roman" w:eastAsia="Times New Roman" w:cs="Times New Roman"/>
          <w:noProof w:val="0"/>
          <w:sz w:val="22"/>
          <w:szCs w:val="22"/>
          <w:lang w:val="en-GB"/>
        </w:rPr>
        <w:t>mixed-method</w:t>
      </w:r>
      <w:r w:rsidRPr="662C315C" w:rsidR="3AA35DD5">
        <w:rPr>
          <w:rFonts w:ascii="Times New Roman" w:hAnsi="Times New Roman" w:eastAsia="Times New Roman" w:cs="Times New Roman"/>
          <w:noProof w:val="0"/>
          <w:sz w:val="22"/>
          <w:szCs w:val="22"/>
          <w:lang w:val="en-GB"/>
        </w:rPr>
        <w:t xml:space="preserve"> approaches each </w:t>
      </w:r>
      <w:r w:rsidRPr="662C315C" w:rsidR="3AA35DD5">
        <w:rPr>
          <w:rFonts w:ascii="Times New Roman" w:hAnsi="Times New Roman" w:eastAsia="Times New Roman" w:cs="Times New Roman"/>
          <w:noProof w:val="0"/>
          <w:sz w:val="22"/>
          <w:szCs w:val="22"/>
          <w:lang w:val="en-GB"/>
        </w:rPr>
        <w:t>provide</w:t>
      </w:r>
      <w:r w:rsidRPr="662C315C" w:rsidR="3AA35DD5">
        <w:rPr>
          <w:rFonts w:ascii="Times New Roman" w:hAnsi="Times New Roman" w:eastAsia="Times New Roman" w:cs="Times New Roman"/>
          <w:noProof w:val="0"/>
          <w:sz w:val="22"/>
          <w:szCs w:val="22"/>
          <w:lang w:val="en-GB"/>
        </w:rPr>
        <w:t xml:space="preserve"> valuable insights. Quantitative research focuses on numerical data, qualitative research explores experiences, and mixed methods combine both to give a broader understanding of patient safety issues.</w:t>
      </w:r>
    </w:p>
    <w:p w:rsidR="3AA35DD5" w:rsidP="662C315C" w:rsidRDefault="3AA35DD5" w14:paraId="75B02FD1" w14:textId="334B5143">
      <w:pPr>
        <w:spacing w:before="240" w:beforeAutospacing="off" w:after="240" w:afterAutospacing="off"/>
        <w:rPr>
          <w:rFonts w:ascii="Times New Roman" w:hAnsi="Times New Roman" w:eastAsia="Times New Roman" w:cs="Times New Roman"/>
          <w:noProof w:val="0"/>
          <w:sz w:val="22"/>
          <w:szCs w:val="22"/>
          <w:lang w:val="en-GB"/>
        </w:rPr>
      </w:pPr>
      <w:r w:rsidRPr="662C315C" w:rsidR="3AA35DD5">
        <w:rPr>
          <w:rFonts w:ascii="Times New Roman" w:hAnsi="Times New Roman" w:eastAsia="Times New Roman" w:cs="Times New Roman"/>
          <w:noProof w:val="0"/>
          <w:sz w:val="22"/>
          <w:szCs w:val="22"/>
          <w:lang w:val="en-GB"/>
        </w:rPr>
        <w:t xml:space="preserve">Another key decision is whether to use primary or secondary data. Primary data is collected directly through methods such as surveys or interviews and is specific and up to date, but it can be time-consuming and </w:t>
      </w:r>
      <w:r w:rsidRPr="662C315C" w:rsidR="3AA35DD5">
        <w:rPr>
          <w:rFonts w:ascii="Times New Roman" w:hAnsi="Times New Roman" w:eastAsia="Times New Roman" w:cs="Times New Roman"/>
          <w:noProof w:val="0"/>
          <w:sz w:val="22"/>
          <w:szCs w:val="22"/>
          <w:lang w:val="en-GB"/>
        </w:rPr>
        <w:t>resource-intensive</w:t>
      </w:r>
      <w:r w:rsidRPr="662C315C" w:rsidR="3AA35DD5">
        <w:rPr>
          <w:rFonts w:ascii="Times New Roman" w:hAnsi="Times New Roman" w:eastAsia="Times New Roman" w:cs="Times New Roman"/>
          <w:noProof w:val="0"/>
          <w:sz w:val="22"/>
          <w:szCs w:val="22"/>
          <w:lang w:val="en-GB"/>
        </w:rPr>
        <w:t>.</w:t>
      </w:r>
    </w:p>
    <w:p w:rsidR="3AA35DD5" w:rsidP="662C315C" w:rsidRDefault="3AA35DD5" w14:paraId="663775FF" w14:textId="26B8218B">
      <w:pPr>
        <w:spacing w:before="240" w:beforeAutospacing="off" w:after="240" w:afterAutospacing="off"/>
        <w:rPr>
          <w:rFonts w:ascii="Times New Roman" w:hAnsi="Times New Roman" w:eastAsia="Times New Roman" w:cs="Times New Roman"/>
          <w:noProof w:val="0"/>
          <w:sz w:val="22"/>
          <w:szCs w:val="22"/>
          <w:lang w:val="en-GB"/>
        </w:rPr>
      </w:pPr>
      <w:r w:rsidRPr="662C315C" w:rsidR="3AA35DD5">
        <w:rPr>
          <w:rFonts w:ascii="Times New Roman" w:hAnsi="Times New Roman" w:eastAsia="Times New Roman" w:cs="Times New Roman"/>
          <w:noProof w:val="0"/>
          <w:sz w:val="22"/>
          <w:szCs w:val="22"/>
          <w:lang w:val="en-GB"/>
        </w:rPr>
        <w:t>Secondary data, collected by organisations such as the National Health Service, includes reports, statistics, and published studies. It is quicker to access and provides large-scale, reliable information, although it may not fully match the research question.</w:t>
      </w:r>
    </w:p>
    <w:p w:rsidR="3AA35DD5" w:rsidP="662C315C" w:rsidRDefault="3AA35DD5" w14:paraId="0D771FE3" w14:textId="785C3DF3">
      <w:pPr>
        <w:spacing w:before="240" w:beforeAutospacing="off" w:after="240" w:afterAutospacing="off"/>
        <w:rPr>
          <w:rFonts w:ascii="Times New Roman" w:hAnsi="Times New Roman" w:eastAsia="Times New Roman" w:cs="Times New Roman"/>
          <w:noProof w:val="0"/>
          <w:sz w:val="22"/>
          <w:szCs w:val="22"/>
          <w:lang w:val="en-GB"/>
        </w:rPr>
      </w:pPr>
      <w:r w:rsidRPr="662C315C" w:rsidR="3AA35DD5">
        <w:rPr>
          <w:rFonts w:ascii="Times New Roman" w:hAnsi="Times New Roman" w:eastAsia="Times New Roman" w:cs="Times New Roman"/>
          <w:noProof w:val="0"/>
          <w:sz w:val="22"/>
          <w:szCs w:val="22"/>
          <w:lang w:val="en-GB"/>
        </w:rPr>
        <w:t xml:space="preserve">For this study, using secondary data is justified as it allows access to existing patient safety reports and research, saving time while still providing credible evidence. It also enables comparison across multiple sources, strengthening the analysis. Overall, selecting </w:t>
      </w:r>
      <w:r w:rsidRPr="662C315C" w:rsidR="3AA35DD5">
        <w:rPr>
          <w:rFonts w:ascii="Times New Roman" w:hAnsi="Times New Roman" w:eastAsia="Times New Roman" w:cs="Times New Roman"/>
          <w:noProof w:val="0"/>
          <w:sz w:val="22"/>
          <w:szCs w:val="22"/>
          <w:lang w:val="en-GB"/>
        </w:rPr>
        <w:t>appropriate methods</w:t>
      </w:r>
      <w:r w:rsidRPr="662C315C" w:rsidR="3AA35DD5">
        <w:rPr>
          <w:rFonts w:ascii="Times New Roman" w:hAnsi="Times New Roman" w:eastAsia="Times New Roman" w:cs="Times New Roman"/>
          <w:noProof w:val="0"/>
          <w:sz w:val="22"/>
          <w:szCs w:val="22"/>
          <w:lang w:val="en-GB"/>
        </w:rPr>
        <w:t xml:space="preserve"> and data sources ensures </w:t>
      </w:r>
      <w:r w:rsidRPr="662C315C" w:rsidR="3AA35DD5">
        <w:rPr>
          <w:rFonts w:ascii="Times New Roman" w:hAnsi="Times New Roman" w:eastAsia="Times New Roman" w:cs="Times New Roman"/>
          <w:noProof w:val="0"/>
          <w:sz w:val="22"/>
          <w:szCs w:val="22"/>
          <w:lang w:val="en-GB"/>
        </w:rPr>
        <w:t>accurate</w:t>
      </w:r>
      <w:r w:rsidRPr="662C315C" w:rsidR="3AA35DD5">
        <w:rPr>
          <w:rFonts w:ascii="Times New Roman" w:hAnsi="Times New Roman" w:eastAsia="Times New Roman" w:cs="Times New Roman"/>
          <w:noProof w:val="0"/>
          <w:sz w:val="22"/>
          <w:szCs w:val="22"/>
          <w:lang w:val="en-GB"/>
        </w:rPr>
        <w:t xml:space="preserve"> and useful research that supports improvements in patient safety.</w:t>
      </w:r>
    </w:p>
    <w:p w:rsidR="662C315C" w:rsidP="662C315C" w:rsidRDefault="662C315C" w14:paraId="3AA150F8" w14:textId="65BB70E4">
      <w:pPr>
        <w:spacing w:beforeAutospacing="on" w:afterAutospacing="on" w:line="240" w:lineRule="auto"/>
        <w:outlineLvl w:val="2"/>
        <w:rPr>
          <w:rFonts w:ascii="Times New Roman" w:hAnsi="Times New Roman" w:eastAsia="Times New Roman" w:cs="Times New Roman"/>
          <w:b w:val="1"/>
          <w:bCs w:val="1"/>
          <w:sz w:val="22"/>
          <w:szCs w:val="22"/>
          <w:lang w:eastAsia="en-GB"/>
        </w:rPr>
      </w:pPr>
    </w:p>
    <w:p w:rsidR="662C315C" w:rsidP="662C315C" w:rsidRDefault="662C315C" w14:paraId="49F999F8" w14:textId="354CBE62">
      <w:pPr>
        <w:rPr>
          <w:rFonts w:ascii="Arial Nova" w:hAnsi="Arial Nova" w:eastAsia="Arial Nova" w:cs="Arial Nova"/>
          <w:b w:val="1"/>
          <w:bCs w:val="1"/>
          <w:sz w:val="40"/>
          <w:szCs w:val="40"/>
          <w:lang w:eastAsia="en-GB"/>
        </w:rPr>
      </w:pPr>
    </w:p>
    <w:p w:rsidR="33DCFB93" w:rsidRDefault="33DCFB93" w14:paraId="5DF2A31B" w14:textId="3854AC73">
      <w:r>
        <w:br w:type="page"/>
      </w:r>
    </w:p>
    <w:p w:rsidR="33DCFB93" w:rsidP="33DCFB93" w:rsidRDefault="33DCFB93" w14:paraId="5EEA4652" w14:textId="2E7D8386">
      <w:pPr>
        <w:pStyle w:val="Normal"/>
        <w:rPr>
          <w:rFonts w:ascii="Arial Nova" w:hAnsi="Arial Nova" w:eastAsia="Arial Nova" w:cs="Arial Nova"/>
          <w:b w:val="1"/>
          <w:bCs w:val="1"/>
          <w:sz w:val="40"/>
          <w:szCs w:val="40"/>
        </w:rPr>
      </w:pPr>
    </w:p>
    <w:p w:rsidR="33DCFB93" w:rsidP="33DCFB93" w:rsidRDefault="33DCFB93" w14:paraId="21119100" w14:textId="5FE7999A">
      <w:pPr>
        <w:pStyle w:val="Normal"/>
      </w:pPr>
    </w:p>
    <w:p w:rsidR="662C315C" w:rsidP="662C315C" w:rsidRDefault="662C315C" w14:paraId="05CDDF20" w14:textId="5C8C3575">
      <w:pPr>
        <w:pStyle w:val="Normal"/>
      </w:pPr>
    </w:p>
    <w:p w:rsidR="30C28F83" w:rsidP="33DCFB93" w:rsidRDefault="30C28F83" w14:paraId="2BCBCCC6" w14:textId="38E607AF">
      <w:pPr>
        <w:pStyle w:val="Normal"/>
        <w:rPr>
          <w:rFonts w:ascii="Arial Nova" w:hAnsi="Arial Nova" w:eastAsia="Arial Nova" w:cs="Arial Nova"/>
          <w:b w:val="1"/>
          <w:bCs w:val="1"/>
          <w:sz w:val="40"/>
          <w:szCs w:val="40"/>
        </w:rPr>
      </w:pPr>
      <w:r w:rsidRPr="662C315C" w:rsidR="30C28F83">
        <w:rPr>
          <w:rFonts w:ascii="Arial Nova" w:hAnsi="Arial Nova" w:eastAsia="Arial Nova" w:cs="Arial Nova"/>
          <w:b w:val="1"/>
          <w:bCs w:val="1"/>
          <w:sz w:val="40"/>
          <w:szCs w:val="40"/>
        </w:rPr>
        <w:t>References</w:t>
      </w:r>
    </w:p>
    <w:p w:rsidR="3546457E" w:rsidP="662C315C" w:rsidRDefault="3546457E" w14:paraId="4826AD1A" w14:textId="16CBBB18">
      <w:pPr>
        <w:spacing w:before="240" w:beforeAutospacing="off" w:after="240" w:afterAutospacing="off"/>
      </w:pPr>
      <w:r w:rsidRPr="662C315C" w:rsidR="0BDB8D60">
        <w:rPr>
          <w:rFonts w:ascii="Arial Nova" w:hAnsi="Arial Nova" w:eastAsia="Arial Nova" w:cs="Arial Nova"/>
          <w:noProof w:val="0"/>
          <w:sz w:val="22"/>
          <w:szCs w:val="22"/>
          <w:lang w:val="en-GB"/>
        </w:rPr>
        <w:t xml:space="preserve">Donovan, G., Parkin, L., Brierley-Jones, L. and Wilkes, S. (2018) ‘Unlicensed medicines use: a UK guideline analysis using AGREE II’, </w:t>
      </w:r>
      <w:r w:rsidRPr="662C315C" w:rsidR="0BDB8D60">
        <w:rPr>
          <w:rFonts w:ascii="Arial Nova" w:hAnsi="Arial Nova" w:eastAsia="Arial Nova" w:cs="Arial Nova"/>
          <w:i w:val="1"/>
          <w:iCs w:val="1"/>
          <w:noProof w:val="0"/>
          <w:sz w:val="22"/>
          <w:szCs w:val="22"/>
          <w:lang w:val="en-GB"/>
        </w:rPr>
        <w:t>International Journal of Pharmacy Practice</w:t>
      </w:r>
      <w:r w:rsidRPr="662C315C" w:rsidR="0BDB8D60">
        <w:rPr>
          <w:rFonts w:ascii="Arial Nova" w:hAnsi="Arial Nova" w:eastAsia="Arial Nova" w:cs="Arial Nova"/>
          <w:noProof w:val="0"/>
          <w:sz w:val="22"/>
          <w:szCs w:val="22"/>
          <w:lang w:val="en-GB"/>
        </w:rPr>
        <w:t>, 26(6), pp. 515–525.</w:t>
      </w:r>
    </w:p>
    <w:p w:rsidR="3546457E" w:rsidP="662C315C" w:rsidRDefault="3546457E" w14:paraId="567BE900" w14:textId="057D1CAA">
      <w:pPr>
        <w:spacing w:before="240" w:beforeAutospacing="off" w:after="240" w:afterAutospacing="off"/>
      </w:pPr>
      <w:r w:rsidRPr="662C315C" w:rsidR="0BDB8D60">
        <w:rPr>
          <w:rFonts w:ascii="Arial Nova" w:hAnsi="Arial Nova" w:eastAsia="Arial Nova" w:cs="Arial Nova"/>
          <w:noProof w:val="0"/>
          <w:sz w:val="22"/>
          <w:szCs w:val="22"/>
          <w:lang w:val="en-GB"/>
        </w:rPr>
        <w:t xml:space="preserve">Hartswood, M. </w:t>
      </w:r>
      <w:r w:rsidRPr="662C315C" w:rsidR="0BDB8D60">
        <w:rPr>
          <w:rFonts w:ascii="Arial Nova" w:hAnsi="Arial Nova" w:eastAsia="Arial Nova" w:cs="Arial Nova"/>
          <w:i w:val="1"/>
          <w:iCs w:val="1"/>
          <w:noProof w:val="0"/>
          <w:sz w:val="22"/>
          <w:szCs w:val="22"/>
          <w:lang w:val="en-GB"/>
        </w:rPr>
        <w:t>et al.</w:t>
      </w:r>
      <w:r w:rsidRPr="662C315C" w:rsidR="0BDB8D60">
        <w:rPr>
          <w:rFonts w:ascii="Arial Nova" w:hAnsi="Arial Nova" w:eastAsia="Arial Nova" w:cs="Arial Nova"/>
          <w:noProof w:val="0"/>
          <w:sz w:val="22"/>
          <w:szCs w:val="22"/>
          <w:lang w:val="en-GB"/>
        </w:rPr>
        <w:t xml:space="preserve"> (2025) ‘Complexities and capabilities of Scan4Safety in NHS hospitals: a qualitative study of a national demonstrator site’, </w:t>
      </w:r>
      <w:r w:rsidRPr="662C315C" w:rsidR="0BDB8D60">
        <w:rPr>
          <w:rFonts w:ascii="Arial Nova" w:hAnsi="Arial Nova" w:eastAsia="Arial Nova" w:cs="Arial Nova"/>
          <w:i w:val="1"/>
          <w:iCs w:val="1"/>
          <w:noProof w:val="0"/>
          <w:sz w:val="22"/>
          <w:szCs w:val="22"/>
          <w:lang w:val="en-GB"/>
        </w:rPr>
        <w:t>Research Square / NHS Digital Safety Research</w:t>
      </w:r>
      <w:r w:rsidRPr="662C315C" w:rsidR="0BDB8D60">
        <w:rPr>
          <w:rFonts w:ascii="Arial Nova" w:hAnsi="Arial Nova" w:eastAsia="Arial Nova" w:cs="Arial Nova"/>
          <w:noProof w:val="0"/>
          <w:sz w:val="22"/>
          <w:szCs w:val="22"/>
          <w:lang w:val="en-GB"/>
        </w:rPr>
        <w:t>.</w:t>
      </w:r>
    </w:p>
    <w:p w:rsidR="3546457E" w:rsidP="662C315C" w:rsidRDefault="3546457E" w14:paraId="65C1E5FB" w14:textId="10BC1601">
      <w:pPr>
        <w:spacing w:before="240" w:beforeAutospacing="off" w:after="240" w:afterAutospacing="off"/>
      </w:pPr>
      <w:r w:rsidRPr="662C315C" w:rsidR="0BDB8D60">
        <w:rPr>
          <w:rFonts w:ascii="Arial Nova" w:hAnsi="Arial Nova" w:eastAsia="Arial Nova" w:cs="Arial Nova"/>
          <w:noProof w:val="0"/>
          <w:sz w:val="22"/>
          <w:szCs w:val="22"/>
          <w:lang w:val="en-GB"/>
        </w:rPr>
        <w:t xml:space="preserve">Müller, C. </w:t>
      </w:r>
      <w:r w:rsidRPr="662C315C" w:rsidR="0BDB8D60">
        <w:rPr>
          <w:rFonts w:ascii="Arial Nova" w:hAnsi="Arial Nova" w:eastAsia="Arial Nova" w:cs="Arial Nova"/>
          <w:i w:val="1"/>
          <w:iCs w:val="1"/>
          <w:noProof w:val="0"/>
          <w:sz w:val="22"/>
          <w:szCs w:val="22"/>
          <w:lang w:val="en-GB"/>
        </w:rPr>
        <w:t>et al.</w:t>
      </w:r>
      <w:r w:rsidRPr="662C315C" w:rsidR="0BDB8D60">
        <w:rPr>
          <w:rFonts w:ascii="Arial Nova" w:hAnsi="Arial Nova" w:eastAsia="Arial Nova" w:cs="Arial Nova"/>
          <w:noProof w:val="0"/>
          <w:sz w:val="22"/>
          <w:szCs w:val="22"/>
          <w:lang w:val="en-GB"/>
        </w:rPr>
        <w:t xml:space="preserve"> (2018) ‘Impact of the communication and patient hand-off tool SBAR on patient safety: a systematic review’, </w:t>
      </w:r>
      <w:r w:rsidRPr="662C315C" w:rsidR="0BDB8D60">
        <w:rPr>
          <w:rFonts w:ascii="Arial Nova" w:hAnsi="Arial Nova" w:eastAsia="Arial Nova" w:cs="Arial Nova"/>
          <w:i w:val="1"/>
          <w:iCs w:val="1"/>
          <w:noProof w:val="0"/>
          <w:sz w:val="22"/>
          <w:szCs w:val="22"/>
          <w:lang w:val="en-GB"/>
        </w:rPr>
        <w:t>BMJ Open</w:t>
      </w:r>
      <w:r w:rsidRPr="662C315C" w:rsidR="0BDB8D60">
        <w:rPr>
          <w:rFonts w:ascii="Arial Nova" w:hAnsi="Arial Nova" w:eastAsia="Arial Nova" w:cs="Arial Nova"/>
          <w:noProof w:val="0"/>
          <w:sz w:val="22"/>
          <w:szCs w:val="22"/>
          <w:lang w:val="en-GB"/>
        </w:rPr>
        <w:t>.</w:t>
      </w:r>
    </w:p>
    <w:p w:rsidR="3546457E" w:rsidP="662C315C" w:rsidRDefault="3546457E" w14:paraId="75A17CD7" w14:textId="4830448E">
      <w:pPr>
        <w:spacing w:before="240" w:beforeAutospacing="off" w:after="240" w:afterAutospacing="off"/>
      </w:pPr>
      <w:r w:rsidRPr="662C315C" w:rsidR="0BDB8D60">
        <w:rPr>
          <w:rFonts w:ascii="Arial Nova" w:hAnsi="Arial Nova" w:eastAsia="Arial Nova" w:cs="Arial Nova"/>
          <w:noProof w:val="0"/>
          <w:sz w:val="22"/>
          <w:szCs w:val="22"/>
          <w:lang w:val="en-GB"/>
        </w:rPr>
        <w:t xml:space="preserve">Slight, S.P. </w:t>
      </w:r>
      <w:r w:rsidRPr="662C315C" w:rsidR="0BDB8D60">
        <w:rPr>
          <w:rFonts w:ascii="Arial Nova" w:hAnsi="Arial Nova" w:eastAsia="Arial Nova" w:cs="Arial Nova"/>
          <w:i w:val="1"/>
          <w:iCs w:val="1"/>
          <w:noProof w:val="0"/>
          <w:sz w:val="22"/>
          <w:szCs w:val="22"/>
          <w:lang w:val="en-GB"/>
        </w:rPr>
        <w:t>et al.</w:t>
      </w:r>
      <w:r w:rsidRPr="662C315C" w:rsidR="0BDB8D60">
        <w:rPr>
          <w:rFonts w:ascii="Arial Nova" w:hAnsi="Arial Nova" w:eastAsia="Arial Nova" w:cs="Arial Nova"/>
          <w:noProof w:val="0"/>
          <w:sz w:val="22"/>
          <w:szCs w:val="22"/>
          <w:lang w:val="en-GB"/>
        </w:rPr>
        <w:t xml:space="preserve"> (2019) ‘Medication errors and adverse drug events in a UK hospital during the optimisation of electronic prescriptions: a prospective observational study’, </w:t>
      </w:r>
      <w:r w:rsidRPr="662C315C" w:rsidR="0BDB8D60">
        <w:rPr>
          <w:rFonts w:ascii="Arial Nova" w:hAnsi="Arial Nova" w:eastAsia="Arial Nova" w:cs="Arial Nova"/>
          <w:i w:val="1"/>
          <w:iCs w:val="1"/>
          <w:noProof w:val="0"/>
          <w:sz w:val="22"/>
          <w:szCs w:val="22"/>
          <w:lang w:val="en-GB"/>
        </w:rPr>
        <w:t>The Lancet Digital Health</w:t>
      </w:r>
      <w:r w:rsidRPr="662C315C" w:rsidR="0BDB8D60">
        <w:rPr>
          <w:rFonts w:ascii="Arial Nova" w:hAnsi="Arial Nova" w:eastAsia="Arial Nova" w:cs="Arial Nova"/>
          <w:noProof w:val="0"/>
          <w:sz w:val="22"/>
          <w:szCs w:val="22"/>
          <w:lang w:val="en-GB"/>
        </w:rPr>
        <w:t>.</w:t>
      </w:r>
    </w:p>
    <w:p w:rsidR="3546457E" w:rsidP="662C315C" w:rsidRDefault="3546457E" w14:paraId="7ABC6D96" w14:textId="7BF35BF3">
      <w:pPr>
        <w:spacing w:before="240" w:beforeAutospacing="off" w:after="240" w:afterAutospacing="off"/>
      </w:pPr>
      <w:r w:rsidRPr="662C315C" w:rsidR="0BDB8D60">
        <w:rPr>
          <w:rFonts w:ascii="Arial Nova" w:hAnsi="Arial Nova" w:eastAsia="Arial Nova" w:cs="Arial Nova"/>
          <w:noProof w:val="0"/>
          <w:sz w:val="22"/>
          <w:szCs w:val="22"/>
          <w:lang w:val="en-GB"/>
        </w:rPr>
        <w:t xml:space="preserve">NHS England (2022) </w:t>
      </w:r>
      <w:r w:rsidRPr="662C315C" w:rsidR="0BDB8D60">
        <w:rPr>
          <w:rFonts w:ascii="Arial Nova" w:hAnsi="Arial Nova" w:eastAsia="Arial Nova" w:cs="Arial Nova"/>
          <w:i w:val="1"/>
          <w:iCs w:val="1"/>
          <w:noProof w:val="0"/>
          <w:sz w:val="22"/>
          <w:szCs w:val="22"/>
          <w:lang w:val="en-GB"/>
        </w:rPr>
        <w:t>Spoken communication and patient safety in the NHS</w:t>
      </w:r>
      <w:r w:rsidRPr="662C315C" w:rsidR="0BDB8D60">
        <w:rPr>
          <w:rFonts w:ascii="Arial Nova" w:hAnsi="Arial Nova" w:eastAsia="Arial Nova" w:cs="Arial Nova"/>
          <w:noProof w:val="0"/>
          <w:sz w:val="22"/>
          <w:szCs w:val="22"/>
          <w:lang w:val="en-GB"/>
        </w:rPr>
        <w:t xml:space="preserve">. Available at: </w:t>
      </w:r>
      <w:hyperlink r:id="Rc6eaf6f606c84ad6">
        <w:r w:rsidRPr="662C315C" w:rsidR="0BDB8D60">
          <w:rPr>
            <w:rStyle w:val="Hyperlink"/>
            <w:rFonts w:ascii="Arial Nova" w:hAnsi="Arial Nova" w:eastAsia="Arial Nova" w:cs="Arial Nova"/>
            <w:noProof w:val="0"/>
            <w:sz w:val="22"/>
            <w:szCs w:val="22"/>
            <w:lang w:val="en-GB"/>
          </w:rPr>
          <w:t>https://www.england.nhs.uk/publication/spoken-communication-and-patient-safety-in-the-nhs/</w:t>
        </w:r>
      </w:hyperlink>
      <w:r w:rsidRPr="662C315C" w:rsidR="0BDB8D60">
        <w:rPr>
          <w:rFonts w:ascii="Arial Nova" w:hAnsi="Arial Nova" w:eastAsia="Arial Nova" w:cs="Arial Nova"/>
          <w:noProof w:val="0"/>
          <w:sz w:val="22"/>
          <w:szCs w:val="22"/>
          <w:lang w:val="en-GB"/>
        </w:rPr>
        <w:t xml:space="preserve"> (Accessed: 23 March 2026).</w:t>
      </w:r>
    </w:p>
    <w:p w:rsidR="3546457E" w:rsidP="3546457E" w:rsidRDefault="3546457E" w14:paraId="6159CD55" w14:textId="7ACBE9E4">
      <w:pPr>
        <w:rPr>
          <w:rFonts w:ascii="Arial Nova" w:hAnsi="Arial Nova" w:eastAsia="Arial Nova" w:cs="Arial Nova"/>
          <w:sz w:val="22"/>
          <w:szCs w:val="22"/>
        </w:rPr>
      </w:pPr>
    </w:p>
    <w:sectPr w:rsidR="3546457E">
      <w:headerReference w:type="default" r:id="rId12"/>
      <w:footerReference w:type="default" r:id="rId13"/>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0EB0" w:rsidRDefault="00DF0EB0" w14:paraId="7A84DF37" w14:textId="77777777">
      <w:pPr>
        <w:spacing w:after="0" w:line="240" w:lineRule="auto"/>
      </w:pPr>
      <w:r>
        <w:separator/>
      </w:r>
    </w:p>
  </w:endnote>
  <w:endnote w:type="continuationSeparator" w:id="0">
    <w:p w:rsidR="00DF0EB0" w:rsidRDefault="00DF0EB0" w14:paraId="4687E7B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UICTFontTextStyleEmphasizedBody">
    <w:altName w:val="Cambria"/>
    <w:panose1 w:val="00000000000000000000"/>
    <w:charset w:val="00"/>
    <w:family w:val="roman"/>
    <w:notTrueType/>
    <w:pitch w:val="default"/>
  </w:font>
  <w:font w:name=".AppleSystemUIFon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83B0ACE" w:rsidTr="33DCFB93" w14:paraId="7D1B56B5" w14:textId="77777777">
      <w:trPr>
        <w:trHeight w:val="300"/>
      </w:trPr>
      <w:tc>
        <w:tcPr>
          <w:tcW w:w="4650" w:type="dxa"/>
          <w:tcMar/>
        </w:tcPr>
        <w:p w:rsidR="383B0ACE" w:rsidP="383B0ACE" w:rsidRDefault="383B0ACE" w14:paraId="3FAECB47" w14:textId="529F8620">
          <w:pPr>
            <w:pStyle w:val="Header"/>
            <w:ind w:left="-115"/>
          </w:pPr>
        </w:p>
      </w:tc>
      <w:tc>
        <w:tcPr>
          <w:tcW w:w="4650" w:type="dxa"/>
          <w:tcMar/>
        </w:tcPr>
        <w:p w:rsidR="383B0ACE" w:rsidP="33DCFB93" w:rsidRDefault="383B0ACE" w14:paraId="39155BDD" w14:textId="0B097E0E">
          <w:pPr>
            <w:pStyle w:val="Header"/>
            <w:jc w:val="center"/>
            <w:rPr>
              <w:noProof/>
            </w:rPr>
          </w:pPr>
        </w:p>
      </w:tc>
      <w:tc>
        <w:tcPr>
          <w:tcW w:w="4650" w:type="dxa"/>
          <w:tcMar/>
        </w:tcPr>
        <w:p w:rsidR="383B0ACE" w:rsidP="383B0ACE" w:rsidRDefault="383B0ACE" w14:paraId="7025300D" w14:textId="45AC6783">
          <w:pPr>
            <w:pStyle w:val="Header"/>
            <w:ind w:right="-115"/>
            <w:jc w:val="right"/>
          </w:pPr>
          <w:r>
            <w:fldChar w:fldCharType="begin"/>
          </w:r>
          <w:r>
            <w:instrText xml:space="preserve">PAGE</w:instrText>
          </w:r>
          <w:r>
            <w:fldChar w:fldCharType="separate"/>
          </w:r>
          <w:r>
            <w:fldChar w:fldCharType="end"/>
          </w:r>
        </w:p>
      </w:tc>
    </w:tr>
  </w:tbl>
  <w:p w:rsidR="383B0ACE" w:rsidP="383B0ACE" w:rsidRDefault="383B0ACE" w14:paraId="7689A39D" w14:textId="4A342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0EB0" w:rsidRDefault="00DF0EB0" w14:paraId="16B9597F" w14:textId="77777777">
      <w:pPr>
        <w:spacing w:after="0" w:line="240" w:lineRule="auto"/>
      </w:pPr>
      <w:r>
        <w:separator/>
      </w:r>
    </w:p>
  </w:footnote>
  <w:footnote w:type="continuationSeparator" w:id="0">
    <w:p w:rsidR="00DF0EB0" w:rsidRDefault="00DF0EB0" w14:paraId="42E80ED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383B0ACE" w:rsidP="383B0ACE" w:rsidRDefault="383B0ACE" w14:paraId="48AD0A1D" w14:textId="15D82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28A028"/>
    <w:multiLevelType w:val="hybridMultilevel"/>
    <w:tmpl w:val="FFFFFFFF"/>
    <w:lvl w:ilvl="0" w:tplc="BA8863F8">
      <w:start w:val="1"/>
      <w:numFmt w:val="bullet"/>
      <w:lvlText w:val=""/>
      <w:lvlJc w:val="left"/>
      <w:pPr>
        <w:ind w:left="720" w:hanging="360"/>
      </w:pPr>
      <w:rPr>
        <w:rFonts w:hint="default" w:ascii="Symbol" w:hAnsi="Symbol"/>
      </w:rPr>
    </w:lvl>
    <w:lvl w:ilvl="1" w:tplc="B20288A6">
      <w:start w:val="1"/>
      <w:numFmt w:val="bullet"/>
      <w:lvlText w:val="o"/>
      <w:lvlJc w:val="left"/>
      <w:pPr>
        <w:ind w:left="1440" w:hanging="360"/>
      </w:pPr>
      <w:rPr>
        <w:rFonts w:hint="default" w:ascii="Courier New" w:hAnsi="Courier New"/>
      </w:rPr>
    </w:lvl>
    <w:lvl w:ilvl="2" w:tplc="EDD81F56">
      <w:start w:val="1"/>
      <w:numFmt w:val="bullet"/>
      <w:lvlText w:val=""/>
      <w:lvlJc w:val="left"/>
      <w:pPr>
        <w:ind w:left="2160" w:hanging="360"/>
      </w:pPr>
      <w:rPr>
        <w:rFonts w:hint="default" w:ascii="Wingdings" w:hAnsi="Wingdings"/>
      </w:rPr>
    </w:lvl>
    <w:lvl w:ilvl="3" w:tplc="AF4CA3DC">
      <w:start w:val="1"/>
      <w:numFmt w:val="bullet"/>
      <w:lvlText w:val=""/>
      <w:lvlJc w:val="left"/>
      <w:pPr>
        <w:ind w:left="2880" w:hanging="360"/>
      </w:pPr>
      <w:rPr>
        <w:rFonts w:hint="default" w:ascii="Symbol" w:hAnsi="Symbol"/>
      </w:rPr>
    </w:lvl>
    <w:lvl w:ilvl="4" w:tplc="DD0495E6">
      <w:start w:val="1"/>
      <w:numFmt w:val="bullet"/>
      <w:lvlText w:val="o"/>
      <w:lvlJc w:val="left"/>
      <w:pPr>
        <w:ind w:left="3600" w:hanging="360"/>
      </w:pPr>
      <w:rPr>
        <w:rFonts w:hint="default" w:ascii="Courier New" w:hAnsi="Courier New"/>
      </w:rPr>
    </w:lvl>
    <w:lvl w:ilvl="5" w:tplc="2D1A874A">
      <w:start w:val="1"/>
      <w:numFmt w:val="bullet"/>
      <w:lvlText w:val=""/>
      <w:lvlJc w:val="left"/>
      <w:pPr>
        <w:ind w:left="4320" w:hanging="360"/>
      </w:pPr>
      <w:rPr>
        <w:rFonts w:hint="default" w:ascii="Wingdings" w:hAnsi="Wingdings"/>
      </w:rPr>
    </w:lvl>
    <w:lvl w:ilvl="6" w:tplc="C2245D10">
      <w:start w:val="1"/>
      <w:numFmt w:val="bullet"/>
      <w:lvlText w:val=""/>
      <w:lvlJc w:val="left"/>
      <w:pPr>
        <w:ind w:left="5040" w:hanging="360"/>
      </w:pPr>
      <w:rPr>
        <w:rFonts w:hint="default" w:ascii="Symbol" w:hAnsi="Symbol"/>
      </w:rPr>
    </w:lvl>
    <w:lvl w:ilvl="7" w:tplc="986CD2BE">
      <w:start w:val="1"/>
      <w:numFmt w:val="bullet"/>
      <w:lvlText w:val="o"/>
      <w:lvlJc w:val="left"/>
      <w:pPr>
        <w:ind w:left="5760" w:hanging="360"/>
      </w:pPr>
      <w:rPr>
        <w:rFonts w:hint="default" w:ascii="Courier New" w:hAnsi="Courier New"/>
      </w:rPr>
    </w:lvl>
    <w:lvl w:ilvl="8" w:tplc="53369F78">
      <w:start w:val="1"/>
      <w:numFmt w:val="bullet"/>
      <w:lvlText w:val=""/>
      <w:lvlJc w:val="left"/>
      <w:pPr>
        <w:ind w:left="6480" w:hanging="360"/>
      </w:pPr>
      <w:rPr>
        <w:rFonts w:hint="default" w:ascii="Wingdings" w:hAnsi="Wingdings"/>
      </w:rPr>
    </w:lvl>
  </w:abstractNum>
  <w:num w:numId="1" w16cid:durableId="129698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88B8A6"/>
    <w:rsid w:val="00004D55"/>
    <w:rsid w:val="00033656"/>
    <w:rsid w:val="00080A2D"/>
    <w:rsid w:val="000B7F61"/>
    <w:rsid w:val="001034B0"/>
    <w:rsid w:val="00116C3F"/>
    <w:rsid w:val="001B311E"/>
    <w:rsid w:val="00206A90"/>
    <w:rsid w:val="002F2523"/>
    <w:rsid w:val="00361CBB"/>
    <w:rsid w:val="00373B7C"/>
    <w:rsid w:val="003F503F"/>
    <w:rsid w:val="004612F2"/>
    <w:rsid w:val="00487DB8"/>
    <w:rsid w:val="004B705C"/>
    <w:rsid w:val="004C1E13"/>
    <w:rsid w:val="005128AA"/>
    <w:rsid w:val="0055022F"/>
    <w:rsid w:val="005551BB"/>
    <w:rsid w:val="005656F1"/>
    <w:rsid w:val="00571EC7"/>
    <w:rsid w:val="005C0571"/>
    <w:rsid w:val="0063573C"/>
    <w:rsid w:val="0075082B"/>
    <w:rsid w:val="00756020"/>
    <w:rsid w:val="00775C85"/>
    <w:rsid w:val="007B2692"/>
    <w:rsid w:val="008060AE"/>
    <w:rsid w:val="00846638"/>
    <w:rsid w:val="00853112"/>
    <w:rsid w:val="00860C13"/>
    <w:rsid w:val="00916323"/>
    <w:rsid w:val="00930660"/>
    <w:rsid w:val="00940871"/>
    <w:rsid w:val="00B35A71"/>
    <w:rsid w:val="00B6297F"/>
    <w:rsid w:val="00B75062"/>
    <w:rsid w:val="00B93948"/>
    <w:rsid w:val="00BD1F5F"/>
    <w:rsid w:val="00C81116"/>
    <w:rsid w:val="00C96117"/>
    <w:rsid w:val="00DE15CF"/>
    <w:rsid w:val="00DF0EB0"/>
    <w:rsid w:val="00DF2036"/>
    <w:rsid w:val="00E66584"/>
    <w:rsid w:val="00EE0291"/>
    <w:rsid w:val="00F240A4"/>
    <w:rsid w:val="00F805BC"/>
    <w:rsid w:val="01965DBF"/>
    <w:rsid w:val="01A9AFEB"/>
    <w:rsid w:val="021B8A65"/>
    <w:rsid w:val="0241DB38"/>
    <w:rsid w:val="0250E5B6"/>
    <w:rsid w:val="025E05FB"/>
    <w:rsid w:val="04182BE2"/>
    <w:rsid w:val="0480A9A4"/>
    <w:rsid w:val="05023EC3"/>
    <w:rsid w:val="0545447C"/>
    <w:rsid w:val="063B5978"/>
    <w:rsid w:val="06AD6C2E"/>
    <w:rsid w:val="06B2FD18"/>
    <w:rsid w:val="06B4F116"/>
    <w:rsid w:val="076236E5"/>
    <w:rsid w:val="07CE9754"/>
    <w:rsid w:val="08B5C18D"/>
    <w:rsid w:val="0924B1EA"/>
    <w:rsid w:val="0A048F41"/>
    <w:rsid w:val="0A3630C8"/>
    <w:rsid w:val="0A9BCC53"/>
    <w:rsid w:val="0AD9CDC8"/>
    <w:rsid w:val="0B094E50"/>
    <w:rsid w:val="0B150FC8"/>
    <w:rsid w:val="0B276E67"/>
    <w:rsid w:val="0B6DAAE2"/>
    <w:rsid w:val="0BD20394"/>
    <w:rsid w:val="0BDB8D60"/>
    <w:rsid w:val="0C56130D"/>
    <w:rsid w:val="0D50F324"/>
    <w:rsid w:val="0D9DF74F"/>
    <w:rsid w:val="0DC76743"/>
    <w:rsid w:val="0E2D77AC"/>
    <w:rsid w:val="0E61ABDF"/>
    <w:rsid w:val="0ECA94EB"/>
    <w:rsid w:val="0EE6367A"/>
    <w:rsid w:val="0F34A2C4"/>
    <w:rsid w:val="0F59E7A0"/>
    <w:rsid w:val="0F903690"/>
    <w:rsid w:val="0FF90F9F"/>
    <w:rsid w:val="10141BF0"/>
    <w:rsid w:val="103CC609"/>
    <w:rsid w:val="104847E2"/>
    <w:rsid w:val="1060B398"/>
    <w:rsid w:val="1091A142"/>
    <w:rsid w:val="10C594F1"/>
    <w:rsid w:val="10EF86EB"/>
    <w:rsid w:val="11990D92"/>
    <w:rsid w:val="1218A7F9"/>
    <w:rsid w:val="126E7618"/>
    <w:rsid w:val="12732ED8"/>
    <w:rsid w:val="12D1C791"/>
    <w:rsid w:val="12DB7DBB"/>
    <w:rsid w:val="132AB7A9"/>
    <w:rsid w:val="1478783E"/>
    <w:rsid w:val="1565D7B9"/>
    <w:rsid w:val="15C7625E"/>
    <w:rsid w:val="15DE768C"/>
    <w:rsid w:val="15ED94AD"/>
    <w:rsid w:val="163370D1"/>
    <w:rsid w:val="1721741F"/>
    <w:rsid w:val="17399C1A"/>
    <w:rsid w:val="17AC3F6C"/>
    <w:rsid w:val="17E0309E"/>
    <w:rsid w:val="1883355F"/>
    <w:rsid w:val="18883A09"/>
    <w:rsid w:val="18D84B08"/>
    <w:rsid w:val="18E34E35"/>
    <w:rsid w:val="195FE865"/>
    <w:rsid w:val="1981F75D"/>
    <w:rsid w:val="1A185586"/>
    <w:rsid w:val="1A41FF30"/>
    <w:rsid w:val="1A5C2DEA"/>
    <w:rsid w:val="1AAD886B"/>
    <w:rsid w:val="1AB9C41B"/>
    <w:rsid w:val="1B2A2473"/>
    <w:rsid w:val="1B461D1E"/>
    <w:rsid w:val="1B4B0A2E"/>
    <w:rsid w:val="1B5865C2"/>
    <w:rsid w:val="1BDFB9F2"/>
    <w:rsid w:val="1C0D4BA1"/>
    <w:rsid w:val="1C261602"/>
    <w:rsid w:val="1C787F50"/>
    <w:rsid w:val="1CC3177C"/>
    <w:rsid w:val="1CF8A406"/>
    <w:rsid w:val="1D063E67"/>
    <w:rsid w:val="1D1B81B7"/>
    <w:rsid w:val="1DEFA62F"/>
    <w:rsid w:val="1E483B0B"/>
    <w:rsid w:val="1E6ADA89"/>
    <w:rsid w:val="1F436531"/>
    <w:rsid w:val="1F66026F"/>
    <w:rsid w:val="1F6C7E17"/>
    <w:rsid w:val="1FCAD6A6"/>
    <w:rsid w:val="203B8BC9"/>
    <w:rsid w:val="206F313C"/>
    <w:rsid w:val="209209E2"/>
    <w:rsid w:val="2181F453"/>
    <w:rsid w:val="2202FC01"/>
    <w:rsid w:val="223DB52D"/>
    <w:rsid w:val="22406FE4"/>
    <w:rsid w:val="22483333"/>
    <w:rsid w:val="23EAFD46"/>
    <w:rsid w:val="2495B325"/>
    <w:rsid w:val="24E95136"/>
    <w:rsid w:val="24ECCBD1"/>
    <w:rsid w:val="253FE396"/>
    <w:rsid w:val="25855D8B"/>
    <w:rsid w:val="25D3EE6F"/>
    <w:rsid w:val="25F95FDF"/>
    <w:rsid w:val="262CB8B9"/>
    <w:rsid w:val="2649EF2A"/>
    <w:rsid w:val="264D6F8F"/>
    <w:rsid w:val="26B284B9"/>
    <w:rsid w:val="270DABFF"/>
    <w:rsid w:val="271AFD4D"/>
    <w:rsid w:val="277687FD"/>
    <w:rsid w:val="27C3DAA2"/>
    <w:rsid w:val="27C885B3"/>
    <w:rsid w:val="27F547AB"/>
    <w:rsid w:val="283893A4"/>
    <w:rsid w:val="28E6B60A"/>
    <w:rsid w:val="28E87A9F"/>
    <w:rsid w:val="290CA3AA"/>
    <w:rsid w:val="2A2845FC"/>
    <w:rsid w:val="2AEC1E6E"/>
    <w:rsid w:val="2AF0BE99"/>
    <w:rsid w:val="2B085617"/>
    <w:rsid w:val="2B2873C5"/>
    <w:rsid w:val="2B3F63E4"/>
    <w:rsid w:val="2B64879D"/>
    <w:rsid w:val="2BA8CB46"/>
    <w:rsid w:val="2C04C0BF"/>
    <w:rsid w:val="2C19CA8E"/>
    <w:rsid w:val="2C4C9B56"/>
    <w:rsid w:val="2C6C57CF"/>
    <w:rsid w:val="2C7490C6"/>
    <w:rsid w:val="2D1786E9"/>
    <w:rsid w:val="2D227D13"/>
    <w:rsid w:val="2D3826FE"/>
    <w:rsid w:val="2DA11B9B"/>
    <w:rsid w:val="2E4B9EAF"/>
    <w:rsid w:val="2E9ED402"/>
    <w:rsid w:val="2F0DDF85"/>
    <w:rsid w:val="2F4F959B"/>
    <w:rsid w:val="2F6005BD"/>
    <w:rsid w:val="2F6182BC"/>
    <w:rsid w:val="2F74CA25"/>
    <w:rsid w:val="2F8F6B1B"/>
    <w:rsid w:val="303C81E6"/>
    <w:rsid w:val="304DA3F1"/>
    <w:rsid w:val="30B927A3"/>
    <w:rsid w:val="30C28F83"/>
    <w:rsid w:val="31034D5A"/>
    <w:rsid w:val="311B6F06"/>
    <w:rsid w:val="311C0E7E"/>
    <w:rsid w:val="317F2CC2"/>
    <w:rsid w:val="3183B7AB"/>
    <w:rsid w:val="3193ED9E"/>
    <w:rsid w:val="31E19E2D"/>
    <w:rsid w:val="31FB6E58"/>
    <w:rsid w:val="32F3E8CD"/>
    <w:rsid w:val="33387993"/>
    <w:rsid w:val="33520777"/>
    <w:rsid w:val="335DA653"/>
    <w:rsid w:val="33A8FD44"/>
    <w:rsid w:val="33BC3E49"/>
    <w:rsid w:val="33C2E1EB"/>
    <w:rsid w:val="33DCFB93"/>
    <w:rsid w:val="33EFFD91"/>
    <w:rsid w:val="341232C5"/>
    <w:rsid w:val="3454590A"/>
    <w:rsid w:val="34E0DFB6"/>
    <w:rsid w:val="3503BEDC"/>
    <w:rsid w:val="350EA83F"/>
    <w:rsid w:val="3546457E"/>
    <w:rsid w:val="3614342F"/>
    <w:rsid w:val="36553A40"/>
    <w:rsid w:val="367FB4C1"/>
    <w:rsid w:val="36AC4D67"/>
    <w:rsid w:val="3746D41A"/>
    <w:rsid w:val="37BFE858"/>
    <w:rsid w:val="37C26BB4"/>
    <w:rsid w:val="383B0ACE"/>
    <w:rsid w:val="38BD50D0"/>
    <w:rsid w:val="38C6BC7D"/>
    <w:rsid w:val="38C8A294"/>
    <w:rsid w:val="3920BFD6"/>
    <w:rsid w:val="393A562C"/>
    <w:rsid w:val="39777D40"/>
    <w:rsid w:val="39D5EAF4"/>
    <w:rsid w:val="3A7DE201"/>
    <w:rsid w:val="3AA35DD5"/>
    <w:rsid w:val="3AB2D0C6"/>
    <w:rsid w:val="3ACE8F96"/>
    <w:rsid w:val="3B465A2D"/>
    <w:rsid w:val="3B50C5D0"/>
    <w:rsid w:val="3C34CF4D"/>
    <w:rsid w:val="3D3CBD06"/>
    <w:rsid w:val="3D8816AA"/>
    <w:rsid w:val="3DD51AEE"/>
    <w:rsid w:val="3ED9C8C3"/>
    <w:rsid w:val="3EF58BA7"/>
    <w:rsid w:val="3F75B0B6"/>
    <w:rsid w:val="3FDD8FB6"/>
    <w:rsid w:val="4039DAD5"/>
    <w:rsid w:val="405FC81F"/>
    <w:rsid w:val="4123C816"/>
    <w:rsid w:val="414425AD"/>
    <w:rsid w:val="4179CAA9"/>
    <w:rsid w:val="424B0895"/>
    <w:rsid w:val="42B5A01B"/>
    <w:rsid w:val="42E3DF90"/>
    <w:rsid w:val="42EE8072"/>
    <w:rsid w:val="437907F5"/>
    <w:rsid w:val="43A64694"/>
    <w:rsid w:val="44892E43"/>
    <w:rsid w:val="44AEEB2C"/>
    <w:rsid w:val="44B54160"/>
    <w:rsid w:val="44CE40DF"/>
    <w:rsid w:val="455E14FC"/>
    <w:rsid w:val="45AB0B77"/>
    <w:rsid w:val="45CC0DE3"/>
    <w:rsid w:val="46873FA3"/>
    <w:rsid w:val="4688B8A6"/>
    <w:rsid w:val="468EB6E1"/>
    <w:rsid w:val="46D67602"/>
    <w:rsid w:val="472A8595"/>
    <w:rsid w:val="48077784"/>
    <w:rsid w:val="48300C48"/>
    <w:rsid w:val="4864C5C9"/>
    <w:rsid w:val="48DF2D4B"/>
    <w:rsid w:val="49189565"/>
    <w:rsid w:val="49230750"/>
    <w:rsid w:val="49610271"/>
    <w:rsid w:val="49E90BA9"/>
    <w:rsid w:val="4A3A6956"/>
    <w:rsid w:val="4A46FD63"/>
    <w:rsid w:val="4AC6AF95"/>
    <w:rsid w:val="4CEDFFF1"/>
    <w:rsid w:val="4D245B9C"/>
    <w:rsid w:val="4D663667"/>
    <w:rsid w:val="4E25ABB1"/>
    <w:rsid w:val="4E88881D"/>
    <w:rsid w:val="4EB241C3"/>
    <w:rsid w:val="4F0813C3"/>
    <w:rsid w:val="4F350F33"/>
    <w:rsid w:val="4F506011"/>
    <w:rsid w:val="4F7C642A"/>
    <w:rsid w:val="4FC873F4"/>
    <w:rsid w:val="50B6A00E"/>
    <w:rsid w:val="50F874EA"/>
    <w:rsid w:val="51110D44"/>
    <w:rsid w:val="51B15C82"/>
    <w:rsid w:val="51C11278"/>
    <w:rsid w:val="51D8CCBC"/>
    <w:rsid w:val="525394A2"/>
    <w:rsid w:val="5296B048"/>
    <w:rsid w:val="52ABB7C4"/>
    <w:rsid w:val="52B43649"/>
    <w:rsid w:val="52BB2578"/>
    <w:rsid w:val="52C5830A"/>
    <w:rsid w:val="537491C4"/>
    <w:rsid w:val="53AEB5F8"/>
    <w:rsid w:val="53B20E44"/>
    <w:rsid w:val="53E21EAD"/>
    <w:rsid w:val="53E3C589"/>
    <w:rsid w:val="544F9755"/>
    <w:rsid w:val="54AC5F68"/>
    <w:rsid w:val="54ECDE22"/>
    <w:rsid w:val="558BF20E"/>
    <w:rsid w:val="55F2FF07"/>
    <w:rsid w:val="5722798B"/>
    <w:rsid w:val="572A18B1"/>
    <w:rsid w:val="578FC7CF"/>
    <w:rsid w:val="57BBEFFB"/>
    <w:rsid w:val="57EBC774"/>
    <w:rsid w:val="57F4E44F"/>
    <w:rsid w:val="5831C5E9"/>
    <w:rsid w:val="583F07CC"/>
    <w:rsid w:val="5886AFB4"/>
    <w:rsid w:val="58B01279"/>
    <w:rsid w:val="58DF7703"/>
    <w:rsid w:val="5992FD0B"/>
    <w:rsid w:val="599C640E"/>
    <w:rsid w:val="59D5F29E"/>
    <w:rsid w:val="5A156D62"/>
    <w:rsid w:val="5A3F90A6"/>
    <w:rsid w:val="5A6E3000"/>
    <w:rsid w:val="5A7A1314"/>
    <w:rsid w:val="5A8228DA"/>
    <w:rsid w:val="5B4E663A"/>
    <w:rsid w:val="5B56F3E1"/>
    <w:rsid w:val="5B7CD0A3"/>
    <w:rsid w:val="5BA8CE64"/>
    <w:rsid w:val="5BAD4680"/>
    <w:rsid w:val="5BCBBCAB"/>
    <w:rsid w:val="5C69F8D6"/>
    <w:rsid w:val="5CC491FC"/>
    <w:rsid w:val="5D3B3EAC"/>
    <w:rsid w:val="5DAAE2A8"/>
    <w:rsid w:val="5DB5BF0F"/>
    <w:rsid w:val="5DF5154B"/>
    <w:rsid w:val="5E65B8BA"/>
    <w:rsid w:val="5E6E2857"/>
    <w:rsid w:val="5F685721"/>
    <w:rsid w:val="613C60A3"/>
    <w:rsid w:val="61895B7B"/>
    <w:rsid w:val="6212648E"/>
    <w:rsid w:val="62AA3C9A"/>
    <w:rsid w:val="62DAA5B2"/>
    <w:rsid w:val="62F3488D"/>
    <w:rsid w:val="639A3CF5"/>
    <w:rsid w:val="63E40B51"/>
    <w:rsid w:val="64AF4A06"/>
    <w:rsid w:val="64EE0338"/>
    <w:rsid w:val="651C18BA"/>
    <w:rsid w:val="6546EA91"/>
    <w:rsid w:val="65AF178D"/>
    <w:rsid w:val="65EB954B"/>
    <w:rsid w:val="65EC0C78"/>
    <w:rsid w:val="662C315C"/>
    <w:rsid w:val="66342B6E"/>
    <w:rsid w:val="663B46E9"/>
    <w:rsid w:val="664029E2"/>
    <w:rsid w:val="6670B34E"/>
    <w:rsid w:val="6686CE49"/>
    <w:rsid w:val="668C086B"/>
    <w:rsid w:val="6711BF96"/>
    <w:rsid w:val="6794CDDD"/>
    <w:rsid w:val="688ED512"/>
    <w:rsid w:val="68B57538"/>
    <w:rsid w:val="697D787E"/>
    <w:rsid w:val="69D40FC4"/>
    <w:rsid w:val="6A225432"/>
    <w:rsid w:val="6A4E62C0"/>
    <w:rsid w:val="6A4EFF38"/>
    <w:rsid w:val="6A9C6A58"/>
    <w:rsid w:val="6B16D1DC"/>
    <w:rsid w:val="6B1A758B"/>
    <w:rsid w:val="6B242E53"/>
    <w:rsid w:val="6B31EF62"/>
    <w:rsid w:val="6B562A44"/>
    <w:rsid w:val="6B7B2316"/>
    <w:rsid w:val="6B7E3F69"/>
    <w:rsid w:val="6BB38073"/>
    <w:rsid w:val="6BD0AAB8"/>
    <w:rsid w:val="6BDD588D"/>
    <w:rsid w:val="6CC2E3DE"/>
    <w:rsid w:val="6CD44ADC"/>
    <w:rsid w:val="6CDDC1FB"/>
    <w:rsid w:val="6D0FB5D3"/>
    <w:rsid w:val="6DEACE27"/>
    <w:rsid w:val="6E3E5826"/>
    <w:rsid w:val="6E6964A0"/>
    <w:rsid w:val="6EB8EEB4"/>
    <w:rsid w:val="6EECE1A2"/>
    <w:rsid w:val="6F2AF814"/>
    <w:rsid w:val="6F30E811"/>
    <w:rsid w:val="6FB7BE0B"/>
    <w:rsid w:val="700662E0"/>
    <w:rsid w:val="707360F7"/>
    <w:rsid w:val="707E9FCD"/>
    <w:rsid w:val="71381425"/>
    <w:rsid w:val="7177B52A"/>
    <w:rsid w:val="718606AF"/>
    <w:rsid w:val="71AD70F7"/>
    <w:rsid w:val="71C12F3C"/>
    <w:rsid w:val="71D21630"/>
    <w:rsid w:val="71FF9152"/>
    <w:rsid w:val="720A2339"/>
    <w:rsid w:val="7243DBFE"/>
    <w:rsid w:val="7250A5C1"/>
    <w:rsid w:val="726626A5"/>
    <w:rsid w:val="72900607"/>
    <w:rsid w:val="72FD4171"/>
    <w:rsid w:val="73C6BCC7"/>
    <w:rsid w:val="744F0F28"/>
    <w:rsid w:val="74A4E6E0"/>
    <w:rsid w:val="75897B97"/>
    <w:rsid w:val="75A3DFAC"/>
    <w:rsid w:val="764699CD"/>
    <w:rsid w:val="76B9F566"/>
    <w:rsid w:val="76D3F30A"/>
    <w:rsid w:val="76E453DB"/>
    <w:rsid w:val="76E4CB17"/>
    <w:rsid w:val="774B2E05"/>
    <w:rsid w:val="775F7D83"/>
    <w:rsid w:val="777F37E7"/>
    <w:rsid w:val="77D9633B"/>
    <w:rsid w:val="782E1ADB"/>
    <w:rsid w:val="78705C9D"/>
    <w:rsid w:val="78B1113F"/>
    <w:rsid w:val="78BC82C6"/>
    <w:rsid w:val="78F345D3"/>
    <w:rsid w:val="79074E7F"/>
    <w:rsid w:val="7A5086C1"/>
    <w:rsid w:val="7B527500"/>
    <w:rsid w:val="7BD09A80"/>
    <w:rsid w:val="7BD2BF02"/>
    <w:rsid w:val="7C095217"/>
    <w:rsid w:val="7C77857A"/>
    <w:rsid w:val="7C8BCE49"/>
    <w:rsid w:val="7D34C943"/>
    <w:rsid w:val="7D9B7C3A"/>
    <w:rsid w:val="7DABF145"/>
    <w:rsid w:val="7ED1C796"/>
    <w:rsid w:val="7EF00A57"/>
    <w:rsid w:val="7F48992F"/>
    <w:rsid w:val="7F66F971"/>
    <w:rsid w:val="7F884D57"/>
    <w:rsid w:val="7FFF03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60B5E"/>
  <w15:chartTrackingRefBased/>
  <w15:docId w15:val="{5BF5422F-4167-4C81-991B-5199F5479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E029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0B7F61"/>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83B0ACE"/>
    <w:pPr>
      <w:tabs>
        <w:tab w:val="center" w:pos="4680"/>
        <w:tab w:val="right" w:pos="9360"/>
      </w:tabs>
      <w:spacing w:after="0" w:line="240" w:lineRule="auto"/>
    </w:pPr>
  </w:style>
  <w:style w:type="paragraph" w:styleId="Footer">
    <w:name w:val="footer"/>
    <w:basedOn w:val="Normal"/>
    <w:uiPriority w:val="99"/>
    <w:unhideWhenUsed/>
    <w:rsid w:val="383B0AC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EE0291"/>
    <w:rPr>
      <w:rFonts w:asciiTheme="majorHAnsi" w:hAnsiTheme="majorHAnsi" w:eastAsiaTheme="majorEastAsia" w:cstheme="majorBidi"/>
      <w:color w:val="0F4761" w:themeColor="accent1" w:themeShade="BF"/>
      <w:sz w:val="40"/>
      <w:szCs w:val="40"/>
    </w:rPr>
  </w:style>
  <w:style w:type="paragraph" w:styleId="p1" w:customStyle="1">
    <w:name w:val="p1"/>
    <w:basedOn w:val="Normal"/>
    <w:rsid w:val="00EE0291"/>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EE0291"/>
  </w:style>
  <w:style w:type="character" w:styleId="s2" w:customStyle="1">
    <w:name w:val="s2"/>
    <w:basedOn w:val="DefaultParagraphFont"/>
    <w:rsid w:val="00EE0291"/>
  </w:style>
  <w:style w:type="paragraph" w:styleId="p2" w:customStyle="1">
    <w:name w:val="p2"/>
    <w:basedOn w:val="Normal"/>
    <w:rsid w:val="00EE0291"/>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EE0291"/>
  </w:style>
  <w:style w:type="character" w:styleId="s4" w:customStyle="1">
    <w:name w:val="s4"/>
    <w:basedOn w:val="DefaultParagraphFont"/>
    <w:rsid w:val="00EE0291"/>
  </w:style>
  <w:style w:type="character" w:styleId="Heading3Char" w:customStyle="1">
    <w:name w:val="Heading 3 Char"/>
    <w:basedOn w:val="DefaultParagraphFont"/>
    <w:link w:val="Heading3"/>
    <w:uiPriority w:val="9"/>
    <w:rsid w:val="000B7F61"/>
    <w:rPr>
      <w:rFonts w:eastAsiaTheme="majorEastAsia" w:cstheme="majorBidi"/>
      <w:color w:val="0F4761" w:themeColor="accent1" w:themeShade="BF"/>
      <w:sz w:val="28"/>
      <w:szCs w:val="28"/>
    </w:rPr>
  </w:style>
  <w:style w:type="paragraph" w:styleId="p3" w:customStyle="1">
    <w:name w:val="p3"/>
    <w:basedOn w:val="Normal"/>
    <w:rsid w:val="000B7F61"/>
    <w:pPr>
      <w:spacing w:before="100" w:beforeAutospacing="1" w:after="100" w:afterAutospacing="1" w:line="240" w:lineRule="auto"/>
    </w:pPr>
    <w:rPr>
      <w:rFonts w:ascii="Times New Roman" w:hAnsi="Times New Roman" w:cs="Times New Roman"/>
      <w:lang w:eastAsia="en-GB"/>
    </w:rPr>
  </w:style>
  <w:style w:type="character" w:styleId="Hyperlink">
    <w:uiPriority w:val="99"/>
    <w:name w:val="Hyperlink"/>
    <w:basedOn w:val="DefaultParagraphFont"/>
    <w:unhideWhenUsed/>
    <w:rsid w:val="662C315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chatgpt://generic-entity?number=0" TargetMode="External" Id="rId10"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england.nhs.uk/publication/spoken-communication-and-patient-safety-in-the-nhs/?utm_source=chatgpt.com" TargetMode="External" Id="Rc6eaf6f606c84ad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Naeema Iqbal (2309238)</dc:creator>
  <keywords/>
  <dc:description/>
  <lastModifiedBy>Naeema Iqbal (2309238)</lastModifiedBy>
  <revision>29</revision>
  <dcterms:created xsi:type="dcterms:W3CDTF">2026-01-27T19:27:00.0000000Z</dcterms:created>
  <dcterms:modified xsi:type="dcterms:W3CDTF">2026-03-23T16:49:18.1255136Z</dcterms:modified>
</coreProperties>
</file>