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CRISTINEL BALINT </w:t>
        <w:tab/>
      </w:r>
    </w:p>
    <w:p>
      <w:pPr>
        <w:spacing w:before="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auto"/>
          <w:spacing w:val="0"/>
          <w:position w:val="0"/>
          <w:sz w:val="22"/>
          <w:shd w:fill="auto" w:val="clear"/>
        </w:rPr>
        <w:t xml:space="preserve">Student number: 1916887</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PROFESSIONAL CAREER DEVELOPMENT BMSW4005</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4"/>
          <w:shd w:fill="auto" w:val="clear"/>
        </w:rPr>
        <w:t xml:space="preserve">Module lecturer: Mary March</w:t>
      </w: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w:t>
      </w:r>
    </w:p>
    <w:p>
      <w:pPr>
        <w:spacing w:before="0" w:after="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Executive Summary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Aim of present report is to provide a self-reflection report and to develop a personal and professional career development plan on a role-play aimed at identifying skills and skills gaps for becoming an Assistant Quality Manager. In this report, a SWOT analysis has been conducted in Personal-Development Plan based on which a professional career development plan will be prepared. In addition to this, this study focuses on development of professional career. It includes reviewing expectations and understanding of employment world, career aspirations and ambitions and professional career development plan to enable achievement of objectives.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1. Introduction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Assistant Quality Manager is required to have a range of different skills including effective communication skill, proper leadership skill, decision-making skills and many more. Main role of an assistant quality-manager is to follow directives of his supervisor in a proper manner utilising his knowledge and experience. Therefore, as an assistant-quality manager, I need to have that ability to manage various kinds of issues by employing my knowledge and skills in different areas. This critical assessment requires me to provide a reflection on my skills and skill gaps and to prepare a personal-development and professional-career development plan for successful achievement of my goals. </w:t>
      </w:r>
    </w:p>
    <w:p>
      <w:pPr>
        <w:spacing w:before="0" w:after="0" w:line="360"/>
        <w:ind w:right="0" w:left="0" w:firstLine="0"/>
        <w:jc w:val="both"/>
        <w:rPr>
          <w:rFonts w:ascii="Arial" w:hAnsi="Arial" w:cs="Arial" w:eastAsia="Arial"/>
          <w:b/>
          <w:color w:val="000000"/>
          <w:spacing w:val="0"/>
          <w:position w:val="0"/>
          <w:sz w:val="22"/>
          <w:shd w:fill="auto" w:val="clear"/>
        </w:rPr>
      </w:pPr>
      <w:r>
        <w:rPr>
          <w:rFonts w:ascii="Times New Roman" w:hAnsi="Times New Roman" w:cs="Times New Roman" w:eastAsia="Times New Roman"/>
          <w:color w:val="000000"/>
          <w:spacing w:val="0"/>
          <w:position w:val="0"/>
          <w:sz w:val="24"/>
          <w:shd w:fill="auto" w:val="clear"/>
        </w:rPr>
        <w:t xml:space="preserve">Currently, I am at a stage, where I need to brush up my skills and reduce skill gaps so that I can reach my aspirations. I had to develop different skills such as leadership skills and people skills, which helped me in becoming an assistant quality-manager.</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6"/>
          <w:shd w:fill="auto" w:val="clear"/>
        </w:rPr>
        <w:t xml:space="preserve">Role-Play (As interviewer)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along with one of my fellow students, conducted a role-play in which my friend acted as interviewer whereas I played role of interviewee. Few questions have been set that my friend asked me during role-play session so that I can understand whether my personal-ability and skills are linked with my goal of becoming AQM. In this session, he asked me questions regarding skills and ability required for becoming AQM, and my answer included four different skills and ability, which are, Cognitive ability, adaptability, decision-making skills and communication skills; however, I missed out two most critical skills that are leadership skills and people skills. </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 Self-Evaluation Review</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2.1 Learning Styles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come across four different learning styles while exploring my knowledge and skills, which are required for becoming an assistant quality-manager. In this context, VARK model can be effective in explaining these four types of learning styles, and this explanation will help me to properly identify my own learning style.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VARK-Model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VARK model comprises four learning-styles including Aural, Visual, Kinesthetics and Read (Medina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2018). Visual learners tend to utilise maps, diagrams, charts and graphs for processing and interpreting information in a proper way. Aural learners are those who prefer to hear directions and act in accordance with that to process and retain information in their minds. Readers tend to read information and write that information as notes to learn that. Kinesthetic learners want to adopt multi-sensory learning style by using a combination of auditory and visual techniques of study. I have identified that I have all traits of a visual learner as I cannot retain information, which I read on notebooks and until and unless I get into depth of a subject and visualise information that I read, I cannot interpret a specific information.</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object w:dxaOrig="8503" w:dyaOrig="5000">
          <v:rect xmlns:o="urn:schemas-microsoft-com:office:office" xmlns:v="urn:schemas-microsoft-com:vml" id="rectole0000000000" style="width:425.150000pt;height:250.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VARK Model</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Author)</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2.2 Self-Motivations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Self-motivation is a vital element, which drives an individual’s intention to proceed further after going through a tough situation. According to Winkel’s self-motivation theory, self-motivation is one of best motivation techniques or systems as there exists a close relationship between learning activities and requirements met (Nurwendah and Suyanto, 2019). I generally prefer to follow four steps to motivate myself and these are:</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Defining my objectives</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Setting short-term goals</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Identifying reasons behind negative thinking and crush them on spot</w:t>
      </w:r>
    </w:p>
    <w:p>
      <w:pPr>
        <w:numPr>
          <w:ilvl w:val="0"/>
          <w:numId w:val="1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Working towards achieving objectives</w:t>
      </w:r>
    </w:p>
    <w:p>
      <w:pPr>
        <w:spacing w:before="0" w:after="0" w:line="360"/>
        <w:ind w:right="0" w:left="720" w:firstLine="0"/>
        <w:jc w:val="center"/>
        <w:rPr>
          <w:rFonts w:ascii="Times New Roman" w:hAnsi="Times New Roman" w:cs="Times New Roman" w:eastAsia="Times New Roman"/>
          <w:color w:val="000000"/>
          <w:spacing w:val="0"/>
          <w:position w:val="0"/>
          <w:sz w:val="24"/>
          <w:shd w:fill="auto" w:val="clear"/>
        </w:rPr>
      </w:pPr>
      <w:r>
        <w:object w:dxaOrig="7855" w:dyaOrig="4495">
          <v:rect xmlns:o="urn:schemas-microsoft-com:office:office" xmlns:v="urn:schemas-microsoft-com:vml" id="rectole0000000001" style="width:392.750000pt;height:224.7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72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Steps I follow for self-motivation</w:t>
      </w:r>
    </w:p>
    <w:p>
      <w:pPr>
        <w:spacing w:before="0" w:after="0" w:line="360"/>
        <w:ind w:right="0" w:left="72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Author)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My learning for developing my skills required for an assistant-quality manager, has involved all these steps that aided me in bridging my skills gaps through proper learning and learning in each phase has been possible because I have been able to motivate myself properly. </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3. Personal-Development Plan</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3.1 SWOT Analysis</w:t>
      </w:r>
    </w:p>
    <w:tbl>
      <w:tblPr/>
      <w:tblGrid>
        <w:gridCol w:w="4680"/>
        <w:gridCol w:w="4680"/>
      </w:tblGrid>
      <w:tr>
        <w:trPr>
          <w:trHeight w:val="1" w:hRule="atLeast"/>
          <w:jc w:val="left"/>
        </w:trPr>
        <w:tc>
          <w:tcPr>
            <w:tcW w:w="4680" w:type="dxa"/>
            <w:tcBorders>
              <w:top w:val="single" w:color="000000" w:sz="8"/>
              <w:left w:val="single" w:color="000000" w:sz="8"/>
              <w:bottom w:val="single" w:color="000000" w:sz="8"/>
              <w:right w:val="single" w:color="000000" w:sz="8"/>
            </w:tcBorders>
            <w:shd w:color="auto" w:fill="d5a6bd"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Strengths</w:t>
            </w:r>
          </w:p>
        </w:tc>
        <w:tc>
          <w:tcPr>
            <w:tcW w:w="4680" w:type="dxa"/>
            <w:tcBorders>
              <w:top w:val="single" w:color="000000" w:sz="8"/>
              <w:left w:val="single" w:color="000000" w:sz="8"/>
              <w:bottom w:val="single" w:color="000000" w:sz="8"/>
              <w:right w:val="single" w:color="000000" w:sz="8"/>
            </w:tcBorders>
            <w:shd w:color="auto" w:fill="d5a6bd"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Opportunities</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6"/>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Adaptability</w:t>
            </w:r>
          </w:p>
          <w:p>
            <w:pPr>
              <w:spacing w:before="0" w:after="0" w:line="360"/>
              <w:ind w:right="0" w:left="72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found that I have the ability to adapt to different situations while exploring my strengths as a Quality-assistant manager. As cited by Boylan. and Turner (2017), a leader without adaptability is an individual, who does not have ability to modify behaviour and accept changes depending upon different situations. However, one thing that I have identified about myself is that I am capable of adapting to any situation with anyone. </w:t>
            </w:r>
          </w:p>
          <w:p>
            <w:pPr>
              <w:numPr>
                <w:ilvl w:val="0"/>
                <w:numId w:val="28"/>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Responsibility</w:t>
            </w:r>
          </w:p>
          <w:p>
            <w:pPr>
              <w:spacing w:before="0" w:after="0" w:line="360"/>
              <w:ind w:right="0" w:left="72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identified that I have excellent ability to take responsibility of carrying out multiple activities at once, and this will help me to complete all my duties on time as per directives of my supervisor. </w:t>
            </w:r>
          </w:p>
          <w:p>
            <w:pPr>
              <w:spacing w:before="0" w:after="0" w:line="360"/>
              <w:ind w:right="0" w:left="720" w:firstLine="0"/>
              <w:jc w:val="both"/>
              <w:rPr>
                <w:spacing w:val="0"/>
                <w:position w:val="0"/>
              </w:rPr>
            </w:pP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0"/>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Employment readiness in field requiring hard-work</w:t>
            </w:r>
          </w:p>
          <w:p>
            <w:pPr>
              <w:spacing w:before="0" w:after="0" w:line="360"/>
              <w:ind w:right="0" w:left="72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My ability to take responsibilities and my outstanding ability to adapt to different situations will present opportunities in future for me to grab employment opportunities in jobs that require hard work (such as job of AQM) because I can carry out multiple-tasks at once if I am given responsibility. </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d5a6bd"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Weaknesses</w:t>
            </w:r>
          </w:p>
        </w:tc>
        <w:tc>
          <w:tcPr>
            <w:tcW w:w="4680" w:type="dxa"/>
            <w:tcBorders>
              <w:top w:val="single" w:color="000000" w:sz="8"/>
              <w:left w:val="single" w:color="000000" w:sz="8"/>
              <w:bottom w:val="single" w:color="000000" w:sz="8"/>
              <w:right w:val="single" w:color="000000" w:sz="8"/>
            </w:tcBorders>
            <w:shd w:color="auto" w:fill="d5a6bd"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Threats</w:t>
            </w:r>
          </w:p>
        </w:tc>
      </w:tr>
      <w:tr>
        <w:trPr>
          <w:trHeight w:val="1" w:hRule="atLeast"/>
          <w:jc w:val="left"/>
        </w:trPr>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7"/>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Ineffective Leadership-skills</w:t>
            </w:r>
          </w:p>
          <w:p>
            <w:pPr>
              <w:spacing w:before="0" w:after="0" w:line="360"/>
              <w:ind w:right="0" w:left="72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one of my project at college level, I had been given responsibility of leading entire project team; however, I was not able to lead my team properly, which resulted in difficulties. Ineffective leadership leads to ineffective teamwork (Fahlevi </w:t>
            </w:r>
            <w:r>
              <w:rPr>
                <w:rFonts w:ascii="Times New Roman" w:hAnsi="Times New Roman" w:cs="Times New Roman" w:eastAsia="Times New Roman"/>
                <w:i/>
                <w:color w:val="000000"/>
                <w:spacing w:val="0"/>
                <w:position w:val="0"/>
                <w:sz w:val="24"/>
                <w:shd w:fill="auto" w:val="clear"/>
              </w:rPr>
              <w:t xml:space="preserve">tet al. </w:t>
            </w:r>
            <w:r>
              <w:rPr>
                <w:rFonts w:ascii="Times New Roman" w:hAnsi="Times New Roman" w:cs="Times New Roman" w:eastAsia="Times New Roman"/>
                <w:color w:val="000000"/>
                <w:spacing w:val="0"/>
                <w:position w:val="0"/>
                <w:sz w:val="24"/>
                <w:shd w:fill="auto" w:val="clear"/>
              </w:rPr>
              <w:t xml:space="preserve">2019) therefore; I concluded that I should focus on developing my leadership skills. </w:t>
            </w:r>
          </w:p>
          <w:p>
            <w:pPr>
              <w:numPr>
                <w:ilvl w:val="0"/>
                <w:numId w:val="39"/>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Decision-making ability</w:t>
            </w:r>
          </w:p>
          <w:p>
            <w:pPr>
              <w:spacing w:before="0" w:after="0" w:line="360"/>
              <w:ind w:right="0" w:left="72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found that I lack confidence to make proper decisions for which I rely solely upon others to make decisions and it can be because of lack of my analytical or cognitive skills. </w:t>
            </w:r>
          </w:p>
          <w:p>
            <w:pPr>
              <w:spacing w:before="0" w:after="0" w:line="360"/>
              <w:ind w:right="0" w:left="720" w:firstLine="0"/>
              <w:jc w:val="both"/>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spacing w:val="0"/>
                <w:position w:val="0"/>
              </w:rPr>
            </w:pPr>
          </w:p>
        </w:tc>
        <w:tc>
          <w:tcPr>
            <w:tcW w:w="46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2"/>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Failure to reach aspirations</w:t>
            </w:r>
          </w:p>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My ineffective decision-making and leadership ability poses significant threat towards achieving my career objectives because almost all managerial positions including (AQM) require proper decision-making ability.</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1: SWOT</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Author)</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3.2 SMART Objectives</w:t>
      </w:r>
    </w:p>
    <w:tbl>
      <w:tblPr/>
      <w:tblGrid>
        <w:gridCol w:w="2080"/>
        <w:gridCol w:w="7295"/>
      </w:tblGrid>
      <w:tr>
        <w:trPr>
          <w:trHeight w:val="578" w:hRule="auto"/>
          <w:jc w:val="left"/>
        </w:trPr>
        <w:tc>
          <w:tcPr>
            <w:tcW w:w="20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Specific</w:t>
            </w:r>
          </w:p>
        </w:tc>
        <w:tc>
          <w:tcPr>
            <w:tcW w:w="72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develop leadership skills</w:t>
            </w:r>
          </w:p>
          <w:p>
            <w:pPr>
              <w:numPr>
                <w:ilvl w:val="0"/>
                <w:numId w:val="49"/>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To improve decision-making ability</w:t>
            </w:r>
          </w:p>
        </w:tc>
      </w:tr>
      <w:tr>
        <w:trPr>
          <w:trHeight w:val="1" w:hRule="atLeast"/>
          <w:jc w:val="left"/>
        </w:trPr>
        <w:tc>
          <w:tcPr>
            <w:tcW w:w="20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Measurable</w:t>
            </w:r>
          </w:p>
        </w:tc>
        <w:tc>
          <w:tcPr>
            <w:tcW w:w="72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3"/>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need to develop my analytical skills by performing intellectual tasks such as solving different cognitive questions or by taking admission in an institution where cognitive skill is developed and it will help me to make proper decisions (Khorram-Manesh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2016)</w:t>
            </w:r>
          </w:p>
          <w:p>
            <w:pPr>
              <w:numPr>
                <w:ilvl w:val="0"/>
                <w:numId w:val="53"/>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Leadership skills development will require me to develop strategic-thinking skills and active listening by communicating with different people of different backgrounds. I can take help of my friends to develop my listening and strategic thinking skills my taking part in role-play or group-discussion</w:t>
            </w:r>
          </w:p>
        </w:tc>
      </w:tr>
      <w:tr>
        <w:trPr>
          <w:trHeight w:val="608" w:hRule="auto"/>
          <w:jc w:val="left"/>
        </w:trPr>
        <w:tc>
          <w:tcPr>
            <w:tcW w:w="20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Attainable</w:t>
            </w:r>
          </w:p>
        </w:tc>
        <w:tc>
          <w:tcPr>
            <w:tcW w:w="72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57"/>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At least 6 sessions will be required for improving analytical skills and it will be achievable for me beside maintaining my study</w:t>
            </w:r>
          </w:p>
        </w:tc>
      </w:tr>
      <w:tr>
        <w:trPr>
          <w:trHeight w:val="1" w:hRule="atLeast"/>
          <w:jc w:val="left"/>
        </w:trPr>
        <w:tc>
          <w:tcPr>
            <w:tcW w:w="20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Relevant</w:t>
            </w:r>
          </w:p>
        </w:tc>
        <w:tc>
          <w:tcPr>
            <w:tcW w:w="72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61"/>
              </w:numPr>
              <w:spacing w:before="0" w:after="0" w:line="360"/>
              <w:ind w:right="0" w:left="720" w:hanging="360"/>
              <w:jc w:val="both"/>
              <w:rPr>
                <w:spacing w:val="0"/>
                <w:position w:val="0"/>
              </w:rPr>
            </w:pPr>
            <w:r>
              <w:rPr>
                <w:rFonts w:ascii="Times New Roman" w:hAnsi="Times New Roman" w:cs="Times New Roman" w:eastAsia="Times New Roman"/>
                <w:color w:val="000000"/>
                <w:spacing w:val="0"/>
                <w:position w:val="0"/>
                <w:sz w:val="24"/>
                <w:shd w:fill="auto" w:val="clear"/>
              </w:rPr>
              <w:t xml:space="preserve">At this point, it will be relevant for me to improve my analytical skill and strategic-thinking skill to become an assistant-quality-manager.</w:t>
            </w:r>
          </w:p>
        </w:tc>
      </w:tr>
      <w:tr>
        <w:trPr>
          <w:trHeight w:val="1" w:hRule="atLeast"/>
          <w:jc w:val="left"/>
        </w:trPr>
        <w:tc>
          <w:tcPr>
            <w:tcW w:w="208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auto" w:val="clear"/>
              </w:rPr>
              <w:t xml:space="preserve">Time-Bound</w:t>
            </w:r>
          </w:p>
        </w:tc>
        <w:tc>
          <w:tcPr>
            <w:tcW w:w="72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7 to 8 months</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2: SMART Objectives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Author)</w:t>
      </w:r>
    </w:p>
    <w:p>
      <w:pPr>
        <w:keepNext w:val="true"/>
        <w:keepLines w:val="true"/>
        <w:spacing w:before="360" w:after="120" w:line="360"/>
        <w:ind w:right="0" w:left="0" w:firstLine="0"/>
        <w:jc w:val="left"/>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3.3 Johari Window</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Johari-Window refers to a model facilitating an individual to see himself in contexts of others’ perceptions and own perceptions for evaluation of things, which are known or unknown (Adizes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2017). It comprises four quadrants including </w:t>
      </w:r>
    </w:p>
    <w:p>
      <w:pPr>
        <w:numPr>
          <w:ilvl w:val="0"/>
          <w:numId w:val="68"/>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Unseen (Things apparent to other people; however not admitted to me): </w:t>
      </w:r>
      <w:r>
        <w:rPr>
          <w:rFonts w:ascii="Times New Roman" w:hAnsi="Times New Roman" w:cs="Times New Roman" w:eastAsia="Times New Roman"/>
          <w:color w:val="000000"/>
          <w:spacing w:val="0"/>
          <w:position w:val="0"/>
          <w:sz w:val="24"/>
          <w:shd w:fill="auto" w:val="clear"/>
        </w:rPr>
        <w:t xml:space="preserve">Lack of coordination skill</w:t>
      </w:r>
    </w:p>
    <w:p>
      <w:pPr>
        <w:numPr>
          <w:ilvl w:val="0"/>
          <w:numId w:val="68"/>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Hidden (Things I know about me; however, do not want to reveal in front of others): </w:t>
      </w:r>
      <w:r>
        <w:rPr>
          <w:rFonts w:ascii="Times New Roman" w:hAnsi="Times New Roman" w:cs="Times New Roman" w:eastAsia="Times New Roman"/>
          <w:color w:val="000000"/>
          <w:spacing w:val="0"/>
          <w:position w:val="0"/>
          <w:sz w:val="24"/>
          <w:shd w:fill="auto" w:val="clear"/>
        </w:rPr>
        <w:t xml:space="preserve">My quality of managing conflicts</w:t>
      </w:r>
    </w:p>
    <w:p>
      <w:pPr>
        <w:numPr>
          <w:ilvl w:val="0"/>
          <w:numId w:val="68"/>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Open (Things known to me and known by others about me): </w:t>
      </w:r>
      <w:r>
        <w:rPr>
          <w:rFonts w:ascii="Times New Roman" w:hAnsi="Times New Roman" w:cs="Times New Roman" w:eastAsia="Times New Roman"/>
          <w:color w:val="000000"/>
          <w:spacing w:val="0"/>
          <w:position w:val="0"/>
          <w:sz w:val="24"/>
          <w:shd w:fill="auto" w:val="clear"/>
        </w:rPr>
        <w:t xml:space="preserve">Ability to cope with any situation</w:t>
      </w:r>
    </w:p>
    <w:p>
      <w:pPr>
        <w:numPr>
          <w:ilvl w:val="0"/>
          <w:numId w:val="68"/>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Unknown: (Not known to me and not known by others): </w:t>
      </w:r>
      <w:r>
        <w:rPr>
          <w:rFonts w:ascii="Times New Roman" w:hAnsi="Times New Roman" w:cs="Times New Roman" w:eastAsia="Times New Roman"/>
          <w:color w:val="000000"/>
          <w:spacing w:val="0"/>
          <w:position w:val="0"/>
          <w:sz w:val="24"/>
          <w:shd w:fill="auto" w:val="clear"/>
        </w:rPr>
        <w:t xml:space="preserve">Actual ways successful AQM’s follow to develop skills properly</w:t>
      </w:r>
    </w:p>
    <w:p>
      <w:pPr>
        <w:spacing w:before="0" w:after="0" w:line="360"/>
        <w:ind w:right="0" w:left="72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Known to others</w:t>
      </w:r>
    </w:p>
    <w:p>
      <w:pPr>
        <w:spacing w:before="0" w:after="0" w:line="360"/>
        <w:ind w:right="0" w:left="720" w:firstLine="0"/>
        <w:jc w:val="center"/>
        <w:rPr>
          <w:rFonts w:ascii="Times New Roman" w:hAnsi="Times New Roman" w:cs="Times New Roman" w:eastAsia="Times New Roman"/>
          <w:b/>
          <w:color w:val="000000"/>
          <w:spacing w:val="0"/>
          <w:position w:val="0"/>
          <w:sz w:val="24"/>
          <w:shd w:fill="auto" w:val="clear"/>
        </w:rPr>
      </w:pPr>
    </w:p>
    <w:tbl>
      <w:tblPr>
        <w:tblInd w:w="2660" w:type="dxa"/>
      </w:tblPr>
      <w:tblGrid>
        <w:gridCol w:w="2488"/>
        <w:gridCol w:w="2898"/>
      </w:tblGrid>
      <w:tr>
        <w:trPr>
          <w:trHeight w:val="1575" w:hRule="auto"/>
          <w:jc w:val="left"/>
        </w:trPr>
        <w:tc>
          <w:tcPr>
            <w:tcW w:w="24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Known to me</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Open</w:t>
            </w:r>
          </w:p>
          <w:p>
            <w:pPr>
              <w:numPr>
                <w:ilvl w:val="0"/>
                <w:numId w:val="72"/>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Ability to cope with any situation</w:t>
            </w:r>
          </w:p>
          <w:p>
            <w:pPr>
              <w:spacing w:before="0" w:after="0" w:line="360"/>
              <w:ind w:right="0" w:left="0" w:firstLine="0"/>
              <w:jc w:val="left"/>
              <w:rPr>
                <w:spacing w:val="0"/>
                <w:position w:val="0"/>
              </w:rPr>
            </w:pPr>
          </w:p>
        </w:tc>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Unseen</w:t>
            </w:r>
          </w:p>
          <w:p>
            <w:pPr>
              <w:numPr>
                <w:ilvl w:val="0"/>
                <w:numId w:val="75"/>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Lack of coordination skill</w:t>
            </w:r>
          </w:p>
          <w:p>
            <w:pPr>
              <w:spacing w:before="0" w:after="0" w:line="360"/>
              <w:ind w:right="0" w:left="0" w:firstLine="0"/>
              <w:jc w:val="left"/>
              <w:rPr>
                <w:spacing w:val="0"/>
                <w:position w:val="0"/>
              </w:rPr>
            </w:pPr>
          </w:p>
        </w:tc>
      </w:tr>
      <w:tr>
        <w:trPr>
          <w:trHeight w:val="2382" w:hRule="auto"/>
          <w:jc w:val="left"/>
        </w:trPr>
        <w:tc>
          <w:tcPr>
            <w:tcW w:w="24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Hidden</w:t>
            </w:r>
          </w:p>
          <w:p>
            <w:pPr>
              <w:numPr>
                <w:ilvl w:val="0"/>
                <w:numId w:val="80"/>
              </w:numPr>
              <w:spacing w:before="0" w:after="0" w:line="360"/>
              <w:ind w:right="0" w:left="720" w:hanging="360"/>
              <w:jc w:val="left"/>
              <w:rPr>
                <w:spacing w:val="0"/>
                <w:position w:val="0"/>
              </w:rPr>
            </w:pPr>
            <w:r>
              <w:rPr>
                <w:rFonts w:ascii="Times New Roman" w:hAnsi="Times New Roman" w:cs="Times New Roman" w:eastAsia="Times New Roman"/>
                <w:color w:val="000000"/>
                <w:spacing w:val="0"/>
                <w:position w:val="0"/>
                <w:sz w:val="24"/>
                <w:shd w:fill="auto" w:val="clear"/>
              </w:rPr>
              <w:t xml:space="preserve">My quality of managing conflicts</w:t>
            </w:r>
          </w:p>
        </w:tc>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Unknown</w:t>
            </w:r>
          </w:p>
          <w:p>
            <w:pPr>
              <w:numPr>
                <w:ilvl w:val="0"/>
                <w:numId w:val="8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Actual ways successful AQM’s follow to develop skills properly</w:t>
            </w:r>
          </w:p>
          <w:p>
            <w:pPr>
              <w:spacing w:before="0" w:after="0" w:line="360"/>
              <w:ind w:right="0" w:left="0" w:firstLine="0"/>
              <w:jc w:val="left"/>
              <w:rPr>
                <w:spacing w:val="0"/>
                <w:position w:val="0"/>
              </w:rPr>
            </w:pPr>
          </w:p>
        </w:tc>
      </w:tr>
    </w:tbl>
    <w:p>
      <w:pPr>
        <w:spacing w:before="0" w:after="0" w:line="360"/>
        <w:ind w:right="0" w:left="72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 Johari Window</w:t>
      </w:r>
    </w:p>
    <w:p>
      <w:pPr>
        <w:spacing w:before="0" w:after="0" w:line="360"/>
        <w:ind w:right="0" w:left="72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Author)</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4. Reviewing expectations and understandings of employment world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Primary aim for this study is to analyse antecedents of the employment expectations with their influence on joining intent for prospective staff. In addition to this, as stated by </w:t>
      </w:r>
      <w:r>
        <w:rPr>
          <w:rFonts w:ascii="Times New Roman" w:hAnsi="Times New Roman" w:cs="Times New Roman" w:eastAsia="Times New Roman"/>
          <w:color w:val="000000"/>
          <w:spacing w:val="0"/>
          <w:position w:val="0"/>
          <w:sz w:val="24"/>
          <w:shd w:fill="FFFFFF" w:val="clear"/>
        </w:rPr>
        <w:t xml:space="preserve">Savickas (2019)</w:t>
      </w:r>
      <w:r>
        <w:rPr>
          <w:rFonts w:ascii="Times New Roman" w:hAnsi="Times New Roman" w:cs="Times New Roman" w:eastAsia="Times New Roman"/>
          <w:color w:val="000000"/>
          <w:spacing w:val="0"/>
          <w:position w:val="0"/>
          <w:sz w:val="24"/>
          <w:shd w:fill="auto" w:val="clear"/>
        </w:rPr>
        <w:t xml:space="preserve">, this study majorly focuses on major variables that are these antecedents. These are examined by evaluating psychological contract and branding of employer. Thus, findings suggested that both psychological contract and branding of employers carry out with significant effect on employees’ joining intent. Therefore, this can be suggested employers for attracting accurate talent pool to raise intent of joining as well as staying in firm as they serve competitive edge have created that conductive environment.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along with appraisals for standard performance, there are several workplace factors within setting expectations. Social media, company policies, performance, staff knowledge of goods, services, vendor and consumer relations, client, external, internal company image and industry expectations all play part within setting expectations regarding staff.</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opined by </w:t>
      </w:r>
      <w:r>
        <w:rPr>
          <w:rFonts w:ascii="Times New Roman" w:hAnsi="Times New Roman" w:cs="Times New Roman" w:eastAsia="Times New Roman"/>
          <w:color w:val="000000"/>
          <w:spacing w:val="0"/>
          <w:position w:val="0"/>
          <w:sz w:val="24"/>
          <w:shd w:fill="FFFFFF" w:val="clear"/>
        </w:rPr>
        <w:t xml:space="preserve">Lara, Daniel and Chalkley (2020)</w:t>
      </w:r>
      <w:r>
        <w:rPr>
          <w:rFonts w:ascii="Times New Roman" w:hAnsi="Times New Roman" w:cs="Times New Roman" w:eastAsia="Times New Roman"/>
          <w:color w:val="000000"/>
          <w:spacing w:val="0"/>
          <w:position w:val="0"/>
          <w:sz w:val="24"/>
          <w:shd w:fill="auto" w:val="clear"/>
        </w:rPr>
        <w:t xml:space="preserve">, firms opined that each staff needs to expect for maintaining following behaviours within workplace:</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Display respectful, positive attitude</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 with integrity with honesty</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Represent company in responsible manner</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Perform respective jobs to acceptable and reasonable standard</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Maintaining better attendance</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Conducting themselves within professional manner, when off duty</w:t>
      </w:r>
    </w:p>
    <w:p>
      <w:pPr>
        <w:numPr>
          <w:ilvl w:val="0"/>
          <w:numId w:val="8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Following set of procedures with policies, while dealing with issues and problems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Just as there prevails expectations for staff behaviours, employees need to expect some changes and behaviours from respective employers. As explained by </w:t>
      </w:r>
      <w:r>
        <w:rPr>
          <w:rFonts w:ascii="Times New Roman" w:hAnsi="Times New Roman" w:cs="Times New Roman" w:eastAsia="Times New Roman"/>
          <w:color w:val="000000"/>
          <w:spacing w:val="0"/>
          <w:position w:val="0"/>
          <w:sz w:val="24"/>
          <w:shd w:fill="FFFFFF" w:val="clear"/>
        </w:rPr>
        <w:t xml:space="preserve">Craps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auto" w:val="clear"/>
        </w:rPr>
        <w:t xml:space="preserve">(2020), organisations depicted following expectations that are not necessary for staff for having their management, while also needed by law:</w:t>
      </w:r>
    </w:p>
    <w:p>
      <w:pPr>
        <w:numPr>
          <w:ilvl w:val="0"/>
          <w:numId w:val="9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Appropriate leadership, support and training</w:t>
      </w:r>
    </w:p>
    <w:p>
      <w:pPr>
        <w:numPr>
          <w:ilvl w:val="0"/>
          <w:numId w:val="9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Timely and relevant wages payment</w:t>
      </w:r>
    </w:p>
    <w:p>
      <w:pPr>
        <w:numPr>
          <w:ilvl w:val="0"/>
          <w:numId w:val="9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Healthy, safe working environments</w:t>
      </w:r>
    </w:p>
    <w:p>
      <w:pPr>
        <w:numPr>
          <w:ilvl w:val="0"/>
          <w:numId w:val="9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Explanation and complete disclosure of procedures, company policies and job responsibilities</w:t>
      </w:r>
    </w:p>
    <w:p>
      <w:pPr>
        <w:numPr>
          <w:ilvl w:val="0"/>
          <w:numId w:val="9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Daily feedback upon performance ranging from quality assistance manager and supervisors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Additionally, as influenced by </w:t>
      </w:r>
      <w:r>
        <w:rPr>
          <w:rFonts w:ascii="Times New Roman" w:hAnsi="Times New Roman" w:cs="Times New Roman" w:eastAsia="Times New Roman"/>
          <w:color w:val="000000"/>
          <w:spacing w:val="0"/>
          <w:position w:val="0"/>
          <w:sz w:val="24"/>
          <w:shd w:fill="FFFFFF" w:val="clear"/>
        </w:rPr>
        <w:t xml:space="preserve">Van Wart </w:t>
      </w:r>
      <w:r>
        <w:rPr>
          <w:rFonts w:ascii="Times New Roman" w:hAnsi="Times New Roman" w:cs="Times New Roman" w:eastAsia="Times New Roman"/>
          <w:i/>
          <w:color w:val="000000"/>
          <w:spacing w:val="0"/>
          <w:position w:val="0"/>
          <w:sz w:val="24"/>
          <w:shd w:fill="FFFFFF" w:val="clear"/>
        </w:rPr>
        <w:t xml:space="preserve">et al.</w:t>
      </w:r>
      <w:r>
        <w:rPr>
          <w:rFonts w:ascii="Times New Roman" w:hAnsi="Times New Roman" w:cs="Times New Roman" w:eastAsia="Times New Roman"/>
          <w:color w:val="000000"/>
          <w:spacing w:val="0"/>
          <w:position w:val="0"/>
          <w:sz w:val="24"/>
          <w:shd w:fill="auto" w:val="clear"/>
        </w:rPr>
        <w:t xml:space="preserve">(2020), businesses open that this reasonable regarding staff to expect following:</w:t>
      </w:r>
    </w:p>
    <w:p>
      <w:pPr>
        <w:numPr>
          <w:ilvl w:val="0"/>
          <w:numId w:val="9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Access to resources needed by them to perform respective work tasks appropriately and effectively</w:t>
      </w:r>
    </w:p>
    <w:p>
      <w:pPr>
        <w:numPr>
          <w:ilvl w:val="0"/>
          <w:numId w:val="9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Consistent with fair communication and policies’ application, such as conduct, discipline and performance all across team</w:t>
      </w:r>
    </w:p>
    <w:p>
      <w:pPr>
        <w:numPr>
          <w:ilvl w:val="0"/>
          <w:numId w:val="9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Acknowledgement, credit regarding work achievements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Every firm can set some additional expectations regarding their staff and serve more regarding them within return, while this is give-and-take.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case, if employer does expect loyalty varying from their staff, while fails to reciprocate, it can be observed as unprofessional, unfair. As suggested by </w:t>
      </w:r>
      <w:r>
        <w:rPr>
          <w:rFonts w:ascii="Times New Roman" w:hAnsi="Times New Roman" w:cs="Times New Roman" w:eastAsia="Times New Roman"/>
          <w:color w:val="000000"/>
          <w:spacing w:val="0"/>
          <w:position w:val="0"/>
          <w:sz w:val="24"/>
          <w:shd w:fill="FFFFFF" w:val="clear"/>
        </w:rPr>
        <w:t xml:space="preserve">Sobocka-Szczapa (2020)</w:t>
      </w:r>
      <w:r>
        <w:rPr>
          <w:rFonts w:ascii="Times New Roman" w:hAnsi="Times New Roman" w:cs="Times New Roman" w:eastAsia="Times New Roman"/>
          <w:color w:val="000000"/>
          <w:spacing w:val="0"/>
          <w:position w:val="0"/>
          <w:sz w:val="24"/>
          <w:shd w:fill="auto" w:val="clear"/>
        </w:rPr>
        <w:t xml:space="preserve">, it deals with staff expectations that depicts staff need to be assessed as fairly, responsible and objectively.</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5. Career aspirations and ambitions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Most interviewers can ask questions to job candidates about respective career aspirations. It also leads to understanding career aspirations of quality assistance manager, who has been capable of associating them towards every position they apply for and can support their chances for being recruited. Furthermore, as observed by </w:t>
      </w:r>
      <w:r>
        <w:rPr>
          <w:rFonts w:ascii="Times New Roman" w:hAnsi="Times New Roman" w:cs="Times New Roman" w:eastAsia="Times New Roman"/>
          <w:color w:val="000000"/>
          <w:spacing w:val="0"/>
          <w:position w:val="0"/>
          <w:sz w:val="24"/>
          <w:shd w:fill="FFFFFF" w:val="clear"/>
        </w:rPr>
        <w:t xml:space="preserve">Bridgstock (2019)</w:t>
      </w:r>
      <w:r>
        <w:rPr>
          <w:rFonts w:ascii="Times New Roman" w:hAnsi="Times New Roman" w:cs="Times New Roman" w:eastAsia="Times New Roman"/>
          <w:color w:val="000000"/>
          <w:spacing w:val="0"/>
          <w:position w:val="0"/>
          <w:sz w:val="24"/>
          <w:shd w:fill="auto" w:val="clear"/>
        </w:rPr>
        <w:t xml:space="preserve">, while preparing for interview, quality assistance managers need to consider that how they can answer such common questions regarding their future goals.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Employers do ask for career aspirations of quality assistance managers as way to observe that how well their goals align along with theirs. Besides, they are willing to get concept regarding how committed they can be to their job with how long they plan upon staying with organisation. However, they also are willing to observe, if position they are applying regarding creating sense for their ideal career. Moreover, questions about career aspirations of quality assistance managers can support employers to understand their motivations than benefits, salary.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Quality assistance manager establishes respective career aspirations depending on their ideal lifestyle, personal values and talents with other factors. As analysed by </w:t>
      </w:r>
      <w:r>
        <w:rPr>
          <w:rFonts w:ascii="Times New Roman" w:hAnsi="Times New Roman" w:cs="Times New Roman" w:eastAsia="Times New Roman"/>
          <w:color w:val="000000"/>
          <w:spacing w:val="0"/>
          <w:position w:val="0"/>
          <w:sz w:val="24"/>
          <w:shd w:fill="FFFFFF" w:val="clear"/>
        </w:rPr>
        <w:t xml:space="preserve">Marino, Rivero and Dabos (2019)</w:t>
      </w:r>
      <w:r>
        <w:rPr>
          <w:rFonts w:ascii="Times New Roman" w:hAnsi="Times New Roman" w:cs="Times New Roman" w:eastAsia="Times New Roman"/>
          <w:color w:val="000000"/>
          <w:spacing w:val="0"/>
          <w:position w:val="0"/>
          <w:sz w:val="24"/>
          <w:shd w:fill="auto" w:val="clear"/>
        </w:rPr>
        <w:t xml:space="preserve">, they also consider their interests with values, when ideas of brainstorming for their response towards questions about their goals. Their career aspirations get impacted through whichever factors have been most vital to them. Certain instances regarding career aspirations are as follows:</w:t>
      </w:r>
    </w:p>
    <w:p>
      <w:pPr>
        <w:numPr>
          <w:ilvl w:val="0"/>
          <w:numId w:val="96"/>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Executive positions</w:t>
      </w:r>
    </w:p>
    <w:p>
      <w:pPr>
        <w:numPr>
          <w:ilvl w:val="0"/>
          <w:numId w:val="96"/>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Becoming expert</w:t>
      </w:r>
    </w:p>
    <w:p>
      <w:pPr>
        <w:numPr>
          <w:ilvl w:val="0"/>
          <w:numId w:val="96"/>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Managerial success</w:t>
      </w:r>
    </w:p>
    <w:p>
      <w:pPr>
        <w:numPr>
          <w:ilvl w:val="0"/>
          <w:numId w:val="96"/>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Owning business</w:t>
      </w:r>
    </w:p>
    <w:p>
      <w:pPr>
        <w:numPr>
          <w:ilvl w:val="0"/>
          <w:numId w:val="96"/>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Earning prestige, acclaim</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6. Professional career development plan to enable achievement of objective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Like quality, assistance managers and employees need to set work and goals of personal professionalism towards them, though they also need to promote establishment of staff and look regarding ways to enhance their skills of team. As argued by </w:t>
      </w:r>
      <w:r>
        <w:rPr>
          <w:rFonts w:ascii="Times New Roman" w:hAnsi="Times New Roman" w:cs="Times New Roman" w:eastAsia="Times New Roman"/>
          <w:color w:val="000000"/>
          <w:spacing w:val="0"/>
          <w:position w:val="0"/>
          <w:sz w:val="24"/>
          <w:shd w:fill="FFFFFF" w:val="clear"/>
        </w:rPr>
        <w:t xml:space="preserve">Burceva (2020)</w:t>
      </w:r>
      <w:r>
        <w:rPr>
          <w:rFonts w:ascii="Times New Roman" w:hAnsi="Times New Roman" w:cs="Times New Roman" w:eastAsia="Times New Roman"/>
          <w:color w:val="000000"/>
          <w:spacing w:val="0"/>
          <w:position w:val="0"/>
          <w:sz w:val="24"/>
          <w:shd w:fill="auto" w:val="clear"/>
        </w:rPr>
        <w:t xml:space="preserve">, quality assistance managers only are better as those, which are employed by them by offering chances for staff to enhance is crucial to success of business.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other hand, various developmental pursuits for quality assistance managers is acquisition for skills associated with managing, like enhancing ability of conflict management, teamwork and communication. This also can be supportive for overall team for attending through activities of personality assessment as this permits both employees and quality assistance managers to learn for dynamics of group.</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keepNext w:val="true"/>
        <w:keepLines w:val="true"/>
        <w:spacing w:before="400" w:after="12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Books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Lara, L.I., Daniel, L. and Chalkley, R. eds., 2020. </w:t>
      </w:r>
      <w:r>
        <w:rPr>
          <w:rFonts w:ascii="Times New Roman" w:hAnsi="Times New Roman" w:cs="Times New Roman" w:eastAsia="Times New Roman"/>
          <w:i/>
          <w:color w:val="000000"/>
          <w:spacing w:val="0"/>
          <w:position w:val="0"/>
          <w:sz w:val="24"/>
          <w:shd w:fill="FFFFFF" w:val="clear"/>
        </w:rPr>
        <w:t xml:space="preserve">BEST: Implementing career development activities for biomedical research trainees</w:t>
      </w:r>
      <w:r>
        <w:rPr>
          <w:rFonts w:ascii="Times New Roman" w:hAnsi="Times New Roman" w:cs="Times New Roman" w:eastAsia="Times New Roman"/>
          <w:color w:val="000000"/>
          <w:spacing w:val="0"/>
          <w:position w:val="0"/>
          <w:sz w:val="24"/>
          <w:shd w:fill="FFFFFF" w:val="clear"/>
        </w:rPr>
        <w:t xml:space="preserve">. Cambridge: Academic Press.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Savickas, M., 2019. </w:t>
      </w:r>
      <w:r>
        <w:rPr>
          <w:rFonts w:ascii="Times New Roman" w:hAnsi="Times New Roman" w:cs="Times New Roman" w:eastAsia="Times New Roman"/>
          <w:i/>
          <w:color w:val="000000"/>
          <w:spacing w:val="0"/>
          <w:position w:val="0"/>
          <w:sz w:val="24"/>
          <w:shd w:fill="FFFFFF" w:val="clear"/>
        </w:rPr>
        <w:t xml:space="preserve">Career counseling</w:t>
      </w:r>
      <w:r>
        <w:rPr>
          <w:rFonts w:ascii="Times New Roman" w:hAnsi="Times New Roman" w:cs="Times New Roman" w:eastAsia="Times New Roman"/>
          <w:color w:val="000000"/>
          <w:spacing w:val="0"/>
          <w:position w:val="0"/>
          <w:sz w:val="24"/>
          <w:shd w:fill="FFFFFF" w:val="clear"/>
        </w:rPr>
        <w:t xml:space="preserve"> (pp. xvi-194). Washington, DC: American Psychological Association.</w:t>
      </w:r>
    </w:p>
    <w:p>
      <w:pPr>
        <w:spacing w:before="0" w:after="0" w:line="360"/>
        <w:ind w:right="0" w:left="0" w:firstLine="0"/>
        <w:jc w:val="both"/>
        <w:rPr>
          <w:rFonts w:ascii="Arial" w:hAnsi="Arial" w:cs="Arial" w:eastAsia="Arial"/>
          <w:b/>
          <w:i/>
          <w:color w:val="000000"/>
          <w:spacing w:val="0"/>
          <w:position w:val="0"/>
          <w:sz w:val="24"/>
          <w:shd w:fill="auto" w:val="clear"/>
        </w:rPr>
      </w:pPr>
      <w:r>
        <w:rPr>
          <w:rFonts w:ascii="Arial" w:hAnsi="Arial" w:cs="Arial" w:eastAsia="Arial"/>
          <w:b/>
          <w:i/>
          <w:color w:val="000000"/>
          <w:spacing w:val="0"/>
          <w:position w:val="0"/>
          <w:sz w:val="24"/>
          <w:shd w:fill="auto" w:val="clear"/>
        </w:rPr>
        <w:t xml:space="preserve">Journals</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Medina, A.M., García, F.J.C. and Olguín, J.A.M., 2018. Planning and allocation of digital learning objects with augmented reality to higher education students according to the VARK model. </w:t>
      </w:r>
      <w:r>
        <w:rPr>
          <w:rFonts w:ascii="Arial" w:hAnsi="Arial" w:cs="Arial" w:eastAsia="Arial"/>
          <w:i/>
          <w:color w:val="000000"/>
          <w:spacing w:val="0"/>
          <w:position w:val="0"/>
          <w:sz w:val="24"/>
          <w:shd w:fill="FFFFFF" w:val="clear"/>
        </w:rPr>
        <w:t xml:space="preserve">IJIMAI</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5</w:t>
      </w:r>
      <w:r>
        <w:rPr>
          <w:rFonts w:ascii="Arial" w:hAnsi="Arial" w:cs="Arial" w:eastAsia="Arial"/>
          <w:color w:val="000000"/>
          <w:spacing w:val="0"/>
          <w:position w:val="0"/>
          <w:sz w:val="24"/>
          <w:shd w:fill="FFFFFF" w:val="clear"/>
        </w:rPr>
        <w:t xml:space="preserve">(2), pp.53-57.’</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Boylan, S.A. and Turner, K.A., 2017. Developing organisational adaptability for complex environment. </w:t>
      </w:r>
      <w:r>
        <w:rPr>
          <w:rFonts w:ascii="Arial" w:hAnsi="Arial" w:cs="Arial" w:eastAsia="Arial"/>
          <w:i/>
          <w:color w:val="000000"/>
          <w:spacing w:val="0"/>
          <w:position w:val="0"/>
          <w:sz w:val="24"/>
          <w:shd w:fill="FFFFFF" w:val="clear"/>
        </w:rPr>
        <w:t xml:space="preserve">Journal of Leadership Education</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16</w:t>
      </w:r>
      <w:r>
        <w:rPr>
          <w:rFonts w:ascii="Arial" w:hAnsi="Arial" w:cs="Arial" w:eastAsia="Arial"/>
          <w:color w:val="000000"/>
          <w:spacing w:val="0"/>
          <w:position w:val="0"/>
          <w:sz w:val="24"/>
          <w:shd w:fill="FFFFFF" w:val="clear"/>
        </w:rPr>
        <w:t xml:space="preserve">(2), pp.183-198.</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Fahlevi, M., Zuhri, S., Parashakti, R. and Ekhsan, M., 2019. Leadership Styles Of Food Truck Businesses. </w:t>
      </w:r>
      <w:r>
        <w:rPr>
          <w:rFonts w:ascii="Arial" w:hAnsi="Arial" w:cs="Arial" w:eastAsia="Arial"/>
          <w:i/>
          <w:color w:val="000000"/>
          <w:spacing w:val="0"/>
          <w:position w:val="0"/>
          <w:sz w:val="24"/>
          <w:shd w:fill="FFFFFF" w:val="clear"/>
        </w:rPr>
        <w:t xml:space="preserve">Journal of Research in Business, Economics and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13</w:t>
      </w:r>
      <w:r>
        <w:rPr>
          <w:rFonts w:ascii="Arial" w:hAnsi="Arial" w:cs="Arial" w:eastAsia="Arial"/>
          <w:color w:val="000000"/>
          <w:spacing w:val="0"/>
          <w:position w:val="0"/>
          <w:sz w:val="24"/>
          <w:shd w:fill="FFFFFF" w:val="clear"/>
        </w:rPr>
        <w:t xml:space="preserve">(2), pp.2437-2442.</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Khorram-Manesh, A., Berlin, J. and Carlström, E., 2016. Two validated ways of improving the ability of decision-making in emergencies; Results from a literature review. </w:t>
      </w:r>
      <w:r>
        <w:rPr>
          <w:rFonts w:ascii="Arial" w:hAnsi="Arial" w:cs="Arial" w:eastAsia="Arial"/>
          <w:i/>
          <w:color w:val="000000"/>
          <w:spacing w:val="0"/>
          <w:position w:val="0"/>
          <w:sz w:val="24"/>
          <w:shd w:fill="FFFFFF" w:val="clear"/>
        </w:rPr>
        <w:t xml:space="preserve">Bulletin of Emergency &amp; Trauma</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4</w:t>
      </w:r>
      <w:r>
        <w:rPr>
          <w:rFonts w:ascii="Arial" w:hAnsi="Arial" w:cs="Arial" w:eastAsia="Arial"/>
          <w:color w:val="000000"/>
          <w:spacing w:val="0"/>
          <w:position w:val="0"/>
          <w:sz w:val="24"/>
          <w:shd w:fill="FFFFFF" w:val="clear"/>
        </w:rPr>
        <w:t xml:space="preserve">(4), p.186.</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Adizes, I., Cudanov, M. and Rodic, D., 2017. Timing of Proactive Organizational Consulting: Difference between Organizational Perception and Behaviour. </w:t>
      </w:r>
      <w:r>
        <w:rPr>
          <w:rFonts w:ascii="Arial" w:hAnsi="Arial" w:cs="Arial" w:eastAsia="Arial"/>
          <w:i/>
          <w:color w:val="000000"/>
          <w:spacing w:val="0"/>
          <w:position w:val="0"/>
          <w:sz w:val="24"/>
          <w:shd w:fill="FFFFFF" w:val="clear"/>
        </w:rPr>
        <w:t xml:space="preserve">Amfiteatru Economic</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19</w:t>
      </w:r>
      <w:r>
        <w:rPr>
          <w:rFonts w:ascii="Arial" w:hAnsi="Arial" w:cs="Arial" w:eastAsia="Arial"/>
          <w:color w:val="000000"/>
          <w:spacing w:val="0"/>
          <w:position w:val="0"/>
          <w:sz w:val="24"/>
          <w:shd w:fill="FFFFFF" w:val="clear"/>
        </w:rPr>
        <w:t xml:space="preserve">(44), p.232.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Bridgstock, R., 2019. Employability and career development learning through social media: Exploring the potential of LinkedIn. In </w:t>
      </w:r>
      <w:r>
        <w:rPr>
          <w:rFonts w:ascii="Times New Roman" w:hAnsi="Times New Roman" w:cs="Times New Roman" w:eastAsia="Times New Roman"/>
          <w:i/>
          <w:color w:val="000000"/>
          <w:spacing w:val="0"/>
          <w:position w:val="0"/>
          <w:sz w:val="24"/>
          <w:shd w:fill="FFFFFF" w:val="clear"/>
        </w:rPr>
        <w:t xml:space="preserve">Challenging future practice possibilities</w:t>
      </w:r>
      <w:r>
        <w:rPr>
          <w:rFonts w:ascii="Times New Roman" w:hAnsi="Times New Roman" w:cs="Times New Roman" w:eastAsia="Times New Roman"/>
          <w:color w:val="000000"/>
          <w:spacing w:val="0"/>
          <w:position w:val="0"/>
          <w:sz w:val="24"/>
          <w:shd w:fill="FFFFFF" w:val="clear"/>
        </w:rPr>
        <w:t xml:space="preserve">, pp. 143-152.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Burceva, R., 2020. Supervision for School Career Counsellors: Supervisors’ Opinion. </w:t>
      </w:r>
      <w:r>
        <w:rPr>
          <w:rFonts w:ascii="Times New Roman" w:hAnsi="Times New Roman" w:cs="Times New Roman" w:eastAsia="Times New Roman"/>
          <w:i/>
          <w:color w:val="000000"/>
          <w:spacing w:val="0"/>
          <w:position w:val="0"/>
          <w:sz w:val="24"/>
          <w:shd w:fill="FFFFFF" w:val="clear"/>
        </w:rPr>
        <w:t xml:space="preserve">Rural Environment.Education.Personality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13</w:t>
      </w:r>
      <w:r>
        <w:rPr>
          <w:rFonts w:ascii="Times New Roman" w:hAnsi="Times New Roman" w:cs="Times New Roman" w:eastAsia="Times New Roman"/>
          <w:color w:val="000000"/>
          <w:spacing w:val="0"/>
          <w:position w:val="0"/>
          <w:sz w:val="24"/>
          <w:shd w:fill="FFFFFF" w:val="clear"/>
        </w:rPr>
        <w:t xml:space="preserve">, pp.379-384.</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Craps, S., Pinxten, M., Knipprath, H. and Langie, G., 2020.Exploring professional roles for early career engineers: a systematic literature review. </w:t>
      </w:r>
      <w:r>
        <w:rPr>
          <w:rFonts w:ascii="Times New Roman" w:hAnsi="Times New Roman" w:cs="Times New Roman" w:eastAsia="Times New Roman"/>
          <w:i/>
          <w:color w:val="000000"/>
          <w:spacing w:val="0"/>
          <w:position w:val="0"/>
          <w:sz w:val="24"/>
          <w:shd w:fill="FFFFFF" w:val="clear"/>
        </w:rPr>
        <w:t xml:space="preserve">European Journal of Engineering Education</w:t>
      </w:r>
      <w:r>
        <w:rPr>
          <w:rFonts w:ascii="Times New Roman" w:hAnsi="Times New Roman" w:cs="Times New Roman" w:eastAsia="Times New Roman"/>
          <w:color w:val="000000"/>
          <w:spacing w:val="0"/>
          <w:position w:val="0"/>
          <w:sz w:val="24"/>
          <w:shd w:fill="FFFFFF" w:val="clear"/>
        </w:rPr>
        <w:t xml:space="preserve">, pp.1-21.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Marino, J., Rivero, A.G. and Dabos, G.E., 2019. MBAs and career development: a literature review from the human capital perspective. </w:t>
      </w:r>
      <w:r>
        <w:rPr>
          <w:rFonts w:ascii="Times New Roman" w:hAnsi="Times New Roman" w:cs="Times New Roman" w:eastAsia="Times New Roman"/>
          <w:i/>
          <w:color w:val="000000"/>
          <w:spacing w:val="0"/>
          <w:position w:val="0"/>
          <w:sz w:val="24"/>
          <w:shd w:fill="FFFFFF" w:val="clear"/>
        </w:rPr>
        <w:t xml:space="preserve">Cuadernos de Administración (Universidad del Valle)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35</w:t>
      </w:r>
      <w:r>
        <w:rPr>
          <w:rFonts w:ascii="Times New Roman" w:hAnsi="Times New Roman" w:cs="Times New Roman" w:eastAsia="Times New Roman"/>
          <w:color w:val="000000"/>
          <w:spacing w:val="0"/>
          <w:position w:val="0"/>
          <w:sz w:val="24"/>
          <w:shd w:fill="FFFFFF" w:val="clear"/>
        </w:rPr>
        <w:t xml:space="preserve">(64), pp.110-127.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Sobocka-Szczapa, H.H., 2020.Instruments to Support Lifelong Learning–the Context of an Employee’s Career Development. </w:t>
      </w:r>
      <w:r>
        <w:rPr>
          <w:rFonts w:ascii="Times New Roman" w:hAnsi="Times New Roman" w:cs="Times New Roman" w:eastAsia="Times New Roman"/>
          <w:i/>
          <w:color w:val="000000"/>
          <w:spacing w:val="0"/>
          <w:position w:val="0"/>
          <w:sz w:val="24"/>
          <w:shd w:fill="FFFFFF" w:val="clear"/>
        </w:rPr>
        <w:t xml:space="preserve">Folia OeconomicaStetinensia</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20</w:t>
      </w:r>
      <w:r>
        <w:rPr>
          <w:rFonts w:ascii="Times New Roman" w:hAnsi="Times New Roman" w:cs="Times New Roman" w:eastAsia="Times New Roman"/>
          <w:color w:val="000000"/>
          <w:spacing w:val="0"/>
          <w:position w:val="0"/>
          <w:sz w:val="24"/>
          <w:shd w:fill="FFFFFF" w:val="clear"/>
        </w:rPr>
        <w:t xml:space="preserve">(1), pp.373-389.</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Van Wart, A., O'Brien, T.C., Varvayanis, S., Alder, J., Greenier, J., Layton, R.L., Stayart, C.A., Wefes, I. and Brady, A.E., 2020.Applying Experiential Learning to Career Development Training for Biomedical Graduate Students and Postdocs: Perspectives on Program Development and Design. </w:t>
      </w:r>
      <w:r>
        <w:rPr>
          <w:rFonts w:ascii="Times New Roman" w:hAnsi="Times New Roman" w:cs="Times New Roman" w:eastAsia="Times New Roman"/>
          <w:i/>
          <w:color w:val="000000"/>
          <w:spacing w:val="0"/>
          <w:position w:val="0"/>
          <w:sz w:val="24"/>
          <w:shd w:fill="FFFFFF" w:val="clear"/>
        </w:rPr>
        <w:t xml:space="preserve">CBE—Life Sciences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19</w:t>
      </w:r>
      <w:r>
        <w:rPr>
          <w:rFonts w:ascii="Times New Roman" w:hAnsi="Times New Roman" w:cs="Times New Roman" w:eastAsia="Times New Roman"/>
          <w:color w:val="000000"/>
          <w:spacing w:val="0"/>
          <w:position w:val="0"/>
          <w:sz w:val="24"/>
          <w:shd w:fill="FFFFFF" w:val="clear"/>
        </w:rPr>
        <w:t xml:space="preserve">(3), p.es7.</w:t>
      </w:r>
    </w:p>
    <w:p>
      <w:pPr>
        <w:spacing w:before="0" w:after="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Nurwendah, W. and Suyanto, S., 2019, June. Relationship among self-motivation, self-efficacy and achievement of high school student in biology. In </w:t>
      </w:r>
      <w:r>
        <w:rPr>
          <w:rFonts w:ascii="Arial" w:hAnsi="Arial" w:cs="Arial" w:eastAsia="Arial"/>
          <w:i/>
          <w:color w:val="000000"/>
          <w:spacing w:val="0"/>
          <w:position w:val="0"/>
          <w:sz w:val="24"/>
          <w:shd w:fill="FFFFFF" w:val="clear"/>
        </w:rPr>
        <w:t xml:space="preserve">Journal of Physics: Conference Series</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1233</w:t>
      </w:r>
      <w:r>
        <w:rPr>
          <w:rFonts w:ascii="Arial" w:hAnsi="Arial" w:cs="Arial" w:eastAsia="Arial"/>
          <w:color w:val="000000"/>
          <w:spacing w:val="0"/>
          <w:position w:val="0"/>
          <w:sz w:val="24"/>
          <w:shd w:fill="FFFFFF" w:val="clear"/>
        </w:rPr>
        <w:t xml:space="preserve"> (1), p. 012009.</w:t>
      </w:r>
    </w:p>
    <w:p>
      <w:pPr>
        <w:spacing w:before="0" w:after="0" w:line="360"/>
        <w:ind w:right="0" w:left="0" w:firstLine="0"/>
        <w:jc w:val="both"/>
        <w:rPr>
          <w:rFonts w:ascii="Arial" w:hAnsi="Arial" w:cs="Arial" w:eastAsia="Arial"/>
          <w:color w:val="000000"/>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num w:numId="17">
    <w:abstractNumId w:val="114"/>
  </w:num>
  <w:num w:numId="26">
    <w:abstractNumId w:val="108"/>
  </w:num>
  <w:num w:numId="28">
    <w:abstractNumId w:val="102"/>
  </w:num>
  <w:num w:numId="30">
    <w:abstractNumId w:val="96"/>
  </w:num>
  <w:num w:numId="37">
    <w:abstractNumId w:val="90"/>
  </w:num>
  <w:num w:numId="39">
    <w:abstractNumId w:val="84"/>
  </w:num>
  <w:num w:numId="42">
    <w:abstractNumId w:val="78"/>
  </w:num>
  <w:num w:numId="49">
    <w:abstractNumId w:val="72"/>
  </w:num>
  <w:num w:numId="53">
    <w:abstractNumId w:val="66"/>
  </w:num>
  <w:num w:numId="57">
    <w:abstractNumId w:val="60"/>
  </w:num>
  <w:num w:numId="61">
    <w:abstractNumId w:val="54"/>
  </w:num>
  <w:num w:numId="68">
    <w:abstractNumId w:val="48"/>
  </w:num>
  <w:num w:numId="72">
    <w:abstractNumId w:val="42"/>
  </w:num>
  <w:num w:numId="75">
    <w:abstractNumId w:val="36"/>
  </w:num>
  <w:num w:numId="80">
    <w:abstractNumId w:val="30"/>
  </w:num>
  <w:num w:numId="82">
    <w:abstractNumId w:val="24"/>
  </w:num>
  <w:num w:numId="88">
    <w:abstractNumId w:val="18"/>
  </w:num>
  <w:num w:numId="90">
    <w:abstractNumId w:val="12"/>
  </w:num>
  <w:num w:numId="92">
    <w:abstractNumId w:val="6"/>
  </w:num>
  <w:num w:numId="96">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0.wmf" Id="docRId1" Type="http://schemas.openxmlformats.org/officeDocument/2006/relationships/image"/><Relationship Target="media/image1.wmf" Id="docRId3" Type="http://schemas.openxmlformats.org/officeDocument/2006/relationships/image"/><Relationship Target="styles.xml" Id="docRId5" Type="http://schemas.openxmlformats.org/officeDocument/2006/relationships/styles"/><Relationship Target="embeddings/oleObject0.bin" Id="docRId0" Type="http://schemas.openxmlformats.org/officeDocument/2006/relationships/oleObject"/><Relationship Target="embeddings/oleObject1.bin" Id="docRId2" Type="http://schemas.openxmlformats.org/officeDocument/2006/relationships/oleObject"/><Relationship Target="numbering.xml" Id="docRId4" Type="http://schemas.openxmlformats.org/officeDocument/2006/relationships/numbering"/></Relationships>
</file>