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CBCA6" w14:textId="28007670" w:rsidR="00EF47BC" w:rsidRDefault="00EF47BC" w:rsidP="00EF47BC">
      <w:r>
        <w:t xml:space="preserve">The significance of death during the neolithic period and whether any meaning can be inferred from burial. </w:t>
      </w:r>
    </w:p>
    <w:p w14:paraId="37A934DC" w14:textId="5D25A11B" w:rsidR="00816DD6" w:rsidRDefault="00EF47BC">
      <w:r>
        <w:t>‘</w:t>
      </w:r>
      <w:r w:rsidRPr="00EF47BC">
        <w:t>Death, as the Psalmist saith, is certain to all, all shall die</w:t>
      </w:r>
      <w:r>
        <w:t>’</w:t>
      </w:r>
      <w:r>
        <w:rPr>
          <w:rStyle w:val="FootnoteReference"/>
        </w:rPr>
        <w:footnoteReference w:id="1"/>
      </w:r>
      <w:r>
        <w:t xml:space="preserve"> </w:t>
      </w:r>
      <w:r w:rsidRPr="00EF47BC">
        <w:t>. William Shakespeare</w:t>
      </w:r>
      <w:r>
        <w:t xml:space="preserve">. </w:t>
      </w:r>
      <w:r w:rsidR="005370E6">
        <w:t xml:space="preserve">Death is </w:t>
      </w:r>
      <w:r w:rsidR="00C138B3">
        <w:t>something that has</w:t>
      </w:r>
      <w:r w:rsidR="008E3A7B">
        <w:t xml:space="preserve"> formed</w:t>
      </w:r>
      <w:r w:rsidR="00C138B3">
        <w:t xml:space="preserve"> b</w:t>
      </w:r>
      <w:r w:rsidR="008E3A7B">
        <w:t>eing</w:t>
      </w:r>
      <w:r w:rsidR="002F1B67">
        <w:t xml:space="preserve"> human</w:t>
      </w:r>
      <w:r w:rsidR="00F575FF">
        <w:t xml:space="preserve"> from the very beginning</w:t>
      </w:r>
      <w:r w:rsidR="002F1B67">
        <w:t xml:space="preserve">. </w:t>
      </w:r>
      <w:r w:rsidR="008E3A7B">
        <w:t>It is the one thing that is certain in life</w:t>
      </w:r>
      <w:r w:rsidR="007D3B2A">
        <w:t xml:space="preserve">, what is not certain however is what happens after. </w:t>
      </w:r>
      <w:r w:rsidR="002F1B67">
        <w:t>Whilst h</w:t>
      </w:r>
      <w:r w:rsidR="00816DD6">
        <w:t xml:space="preserve">uman civilisation has evolved in many ways over thousands of years. A glimpse into the past of how life used to be can be observed through archaeological findings. As it is discovered how society would have been structured, </w:t>
      </w:r>
      <w:r w:rsidR="002F1B67">
        <w:t xml:space="preserve">the homes people built, </w:t>
      </w:r>
      <w:r w:rsidR="00020062">
        <w:t xml:space="preserve">where they choose to settle, </w:t>
      </w:r>
      <w:r w:rsidR="002F1B67">
        <w:t xml:space="preserve">the </w:t>
      </w:r>
      <w:r w:rsidR="00816DD6">
        <w:t>tools they would have used and farming methods.</w:t>
      </w:r>
      <w:r w:rsidR="0059752F">
        <w:t xml:space="preserve"> A picture of what life would have been like can be formed.</w:t>
      </w:r>
      <w:r w:rsidR="00816DD6">
        <w:t xml:space="preserve"> What then can be said of how humans during the neolithic period would have viewed death.</w:t>
      </w:r>
      <w:r w:rsidR="000E02F4">
        <w:t xml:space="preserve"> What structures and effort </w:t>
      </w:r>
      <w:r w:rsidR="00923A1D">
        <w:t>were</w:t>
      </w:r>
      <w:r w:rsidR="000E02F4">
        <w:t xml:space="preserve"> put into preparation for </w:t>
      </w:r>
      <w:r w:rsidR="00923A1D">
        <w:t>someone’s</w:t>
      </w:r>
      <w:r w:rsidR="000E02F4">
        <w:t xml:space="preserve"> eternal resting place. </w:t>
      </w:r>
      <w:r w:rsidR="00816DD6">
        <w:t xml:space="preserve"> </w:t>
      </w:r>
    </w:p>
    <w:p w14:paraId="65104BC9" w14:textId="43891098" w:rsidR="002240C1" w:rsidRDefault="00E270D1">
      <w:r>
        <w:t>The act of building a structure for the dead to be placed may be considered as necessary to prevent disease or illness for the community as the body decomposes. This however appears to be debunked as an idea from studying the sites. For instance, at the site of Wayland smithy in Oxfordshire it is evident from excavation that the site was built, adapted, and continued to be adapted over centuries</w:t>
      </w:r>
      <w:r>
        <w:rPr>
          <w:rStyle w:val="FootnoteReference"/>
        </w:rPr>
        <w:footnoteReference w:id="2"/>
      </w:r>
      <w:r>
        <w:t xml:space="preserve">. </w:t>
      </w:r>
      <w:r w:rsidR="002240C1">
        <w:t>Indicating this was not simply a place to put bodies, but the structure and material mattered</w:t>
      </w:r>
      <w:r w:rsidR="000B1372">
        <w:t>,</w:t>
      </w:r>
      <w:r w:rsidR="00B61E0A">
        <w:t xml:space="preserve"> along with maintaining the site with </w:t>
      </w:r>
      <w:r w:rsidR="000B1372">
        <w:t xml:space="preserve">evidence of </w:t>
      </w:r>
      <w:r w:rsidR="00B61E0A">
        <w:t>people revisiting it</w:t>
      </w:r>
      <w:r w:rsidR="000B1372">
        <w:t xml:space="preserve"> after construction</w:t>
      </w:r>
      <w:r w:rsidR="00B61E0A">
        <w:rPr>
          <w:rStyle w:val="FootnoteReference"/>
        </w:rPr>
        <w:footnoteReference w:id="3"/>
      </w:r>
      <w:r w:rsidR="00B61E0A">
        <w:t xml:space="preserve">. </w:t>
      </w:r>
      <w:r w:rsidR="00EA6A9C">
        <w:t>It was important that the sites endured time</w:t>
      </w:r>
      <w:r w:rsidR="00343C51">
        <w:t xml:space="preserve"> and became a place that people visited</w:t>
      </w:r>
      <w:r w:rsidR="00EA6A9C">
        <w:rPr>
          <w:rStyle w:val="FootnoteReference"/>
        </w:rPr>
        <w:footnoteReference w:id="4"/>
      </w:r>
      <w:r w:rsidR="00343C51">
        <w:t xml:space="preserve">. </w:t>
      </w:r>
    </w:p>
    <w:p w14:paraId="6A91248B" w14:textId="62EB4E6D" w:rsidR="00EC1DC4" w:rsidRDefault="002240C1">
      <w:r>
        <w:t>Once built the sites did not just serve the community at the time, but other historic periods</w:t>
      </w:r>
      <w:r w:rsidR="007F322B">
        <w:rPr>
          <w:rStyle w:val="FootnoteReference"/>
        </w:rPr>
        <w:footnoteReference w:id="5"/>
      </w:r>
      <w:r>
        <w:t xml:space="preserve">. </w:t>
      </w:r>
      <w:r w:rsidR="00E270D1">
        <w:t xml:space="preserve">The reuse of burial sites is common place when researching the sites with </w:t>
      </w:r>
      <w:r w:rsidR="009A3E86">
        <w:t>Romano British</w:t>
      </w:r>
      <w:r w:rsidR="005562E1">
        <w:t xml:space="preserve"> and other </w:t>
      </w:r>
      <w:r w:rsidR="009A3E86">
        <w:t>burials being located in or near prehistoric sites</w:t>
      </w:r>
      <w:r w:rsidR="009A3E86">
        <w:rPr>
          <w:rStyle w:val="FootnoteReference"/>
        </w:rPr>
        <w:footnoteReference w:id="6"/>
      </w:r>
      <w:r w:rsidR="009A3E86">
        <w:t xml:space="preserve">. </w:t>
      </w:r>
      <w:r w:rsidR="00192389">
        <w:t xml:space="preserve">This evidence further supports that these sites were not simply built and left, but became an important part of human infostructure. </w:t>
      </w:r>
    </w:p>
    <w:p w14:paraId="25134DB1" w14:textId="7553FB47" w:rsidR="00E270D1" w:rsidRDefault="00192389">
      <w:r>
        <w:t xml:space="preserve">The reasoning for them becoming an important part of our infostructure is something that is </w:t>
      </w:r>
      <w:r w:rsidR="00991EA1">
        <w:t>debated however b</w:t>
      </w:r>
      <w:r w:rsidR="00027737">
        <w:t>urial sites were suggested to be numinous by Aitchison based on the repeated use</w:t>
      </w:r>
      <w:r w:rsidR="00EC1DC4">
        <w:t xml:space="preserve">, which </w:t>
      </w:r>
      <w:r w:rsidR="001C466E">
        <w:t>he</w:t>
      </w:r>
      <w:r w:rsidR="00F662DC">
        <w:t xml:space="preserve"> based on the</w:t>
      </w:r>
      <w:r w:rsidR="00027737">
        <w:t xml:space="preserve"> material located</w:t>
      </w:r>
      <w:r w:rsidR="00F662DC">
        <w:t xml:space="preserve"> at sites</w:t>
      </w:r>
      <w:r w:rsidR="00027737">
        <w:rPr>
          <w:rStyle w:val="FootnoteReference"/>
        </w:rPr>
        <w:footnoteReference w:id="7"/>
      </w:r>
      <w:r w:rsidR="00027737">
        <w:t xml:space="preserve">. </w:t>
      </w:r>
    </w:p>
    <w:p w14:paraId="6D551AFA" w14:textId="37E22643" w:rsidR="00932FD6" w:rsidRDefault="00B14D6D">
      <w:r>
        <w:t xml:space="preserve">The theory of sites being numinous </w:t>
      </w:r>
      <w:r w:rsidR="00482C92">
        <w:t>could be derived from</w:t>
      </w:r>
      <w:r w:rsidR="00654B82">
        <w:t xml:space="preserve"> current religious beliefs</w:t>
      </w:r>
      <w:r w:rsidR="00C83F35">
        <w:t>.</w:t>
      </w:r>
      <w:r w:rsidR="00434FB7">
        <w:t xml:space="preserve"> </w:t>
      </w:r>
      <w:r w:rsidR="00F662DC">
        <w:t xml:space="preserve">As we are people of tradition it is possible to suspect that our current traditions have been shaped by past. </w:t>
      </w:r>
      <w:r w:rsidR="00C83F35">
        <w:t>B</w:t>
      </w:r>
      <w:r w:rsidR="006C3E07">
        <w:t xml:space="preserve">arrows are often located on ridges </w:t>
      </w:r>
      <w:r w:rsidR="00E50D97">
        <w:t>or elevated areas</w:t>
      </w:r>
      <w:r w:rsidR="002565F8">
        <w:rPr>
          <w:rStyle w:val="FootnoteReference"/>
        </w:rPr>
        <w:footnoteReference w:id="8"/>
      </w:r>
      <w:r w:rsidR="00E50D97">
        <w:t xml:space="preserve">. </w:t>
      </w:r>
      <w:r w:rsidR="00C9653B">
        <w:t>Understanding current and historic religious views</w:t>
      </w:r>
      <w:r w:rsidR="00482C92">
        <w:t xml:space="preserve"> </w:t>
      </w:r>
      <w:r w:rsidR="00DA477A">
        <w:t>help us understand why people may have been buried in such high places previously. One religious view is that</w:t>
      </w:r>
      <w:r w:rsidR="00C83F35">
        <w:t xml:space="preserve"> God </w:t>
      </w:r>
      <w:r w:rsidR="00DA477A">
        <w:t xml:space="preserve">was </w:t>
      </w:r>
      <w:r w:rsidR="00CB01DB">
        <w:t>dwelling on the mountain, a</w:t>
      </w:r>
      <w:r w:rsidR="00E75704">
        <w:t xml:space="preserve"> recorded</w:t>
      </w:r>
      <w:r w:rsidR="00CB01DB">
        <w:t xml:space="preserve"> example of this is</w:t>
      </w:r>
      <w:r w:rsidR="00E75704">
        <w:t xml:space="preserve"> when Moses went up </w:t>
      </w:r>
      <w:r w:rsidR="00E75704">
        <w:lastRenderedPageBreak/>
        <w:t>mount Sinai to meet with God</w:t>
      </w:r>
      <w:r w:rsidR="00482C92">
        <w:rPr>
          <w:rStyle w:val="FootnoteReference"/>
        </w:rPr>
        <w:footnoteReference w:id="9"/>
      </w:r>
      <w:r w:rsidR="00482C92">
        <w:t>.</w:t>
      </w:r>
      <w:r w:rsidR="00C9653B">
        <w:t xml:space="preserve"> </w:t>
      </w:r>
      <w:r w:rsidR="0089027C">
        <w:t>T</w:t>
      </w:r>
      <w:r w:rsidR="00C9653B">
        <w:t xml:space="preserve">his would </w:t>
      </w:r>
      <w:r w:rsidR="007216B3">
        <w:t>indi</w:t>
      </w:r>
      <w:r w:rsidR="00706B88">
        <w:t>cate that there is significance to the barrows being located on elevated areas</w:t>
      </w:r>
      <w:r w:rsidR="0089027C">
        <w:t>.</w:t>
      </w:r>
      <w:r w:rsidR="00E75704">
        <w:t xml:space="preserve"> In that people choose to bury the dead places believed to be connected with a God. </w:t>
      </w:r>
    </w:p>
    <w:p w14:paraId="217575D4" w14:textId="573862A3" w:rsidR="00701E6D" w:rsidRDefault="009A5372">
      <w:r>
        <w:t xml:space="preserve">Not only did the </w:t>
      </w:r>
      <w:r w:rsidR="008A12ED">
        <w:t>geographical location have an impact on where was chosen to bury the dead, but the view and direction of the barrow itself appears to be significant</w:t>
      </w:r>
      <w:r w:rsidR="004E35D2">
        <w:t xml:space="preserve"> in particular the relationship with a nearby henge. </w:t>
      </w:r>
      <w:r w:rsidR="00027B61">
        <w:t>In the peak district w</w:t>
      </w:r>
      <w:r w:rsidR="002A2F48">
        <w:t xml:space="preserve">hat was common </w:t>
      </w:r>
      <w:r w:rsidR="00E678A1">
        <w:t>practise is for the funerary barrow to be visible from the monument or henge</w:t>
      </w:r>
      <w:r w:rsidR="00E678A1">
        <w:rPr>
          <w:rStyle w:val="FootnoteReference"/>
        </w:rPr>
        <w:footnoteReference w:id="10"/>
      </w:r>
      <w:r w:rsidR="00E678A1">
        <w:t xml:space="preserve">. Even with slight variations </w:t>
      </w:r>
      <w:r w:rsidR="000C1BEC">
        <w:t xml:space="preserve">at a different site such as Arbor Low </w:t>
      </w:r>
      <w:r w:rsidR="00E678A1">
        <w:t xml:space="preserve">the view of </w:t>
      </w:r>
      <w:r w:rsidR="0086567B">
        <w:t xml:space="preserve">the </w:t>
      </w:r>
      <w:r w:rsidR="00E678A1">
        <w:t>henge appear</w:t>
      </w:r>
      <w:r w:rsidR="000C1BEC">
        <w:t>ed significant as opposed to the view from the henge</w:t>
      </w:r>
      <w:r w:rsidR="000C1BEC">
        <w:rPr>
          <w:rStyle w:val="FootnoteReference"/>
        </w:rPr>
        <w:footnoteReference w:id="11"/>
      </w:r>
      <w:r w:rsidR="000C1BEC">
        <w:t xml:space="preserve">. </w:t>
      </w:r>
      <w:r w:rsidR="00026436">
        <w:t xml:space="preserve">The views from the henge or to the henge suggest significance and align with sites being numinous. </w:t>
      </w:r>
      <w:r w:rsidR="00701E6D">
        <w:t xml:space="preserve">Informing an important relationship between sites for ritual, and the burial of the dead. </w:t>
      </w:r>
      <w:r w:rsidR="006D6008">
        <w:t xml:space="preserve">This further supports the idea of burial sites being numinous. </w:t>
      </w:r>
    </w:p>
    <w:p w14:paraId="7653D4C1" w14:textId="301FA2D6" w:rsidR="00501019" w:rsidRDefault="00026436">
      <w:r>
        <w:t xml:space="preserve">Artefacts found near monuments are </w:t>
      </w:r>
      <w:r w:rsidR="009F31F4">
        <w:t xml:space="preserve">believed to have been linked </w:t>
      </w:r>
      <w:r w:rsidR="00D966BE">
        <w:t>with ritual activity</w:t>
      </w:r>
      <w:r w:rsidR="00513960">
        <w:t xml:space="preserve"> and suggest the continued visitation of sites</w:t>
      </w:r>
      <w:r w:rsidR="00513960">
        <w:rPr>
          <w:rStyle w:val="FootnoteReference"/>
        </w:rPr>
        <w:footnoteReference w:id="12"/>
      </w:r>
      <w:r w:rsidR="00513960">
        <w:t xml:space="preserve">. </w:t>
      </w:r>
      <w:r w:rsidR="00DF4C20">
        <w:t xml:space="preserve">In an excavation in 1901 to 1902 at </w:t>
      </w:r>
      <w:r w:rsidR="00E653BC">
        <w:t>A</w:t>
      </w:r>
      <w:r w:rsidR="00DF4C20">
        <w:t xml:space="preserve">rbor low, in support of the ceremonial rituals taking place, an </w:t>
      </w:r>
      <w:r w:rsidR="00E653BC">
        <w:t>urn was discovered</w:t>
      </w:r>
      <w:r w:rsidR="009B7EFB">
        <w:t xml:space="preserve"> </w:t>
      </w:r>
      <w:r w:rsidR="007C4EAF">
        <w:t xml:space="preserve">that contained </w:t>
      </w:r>
      <w:r w:rsidR="00FC524F">
        <w:t>burnt bones</w:t>
      </w:r>
      <w:r w:rsidR="00825B1D">
        <w:rPr>
          <w:rStyle w:val="FootnoteReference"/>
        </w:rPr>
        <w:footnoteReference w:id="13"/>
      </w:r>
      <w:r w:rsidR="00E653BC">
        <w:t xml:space="preserve">. </w:t>
      </w:r>
      <w:r w:rsidR="00EB2B56">
        <w:t xml:space="preserve">These bones are animal bones and believed to have been a sacrifice made as part of the persons burial. </w:t>
      </w:r>
    </w:p>
    <w:p w14:paraId="0B5124B6" w14:textId="51D8F9BE" w:rsidR="00CC10A8" w:rsidRDefault="00AC182D">
      <w:r>
        <w:t>Without written testimony i</w:t>
      </w:r>
      <w:r w:rsidR="00816DD6">
        <w:t xml:space="preserve">t is not possible to determine exact views on what humans during neolithic times believed happened once a person died. </w:t>
      </w:r>
      <w:r w:rsidR="00792FBB">
        <w:t>However,</w:t>
      </w:r>
      <w:r w:rsidR="00816DD6">
        <w:t xml:space="preserve"> it is clear that death was not </w:t>
      </w:r>
      <w:r w:rsidR="00792FBB">
        <w:t xml:space="preserve">considered </w:t>
      </w:r>
      <w:r w:rsidR="00816DD6">
        <w:t xml:space="preserve">the end for people. </w:t>
      </w:r>
      <w:r w:rsidR="00792FBB">
        <w:t>They were not simply left were they died, or scattered around the settlement. But taken to a place to be buried.</w:t>
      </w:r>
      <w:r w:rsidR="00C24CB9">
        <w:t xml:space="preserve"> A place which we can determine to hold some religious significance.  </w:t>
      </w:r>
      <w:r w:rsidR="00792FBB">
        <w:t xml:space="preserve"> </w:t>
      </w:r>
    </w:p>
    <w:p w14:paraId="5636A986" w14:textId="1898574C" w:rsidR="00876C95" w:rsidRDefault="003A3B64">
      <w:r>
        <w:t xml:space="preserve">The burials significance can be supported </w:t>
      </w:r>
      <w:r w:rsidR="00DF6399">
        <w:t>from what can be observed of</w:t>
      </w:r>
      <w:r w:rsidR="00F22932">
        <w:t xml:space="preserve"> the relationship between the burial, a henge,</w:t>
      </w:r>
      <w:r w:rsidR="00DF6399">
        <w:t xml:space="preserve"> </w:t>
      </w:r>
      <w:r w:rsidR="00F22932">
        <w:t>the geographical location</w:t>
      </w:r>
      <w:r w:rsidR="00DF6399">
        <w:t xml:space="preserve"> and any artefacts recovered</w:t>
      </w:r>
      <w:r w:rsidR="00F007A5">
        <w:t xml:space="preserve"> at barrows. </w:t>
      </w:r>
      <w:r w:rsidR="000B4895">
        <w:t xml:space="preserve"> </w:t>
      </w:r>
    </w:p>
    <w:p w14:paraId="7923E648" w14:textId="19CF9E0B" w:rsidR="00D42596" w:rsidRDefault="00F007A5">
      <w:r>
        <w:t xml:space="preserve">Potentially </w:t>
      </w:r>
      <w:r w:rsidR="004A6AAE">
        <w:t xml:space="preserve">who was buried with who was also considered important. </w:t>
      </w:r>
      <w:r w:rsidR="00816DD6">
        <w:t xml:space="preserve">Burial of humans who share genetics indicating a lineage or family </w:t>
      </w:r>
      <w:r w:rsidR="00792FBB">
        <w:t xml:space="preserve">indicates that </w:t>
      </w:r>
      <w:r w:rsidR="00A35343">
        <w:t xml:space="preserve">being buried with family </w:t>
      </w:r>
      <w:r w:rsidR="00C10327">
        <w:t>was significant</w:t>
      </w:r>
      <w:r w:rsidR="00792FBB">
        <w:rPr>
          <w:rStyle w:val="FootnoteReference"/>
        </w:rPr>
        <w:footnoteReference w:id="14"/>
      </w:r>
      <w:r w:rsidR="00792FBB">
        <w:t xml:space="preserve">. The use of a burial site implies importance as to where a person would have been buried. </w:t>
      </w:r>
      <w:r w:rsidR="000C6E23">
        <w:t xml:space="preserve">Not only families being buried with each other, but how the bodies within the burial site were placed with </w:t>
      </w:r>
      <w:r w:rsidR="00CD332A">
        <w:t>the burial site. Those of the same lineage were found together in one tomb, with others outside this lineage found in another</w:t>
      </w:r>
      <w:r w:rsidR="000C6E23">
        <w:t xml:space="preserve">. </w:t>
      </w:r>
      <w:r w:rsidR="00816DD6">
        <w:t>The potential for replica studies to be undertaken to understand other burial sites would assist in solidifying th</w:t>
      </w:r>
      <w:r w:rsidR="00792FBB">
        <w:t>e theory of families sharing tombs</w:t>
      </w:r>
      <w:r w:rsidR="00792FBB">
        <w:rPr>
          <w:rStyle w:val="FootnoteReference"/>
        </w:rPr>
        <w:footnoteReference w:id="15"/>
      </w:r>
      <w:r w:rsidR="00792FBB">
        <w:t xml:space="preserve">. </w:t>
      </w:r>
      <w:r w:rsidR="00816DD6">
        <w:t xml:space="preserve">  </w:t>
      </w:r>
    </w:p>
    <w:p w14:paraId="4704A886" w14:textId="77777777" w:rsidR="00E82D31" w:rsidRDefault="00383CBF">
      <w:r>
        <w:lastRenderedPageBreak/>
        <w:t xml:space="preserve">It is evident that it is possible to learn more about what people </w:t>
      </w:r>
      <w:r w:rsidR="00F05774">
        <w:t>physically may have looked like, based on bones found such as that at Arbor Low</w:t>
      </w:r>
      <w:r w:rsidR="00F05774">
        <w:rPr>
          <w:rStyle w:val="FootnoteReference"/>
        </w:rPr>
        <w:footnoteReference w:id="16"/>
      </w:r>
      <w:r w:rsidR="00F05774">
        <w:t xml:space="preserve"> . </w:t>
      </w:r>
      <w:r w:rsidR="00360257">
        <w:t xml:space="preserve">As well as understanding the </w:t>
      </w:r>
      <w:r w:rsidR="007E6F96">
        <w:t>tools they would have used.</w:t>
      </w:r>
      <w:r w:rsidR="00BD497D">
        <w:t xml:space="preserve"> As </w:t>
      </w:r>
      <w:r w:rsidR="00AB24B9">
        <w:t>archaeology</w:t>
      </w:r>
      <w:r w:rsidR="00BD497D">
        <w:t xml:space="preserve"> progresses and </w:t>
      </w:r>
      <w:r w:rsidR="00AB24B9">
        <w:t>further research is done there may be more to understand regarding death during the neolithic period.</w:t>
      </w:r>
      <w:r w:rsidR="007E6F96">
        <w:t xml:space="preserve"> </w:t>
      </w:r>
    </w:p>
    <w:p w14:paraId="321786AE" w14:textId="07751174" w:rsidR="008B2A41" w:rsidRDefault="009E4CEA">
      <w:r>
        <w:t>However,</w:t>
      </w:r>
      <w:r w:rsidR="007E6F96">
        <w:t xml:space="preserve"> without written recordings, to determine exactly what was believed would happen once someone had died is difficult to suggest</w:t>
      </w:r>
      <w:r w:rsidR="00E82D31">
        <w:t xml:space="preserve"> other than belief in an afterlife was adopted throughout this period. One supported through artefacts, and tradition </w:t>
      </w:r>
      <w:r w:rsidR="0077427C">
        <w:t xml:space="preserve">in our current religions. </w:t>
      </w:r>
    </w:p>
    <w:p w14:paraId="615FF352" w14:textId="159B5BC5" w:rsidR="0077427C" w:rsidRDefault="0077427C">
      <w:r>
        <w:tab/>
      </w:r>
      <w:r>
        <w:tab/>
      </w:r>
      <w:r>
        <w:tab/>
      </w:r>
      <w:r>
        <w:tab/>
      </w:r>
      <w:r>
        <w:tab/>
      </w:r>
      <w:r>
        <w:tab/>
      </w:r>
      <w:r>
        <w:tab/>
      </w:r>
      <w:r>
        <w:tab/>
      </w:r>
      <w:r>
        <w:tab/>
      </w:r>
      <w:r>
        <w:tab/>
      </w:r>
      <w:r>
        <w:rPr>
          <w:i/>
          <w:iCs/>
        </w:rPr>
        <w:t>Word count 13</w:t>
      </w:r>
      <w:r w:rsidR="00CD332A">
        <w:rPr>
          <w:i/>
          <w:iCs/>
        </w:rPr>
        <w:t>67</w:t>
      </w:r>
      <w:r>
        <w:rPr>
          <w:i/>
          <w:iCs/>
        </w:rPr>
        <w:t xml:space="preserve">. </w:t>
      </w:r>
      <w:r>
        <w:rPr>
          <w:i/>
          <w:iCs/>
        </w:rPr>
        <w:tab/>
      </w:r>
    </w:p>
    <w:p w14:paraId="4DCF1B0A" w14:textId="77777777" w:rsidR="00CD332A" w:rsidRDefault="00CD332A"/>
    <w:p w14:paraId="36203432" w14:textId="77777777" w:rsidR="00CD332A" w:rsidRDefault="00CD332A"/>
    <w:p w14:paraId="05C69FB7" w14:textId="77777777" w:rsidR="00CD332A" w:rsidRDefault="00CD332A"/>
    <w:p w14:paraId="3A92243A" w14:textId="77777777" w:rsidR="00CD332A" w:rsidRDefault="00CD332A"/>
    <w:p w14:paraId="63694FF3" w14:textId="77777777" w:rsidR="00CD332A" w:rsidRDefault="00CD332A"/>
    <w:p w14:paraId="0E49DAF2" w14:textId="77777777" w:rsidR="00CD332A" w:rsidRDefault="00CD332A"/>
    <w:p w14:paraId="27ED4B6E" w14:textId="77777777" w:rsidR="00CD332A" w:rsidRDefault="00CD332A"/>
    <w:p w14:paraId="490D0899" w14:textId="77777777" w:rsidR="00CD332A" w:rsidRDefault="00CD332A"/>
    <w:p w14:paraId="3BE8AFF4" w14:textId="77777777" w:rsidR="00CD332A" w:rsidRDefault="00CD332A"/>
    <w:p w14:paraId="366B2114" w14:textId="77777777" w:rsidR="00CD332A" w:rsidRDefault="00CD332A"/>
    <w:p w14:paraId="3B2953FB" w14:textId="77777777" w:rsidR="00CD332A" w:rsidRDefault="00CD332A"/>
    <w:p w14:paraId="5B61ADE3" w14:textId="77777777" w:rsidR="00CD332A" w:rsidRDefault="00CD332A"/>
    <w:p w14:paraId="61432893" w14:textId="77777777" w:rsidR="00CD332A" w:rsidRDefault="00CD332A"/>
    <w:p w14:paraId="6E814028" w14:textId="77777777" w:rsidR="00CD332A" w:rsidRDefault="00CD332A"/>
    <w:p w14:paraId="333C3B82" w14:textId="77777777" w:rsidR="00CD332A" w:rsidRDefault="00CD332A"/>
    <w:p w14:paraId="79BE4C6A" w14:textId="77777777" w:rsidR="00CD332A" w:rsidRDefault="00CD332A"/>
    <w:p w14:paraId="03B58087" w14:textId="77777777" w:rsidR="00CD332A" w:rsidRDefault="00CD332A"/>
    <w:p w14:paraId="423058B4" w14:textId="77777777" w:rsidR="00CD332A" w:rsidRDefault="00CD332A"/>
    <w:p w14:paraId="3433B7F1" w14:textId="77777777" w:rsidR="00CD332A" w:rsidRDefault="00CD332A"/>
    <w:p w14:paraId="71BE7518" w14:textId="77777777" w:rsidR="00CD332A" w:rsidRDefault="00CD332A"/>
    <w:p w14:paraId="1D9B19EF" w14:textId="77777777" w:rsidR="00CD332A" w:rsidRDefault="00CD332A"/>
    <w:p w14:paraId="18327DA3" w14:textId="46866CB2" w:rsidR="00CD332A" w:rsidRDefault="00CD332A">
      <w:r>
        <w:lastRenderedPageBreak/>
        <w:t>Bibliography:</w:t>
      </w:r>
    </w:p>
    <w:p w14:paraId="064DB00F" w14:textId="77777777" w:rsidR="00CD332A" w:rsidRDefault="00CD332A"/>
    <w:p w14:paraId="04736FEA" w14:textId="40AE8CD3" w:rsidR="00CD332A" w:rsidRDefault="00CD332A">
      <w:r>
        <w:t xml:space="preserve">Alice J </w:t>
      </w:r>
      <w:r w:rsidRPr="00C55FDC">
        <w:t xml:space="preserve">Rogers, ‘The Afterlife of Monuments in the English Peak District: The Evidence of Early Bronze Age Burials’, </w:t>
      </w:r>
      <w:r w:rsidRPr="00C55FDC">
        <w:rPr>
          <w:i/>
          <w:iCs/>
        </w:rPr>
        <w:t>Oxford Journal of Archaeology</w:t>
      </w:r>
      <w:r w:rsidRPr="00C55FDC">
        <w:t>, 32.1 (2013), pp. 39–51, doi:10.1111/ojoa.12001</w:t>
      </w:r>
    </w:p>
    <w:p w14:paraId="1BF2D88A" w14:textId="765DD431" w:rsidR="00CD332A" w:rsidRDefault="00071E96">
      <w:r>
        <w:t xml:space="preserve">H. </w:t>
      </w:r>
      <w:r w:rsidRPr="00825B1D">
        <w:t>Gray,</w:t>
      </w:r>
      <w:r>
        <w:t xml:space="preserve"> </w:t>
      </w:r>
      <w:r w:rsidRPr="00825B1D">
        <w:t>St. George, ‘</w:t>
      </w:r>
      <w:proofErr w:type="gramStart"/>
      <w:r w:rsidRPr="00825B1D">
        <w:t>XXI.—</w:t>
      </w:r>
      <w:proofErr w:type="gramEnd"/>
      <w:r w:rsidRPr="00825B1D">
        <w:t xml:space="preserve">On the Excavations at Arbor Low, 1901-1902’, </w:t>
      </w:r>
      <w:proofErr w:type="spellStart"/>
      <w:r w:rsidRPr="00825B1D">
        <w:rPr>
          <w:i/>
          <w:iCs/>
        </w:rPr>
        <w:t>Archaeologia</w:t>
      </w:r>
      <w:proofErr w:type="spellEnd"/>
      <w:r w:rsidRPr="00825B1D">
        <w:rPr>
          <w:i/>
          <w:iCs/>
        </w:rPr>
        <w:t>: Or Miscellaneous Tracts Relating to Antiquity</w:t>
      </w:r>
      <w:r w:rsidRPr="00825B1D">
        <w:t>, 58.2 (1903), pp. 461–98, doi:10.1017/S0261340900009073</w:t>
      </w:r>
    </w:p>
    <w:p w14:paraId="1DFA5129" w14:textId="6223106F" w:rsidR="00CD332A" w:rsidRDefault="00CD332A">
      <w:r>
        <w:t xml:space="preserve">M. R, </w:t>
      </w:r>
      <w:r w:rsidRPr="00E270D1">
        <w:t xml:space="preserve">Edmonds, </w:t>
      </w:r>
      <w:r w:rsidRPr="00E270D1">
        <w:rPr>
          <w:i/>
          <w:iCs/>
        </w:rPr>
        <w:t xml:space="preserve">Ancestral Geographies of the </w:t>
      </w:r>
      <w:proofErr w:type="gramStart"/>
      <w:r w:rsidRPr="00E270D1">
        <w:rPr>
          <w:i/>
          <w:iCs/>
        </w:rPr>
        <w:t>Neolithic :</w:t>
      </w:r>
      <w:proofErr w:type="gramEnd"/>
      <w:r w:rsidRPr="00E270D1">
        <w:rPr>
          <w:i/>
          <w:iCs/>
        </w:rPr>
        <w:t xml:space="preserve"> Landscapes, Monuments and Memory</w:t>
      </w:r>
      <w:r w:rsidRPr="00E270D1">
        <w:t>, 1st ed. (Routledge, 1999), doi:10.4324/9780203020197</w:t>
      </w:r>
    </w:p>
    <w:p w14:paraId="58FF4EA6" w14:textId="79CE3BBE" w:rsidR="00071E96" w:rsidRDefault="00071E96">
      <w:r>
        <w:t xml:space="preserve">Neil </w:t>
      </w:r>
      <w:r w:rsidRPr="00792FBB">
        <w:t xml:space="preserve">Carlin, ‘A Grave Matter of Ancient Kinship in Neolithic Britain’, </w:t>
      </w:r>
      <w:r w:rsidRPr="00792FBB">
        <w:rPr>
          <w:i/>
          <w:iCs/>
        </w:rPr>
        <w:t>Nature (London)</w:t>
      </w:r>
      <w:r w:rsidRPr="00792FBB">
        <w:t>, 601.7894 (2022), pp. 510–12, doi:10.1038/d41586-021-03799-3</w:t>
      </w:r>
    </w:p>
    <w:p w14:paraId="197A6588" w14:textId="6711ED99" w:rsidR="00CD332A" w:rsidRDefault="00CD332A">
      <w:r>
        <w:t xml:space="preserve">Ronald </w:t>
      </w:r>
      <w:r w:rsidRPr="009A3E86">
        <w:t xml:space="preserve">Hutton, ‘Romano-British Reuse of Prehistoric Ritual Sites’, </w:t>
      </w:r>
      <w:r w:rsidRPr="009A3E86">
        <w:rPr>
          <w:i/>
          <w:iCs/>
        </w:rPr>
        <w:t>Britannia (Society for the Promotion of Roman Studies)</w:t>
      </w:r>
      <w:r w:rsidRPr="009A3E86">
        <w:t>, 42 (2011), pp. 1–22, doi:10.1017/S0068113X1100002X</w:t>
      </w:r>
      <w:r>
        <w:t>.</w:t>
      </w:r>
    </w:p>
    <w:p w14:paraId="1A53AB49" w14:textId="16144A7F" w:rsidR="00CD332A" w:rsidRDefault="00CD332A">
      <w:r>
        <w:t>The Holy Bible, English Standard version</w:t>
      </w:r>
      <w:r>
        <w:t xml:space="preserve"> 2001.</w:t>
      </w:r>
    </w:p>
    <w:p w14:paraId="0717541F" w14:textId="7B5965A7" w:rsidR="00CD332A" w:rsidRDefault="00CD332A">
      <w:r w:rsidRPr="00EF47BC">
        <w:t>William Shakespeare</w:t>
      </w:r>
      <w:r>
        <w:t>, Henry IV part 2, 1600.</w:t>
      </w:r>
    </w:p>
    <w:p w14:paraId="36BEC08D" w14:textId="77777777" w:rsidR="00CD332A" w:rsidRDefault="00CD332A"/>
    <w:p w14:paraId="101A32E7" w14:textId="369C3771" w:rsidR="00CD332A" w:rsidRPr="00CD332A" w:rsidRDefault="00CD332A"/>
    <w:sectPr w:rsidR="00CD332A" w:rsidRPr="00CD33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14F81" w14:textId="77777777" w:rsidR="00346E96" w:rsidRDefault="00346E96" w:rsidP="00EF47BC">
      <w:pPr>
        <w:spacing w:after="0" w:line="240" w:lineRule="auto"/>
      </w:pPr>
      <w:r>
        <w:separator/>
      </w:r>
    </w:p>
  </w:endnote>
  <w:endnote w:type="continuationSeparator" w:id="0">
    <w:p w14:paraId="2C815541" w14:textId="77777777" w:rsidR="00346E96" w:rsidRDefault="00346E96" w:rsidP="00EF4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25F17" w14:textId="77777777" w:rsidR="00346E96" w:rsidRDefault="00346E96" w:rsidP="00EF47BC">
      <w:pPr>
        <w:spacing w:after="0" w:line="240" w:lineRule="auto"/>
      </w:pPr>
      <w:r>
        <w:separator/>
      </w:r>
    </w:p>
  </w:footnote>
  <w:footnote w:type="continuationSeparator" w:id="0">
    <w:p w14:paraId="402AB393" w14:textId="77777777" w:rsidR="00346E96" w:rsidRDefault="00346E96" w:rsidP="00EF47BC">
      <w:pPr>
        <w:spacing w:after="0" w:line="240" w:lineRule="auto"/>
      </w:pPr>
      <w:r>
        <w:continuationSeparator/>
      </w:r>
    </w:p>
  </w:footnote>
  <w:footnote w:id="1">
    <w:p w14:paraId="2669938C" w14:textId="3B5FC364" w:rsidR="00EF47BC" w:rsidRDefault="00EF47BC">
      <w:pPr>
        <w:pStyle w:val="FootnoteText"/>
      </w:pPr>
      <w:r>
        <w:rPr>
          <w:rStyle w:val="FootnoteReference"/>
        </w:rPr>
        <w:footnoteRef/>
      </w:r>
      <w:r>
        <w:t xml:space="preserve"> </w:t>
      </w:r>
      <w:r w:rsidRPr="00EF47BC">
        <w:t>William Shakespeare</w:t>
      </w:r>
      <w:r>
        <w:t xml:space="preserve">, Henry IV part 2, 1600. </w:t>
      </w:r>
    </w:p>
  </w:footnote>
  <w:footnote w:id="2">
    <w:p w14:paraId="4400BBC6" w14:textId="7CA15DA0" w:rsidR="00E270D1" w:rsidRDefault="00E270D1">
      <w:pPr>
        <w:pStyle w:val="FootnoteText"/>
      </w:pPr>
      <w:r>
        <w:rPr>
          <w:rStyle w:val="FootnoteReference"/>
        </w:rPr>
        <w:footnoteRef/>
      </w:r>
      <w:r>
        <w:t xml:space="preserve"> </w:t>
      </w:r>
      <w:r w:rsidRPr="00E270D1">
        <w:t xml:space="preserve">Edmonds, M. R, </w:t>
      </w:r>
      <w:r w:rsidRPr="00E270D1">
        <w:rPr>
          <w:i/>
          <w:iCs/>
        </w:rPr>
        <w:t xml:space="preserve">Ancestral Geographies of the </w:t>
      </w:r>
      <w:proofErr w:type="gramStart"/>
      <w:r w:rsidRPr="00E270D1">
        <w:rPr>
          <w:i/>
          <w:iCs/>
        </w:rPr>
        <w:t>Neolithic :</w:t>
      </w:r>
      <w:proofErr w:type="gramEnd"/>
      <w:r w:rsidRPr="00E270D1">
        <w:rPr>
          <w:i/>
          <w:iCs/>
        </w:rPr>
        <w:t xml:space="preserve"> Landscapes, Monuments and Memory</w:t>
      </w:r>
      <w:r w:rsidRPr="00E270D1">
        <w:t>, 1st ed. (Routledge, 1999), doi:10.4324/9780203020197</w:t>
      </w:r>
      <w:r>
        <w:t xml:space="preserve"> p. 69-70. </w:t>
      </w:r>
    </w:p>
  </w:footnote>
  <w:footnote w:id="3">
    <w:p w14:paraId="534631FE" w14:textId="0E6CBD28" w:rsidR="00B61E0A" w:rsidRDefault="00B61E0A">
      <w:pPr>
        <w:pStyle w:val="FootnoteText"/>
      </w:pPr>
      <w:r>
        <w:rPr>
          <w:rStyle w:val="FootnoteReference"/>
        </w:rPr>
        <w:footnoteRef/>
      </w:r>
      <w:r>
        <w:t xml:space="preserve"> </w:t>
      </w:r>
      <w:r w:rsidRPr="00E270D1">
        <w:t xml:space="preserve">Edmonds, M. R, </w:t>
      </w:r>
      <w:r w:rsidRPr="00E270D1">
        <w:rPr>
          <w:i/>
          <w:iCs/>
        </w:rPr>
        <w:t xml:space="preserve">Ancestral Geographies of the </w:t>
      </w:r>
      <w:proofErr w:type="gramStart"/>
      <w:r w:rsidRPr="00E270D1">
        <w:rPr>
          <w:i/>
          <w:iCs/>
        </w:rPr>
        <w:t>Neolithic :</w:t>
      </w:r>
      <w:proofErr w:type="gramEnd"/>
      <w:r w:rsidRPr="00E270D1">
        <w:rPr>
          <w:i/>
          <w:iCs/>
        </w:rPr>
        <w:t xml:space="preserve"> Landscapes, Monuments and Memory</w:t>
      </w:r>
      <w:r w:rsidRPr="00E270D1">
        <w:t>, 1st ed. (Routledge, 1999), doi:10.4324/9780203020197</w:t>
      </w:r>
      <w:r>
        <w:t xml:space="preserve"> p. 69-70.</w:t>
      </w:r>
    </w:p>
  </w:footnote>
  <w:footnote w:id="4">
    <w:p w14:paraId="225EE265" w14:textId="5A057B52" w:rsidR="00EA6A9C" w:rsidRDefault="00EA6A9C">
      <w:pPr>
        <w:pStyle w:val="FootnoteText"/>
      </w:pPr>
      <w:r>
        <w:rPr>
          <w:rStyle w:val="FootnoteReference"/>
        </w:rPr>
        <w:footnoteRef/>
      </w:r>
      <w:r>
        <w:t xml:space="preserve"> </w:t>
      </w:r>
      <w:r w:rsidR="00C47265" w:rsidRPr="00E270D1">
        <w:t xml:space="preserve">Edmonds, M. R, </w:t>
      </w:r>
      <w:r w:rsidR="00C47265" w:rsidRPr="00E270D1">
        <w:rPr>
          <w:i/>
          <w:iCs/>
        </w:rPr>
        <w:t xml:space="preserve">Ancestral Geographies of the </w:t>
      </w:r>
      <w:proofErr w:type="gramStart"/>
      <w:r w:rsidR="00C47265" w:rsidRPr="00E270D1">
        <w:rPr>
          <w:i/>
          <w:iCs/>
        </w:rPr>
        <w:t>Neolithic :</w:t>
      </w:r>
      <w:proofErr w:type="gramEnd"/>
      <w:r w:rsidR="00C47265" w:rsidRPr="00E270D1">
        <w:rPr>
          <w:i/>
          <w:iCs/>
        </w:rPr>
        <w:t xml:space="preserve"> Landscapes, Monuments and Memory</w:t>
      </w:r>
      <w:r w:rsidR="00C47265" w:rsidRPr="00E270D1">
        <w:t>, 1st ed. (Routledge, 1999), doi:10.4324/9780203020197</w:t>
      </w:r>
      <w:r w:rsidR="00C47265">
        <w:t xml:space="preserve"> p. 73.</w:t>
      </w:r>
    </w:p>
  </w:footnote>
  <w:footnote w:id="5">
    <w:p w14:paraId="326AB64E" w14:textId="10A066C8" w:rsidR="007F322B" w:rsidRDefault="007F322B">
      <w:pPr>
        <w:pStyle w:val="FootnoteText"/>
      </w:pPr>
      <w:r>
        <w:rPr>
          <w:rStyle w:val="FootnoteReference"/>
        </w:rPr>
        <w:footnoteRef/>
      </w:r>
      <w:r>
        <w:t xml:space="preserve"> </w:t>
      </w:r>
      <w:r w:rsidR="00C55FDC" w:rsidRPr="00C55FDC">
        <w:t xml:space="preserve">Rogers, Alice J, ‘The Afterlife of Monuments in the English Peak District: The Evidence of Early Bronze Age Burials’, </w:t>
      </w:r>
      <w:r w:rsidR="00C55FDC" w:rsidRPr="00C55FDC">
        <w:rPr>
          <w:i/>
          <w:iCs/>
        </w:rPr>
        <w:t>Oxford Journal of Archaeology</w:t>
      </w:r>
      <w:r w:rsidR="00C55FDC" w:rsidRPr="00C55FDC">
        <w:t>, 32.1 (2013), pp. 39–51, doi:10.1111/ojoa.12001</w:t>
      </w:r>
      <w:r w:rsidR="00C55FDC">
        <w:t xml:space="preserve"> p. 39. </w:t>
      </w:r>
    </w:p>
  </w:footnote>
  <w:footnote w:id="6">
    <w:p w14:paraId="1BAD918D" w14:textId="469EE6F6" w:rsidR="009A3E86" w:rsidRDefault="009A3E86">
      <w:pPr>
        <w:pStyle w:val="FootnoteText"/>
      </w:pPr>
      <w:r>
        <w:rPr>
          <w:rStyle w:val="FootnoteReference"/>
        </w:rPr>
        <w:footnoteRef/>
      </w:r>
      <w:r>
        <w:t xml:space="preserve"> </w:t>
      </w:r>
      <w:r w:rsidRPr="009A3E86">
        <w:t xml:space="preserve">Hutton, Ronald, ‘Romano-British Reuse of Prehistoric Ritual Sites’, </w:t>
      </w:r>
      <w:r w:rsidRPr="009A3E86">
        <w:rPr>
          <w:i/>
          <w:iCs/>
        </w:rPr>
        <w:t>Britannia (Society for the Promotion of Roman Studies)</w:t>
      </w:r>
      <w:r w:rsidRPr="009A3E86">
        <w:t>, 42 (2011), pp. 1–22, doi:10.1017/S0068113X1100002X</w:t>
      </w:r>
      <w:r>
        <w:t>. p. 2</w:t>
      </w:r>
    </w:p>
  </w:footnote>
  <w:footnote w:id="7">
    <w:p w14:paraId="10549B98" w14:textId="5CE4E210" w:rsidR="00027737" w:rsidRDefault="00027737">
      <w:pPr>
        <w:pStyle w:val="FootnoteText"/>
      </w:pPr>
      <w:r>
        <w:rPr>
          <w:rStyle w:val="FootnoteReference"/>
        </w:rPr>
        <w:footnoteRef/>
      </w:r>
      <w:r>
        <w:t xml:space="preserve"> </w:t>
      </w:r>
      <w:r w:rsidRPr="009A3E86">
        <w:t xml:space="preserve">Hutton, Ronald, ‘Romano-British Reuse of Prehistoric Ritual Sites’, </w:t>
      </w:r>
      <w:r w:rsidRPr="009A3E86">
        <w:rPr>
          <w:i/>
          <w:iCs/>
        </w:rPr>
        <w:t>Britannia (Society for the Promotion of Roman Studies)</w:t>
      </w:r>
      <w:r w:rsidRPr="009A3E86">
        <w:t>, 42 (2011), pp. 1–22, doi:10.1017/S0068113X1100002X</w:t>
      </w:r>
      <w:r>
        <w:t>. p. 2</w:t>
      </w:r>
    </w:p>
  </w:footnote>
  <w:footnote w:id="8">
    <w:p w14:paraId="3109FA8F" w14:textId="05CDB487" w:rsidR="002565F8" w:rsidRDefault="002565F8">
      <w:pPr>
        <w:pStyle w:val="FootnoteText"/>
      </w:pPr>
      <w:r>
        <w:rPr>
          <w:rStyle w:val="FootnoteReference"/>
        </w:rPr>
        <w:footnoteRef/>
      </w:r>
      <w:r>
        <w:t xml:space="preserve"> </w:t>
      </w:r>
      <w:r w:rsidR="00C94085" w:rsidRPr="00C94085">
        <w:t xml:space="preserve">Rogers, Alice J, ‘The Afterlife of Monuments in the English Peak District: The Evidence of Early Bronze Age Burials’, </w:t>
      </w:r>
      <w:r w:rsidR="00C94085" w:rsidRPr="00C94085">
        <w:rPr>
          <w:i/>
          <w:iCs/>
        </w:rPr>
        <w:t>Oxford Journal of Archaeology</w:t>
      </w:r>
      <w:r w:rsidR="00C94085" w:rsidRPr="00C94085">
        <w:t>, 32.1 (2013), pp. 39–51, doi:10.1111/ojoa.12001</w:t>
      </w:r>
      <w:r w:rsidR="00C94085">
        <w:t xml:space="preserve"> p. 42. </w:t>
      </w:r>
    </w:p>
  </w:footnote>
  <w:footnote w:id="9">
    <w:p w14:paraId="2EDD9242" w14:textId="41128B98" w:rsidR="00482C92" w:rsidRDefault="00482C92">
      <w:pPr>
        <w:pStyle w:val="FootnoteText"/>
      </w:pPr>
      <w:r>
        <w:rPr>
          <w:rStyle w:val="FootnoteReference"/>
        </w:rPr>
        <w:footnoteRef/>
      </w:r>
      <w:r>
        <w:t xml:space="preserve"> </w:t>
      </w:r>
      <w:r w:rsidR="0089027C">
        <w:t xml:space="preserve">The Holy Bible, English Standard version Exodus </w:t>
      </w:r>
      <w:r w:rsidR="00654B82">
        <w:t xml:space="preserve">19: 3-20. </w:t>
      </w:r>
    </w:p>
  </w:footnote>
  <w:footnote w:id="10">
    <w:p w14:paraId="05751EB6" w14:textId="0B6AB868" w:rsidR="00E678A1" w:rsidRDefault="00E678A1">
      <w:pPr>
        <w:pStyle w:val="FootnoteText"/>
      </w:pPr>
      <w:r>
        <w:rPr>
          <w:rStyle w:val="FootnoteReference"/>
        </w:rPr>
        <w:footnoteRef/>
      </w:r>
      <w:r>
        <w:t xml:space="preserve"> </w:t>
      </w:r>
      <w:r w:rsidR="009F3A12" w:rsidRPr="009F3A12">
        <w:t xml:space="preserve">Rogers, Alice J, ‘The Afterlife of Monuments in the English Peak District: The Evidence of Early Bronze Age Burials’, </w:t>
      </w:r>
      <w:r w:rsidR="009F3A12" w:rsidRPr="009F3A12">
        <w:rPr>
          <w:i/>
          <w:iCs/>
        </w:rPr>
        <w:t>Oxford Journal of Archaeology</w:t>
      </w:r>
      <w:r w:rsidR="009F3A12" w:rsidRPr="009F3A12">
        <w:t>, 32.1 (2013), pp. 39–51, doi:10.1111/ojoa.12001</w:t>
      </w:r>
      <w:r w:rsidR="009F3A12">
        <w:t xml:space="preserve"> p. 42 - 44</w:t>
      </w:r>
    </w:p>
  </w:footnote>
  <w:footnote w:id="11">
    <w:p w14:paraId="309A1A52" w14:textId="2BFC41E8" w:rsidR="000C1BEC" w:rsidRDefault="000C1BEC">
      <w:pPr>
        <w:pStyle w:val="FootnoteText"/>
      </w:pPr>
      <w:r>
        <w:rPr>
          <w:rStyle w:val="FootnoteReference"/>
        </w:rPr>
        <w:footnoteRef/>
      </w:r>
      <w:r>
        <w:t xml:space="preserve"> </w:t>
      </w:r>
      <w:r w:rsidRPr="000C1BEC">
        <w:t xml:space="preserve">Rogers, Alice J, ‘The Afterlife of Monuments in the English Peak District: The Evidence of Early Bronze Age Burials’, </w:t>
      </w:r>
      <w:r w:rsidRPr="000C1BEC">
        <w:rPr>
          <w:i/>
          <w:iCs/>
        </w:rPr>
        <w:t>Oxford Journal of Archaeology</w:t>
      </w:r>
      <w:r w:rsidRPr="000C1BEC">
        <w:t>, 32.1 (2013), pp. 39–51, doi:10.1111/ojoa.12001</w:t>
      </w:r>
      <w:r w:rsidR="00565F6B">
        <w:t xml:space="preserve"> p. 44. </w:t>
      </w:r>
    </w:p>
  </w:footnote>
  <w:footnote w:id="12">
    <w:p w14:paraId="4FA651F3" w14:textId="646D852C" w:rsidR="00513960" w:rsidRDefault="00513960">
      <w:pPr>
        <w:pStyle w:val="FootnoteText"/>
      </w:pPr>
      <w:r>
        <w:rPr>
          <w:rStyle w:val="FootnoteReference"/>
        </w:rPr>
        <w:footnoteRef/>
      </w:r>
      <w:r>
        <w:t xml:space="preserve"> </w:t>
      </w:r>
      <w:r w:rsidRPr="000C1BEC">
        <w:t xml:space="preserve">Rogers, Alice J, ‘The Afterlife of Monuments in the English Peak District: The Evidence of Early Bronze Age Burials’, </w:t>
      </w:r>
      <w:r w:rsidRPr="000C1BEC">
        <w:rPr>
          <w:i/>
          <w:iCs/>
        </w:rPr>
        <w:t>Oxford Journal of Archaeology</w:t>
      </w:r>
      <w:r w:rsidRPr="000C1BEC">
        <w:t>, 32.1 (2013), pp. 39–51, doi:10.1111/ojoa.12001</w:t>
      </w:r>
      <w:r>
        <w:t xml:space="preserve"> p. 4</w:t>
      </w:r>
      <w:r w:rsidR="004B743C">
        <w:t>6</w:t>
      </w:r>
      <w:r>
        <w:t xml:space="preserve">. </w:t>
      </w:r>
    </w:p>
  </w:footnote>
  <w:footnote w:id="13">
    <w:p w14:paraId="21283457" w14:textId="60A0D856" w:rsidR="00825B1D" w:rsidRDefault="00825B1D">
      <w:pPr>
        <w:pStyle w:val="FootnoteText"/>
      </w:pPr>
      <w:r>
        <w:rPr>
          <w:rStyle w:val="FootnoteReference"/>
        </w:rPr>
        <w:footnoteRef/>
      </w:r>
      <w:r>
        <w:t xml:space="preserve"> </w:t>
      </w:r>
      <w:r w:rsidRPr="00825B1D">
        <w:t>Gray, H. St. George, ‘</w:t>
      </w:r>
      <w:proofErr w:type="gramStart"/>
      <w:r w:rsidRPr="00825B1D">
        <w:t>XXI.—</w:t>
      </w:r>
      <w:proofErr w:type="gramEnd"/>
      <w:r w:rsidRPr="00825B1D">
        <w:t xml:space="preserve">On the Excavations at Arbor Low, 1901-1902’, </w:t>
      </w:r>
      <w:proofErr w:type="spellStart"/>
      <w:r w:rsidRPr="00825B1D">
        <w:rPr>
          <w:i/>
          <w:iCs/>
        </w:rPr>
        <w:t>Archaeologia</w:t>
      </w:r>
      <w:proofErr w:type="spellEnd"/>
      <w:r w:rsidRPr="00825B1D">
        <w:rPr>
          <w:i/>
          <w:iCs/>
        </w:rPr>
        <w:t>: Or Miscellaneous Tracts Relating to Antiquity</w:t>
      </w:r>
      <w:r w:rsidRPr="00825B1D">
        <w:t>, 58.2 (1903), pp. 461–98, doi:10.1017/S0261340900009073</w:t>
      </w:r>
      <w:r>
        <w:t xml:space="preserve"> p. </w:t>
      </w:r>
      <w:r w:rsidR="00705617">
        <w:t>467</w:t>
      </w:r>
    </w:p>
  </w:footnote>
  <w:footnote w:id="14">
    <w:p w14:paraId="144CB63A" w14:textId="57123318" w:rsidR="00792FBB" w:rsidRDefault="00792FBB">
      <w:pPr>
        <w:pStyle w:val="FootnoteText"/>
      </w:pPr>
      <w:r>
        <w:rPr>
          <w:rStyle w:val="FootnoteReference"/>
        </w:rPr>
        <w:footnoteRef/>
      </w:r>
      <w:r>
        <w:t xml:space="preserve"> </w:t>
      </w:r>
      <w:r w:rsidRPr="00792FBB">
        <w:t xml:space="preserve">Carlin, Neil, ‘A Grave Matter of Ancient Kinship in Neolithic Britain’, </w:t>
      </w:r>
      <w:r w:rsidRPr="00792FBB">
        <w:rPr>
          <w:i/>
          <w:iCs/>
        </w:rPr>
        <w:t>Nature (London)</w:t>
      </w:r>
      <w:r w:rsidRPr="00792FBB">
        <w:t>, 601.7894 (2022), pp. 510–12, doi:10.1038/d41586-021-03799-3</w:t>
      </w:r>
      <w:r>
        <w:t xml:space="preserve"> p. 510</w:t>
      </w:r>
    </w:p>
  </w:footnote>
  <w:footnote w:id="15">
    <w:p w14:paraId="260C9705" w14:textId="204109E9" w:rsidR="00792FBB" w:rsidRPr="00792FBB" w:rsidRDefault="00792FBB" w:rsidP="00792FBB">
      <w:pPr>
        <w:pStyle w:val="FootnoteText"/>
      </w:pPr>
      <w:r>
        <w:rPr>
          <w:rStyle w:val="FootnoteReference"/>
        </w:rPr>
        <w:footnoteRef/>
      </w:r>
      <w:r>
        <w:t xml:space="preserve"> </w:t>
      </w:r>
      <w:r w:rsidRPr="00792FBB">
        <w:t xml:space="preserve">Carlin, Neil, ‘A Grave Matter of Ancient Kinship in Neolithic Britain’, </w:t>
      </w:r>
      <w:r w:rsidRPr="00792FBB">
        <w:rPr>
          <w:i/>
          <w:iCs/>
        </w:rPr>
        <w:t>Nature (London)</w:t>
      </w:r>
      <w:r w:rsidRPr="00792FBB">
        <w:t>, 601.7894 (2022), pp. 510–12, doi:10.1038/d41586-021-03799-3</w:t>
      </w:r>
      <w:r>
        <w:t xml:space="preserve"> p. 511</w:t>
      </w:r>
    </w:p>
    <w:p w14:paraId="421563C7" w14:textId="4C0A60E0" w:rsidR="00792FBB" w:rsidRDefault="00792FBB">
      <w:pPr>
        <w:pStyle w:val="FootnoteText"/>
      </w:pPr>
    </w:p>
  </w:footnote>
  <w:footnote w:id="16">
    <w:p w14:paraId="53802DF0" w14:textId="228F62CE" w:rsidR="00F05774" w:rsidRPr="00F05774" w:rsidRDefault="00F05774" w:rsidP="00F05774">
      <w:pPr>
        <w:pStyle w:val="FootnoteText"/>
      </w:pPr>
      <w:r>
        <w:rPr>
          <w:rStyle w:val="FootnoteReference"/>
        </w:rPr>
        <w:footnoteRef/>
      </w:r>
      <w:r>
        <w:t xml:space="preserve"> </w:t>
      </w:r>
      <w:r w:rsidRPr="00F05774">
        <w:t>Gray, H. St. George, ‘</w:t>
      </w:r>
      <w:proofErr w:type="gramStart"/>
      <w:r w:rsidRPr="00F05774">
        <w:t>XXI.—</w:t>
      </w:r>
      <w:proofErr w:type="gramEnd"/>
      <w:r w:rsidRPr="00F05774">
        <w:t xml:space="preserve">On the Excavations at Arbor Low, 1901-1902’, </w:t>
      </w:r>
      <w:proofErr w:type="spellStart"/>
      <w:r w:rsidRPr="00F05774">
        <w:rPr>
          <w:i/>
          <w:iCs/>
        </w:rPr>
        <w:t>Archaeologia</w:t>
      </w:r>
      <w:proofErr w:type="spellEnd"/>
      <w:r w:rsidRPr="00F05774">
        <w:rPr>
          <w:i/>
          <w:iCs/>
        </w:rPr>
        <w:t>: Or Miscellaneous Tracts Relating to Antiquity</w:t>
      </w:r>
      <w:r w:rsidRPr="00F05774">
        <w:t>, 58.2 (1903), pp. 461–98, doi:10.1017/S0261340900009073</w:t>
      </w:r>
      <w:r>
        <w:t xml:space="preserve"> p. </w:t>
      </w:r>
      <w:r w:rsidR="00360257">
        <w:t>490</w:t>
      </w:r>
    </w:p>
    <w:p w14:paraId="0386BBBA" w14:textId="776F2261" w:rsidR="00F05774" w:rsidRDefault="00F0577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A13CD"/>
    <w:multiLevelType w:val="multilevel"/>
    <w:tmpl w:val="43DC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4B24958"/>
    <w:multiLevelType w:val="multilevel"/>
    <w:tmpl w:val="EC00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37268824">
    <w:abstractNumId w:val="0"/>
  </w:num>
  <w:num w:numId="2" w16cid:durableId="190413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7BC"/>
    <w:rsid w:val="00020062"/>
    <w:rsid w:val="00022124"/>
    <w:rsid w:val="00025620"/>
    <w:rsid w:val="00026436"/>
    <w:rsid w:val="00027737"/>
    <w:rsid w:val="00027B61"/>
    <w:rsid w:val="000541B8"/>
    <w:rsid w:val="00071E96"/>
    <w:rsid w:val="000B1372"/>
    <w:rsid w:val="000B4895"/>
    <w:rsid w:val="000C1BEC"/>
    <w:rsid w:val="000C6E23"/>
    <w:rsid w:val="000E02F4"/>
    <w:rsid w:val="000E49D4"/>
    <w:rsid w:val="001757C0"/>
    <w:rsid w:val="00192389"/>
    <w:rsid w:val="001C466E"/>
    <w:rsid w:val="002240C1"/>
    <w:rsid w:val="002565F8"/>
    <w:rsid w:val="002578FB"/>
    <w:rsid w:val="002A2F48"/>
    <w:rsid w:val="002B0CB2"/>
    <w:rsid w:val="002F1B67"/>
    <w:rsid w:val="00343C51"/>
    <w:rsid w:val="00346E96"/>
    <w:rsid w:val="00360257"/>
    <w:rsid w:val="00364774"/>
    <w:rsid w:val="00383CBF"/>
    <w:rsid w:val="003A3B64"/>
    <w:rsid w:val="003B59D1"/>
    <w:rsid w:val="003E2042"/>
    <w:rsid w:val="00413F2E"/>
    <w:rsid w:val="00434FB7"/>
    <w:rsid w:val="00463C84"/>
    <w:rsid w:val="00482C92"/>
    <w:rsid w:val="004A6AAE"/>
    <w:rsid w:val="004B743C"/>
    <w:rsid w:val="004E35D2"/>
    <w:rsid w:val="00501019"/>
    <w:rsid w:val="00513960"/>
    <w:rsid w:val="005370E6"/>
    <w:rsid w:val="0054623A"/>
    <w:rsid w:val="005562E1"/>
    <w:rsid w:val="00565F6B"/>
    <w:rsid w:val="0059752F"/>
    <w:rsid w:val="005B5C57"/>
    <w:rsid w:val="0060387E"/>
    <w:rsid w:val="00620E03"/>
    <w:rsid w:val="00654B82"/>
    <w:rsid w:val="00681816"/>
    <w:rsid w:val="00687529"/>
    <w:rsid w:val="006C3E07"/>
    <w:rsid w:val="006D6008"/>
    <w:rsid w:val="00701E6D"/>
    <w:rsid w:val="00705617"/>
    <w:rsid w:val="00706B88"/>
    <w:rsid w:val="007216B3"/>
    <w:rsid w:val="0077427C"/>
    <w:rsid w:val="00792FBB"/>
    <w:rsid w:val="007C4EAF"/>
    <w:rsid w:val="007D3B2A"/>
    <w:rsid w:val="007E6F96"/>
    <w:rsid w:val="007F322B"/>
    <w:rsid w:val="00816DD6"/>
    <w:rsid w:val="00825B1D"/>
    <w:rsid w:val="00830BD5"/>
    <w:rsid w:val="0086567B"/>
    <w:rsid w:val="00876C95"/>
    <w:rsid w:val="0089027C"/>
    <w:rsid w:val="008A12ED"/>
    <w:rsid w:val="008B2A41"/>
    <w:rsid w:val="008E3A7B"/>
    <w:rsid w:val="00923A1D"/>
    <w:rsid w:val="00932FD6"/>
    <w:rsid w:val="00991EA1"/>
    <w:rsid w:val="009A3E86"/>
    <w:rsid w:val="009A5372"/>
    <w:rsid w:val="009B7EFB"/>
    <w:rsid w:val="009E4CEA"/>
    <w:rsid w:val="009F31F4"/>
    <w:rsid w:val="009F3A12"/>
    <w:rsid w:val="00A15060"/>
    <w:rsid w:val="00A35343"/>
    <w:rsid w:val="00AB24B9"/>
    <w:rsid w:val="00AC182D"/>
    <w:rsid w:val="00AD4993"/>
    <w:rsid w:val="00AD56B0"/>
    <w:rsid w:val="00B14D6D"/>
    <w:rsid w:val="00B40C99"/>
    <w:rsid w:val="00B61E0A"/>
    <w:rsid w:val="00BC4CA1"/>
    <w:rsid w:val="00BD497D"/>
    <w:rsid w:val="00C10327"/>
    <w:rsid w:val="00C138B3"/>
    <w:rsid w:val="00C24CB9"/>
    <w:rsid w:val="00C37E35"/>
    <w:rsid w:val="00C47265"/>
    <w:rsid w:val="00C55FDC"/>
    <w:rsid w:val="00C7020F"/>
    <w:rsid w:val="00C83F35"/>
    <w:rsid w:val="00C94085"/>
    <w:rsid w:val="00C9653B"/>
    <w:rsid w:val="00CB01DB"/>
    <w:rsid w:val="00CB2BDF"/>
    <w:rsid w:val="00CC10A8"/>
    <w:rsid w:val="00CD332A"/>
    <w:rsid w:val="00D42596"/>
    <w:rsid w:val="00D966BE"/>
    <w:rsid w:val="00DA477A"/>
    <w:rsid w:val="00DC1476"/>
    <w:rsid w:val="00DF4C20"/>
    <w:rsid w:val="00DF6399"/>
    <w:rsid w:val="00E270D1"/>
    <w:rsid w:val="00E50D97"/>
    <w:rsid w:val="00E64AEF"/>
    <w:rsid w:val="00E653BC"/>
    <w:rsid w:val="00E678A1"/>
    <w:rsid w:val="00E75704"/>
    <w:rsid w:val="00E82D31"/>
    <w:rsid w:val="00E84C33"/>
    <w:rsid w:val="00EA6A9C"/>
    <w:rsid w:val="00EB2B56"/>
    <w:rsid w:val="00EB3E6F"/>
    <w:rsid w:val="00EC1DC4"/>
    <w:rsid w:val="00EF47BC"/>
    <w:rsid w:val="00F007A5"/>
    <w:rsid w:val="00F05774"/>
    <w:rsid w:val="00F22932"/>
    <w:rsid w:val="00F575FF"/>
    <w:rsid w:val="00F662DC"/>
    <w:rsid w:val="00F70303"/>
    <w:rsid w:val="00FC5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BD7AA"/>
  <w15:chartTrackingRefBased/>
  <w15:docId w15:val="{93EA5AF2-BE8E-43DC-8948-09CDACD17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7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F47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F47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47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47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47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47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47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47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7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F47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F47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F47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F47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F47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47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47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47BC"/>
    <w:rPr>
      <w:rFonts w:eastAsiaTheme="majorEastAsia" w:cstheme="majorBidi"/>
      <w:color w:val="272727" w:themeColor="text1" w:themeTint="D8"/>
    </w:rPr>
  </w:style>
  <w:style w:type="paragraph" w:styleId="Title">
    <w:name w:val="Title"/>
    <w:basedOn w:val="Normal"/>
    <w:next w:val="Normal"/>
    <w:link w:val="TitleChar"/>
    <w:uiPriority w:val="10"/>
    <w:qFormat/>
    <w:rsid w:val="00EF47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47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47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47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47BC"/>
    <w:pPr>
      <w:spacing w:before="160"/>
      <w:jc w:val="center"/>
    </w:pPr>
    <w:rPr>
      <w:i/>
      <w:iCs/>
      <w:color w:val="404040" w:themeColor="text1" w:themeTint="BF"/>
    </w:rPr>
  </w:style>
  <w:style w:type="character" w:customStyle="1" w:styleId="QuoteChar">
    <w:name w:val="Quote Char"/>
    <w:basedOn w:val="DefaultParagraphFont"/>
    <w:link w:val="Quote"/>
    <w:uiPriority w:val="29"/>
    <w:rsid w:val="00EF47BC"/>
    <w:rPr>
      <w:i/>
      <w:iCs/>
      <w:color w:val="404040" w:themeColor="text1" w:themeTint="BF"/>
    </w:rPr>
  </w:style>
  <w:style w:type="paragraph" w:styleId="ListParagraph">
    <w:name w:val="List Paragraph"/>
    <w:basedOn w:val="Normal"/>
    <w:uiPriority w:val="34"/>
    <w:qFormat/>
    <w:rsid w:val="00EF47BC"/>
    <w:pPr>
      <w:ind w:left="720"/>
      <w:contextualSpacing/>
    </w:pPr>
  </w:style>
  <w:style w:type="character" w:styleId="IntenseEmphasis">
    <w:name w:val="Intense Emphasis"/>
    <w:basedOn w:val="DefaultParagraphFont"/>
    <w:uiPriority w:val="21"/>
    <w:qFormat/>
    <w:rsid w:val="00EF47BC"/>
    <w:rPr>
      <w:i/>
      <w:iCs/>
      <w:color w:val="2F5496" w:themeColor="accent1" w:themeShade="BF"/>
    </w:rPr>
  </w:style>
  <w:style w:type="paragraph" w:styleId="IntenseQuote">
    <w:name w:val="Intense Quote"/>
    <w:basedOn w:val="Normal"/>
    <w:next w:val="Normal"/>
    <w:link w:val="IntenseQuoteChar"/>
    <w:uiPriority w:val="30"/>
    <w:qFormat/>
    <w:rsid w:val="00EF47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47BC"/>
    <w:rPr>
      <w:i/>
      <w:iCs/>
      <w:color w:val="2F5496" w:themeColor="accent1" w:themeShade="BF"/>
    </w:rPr>
  </w:style>
  <w:style w:type="character" w:styleId="IntenseReference">
    <w:name w:val="Intense Reference"/>
    <w:basedOn w:val="DefaultParagraphFont"/>
    <w:uiPriority w:val="32"/>
    <w:qFormat/>
    <w:rsid w:val="00EF47BC"/>
    <w:rPr>
      <w:b/>
      <w:bCs/>
      <w:smallCaps/>
      <w:color w:val="2F5496" w:themeColor="accent1" w:themeShade="BF"/>
      <w:spacing w:val="5"/>
    </w:rPr>
  </w:style>
  <w:style w:type="paragraph" w:styleId="FootnoteText">
    <w:name w:val="footnote text"/>
    <w:basedOn w:val="Normal"/>
    <w:link w:val="FootnoteTextChar"/>
    <w:uiPriority w:val="99"/>
    <w:semiHidden/>
    <w:unhideWhenUsed/>
    <w:rsid w:val="00EF47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47BC"/>
    <w:rPr>
      <w:sz w:val="20"/>
      <w:szCs w:val="20"/>
    </w:rPr>
  </w:style>
  <w:style w:type="character" w:styleId="FootnoteReference">
    <w:name w:val="footnote reference"/>
    <w:basedOn w:val="DefaultParagraphFont"/>
    <w:uiPriority w:val="99"/>
    <w:semiHidden/>
    <w:unhideWhenUsed/>
    <w:rsid w:val="00EF47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027059">
      <w:bodyDiv w:val="1"/>
      <w:marLeft w:val="0"/>
      <w:marRight w:val="0"/>
      <w:marTop w:val="0"/>
      <w:marBottom w:val="0"/>
      <w:divBdr>
        <w:top w:val="none" w:sz="0" w:space="0" w:color="auto"/>
        <w:left w:val="none" w:sz="0" w:space="0" w:color="auto"/>
        <w:bottom w:val="none" w:sz="0" w:space="0" w:color="auto"/>
        <w:right w:val="none" w:sz="0" w:space="0" w:color="auto"/>
      </w:divBdr>
      <w:divsChild>
        <w:div w:id="1966152593">
          <w:marLeft w:val="0"/>
          <w:marRight w:val="0"/>
          <w:marTop w:val="0"/>
          <w:marBottom w:val="0"/>
          <w:divBdr>
            <w:top w:val="none" w:sz="0" w:space="0" w:color="auto"/>
            <w:left w:val="none" w:sz="0" w:space="0" w:color="auto"/>
            <w:bottom w:val="none" w:sz="0" w:space="0" w:color="auto"/>
            <w:right w:val="none" w:sz="0" w:space="0" w:color="auto"/>
          </w:divBdr>
          <w:divsChild>
            <w:div w:id="94543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91748">
      <w:bodyDiv w:val="1"/>
      <w:marLeft w:val="0"/>
      <w:marRight w:val="0"/>
      <w:marTop w:val="0"/>
      <w:marBottom w:val="0"/>
      <w:divBdr>
        <w:top w:val="none" w:sz="0" w:space="0" w:color="auto"/>
        <w:left w:val="none" w:sz="0" w:space="0" w:color="auto"/>
        <w:bottom w:val="none" w:sz="0" w:space="0" w:color="auto"/>
        <w:right w:val="none" w:sz="0" w:space="0" w:color="auto"/>
      </w:divBdr>
      <w:divsChild>
        <w:div w:id="1818572120">
          <w:marLeft w:val="0"/>
          <w:marRight w:val="0"/>
          <w:marTop w:val="0"/>
          <w:marBottom w:val="0"/>
          <w:divBdr>
            <w:top w:val="none" w:sz="0" w:space="0" w:color="auto"/>
            <w:left w:val="none" w:sz="0" w:space="0" w:color="auto"/>
            <w:bottom w:val="none" w:sz="0" w:space="0" w:color="auto"/>
            <w:right w:val="none" w:sz="0" w:space="0" w:color="auto"/>
          </w:divBdr>
          <w:divsChild>
            <w:div w:id="123385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45587">
      <w:bodyDiv w:val="1"/>
      <w:marLeft w:val="0"/>
      <w:marRight w:val="0"/>
      <w:marTop w:val="0"/>
      <w:marBottom w:val="0"/>
      <w:divBdr>
        <w:top w:val="none" w:sz="0" w:space="0" w:color="auto"/>
        <w:left w:val="none" w:sz="0" w:space="0" w:color="auto"/>
        <w:bottom w:val="none" w:sz="0" w:space="0" w:color="auto"/>
        <w:right w:val="none" w:sz="0" w:space="0" w:color="auto"/>
      </w:divBdr>
    </w:div>
    <w:div w:id="249855102">
      <w:bodyDiv w:val="1"/>
      <w:marLeft w:val="0"/>
      <w:marRight w:val="0"/>
      <w:marTop w:val="0"/>
      <w:marBottom w:val="0"/>
      <w:divBdr>
        <w:top w:val="none" w:sz="0" w:space="0" w:color="auto"/>
        <w:left w:val="none" w:sz="0" w:space="0" w:color="auto"/>
        <w:bottom w:val="none" w:sz="0" w:space="0" w:color="auto"/>
        <w:right w:val="none" w:sz="0" w:space="0" w:color="auto"/>
      </w:divBdr>
    </w:div>
    <w:div w:id="304746097">
      <w:bodyDiv w:val="1"/>
      <w:marLeft w:val="0"/>
      <w:marRight w:val="0"/>
      <w:marTop w:val="0"/>
      <w:marBottom w:val="0"/>
      <w:divBdr>
        <w:top w:val="none" w:sz="0" w:space="0" w:color="auto"/>
        <w:left w:val="none" w:sz="0" w:space="0" w:color="auto"/>
        <w:bottom w:val="none" w:sz="0" w:space="0" w:color="auto"/>
        <w:right w:val="none" w:sz="0" w:space="0" w:color="auto"/>
      </w:divBdr>
      <w:divsChild>
        <w:div w:id="2038046092">
          <w:marLeft w:val="0"/>
          <w:marRight w:val="0"/>
          <w:marTop w:val="0"/>
          <w:marBottom w:val="0"/>
          <w:divBdr>
            <w:top w:val="none" w:sz="0" w:space="0" w:color="auto"/>
            <w:left w:val="none" w:sz="0" w:space="0" w:color="auto"/>
            <w:bottom w:val="none" w:sz="0" w:space="0" w:color="auto"/>
            <w:right w:val="none" w:sz="0" w:space="0" w:color="auto"/>
          </w:divBdr>
          <w:divsChild>
            <w:div w:id="68393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664984">
      <w:bodyDiv w:val="1"/>
      <w:marLeft w:val="0"/>
      <w:marRight w:val="0"/>
      <w:marTop w:val="0"/>
      <w:marBottom w:val="0"/>
      <w:divBdr>
        <w:top w:val="none" w:sz="0" w:space="0" w:color="auto"/>
        <w:left w:val="none" w:sz="0" w:space="0" w:color="auto"/>
        <w:bottom w:val="none" w:sz="0" w:space="0" w:color="auto"/>
        <w:right w:val="none" w:sz="0" w:space="0" w:color="auto"/>
      </w:divBdr>
      <w:divsChild>
        <w:div w:id="225385644">
          <w:marLeft w:val="0"/>
          <w:marRight w:val="0"/>
          <w:marTop w:val="0"/>
          <w:marBottom w:val="0"/>
          <w:divBdr>
            <w:top w:val="none" w:sz="0" w:space="0" w:color="auto"/>
            <w:left w:val="none" w:sz="0" w:space="0" w:color="auto"/>
            <w:bottom w:val="none" w:sz="0" w:space="0" w:color="auto"/>
            <w:right w:val="none" w:sz="0" w:space="0" w:color="auto"/>
          </w:divBdr>
          <w:divsChild>
            <w:div w:id="184381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455121">
      <w:bodyDiv w:val="1"/>
      <w:marLeft w:val="0"/>
      <w:marRight w:val="0"/>
      <w:marTop w:val="0"/>
      <w:marBottom w:val="0"/>
      <w:divBdr>
        <w:top w:val="none" w:sz="0" w:space="0" w:color="auto"/>
        <w:left w:val="none" w:sz="0" w:space="0" w:color="auto"/>
        <w:bottom w:val="none" w:sz="0" w:space="0" w:color="auto"/>
        <w:right w:val="none" w:sz="0" w:space="0" w:color="auto"/>
      </w:divBdr>
      <w:divsChild>
        <w:div w:id="1436709139">
          <w:marLeft w:val="0"/>
          <w:marRight w:val="0"/>
          <w:marTop w:val="0"/>
          <w:marBottom w:val="0"/>
          <w:divBdr>
            <w:top w:val="none" w:sz="0" w:space="0" w:color="auto"/>
            <w:left w:val="none" w:sz="0" w:space="0" w:color="auto"/>
            <w:bottom w:val="none" w:sz="0" w:space="0" w:color="auto"/>
            <w:right w:val="none" w:sz="0" w:space="0" w:color="auto"/>
          </w:divBdr>
          <w:divsChild>
            <w:div w:id="135083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793817">
      <w:bodyDiv w:val="1"/>
      <w:marLeft w:val="0"/>
      <w:marRight w:val="0"/>
      <w:marTop w:val="0"/>
      <w:marBottom w:val="0"/>
      <w:divBdr>
        <w:top w:val="none" w:sz="0" w:space="0" w:color="auto"/>
        <w:left w:val="none" w:sz="0" w:space="0" w:color="auto"/>
        <w:bottom w:val="none" w:sz="0" w:space="0" w:color="auto"/>
        <w:right w:val="none" w:sz="0" w:space="0" w:color="auto"/>
      </w:divBdr>
      <w:divsChild>
        <w:div w:id="1336760901">
          <w:marLeft w:val="0"/>
          <w:marRight w:val="0"/>
          <w:marTop w:val="0"/>
          <w:marBottom w:val="0"/>
          <w:divBdr>
            <w:top w:val="none" w:sz="0" w:space="0" w:color="auto"/>
            <w:left w:val="none" w:sz="0" w:space="0" w:color="auto"/>
            <w:bottom w:val="none" w:sz="0" w:space="0" w:color="auto"/>
            <w:right w:val="none" w:sz="0" w:space="0" w:color="auto"/>
          </w:divBdr>
          <w:divsChild>
            <w:div w:id="65348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204146">
      <w:bodyDiv w:val="1"/>
      <w:marLeft w:val="0"/>
      <w:marRight w:val="0"/>
      <w:marTop w:val="0"/>
      <w:marBottom w:val="0"/>
      <w:divBdr>
        <w:top w:val="none" w:sz="0" w:space="0" w:color="auto"/>
        <w:left w:val="none" w:sz="0" w:space="0" w:color="auto"/>
        <w:bottom w:val="none" w:sz="0" w:space="0" w:color="auto"/>
        <w:right w:val="none" w:sz="0" w:space="0" w:color="auto"/>
      </w:divBdr>
      <w:divsChild>
        <w:div w:id="1601063144">
          <w:marLeft w:val="0"/>
          <w:marRight w:val="0"/>
          <w:marTop w:val="0"/>
          <w:marBottom w:val="0"/>
          <w:divBdr>
            <w:top w:val="none" w:sz="0" w:space="0" w:color="auto"/>
            <w:left w:val="none" w:sz="0" w:space="0" w:color="auto"/>
            <w:bottom w:val="none" w:sz="0" w:space="0" w:color="auto"/>
            <w:right w:val="none" w:sz="0" w:space="0" w:color="auto"/>
          </w:divBdr>
          <w:divsChild>
            <w:div w:id="139901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254061">
      <w:bodyDiv w:val="1"/>
      <w:marLeft w:val="0"/>
      <w:marRight w:val="0"/>
      <w:marTop w:val="0"/>
      <w:marBottom w:val="0"/>
      <w:divBdr>
        <w:top w:val="none" w:sz="0" w:space="0" w:color="auto"/>
        <w:left w:val="none" w:sz="0" w:space="0" w:color="auto"/>
        <w:bottom w:val="none" w:sz="0" w:space="0" w:color="auto"/>
        <w:right w:val="none" w:sz="0" w:space="0" w:color="auto"/>
      </w:divBdr>
      <w:divsChild>
        <w:div w:id="1005938896">
          <w:marLeft w:val="0"/>
          <w:marRight w:val="0"/>
          <w:marTop w:val="0"/>
          <w:marBottom w:val="0"/>
          <w:divBdr>
            <w:top w:val="none" w:sz="0" w:space="0" w:color="auto"/>
            <w:left w:val="none" w:sz="0" w:space="0" w:color="auto"/>
            <w:bottom w:val="none" w:sz="0" w:space="0" w:color="auto"/>
            <w:right w:val="none" w:sz="0" w:space="0" w:color="auto"/>
          </w:divBdr>
          <w:divsChild>
            <w:div w:id="45687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057312">
      <w:bodyDiv w:val="1"/>
      <w:marLeft w:val="0"/>
      <w:marRight w:val="0"/>
      <w:marTop w:val="0"/>
      <w:marBottom w:val="0"/>
      <w:divBdr>
        <w:top w:val="none" w:sz="0" w:space="0" w:color="auto"/>
        <w:left w:val="none" w:sz="0" w:space="0" w:color="auto"/>
        <w:bottom w:val="none" w:sz="0" w:space="0" w:color="auto"/>
        <w:right w:val="none" w:sz="0" w:space="0" w:color="auto"/>
      </w:divBdr>
      <w:divsChild>
        <w:div w:id="599413937">
          <w:marLeft w:val="0"/>
          <w:marRight w:val="0"/>
          <w:marTop w:val="0"/>
          <w:marBottom w:val="0"/>
          <w:divBdr>
            <w:top w:val="none" w:sz="0" w:space="0" w:color="auto"/>
            <w:left w:val="none" w:sz="0" w:space="0" w:color="auto"/>
            <w:bottom w:val="none" w:sz="0" w:space="0" w:color="auto"/>
            <w:right w:val="none" w:sz="0" w:space="0" w:color="auto"/>
          </w:divBdr>
          <w:divsChild>
            <w:div w:id="173716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819951">
      <w:bodyDiv w:val="1"/>
      <w:marLeft w:val="0"/>
      <w:marRight w:val="0"/>
      <w:marTop w:val="0"/>
      <w:marBottom w:val="0"/>
      <w:divBdr>
        <w:top w:val="none" w:sz="0" w:space="0" w:color="auto"/>
        <w:left w:val="none" w:sz="0" w:space="0" w:color="auto"/>
        <w:bottom w:val="none" w:sz="0" w:space="0" w:color="auto"/>
        <w:right w:val="none" w:sz="0" w:space="0" w:color="auto"/>
      </w:divBdr>
      <w:divsChild>
        <w:div w:id="841090740">
          <w:marLeft w:val="0"/>
          <w:marRight w:val="0"/>
          <w:marTop w:val="0"/>
          <w:marBottom w:val="0"/>
          <w:divBdr>
            <w:top w:val="none" w:sz="0" w:space="0" w:color="auto"/>
            <w:left w:val="none" w:sz="0" w:space="0" w:color="auto"/>
            <w:bottom w:val="none" w:sz="0" w:space="0" w:color="auto"/>
            <w:right w:val="none" w:sz="0" w:space="0" w:color="auto"/>
          </w:divBdr>
          <w:divsChild>
            <w:div w:id="131802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375245">
      <w:bodyDiv w:val="1"/>
      <w:marLeft w:val="0"/>
      <w:marRight w:val="0"/>
      <w:marTop w:val="0"/>
      <w:marBottom w:val="0"/>
      <w:divBdr>
        <w:top w:val="none" w:sz="0" w:space="0" w:color="auto"/>
        <w:left w:val="none" w:sz="0" w:space="0" w:color="auto"/>
        <w:bottom w:val="none" w:sz="0" w:space="0" w:color="auto"/>
        <w:right w:val="none" w:sz="0" w:space="0" w:color="auto"/>
      </w:divBdr>
      <w:divsChild>
        <w:div w:id="1588274096">
          <w:marLeft w:val="0"/>
          <w:marRight w:val="0"/>
          <w:marTop w:val="0"/>
          <w:marBottom w:val="0"/>
          <w:divBdr>
            <w:top w:val="none" w:sz="0" w:space="0" w:color="auto"/>
            <w:left w:val="none" w:sz="0" w:space="0" w:color="auto"/>
            <w:bottom w:val="none" w:sz="0" w:space="0" w:color="auto"/>
            <w:right w:val="none" w:sz="0" w:space="0" w:color="auto"/>
          </w:divBdr>
          <w:divsChild>
            <w:div w:id="143486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967934">
      <w:bodyDiv w:val="1"/>
      <w:marLeft w:val="0"/>
      <w:marRight w:val="0"/>
      <w:marTop w:val="0"/>
      <w:marBottom w:val="0"/>
      <w:divBdr>
        <w:top w:val="none" w:sz="0" w:space="0" w:color="auto"/>
        <w:left w:val="none" w:sz="0" w:space="0" w:color="auto"/>
        <w:bottom w:val="none" w:sz="0" w:space="0" w:color="auto"/>
        <w:right w:val="none" w:sz="0" w:space="0" w:color="auto"/>
      </w:divBdr>
      <w:divsChild>
        <w:div w:id="445588297">
          <w:marLeft w:val="0"/>
          <w:marRight w:val="0"/>
          <w:marTop w:val="0"/>
          <w:marBottom w:val="0"/>
          <w:divBdr>
            <w:top w:val="none" w:sz="0" w:space="0" w:color="auto"/>
            <w:left w:val="none" w:sz="0" w:space="0" w:color="auto"/>
            <w:bottom w:val="none" w:sz="0" w:space="0" w:color="auto"/>
            <w:right w:val="none" w:sz="0" w:space="0" w:color="auto"/>
          </w:divBdr>
          <w:divsChild>
            <w:div w:id="38109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56666">
      <w:bodyDiv w:val="1"/>
      <w:marLeft w:val="0"/>
      <w:marRight w:val="0"/>
      <w:marTop w:val="0"/>
      <w:marBottom w:val="0"/>
      <w:divBdr>
        <w:top w:val="none" w:sz="0" w:space="0" w:color="auto"/>
        <w:left w:val="none" w:sz="0" w:space="0" w:color="auto"/>
        <w:bottom w:val="none" w:sz="0" w:space="0" w:color="auto"/>
        <w:right w:val="none" w:sz="0" w:space="0" w:color="auto"/>
      </w:divBdr>
      <w:divsChild>
        <w:div w:id="713428174">
          <w:marLeft w:val="0"/>
          <w:marRight w:val="0"/>
          <w:marTop w:val="0"/>
          <w:marBottom w:val="0"/>
          <w:divBdr>
            <w:top w:val="none" w:sz="0" w:space="0" w:color="auto"/>
            <w:left w:val="none" w:sz="0" w:space="0" w:color="auto"/>
            <w:bottom w:val="none" w:sz="0" w:space="0" w:color="auto"/>
            <w:right w:val="none" w:sz="0" w:space="0" w:color="auto"/>
          </w:divBdr>
          <w:divsChild>
            <w:div w:id="214612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721223">
      <w:bodyDiv w:val="1"/>
      <w:marLeft w:val="0"/>
      <w:marRight w:val="0"/>
      <w:marTop w:val="0"/>
      <w:marBottom w:val="0"/>
      <w:divBdr>
        <w:top w:val="none" w:sz="0" w:space="0" w:color="auto"/>
        <w:left w:val="none" w:sz="0" w:space="0" w:color="auto"/>
        <w:bottom w:val="none" w:sz="0" w:space="0" w:color="auto"/>
        <w:right w:val="none" w:sz="0" w:space="0" w:color="auto"/>
      </w:divBdr>
      <w:divsChild>
        <w:div w:id="1289312514">
          <w:marLeft w:val="0"/>
          <w:marRight w:val="0"/>
          <w:marTop w:val="0"/>
          <w:marBottom w:val="0"/>
          <w:divBdr>
            <w:top w:val="none" w:sz="0" w:space="0" w:color="auto"/>
            <w:left w:val="none" w:sz="0" w:space="0" w:color="auto"/>
            <w:bottom w:val="none" w:sz="0" w:space="0" w:color="auto"/>
            <w:right w:val="none" w:sz="0" w:space="0" w:color="auto"/>
          </w:divBdr>
          <w:divsChild>
            <w:div w:id="142010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82751">
      <w:bodyDiv w:val="1"/>
      <w:marLeft w:val="0"/>
      <w:marRight w:val="0"/>
      <w:marTop w:val="0"/>
      <w:marBottom w:val="0"/>
      <w:divBdr>
        <w:top w:val="none" w:sz="0" w:space="0" w:color="auto"/>
        <w:left w:val="none" w:sz="0" w:space="0" w:color="auto"/>
        <w:bottom w:val="none" w:sz="0" w:space="0" w:color="auto"/>
        <w:right w:val="none" w:sz="0" w:space="0" w:color="auto"/>
      </w:divBdr>
      <w:divsChild>
        <w:div w:id="877661843">
          <w:marLeft w:val="0"/>
          <w:marRight w:val="0"/>
          <w:marTop w:val="0"/>
          <w:marBottom w:val="0"/>
          <w:divBdr>
            <w:top w:val="none" w:sz="0" w:space="0" w:color="auto"/>
            <w:left w:val="none" w:sz="0" w:space="0" w:color="auto"/>
            <w:bottom w:val="none" w:sz="0" w:space="0" w:color="auto"/>
            <w:right w:val="none" w:sz="0" w:space="0" w:color="auto"/>
          </w:divBdr>
          <w:divsChild>
            <w:div w:id="21436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9253">
      <w:bodyDiv w:val="1"/>
      <w:marLeft w:val="0"/>
      <w:marRight w:val="0"/>
      <w:marTop w:val="0"/>
      <w:marBottom w:val="0"/>
      <w:divBdr>
        <w:top w:val="none" w:sz="0" w:space="0" w:color="auto"/>
        <w:left w:val="none" w:sz="0" w:space="0" w:color="auto"/>
        <w:bottom w:val="none" w:sz="0" w:space="0" w:color="auto"/>
        <w:right w:val="none" w:sz="0" w:space="0" w:color="auto"/>
      </w:divBdr>
      <w:divsChild>
        <w:div w:id="920873362">
          <w:marLeft w:val="0"/>
          <w:marRight w:val="0"/>
          <w:marTop w:val="0"/>
          <w:marBottom w:val="0"/>
          <w:divBdr>
            <w:top w:val="none" w:sz="0" w:space="0" w:color="auto"/>
            <w:left w:val="none" w:sz="0" w:space="0" w:color="auto"/>
            <w:bottom w:val="none" w:sz="0" w:space="0" w:color="auto"/>
            <w:right w:val="none" w:sz="0" w:space="0" w:color="auto"/>
          </w:divBdr>
          <w:divsChild>
            <w:div w:id="13795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862294">
      <w:bodyDiv w:val="1"/>
      <w:marLeft w:val="0"/>
      <w:marRight w:val="0"/>
      <w:marTop w:val="0"/>
      <w:marBottom w:val="0"/>
      <w:divBdr>
        <w:top w:val="none" w:sz="0" w:space="0" w:color="auto"/>
        <w:left w:val="none" w:sz="0" w:space="0" w:color="auto"/>
        <w:bottom w:val="none" w:sz="0" w:space="0" w:color="auto"/>
        <w:right w:val="none" w:sz="0" w:space="0" w:color="auto"/>
      </w:divBdr>
      <w:divsChild>
        <w:div w:id="832991899">
          <w:marLeft w:val="0"/>
          <w:marRight w:val="0"/>
          <w:marTop w:val="0"/>
          <w:marBottom w:val="0"/>
          <w:divBdr>
            <w:top w:val="none" w:sz="0" w:space="0" w:color="auto"/>
            <w:left w:val="none" w:sz="0" w:space="0" w:color="auto"/>
            <w:bottom w:val="none" w:sz="0" w:space="0" w:color="auto"/>
            <w:right w:val="none" w:sz="0" w:space="0" w:color="auto"/>
          </w:divBdr>
          <w:divsChild>
            <w:div w:id="176915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826030">
      <w:bodyDiv w:val="1"/>
      <w:marLeft w:val="0"/>
      <w:marRight w:val="0"/>
      <w:marTop w:val="0"/>
      <w:marBottom w:val="0"/>
      <w:divBdr>
        <w:top w:val="none" w:sz="0" w:space="0" w:color="auto"/>
        <w:left w:val="none" w:sz="0" w:space="0" w:color="auto"/>
        <w:bottom w:val="none" w:sz="0" w:space="0" w:color="auto"/>
        <w:right w:val="none" w:sz="0" w:space="0" w:color="auto"/>
      </w:divBdr>
      <w:divsChild>
        <w:div w:id="520633717">
          <w:marLeft w:val="0"/>
          <w:marRight w:val="0"/>
          <w:marTop w:val="0"/>
          <w:marBottom w:val="0"/>
          <w:divBdr>
            <w:top w:val="none" w:sz="0" w:space="0" w:color="auto"/>
            <w:left w:val="none" w:sz="0" w:space="0" w:color="auto"/>
            <w:bottom w:val="none" w:sz="0" w:space="0" w:color="auto"/>
            <w:right w:val="none" w:sz="0" w:space="0" w:color="auto"/>
          </w:divBdr>
          <w:divsChild>
            <w:div w:id="146716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694572">
      <w:bodyDiv w:val="1"/>
      <w:marLeft w:val="0"/>
      <w:marRight w:val="0"/>
      <w:marTop w:val="0"/>
      <w:marBottom w:val="0"/>
      <w:divBdr>
        <w:top w:val="none" w:sz="0" w:space="0" w:color="auto"/>
        <w:left w:val="none" w:sz="0" w:space="0" w:color="auto"/>
        <w:bottom w:val="none" w:sz="0" w:space="0" w:color="auto"/>
        <w:right w:val="none" w:sz="0" w:space="0" w:color="auto"/>
      </w:divBdr>
      <w:divsChild>
        <w:div w:id="297958351">
          <w:marLeft w:val="0"/>
          <w:marRight w:val="0"/>
          <w:marTop w:val="0"/>
          <w:marBottom w:val="0"/>
          <w:divBdr>
            <w:top w:val="none" w:sz="0" w:space="0" w:color="auto"/>
            <w:left w:val="none" w:sz="0" w:space="0" w:color="auto"/>
            <w:bottom w:val="none" w:sz="0" w:space="0" w:color="auto"/>
            <w:right w:val="none" w:sz="0" w:space="0" w:color="auto"/>
          </w:divBdr>
          <w:divsChild>
            <w:div w:id="194676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608203">
      <w:bodyDiv w:val="1"/>
      <w:marLeft w:val="0"/>
      <w:marRight w:val="0"/>
      <w:marTop w:val="0"/>
      <w:marBottom w:val="0"/>
      <w:divBdr>
        <w:top w:val="none" w:sz="0" w:space="0" w:color="auto"/>
        <w:left w:val="none" w:sz="0" w:space="0" w:color="auto"/>
        <w:bottom w:val="none" w:sz="0" w:space="0" w:color="auto"/>
        <w:right w:val="none" w:sz="0" w:space="0" w:color="auto"/>
      </w:divBdr>
      <w:divsChild>
        <w:div w:id="1592816173">
          <w:marLeft w:val="0"/>
          <w:marRight w:val="0"/>
          <w:marTop w:val="0"/>
          <w:marBottom w:val="0"/>
          <w:divBdr>
            <w:top w:val="none" w:sz="0" w:space="0" w:color="auto"/>
            <w:left w:val="none" w:sz="0" w:space="0" w:color="auto"/>
            <w:bottom w:val="none" w:sz="0" w:space="0" w:color="auto"/>
            <w:right w:val="none" w:sz="0" w:space="0" w:color="auto"/>
          </w:divBdr>
          <w:divsChild>
            <w:div w:id="74927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448498">
      <w:bodyDiv w:val="1"/>
      <w:marLeft w:val="0"/>
      <w:marRight w:val="0"/>
      <w:marTop w:val="0"/>
      <w:marBottom w:val="0"/>
      <w:divBdr>
        <w:top w:val="none" w:sz="0" w:space="0" w:color="auto"/>
        <w:left w:val="none" w:sz="0" w:space="0" w:color="auto"/>
        <w:bottom w:val="none" w:sz="0" w:space="0" w:color="auto"/>
        <w:right w:val="none" w:sz="0" w:space="0" w:color="auto"/>
      </w:divBdr>
      <w:divsChild>
        <w:div w:id="227767363">
          <w:marLeft w:val="0"/>
          <w:marRight w:val="0"/>
          <w:marTop w:val="0"/>
          <w:marBottom w:val="0"/>
          <w:divBdr>
            <w:top w:val="none" w:sz="0" w:space="0" w:color="auto"/>
            <w:left w:val="none" w:sz="0" w:space="0" w:color="auto"/>
            <w:bottom w:val="none" w:sz="0" w:space="0" w:color="auto"/>
            <w:right w:val="none" w:sz="0" w:space="0" w:color="auto"/>
          </w:divBdr>
          <w:divsChild>
            <w:div w:id="18837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288433">
      <w:bodyDiv w:val="1"/>
      <w:marLeft w:val="0"/>
      <w:marRight w:val="0"/>
      <w:marTop w:val="0"/>
      <w:marBottom w:val="0"/>
      <w:divBdr>
        <w:top w:val="none" w:sz="0" w:space="0" w:color="auto"/>
        <w:left w:val="none" w:sz="0" w:space="0" w:color="auto"/>
        <w:bottom w:val="none" w:sz="0" w:space="0" w:color="auto"/>
        <w:right w:val="none" w:sz="0" w:space="0" w:color="auto"/>
      </w:divBdr>
      <w:divsChild>
        <w:div w:id="1512449964">
          <w:marLeft w:val="0"/>
          <w:marRight w:val="0"/>
          <w:marTop w:val="0"/>
          <w:marBottom w:val="0"/>
          <w:divBdr>
            <w:top w:val="none" w:sz="0" w:space="0" w:color="auto"/>
            <w:left w:val="none" w:sz="0" w:space="0" w:color="auto"/>
            <w:bottom w:val="none" w:sz="0" w:space="0" w:color="auto"/>
            <w:right w:val="none" w:sz="0" w:space="0" w:color="auto"/>
          </w:divBdr>
          <w:divsChild>
            <w:div w:id="183942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4</Pages>
  <Words>1036</Words>
  <Characters>5910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Chick</dc:creator>
  <cp:keywords/>
  <dc:description/>
  <cp:lastModifiedBy>Marcus Chick</cp:lastModifiedBy>
  <cp:revision>116</cp:revision>
  <dcterms:created xsi:type="dcterms:W3CDTF">2025-07-09T11:53:00Z</dcterms:created>
  <dcterms:modified xsi:type="dcterms:W3CDTF">2025-08-05T12:41:00Z</dcterms:modified>
</cp:coreProperties>
</file>