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29EC9" w14:textId="77777777" w:rsidR="0057781E" w:rsidRDefault="0057781E" w:rsidP="000E0B0A">
      <w:pPr>
        <w:jc w:val="center"/>
        <w:rPr>
          <w:rFonts w:ascii="Times" w:hAnsi="Times"/>
          <w:b/>
          <w:bCs/>
        </w:rPr>
      </w:pPr>
    </w:p>
    <w:p w14:paraId="27EC744F" w14:textId="77777777" w:rsidR="0057781E" w:rsidRDefault="0057781E" w:rsidP="000E0B0A">
      <w:pPr>
        <w:jc w:val="center"/>
        <w:rPr>
          <w:rFonts w:ascii="Times" w:hAnsi="Times"/>
          <w:b/>
          <w:bCs/>
        </w:rPr>
      </w:pPr>
    </w:p>
    <w:p w14:paraId="0F9F10AF" w14:textId="30AB3CAD" w:rsidR="0057781E" w:rsidRDefault="0057781E" w:rsidP="000E0B0A">
      <w:pPr>
        <w:jc w:val="center"/>
        <w:rPr>
          <w:rFonts w:ascii="Times" w:hAnsi="Times"/>
          <w:b/>
          <w:bCs/>
        </w:rPr>
      </w:pPr>
      <w:r w:rsidRPr="008236FF">
        <w:rPr>
          <w:noProof/>
        </w:rPr>
        <w:drawing>
          <wp:inline distT="0" distB="0" distL="0" distR="0" wp14:anchorId="34438281" wp14:editId="1CF2578C">
            <wp:extent cx="1634836" cy="655753"/>
            <wp:effectExtent l="0" t="0" r="381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3262" cy="663144"/>
                    </a:xfrm>
                    <a:prstGeom prst="rect">
                      <a:avLst/>
                    </a:prstGeom>
                    <a:noFill/>
                    <a:ln>
                      <a:noFill/>
                    </a:ln>
                  </pic:spPr>
                </pic:pic>
              </a:graphicData>
            </a:graphic>
          </wp:inline>
        </w:drawing>
      </w:r>
    </w:p>
    <w:p w14:paraId="63987BEF" w14:textId="77777777" w:rsidR="0057781E" w:rsidRDefault="0057781E" w:rsidP="000E0B0A">
      <w:pPr>
        <w:jc w:val="center"/>
        <w:rPr>
          <w:rFonts w:ascii="Times" w:hAnsi="Times"/>
          <w:b/>
          <w:bCs/>
        </w:rPr>
      </w:pPr>
    </w:p>
    <w:p w14:paraId="4263603A" w14:textId="77777777" w:rsidR="0057781E" w:rsidRDefault="0057781E" w:rsidP="000E0B0A">
      <w:pPr>
        <w:jc w:val="center"/>
        <w:rPr>
          <w:rFonts w:ascii="Times" w:hAnsi="Times"/>
          <w:b/>
          <w:bCs/>
        </w:rPr>
      </w:pPr>
    </w:p>
    <w:p w14:paraId="43C9AE48" w14:textId="77777777" w:rsidR="0057781E" w:rsidRDefault="0057781E" w:rsidP="000E0B0A">
      <w:pPr>
        <w:jc w:val="center"/>
        <w:rPr>
          <w:rFonts w:ascii="Times" w:hAnsi="Times"/>
          <w:b/>
          <w:bCs/>
        </w:rPr>
      </w:pPr>
    </w:p>
    <w:p w14:paraId="63E7F309" w14:textId="77777777" w:rsidR="0057781E" w:rsidRDefault="0057781E" w:rsidP="000E0B0A">
      <w:pPr>
        <w:jc w:val="center"/>
        <w:rPr>
          <w:rFonts w:ascii="Times" w:hAnsi="Times"/>
          <w:b/>
          <w:bCs/>
        </w:rPr>
      </w:pPr>
    </w:p>
    <w:p w14:paraId="07841385" w14:textId="77777777" w:rsidR="0057781E" w:rsidRDefault="0057781E" w:rsidP="000E0B0A">
      <w:pPr>
        <w:jc w:val="center"/>
        <w:rPr>
          <w:rFonts w:ascii="Times" w:hAnsi="Times"/>
          <w:b/>
          <w:bCs/>
        </w:rPr>
      </w:pPr>
    </w:p>
    <w:p w14:paraId="3A426B67" w14:textId="54637B75" w:rsidR="00A6076C" w:rsidRDefault="000E0B0A" w:rsidP="000E0B0A">
      <w:pPr>
        <w:jc w:val="center"/>
        <w:rPr>
          <w:rFonts w:ascii="Times" w:hAnsi="Times"/>
          <w:b/>
          <w:bCs/>
        </w:rPr>
      </w:pPr>
      <w:r>
        <w:rPr>
          <w:rFonts w:ascii="Times" w:hAnsi="Times"/>
          <w:b/>
          <w:bCs/>
        </w:rPr>
        <w:t>Programme: BA Business Management</w:t>
      </w:r>
    </w:p>
    <w:p w14:paraId="589F31B5" w14:textId="476B88D3" w:rsidR="000E0B0A" w:rsidRDefault="000E0B0A" w:rsidP="000E0B0A">
      <w:pPr>
        <w:jc w:val="center"/>
        <w:rPr>
          <w:rFonts w:ascii="Times" w:hAnsi="Times"/>
          <w:b/>
          <w:bCs/>
        </w:rPr>
      </w:pPr>
      <w:r>
        <w:rPr>
          <w:rFonts w:ascii="Times" w:hAnsi="Times"/>
          <w:b/>
          <w:bCs/>
        </w:rPr>
        <w:t>Module: Managing people</w:t>
      </w:r>
    </w:p>
    <w:p w14:paraId="036CD016" w14:textId="507ACB45" w:rsidR="000E0B0A" w:rsidRDefault="000E0B0A" w:rsidP="000E0B0A">
      <w:pPr>
        <w:jc w:val="center"/>
        <w:rPr>
          <w:rFonts w:ascii="Times" w:hAnsi="Times"/>
          <w:b/>
          <w:bCs/>
        </w:rPr>
      </w:pPr>
      <w:r>
        <w:rPr>
          <w:rFonts w:ascii="Times" w:hAnsi="Times"/>
          <w:b/>
          <w:bCs/>
        </w:rPr>
        <w:t>Module Code: LCBB5004</w:t>
      </w:r>
    </w:p>
    <w:p w14:paraId="11D4F408" w14:textId="181550AE" w:rsidR="000E0B0A" w:rsidRDefault="000E0B0A" w:rsidP="000E0B0A">
      <w:pPr>
        <w:jc w:val="center"/>
        <w:rPr>
          <w:rFonts w:ascii="Times" w:hAnsi="Times"/>
          <w:b/>
          <w:bCs/>
        </w:rPr>
      </w:pPr>
      <w:r>
        <w:rPr>
          <w:rFonts w:ascii="Times" w:hAnsi="Times"/>
          <w:b/>
          <w:bCs/>
        </w:rPr>
        <w:t xml:space="preserve">Lecturer: Charles </w:t>
      </w:r>
      <w:proofErr w:type="spellStart"/>
      <w:r>
        <w:rPr>
          <w:rFonts w:ascii="Times" w:hAnsi="Times"/>
          <w:b/>
          <w:bCs/>
        </w:rPr>
        <w:t>Oham</w:t>
      </w:r>
      <w:proofErr w:type="spellEnd"/>
    </w:p>
    <w:p w14:paraId="04C4ED3E" w14:textId="647F0DB7" w:rsidR="0057781E" w:rsidRDefault="0057781E" w:rsidP="000E0B0A">
      <w:pPr>
        <w:jc w:val="center"/>
        <w:rPr>
          <w:rFonts w:ascii="Times" w:hAnsi="Times"/>
          <w:b/>
          <w:bCs/>
        </w:rPr>
      </w:pPr>
      <w:r>
        <w:rPr>
          <w:rFonts w:ascii="Times" w:hAnsi="Times"/>
          <w:b/>
          <w:bCs/>
        </w:rPr>
        <w:t>Student name: Corina Iorga</w:t>
      </w:r>
    </w:p>
    <w:p w14:paraId="793E0A1B" w14:textId="3DDF295B" w:rsidR="0057781E" w:rsidRDefault="0057781E" w:rsidP="000E0B0A">
      <w:pPr>
        <w:jc w:val="center"/>
        <w:rPr>
          <w:rFonts w:ascii="Times" w:hAnsi="Times"/>
          <w:b/>
          <w:bCs/>
        </w:rPr>
      </w:pPr>
      <w:r>
        <w:rPr>
          <w:rFonts w:ascii="Times" w:hAnsi="Times"/>
          <w:b/>
          <w:bCs/>
        </w:rPr>
        <w:t>Student ID: 2008117</w:t>
      </w:r>
    </w:p>
    <w:p w14:paraId="354251CA" w14:textId="19B1B475" w:rsidR="00390816" w:rsidRDefault="00390816" w:rsidP="000E0B0A">
      <w:pPr>
        <w:jc w:val="center"/>
        <w:rPr>
          <w:rFonts w:ascii="Times" w:hAnsi="Times"/>
          <w:b/>
          <w:bCs/>
        </w:rPr>
      </w:pPr>
      <w:r>
        <w:rPr>
          <w:rFonts w:ascii="Times" w:hAnsi="Times"/>
          <w:b/>
          <w:bCs/>
        </w:rPr>
        <w:t xml:space="preserve">Assignment 2 </w:t>
      </w:r>
    </w:p>
    <w:p w14:paraId="14027514" w14:textId="01914A61" w:rsidR="0057781E" w:rsidRDefault="0057781E">
      <w:pPr>
        <w:rPr>
          <w:rFonts w:ascii="Times" w:hAnsi="Times"/>
          <w:b/>
          <w:bCs/>
        </w:rPr>
      </w:pPr>
      <w:r>
        <w:rPr>
          <w:rFonts w:ascii="Times" w:hAnsi="Times"/>
          <w:b/>
          <w:bCs/>
        </w:rPr>
        <w:br w:type="page"/>
      </w:r>
    </w:p>
    <w:sdt>
      <w:sdtPr>
        <w:rPr>
          <w:rFonts w:asciiTheme="minorHAnsi" w:eastAsiaTheme="minorHAnsi" w:hAnsiTheme="minorHAnsi" w:cstheme="minorBidi"/>
          <w:b w:val="0"/>
          <w:bCs w:val="0"/>
          <w:color w:val="auto"/>
          <w:sz w:val="24"/>
          <w:szCs w:val="24"/>
          <w:lang w:val="en-GB"/>
        </w:rPr>
        <w:id w:val="-1596696365"/>
        <w:docPartObj>
          <w:docPartGallery w:val="Table of Contents"/>
          <w:docPartUnique/>
        </w:docPartObj>
      </w:sdtPr>
      <w:sdtEndPr>
        <w:rPr>
          <w:noProof/>
        </w:rPr>
      </w:sdtEndPr>
      <w:sdtContent>
        <w:p w14:paraId="67A9DA0E" w14:textId="5A718792" w:rsidR="0057781E" w:rsidRDefault="0057781E">
          <w:pPr>
            <w:pStyle w:val="TOCHeading"/>
          </w:pPr>
          <w:r>
            <w:t>Table of Contents</w:t>
          </w:r>
        </w:p>
        <w:p w14:paraId="1C35392B" w14:textId="2B835A94" w:rsidR="0057781E" w:rsidRDefault="0057781E">
          <w:r>
            <w:t>1.Introduction……………………………</w:t>
          </w:r>
          <w:r w:rsidR="00AA1E3B">
            <w:t>………………………………………………………………………………………3</w:t>
          </w:r>
        </w:p>
        <w:p w14:paraId="69369C61" w14:textId="2CD1877E" w:rsidR="00AA1E3B" w:rsidRDefault="00AA1E3B">
          <w:r>
            <w:t>2.Concepts of employee engagement……………………………………………………………………………</w:t>
          </w:r>
          <w:proofErr w:type="gramStart"/>
          <w:r>
            <w:t>…..</w:t>
          </w:r>
          <w:proofErr w:type="gramEnd"/>
          <w:r>
            <w:t>4</w:t>
          </w:r>
        </w:p>
        <w:p w14:paraId="024A6F04" w14:textId="7D47A8DD" w:rsidR="00AA1E3B" w:rsidRDefault="00AA1E3B">
          <w:r>
            <w:t>3.The tools measuring the engagement…………………………………………………………………………</w:t>
          </w:r>
          <w:proofErr w:type="gramStart"/>
          <w:r>
            <w:t>…..</w:t>
          </w:r>
          <w:proofErr w:type="gramEnd"/>
          <w:r>
            <w:t>6</w:t>
          </w:r>
        </w:p>
        <w:p w14:paraId="4126258D" w14:textId="1D9AC352" w:rsidR="00AA1E3B" w:rsidRDefault="00AA1E3B">
          <w:r>
            <w:t>4.Employee value and strategies to raise employment engagement………………………………….7</w:t>
          </w:r>
        </w:p>
        <w:p w14:paraId="5543E56C" w14:textId="2CBE5EB3" w:rsidR="00AA1E3B" w:rsidRDefault="00AA1E3B">
          <w:r>
            <w:t>5.Conclusion………………………………………………………………………………………………………………………8</w:t>
          </w:r>
        </w:p>
        <w:p w14:paraId="1E43CB4D" w14:textId="30DE928D" w:rsidR="00AA1E3B" w:rsidRDefault="00AA1E3B">
          <w:pPr>
            <w:rPr>
              <w:b/>
              <w:bCs/>
              <w:noProof/>
            </w:rPr>
          </w:pPr>
          <w:r>
            <w:t>6.Reference……………………………………………………………………………………………………………………….9</w:t>
          </w:r>
        </w:p>
        <w:p w14:paraId="7A1F2DD7" w14:textId="5DBBB17D" w:rsidR="0057781E" w:rsidRDefault="00B9345D"/>
      </w:sdtContent>
    </w:sdt>
    <w:p w14:paraId="27C4BBEA" w14:textId="3222447A" w:rsidR="0057781E" w:rsidRDefault="0057781E" w:rsidP="000E0B0A">
      <w:pPr>
        <w:jc w:val="center"/>
        <w:rPr>
          <w:rFonts w:ascii="Times" w:hAnsi="Times"/>
          <w:b/>
          <w:bCs/>
        </w:rPr>
      </w:pPr>
    </w:p>
    <w:p w14:paraId="6544A7D2" w14:textId="77777777" w:rsidR="0057781E" w:rsidRDefault="0057781E">
      <w:pPr>
        <w:rPr>
          <w:rFonts w:ascii="Times" w:hAnsi="Times"/>
          <w:b/>
          <w:bCs/>
        </w:rPr>
      </w:pPr>
      <w:r>
        <w:rPr>
          <w:rFonts w:ascii="Times" w:hAnsi="Times"/>
          <w:b/>
          <w:bCs/>
        </w:rPr>
        <w:br w:type="page"/>
      </w:r>
    </w:p>
    <w:p w14:paraId="153BD5D6" w14:textId="6BBE698C" w:rsidR="0057781E" w:rsidRDefault="0057781E" w:rsidP="0057781E">
      <w:pPr>
        <w:pStyle w:val="Heading2"/>
      </w:pPr>
      <w:r>
        <w:lastRenderedPageBreak/>
        <w:t>Introduction</w:t>
      </w:r>
    </w:p>
    <w:p w14:paraId="02E413C7" w14:textId="63B7D865" w:rsidR="0057781E" w:rsidRDefault="0057781E" w:rsidP="0057781E">
      <w:pPr>
        <w:rPr>
          <w:rFonts w:ascii="Times" w:hAnsi="Times"/>
        </w:rPr>
      </w:pPr>
      <w:r w:rsidRPr="0057781E">
        <w:rPr>
          <w:rFonts w:ascii="Times" w:hAnsi="Times"/>
        </w:rPr>
        <w:t xml:space="preserve">The strength of an individual's identification with and involvement in an organisation is measured by </w:t>
      </w:r>
      <w:r>
        <w:rPr>
          <w:rFonts w:ascii="Times" w:hAnsi="Times"/>
        </w:rPr>
        <w:t xml:space="preserve">organizational </w:t>
      </w:r>
      <w:r w:rsidRPr="0057781E">
        <w:rPr>
          <w:rFonts w:ascii="Times" w:hAnsi="Times"/>
        </w:rPr>
        <w:t>engagement. HRM rules are intended to</w:t>
      </w:r>
      <w:r>
        <w:rPr>
          <w:rFonts w:ascii="Times" w:hAnsi="Times"/>
        </w:rPr>
        <w:t xml:space="preserve"> </w:t>
      </w:r>
      <w:r w:rsidRPr="0057781E">
        <w:rPr>
          <w:rFonts w:ascii="Times" w:hAnsi="Times"/>
        </w:rPr>
        <w:t xml:space="preserve">maximize organizational efficiency, work engagement, adaptability, and job quality,' according to a concept that has played an essential role in HRM philosophy. </w:t>
      </w:r>
      <w:r>
        <w:rPr>
          <w:rFonts w:ascii="Times" w:hAnsi="Times"/>
        </w:rPr>
        <w:t>Organizational engagement</w:t>
      </w:r>
      <w:r w:rsidRPr="0057781E">
        <w:rPr>
          <w:rFonts w:ascii="Times" w:hAnsi="Times"/>
        </w:rPr>
        <w:t xml:space="preserve"> was highlighted as a major feature in their HRM approach because it "may result in not just more loyalty and higher performance for the business, but also in self-worth, dignity, psychological engagement, and identity for the individual. It goes on to discuss commitment and engagement, as well as the elements that influence commitment and building a commitment plan. </w:t>
      </w:r>
    </w:p>
    <w:p w14:paraId="1EF5853E" w14:textId="1124B8DE" w:rsidR="0057781E" w:rsidRDefault="0057781E" w:rsidP="0057781E">
      <w:pPr>
        <w:rPr>
          <w:rFonts w:ascii="Times" w:hAnsi="Times"/>
        </w:rPr>
      </w:pPr>
      <w:r>
        <w:rPr>
          <w:rFonts w:ascii="Times" w:hAnsi="Times"/>
        </w:rPr>
        <w:t>Organizational engagement involves first commitment which means loyalty and attachment. A company engagement is associated with personal emotions and feelings about their organization that is a result of company interests and values. Employee engagement can be described a s a strong desire to be a member of the company as an acceptance of the goals and values of the company.</w:t>
      </w:r>
    </w:p>
    <w:p w14:paraId="48D4D897" w14:textId="1E1BAB0F" w:rsidR="00807BF6" w:rsidRDefault="00807BF6" w:rsidP="0057781E">
      <w:pPr>
        <w:rPr>
          <w:rFonts w:ascii="Times" w:hAnsi="Times"/>
        </w:rPr>
      </w:pPr>
      <w:r w:rsidRPr="00807BF6">
        <w:rPr>
          <w:rFonts w:ascii="Times" w:hAnsi="Times"/>
        </w:rPr>
        <w:t>People become engaged when they are passionate about their job and the company, and they are driven to reach outstanding results. For professionals, engagement has become a catch-all term for the different ways in which employers might solicit additional or discretionary effort from employees — a willingness to work beyond the contract.</w:t>
      </w:r>
    </w:p>
    <w:p w14:paraId="267E2CD3" w14:textId="184E2831" w:rsidR="00807BF6" w:rsidRDefault="00807BF6" w:rsidP="0057781E">
      <w:pPr>
        <w:rPr>
          <w:rFonts w:ascii="Times" w:hAnsi="Times"/>
        </w:rPr>
      </w:pPr>
      <w:r w:rsidRPr="00807BF6">
        <w:rPr>
          <w:rFonts w:ascii="Times" w:hAnsi="Times"/>
        </w:rPr>
        <w:t>The terms 'work satisfaction, “motivation,' and 'commitment,' according to Reilly and Brown (2008), are typically being substituted in management by 'engagement,' which appears to have greater descriptive force and face validity. 'Engagement may comprise the method via which HRM practitioners impact individual and organisational performance,' according to Truss et al (2013). </w:t>
      </w:r>
    </w:p>
    <w:p w14:paraId="2780C031" w14:textId="77777777" w:rsidR="0057781E" w:rsidRDefault="0057781E" w:rsidP="0057781E">
      <w:pPr>
        <w:rPr>
          <w:rFonts w:ascii="Times" w:hAnsi="Times"/>
        </w:rPr>
      </w:pPr>
      <w:r>
        <w:rPr>
          <w:rFonts w:ascii="Times" w:hAnsi="Times"/>
        </w:rPr>
        <w:t>In the next few paragraphs is described and related in more details about employee engagement and how to measure it order to be able to visualise the whole picture of the company and assure all the employees are happy and enough productive.</w:t>
      </w:r>
    </w:p>
    <w:p w14:paraId="3F6796FB" w14:textId="77777777" w:rsidR="0057781E" w:rsidRDefault="0057781E" w:rsidP="0057781E">
      <w:pPr>
        <w:rPr>
          <w:rFonts w:ascii="Times" w:hAnsi="Times"/>
        </w:rPr>
      </w:pPr>
    </w:p>
    <w:p w14:paraId="48EBAFBD" w14:textId="77777777" w:rsidR="00807BF6" w:rsidRDefault="00807BF6" w:rsidP="0057781E">
      <w:pPr>
        <w:rPr>
          <w:rFonts w:ascii="Times" w:hAnsi="Times"/>
        </w:rPr>
      </w:pPr>
    </w:p>
    <w:p w14:paraId="68F8F65E" w14:textId="77777777" w:rsidR="00807BF6" w:rsidRDefault="00807BF6">
      <w:pPr>
        <w:rPr>
          <w:rFonts w:ascii="Times" w:hAnsi="Times"/>
        </w:rPr>
      </w:pPr>
      <w:r>
        <w:rPr>
          <w:rFonts w:ascii="Times" w:hAnsi="Times"/>
        </w:rPr>
        <w:br w:type="page"/>
      </w:r>
    </w:p>
    <w:p w14:paraId="3894FD2D" w14:textId="79322D6C" w:rsidR="00807BF6" w:rsidRDefault="00807BF6" w:rsidP="00807BF6">
      <w:pPr>
        <w:pStyle w:val="Heading2"/>
      </w:pPr>
      <w:r>
        <w:lastRenderedPageBreak/>
        <w:t>Concepts of employee engagement</w:t>
      </w:r>
    </w:p>
    <w:p w14:paraId="15058DFC" w14:textId="77777777" w:rsidR="00807BF6" w:rsidRPr="00807BF6" w:rsidRDefault="00807BF6" w:rsidP="00807BF6"/>
    <w:p w14:paraId="023619FA" w14:textId="77777777" w:rsidR="00807BF6" w:rsidRDefault="00807BF6">
      <w:pPr>
        <w:rPr>
          <w:rFonts w:ascii="Times" w:hAnsi="Times"/>
        </w:rPr>
      </w:pPr>
      <w:r>
        <w:rPr>
          <w:rFonts w:ascii="Times" w:hAnsi="Times"/>
        </w:rPr>
        <w:t>T</w:t>
      </w:r>
      <w:r w:rsidRPr="00807BF6">
        <w:rPr>
          <w:rFonts w:ascii="Times" w:hAnsi="Times"/>
        </w:rPr>
        <w:t>he terms "job satisfaction," "motivation," and "commitment" are often replaced in management with "engagement," which appears to have higher descriptive force and face validity. Also 'engagement may include the technique by which HRM practitioners influence individual and organisational performance</w:t>
      </w:r>
      <w:r>
        <w:rPr>
          <w:rFonts w:ascii="Times" w:hAnsi="Times"/>
        </w:rPr>
        <w:t>.</w:t>
      </w:r>
      <w:r w:rsidRPr="00807BF6">
        <w:t xml:space="preserve"> </w:t>
      </w:r>
      <w:r w:rsidRPr="00807BF6">
        <w:rPr>
          <w:rFonts w:ascii="Times" w:hAnsi="Times"/>
        </w:rPr>
        <w:t>Engagement has been defined as "a distinct and original construct made up of mental, emotive, and patterns linked to individual role performance.</w:t>
      </w:r>
    </w:p>
    <w:p w14:paraId="64D7B957" w14:textId="77777777" w:rsidR="00807BF6" w:rsidRDefault="00807BF6">
      <w:pPr>
        <w:rPr>
          <w:rFonts w:ascii="Times" w:hAnsi="Times"/>
        </w:rPr>
      </w:pPr>
      <w:r w:rsidRPr="00807BF6">
        <w:rPr>
          <w:rFonts w:ascii="Times" w:hAnsi="Times"/>
        </w:rPr>
        <w:t>Employee engagement can be divided into three categories: intellectual engagement (thinking hard about the job and how to improve it); affective engagement (feeling good about doing a good job); and social engagement (actively seeking out opportunities to discuss work-related improvements with co-workers</w:t>
      </w:r>
      <w:r>
        <w:rPr>
          <w:rFonts w:ascii="Times" w:hAnsi="Times"/>
        </w:rPr>
        <w:t>).</w:t>
      </w:r>
    </w:p>
    <w:p w14:paraId="4953CE88" w14:textId="77777777" w:rsidR="00807BF6" w:rsidRDefault="00807BF6">
      <w:pPr>
        <w:rPr>
          <w:rFonts w:ascii="Times" w:hAnsi="Times"/>
        </w:rPr>
      </w:pPr>
      <w:r>
        <w:rPr>
          <w:rFonts w:ascii="Times" w:hAnsi="Times"/>
        </w:rPr>
        <w:t>The term “Engagement “can be used to describe what is happening when people are involved and positive exited about their work, experiencing positive behaviour and are motivated to reach a high level of efficiency. In a simple way to describe engagement means feeling good about your work. Employee engagement is also the connection the workers feel for their company.</w:t>
      </w:r>
    </w:p>
    <w:p w14:paraId="6EEA4ACF" w14:textId="77777777" w:rsidR="00807BF6" w:rsidRDefault="00807BF6">
      <w:pPr>
        <w:rPr>
          <w:rFonts w:ascii="Times" w:hAnsi="Times"/>
        </w:rPr>
      </w:pPr>
      <w:r w:rsidRPr="00807BF6">
        <w:rPr>
          <w:rFonts w:ascii="Times" w:hAnsi="Times"/>
        </w:rPr>
        <w:t>According to social exchange theory, responsibilities are formed through a sequence of exchanges between parties who are mutually interdependent. According to social exchange theory, relationships develop over time into trusting, loyal, and mutual commitments if the parties follow specific 'rules of trade.</w:t>
      </w:r>
      <w:r>
        <w:rPr>
          <w:rFonts w:ascii="Times" w:hAnsi="Times"/>
        </w:rPr>
        <w:t xml:space="preserve"> Saks (2006) O</w:t>
      </w:r>
      <w:r w:rsidRPr="00807BF6">
        <w:rPr>
          <w:rFonts w:ascii="Times" w:hAnsi="Times"/>
        </w:rPr>
        <w:t>ne method for people to repay their organisations is by increasing their level of engagement. To put it another way, employees will choose to engage to varied degrees and in reaction to the resources provided by their employer.</w:t>
      </w:r>
    </w:p>
    <w:p w14:paraId="7F3EFE2E" w14:textId="77777777" w:rsidR="00807BF6" w:rsidRDefault="00807BF6">
      <w:pPr>
        <w:rPr>
          <w:rFonts w:ascii="Times" w:hAnsi="Times"/>
        </w:rPr>
      </w:pPr>
      <w:r>
        <w:rPr>
          <w:rFonts w:ascii="Times" w:hAnsi="Times"/>
        </w:rPr>
        <w:t>The concept of engagement can be described in terms of its components, antecedents (the driving force) and its outcomes.</w:t>
      </w:r>
    </w:p>
    <w:p w14:paraId="46F35834" w14:textId="7EEDB7D0" w:rsidR="00807BF6" w:rsidRDefault="00807BF6">
      <w:pPr>
        <w:rPr>
          <w:rFonts w:ascii="Times" w:hAnsi="Times"/>
        </w:rPr>
      </w:pPr>
      <w:r>
        <w:rPr>
          <w:rFonts w:ascii="Times" w:hAnsi="Times"/>
        </w:rPr>
        <w:t>Employee engagements consist of 3 components, and they are listed below and illustrated in the following figure.</w:t>
      </w:r>
    </w:p>
    <w:p w14:paraId="07AF193E" w14:textId="77777777" w:rsidR="00807BF6" w:rsidRPr="00807BF6" w:rsidRDefault="00807BF6" w:rsidP="00807BF6">
      <w:pPr>
        <w:pStyle w:val="ListParagraph"/>
        <w:numPr>
          <w:ilvl w:val="0"/>
          <w:numId w:val="1"/>
        </w:numPr>
        <w:rPr>
          <w:rFonts w:ascii="Times" w:hAnsi="Times"/>
        </w:rPr>
      </w:pPr>
      <w:r w:rsidRPr="00807BF6">
        <w:rPr>
          <w:rFonts w:ascii="Times" w:hAnsi="Times"/>
        </w:rPr>
        <w:t>Commitment</w:t>
      </w:r>
    </w:p>
    <w:p w14:paraId="52F3C067" w14:textId="77777777" w:rsidR="00807BF6" w:rsidRPr="00807BF6" w:rsidRDefault="00807BF6" w:rsidP="00807BF6">
      <w:pPr>
        <w:pStyle w:val="ListParagraph"/>
        <w:numPr>
          <w:ilvl w:val="0"/>
          <w:numId w:val="1"/>
        </w:numPr>
        <w:rPr>
          <w:rFonts w:ascii="Times" w:hAnsi="Times"/>
        </w:rPr>
      </w:pPr>
      <w:r w:rsidRPr="00807BF6">
        <w:rPr>
          <w:rFonts w:ascii="Times" w:hAnsi="Times"/>
        </w:rPr>
        <w:t>Organizational citizenship</w:t>
      </w:r>
    </w:p>
    <w:p w14:paraId="335EA2F3" w14:textId="0DC75C95" w:rsidR="00807BF6" w:rsidRDefault="00807BF6" w:rsidP="00807BF6">
      <w:pPr>
        <w:pStyle w:val="ListParagraph"/>
        <w:numPr>
          <w:ilvl w:val="0"/>
          <w:numId w:val="1"/>
        </w:numPr>
        <w:rPr>
          <w:rFonts w:ascii="Times" w:hAnsi="Times"/>
        </w:rPr>
      </w:pPr>
      <w:r w:rsidRPr="00807BF6">
        <w:rPr>
          <w:rFonts w:ascii="Times" w:hAnsi="Times"/>
        </w:rPr>
        <w:t>Motivation</w:t>
      </w:r>
    </w:p>
    <w:p w14:paraId="3437758E" w14:textId="4EA58F9E" w:rsidR="00807BF6" w:rsidRDefault="00807BF6" w:rsidP="00807BF6">
      <w:pPr>
        <w:pStyle w:val="ListParagraph"/>
        <w:jc w:val="both"/>
        <w:rPr>
          <w:rFonts w:ascii="Times" w:hAnsi="Times"/>
        </w:rPr>
      </w:pPr>
    </w:p>
    <w:p w14:paraId="408381BB" w14:textId="77777777" w:rsidR="00807BF6" w:rsidRDefault="00807BF6" w:rsidP="00807BF6">
      <w:pPr>
        <w:pStyle w:val="ListParagraph"/>
        <w:rPr>
          <w:rFonts w:ascii="Times" w:hAnsi="Times"/>
        </w:rPr>
      </w:pPr>
    </w:p>
    <w:p w14:paraId="5A3BB5FF" w14:textId="099755E8" w:rsidR="00807BF6" w:rsidRDefault="00807BF6" w:rsidP="00807BF6">
      <w:pPr>
        <w:jc w:val="center"/>
        <w:rPr>
          <w:rFonts w:ascii="Times" w:hAnsi="Times"/>
        </w:rPr>
      </w:pPr>
      <w:r>
        <w:rPr>
          <w:rFonts w:ascii="Times" w:hAnsi="Times"/>
        </w:rPr>
        <w:t>Fig.1</w:t>
      </w:r>
    </w:p>
    <w:p w14:paraId="052AA42A" w14:textId="4FE89595" w:rsidR="00807BF6" w:rsidRDefault="00807BF6" w:rsidP="00807BF6">
      <w:pPr>
        <w:rPr>
          <w:rFonts w:ascii="Times" w:hAnsi="Times"/>
        </w:rPr>
      </w:pPr>
    </w:p>
    <w:p w14:paraId="28BF430E" w14:textId="4B9FE5E8" w:rsidR="00807BF6" w:rsidRDefault="00807BF6" w:rsidP="00807BF6">
      <w:pPr>
        <w:jc w:val="center"/>
        <w:rPr>
          <w:rFonts w:ascii="Times" w:hAnsi="Times"/>
        </w:rPr>
      </w:pPr>
      <w:r>
        <w:rPr>
          <w:rFonts w:ascii="Times" w:hAnsi="Times"/>
          <w:noProof/>
        </w:rPr>
        <w:drawing>
          <wp:inline distT="0" distB="0" distL="0" distR="0" wp14:anchorId="5043C8FA" wp14:editId="67D61084">
            <wp:extent cx="2115127" cy="1717675"/>
            <wp:effectExtent l="0" t="0" r="635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83" cy="1767420"/>
                    </a:xfrm>
                    <a:prstGeom prst="rect">
                      <a:avLst/>
                    </a:prstGeom>
                  </pic:spPr>
                </pic:pic>
              </a:graphicData>
            </a:graphic>
          </wp:inline>
        </w:drawing>
      </w:r>
    </w:p>
    <w:p w14:paraId="56A2E0FA" w14:textId="16468A2B" w:rsidR="00807BF6" w:rsidRPr="00807BF6" w:rsidRDefault="00807BF6" w:rsidP="00807BF6">
      <w:pPr>
        <w:jc w:val="center"/>
        <w:rPr>
          <w:rFonts w:ascii="Times" w:hAnsi="Times"/>
        </w:rPr>
      </w:pPr>
      <w:r>
        <w:rPr>
          <w:rFonts w:ascii="Times" w:hAnsi="Times"/>
        </w:rPr>
        <w:t>Source Armstrong et al (2010)</w:t>
      </w:r>
    </w:p>
    <w:p w14:paraId="05E81E3F" w14:textId="00B1989C" w:rsidR="00807BF6" w:rsidRDefault="00807BF6" w:rsidP="00807BF6">
      <w:pPr>
        <w:rPr>
          <w:rFonts w:ascii="Times" w:hAnsi="Times"/>
        </w:rPr>
      </w:pPr>
      <w:r w:rsidRPr="00807BF6">
        <w:rPr>
          <w:rFonts w:ascii="Times" w:hAnsi="Times"/>
        </w:rPr>
        <w:br w:type="page"/>
      </w:r>
    </w:p>
    <w:p w14:paraId="38383778" w14:textId="1BA83138" w:rsidR="00807BF6" w:rsidRDefault="00807BF6" w:rsidP="00807BF6">
      <w:pPr>
        <w:rPr>
          <w:rFonts w:ascii="Times" w:hAnsi="Times"/>
          <w:b/>
          <w:bCs/>
        </w:rPr>
      </w:pPr>
      <w:r>
        <w:rPr>
          <w:rFonts w:ascii="Times" w:hAnsi="Times"/>
          <w:b/>
          <w:bCs/>
        </w:rPr>
        <w:lastRenderedPageBreak/>
        <w:t>Engagement commitment</w:t>
      </w:r>
    </w:p>
    <w:p w14:paraId="1E74E8A5" w14:textId="05CC3B76" w:rsidR="00807BF6" w:rsidRDefault="00807BF6" w:rsidP="00807BF6">
      <w:pPr>
        <w:rPr>
          <w:rFonts w:ascii="Times" w:hAnsi="Times"/>
        </w:rPr>
      </w:pPr>
      <w:r>
        <w:rPr>
          <w:rFonts w:ascii="Times" w:hAnsi="Times"/>
        </w:rPr>
        <w:t xml:space="preserve">The idea of commitment and organizational engagement are very similar in terms of concept. Even if these concepts are similar commitment does not </w:t>
      </w:r>
      <w:proofErr w:type="gramStart"/>
      <w:r>
        <w:rPr>
          <w:rFonts w:ascii="Times" w:hAnsi="Times"/>
        </w:rPr>
        <w:t>include  the</w:t>
      </w:r>
      <w:proofErr w:type="gramEnd"/>
      <w:r>
        <w:rPr>
          <w:rFonts w:ascii="Times" w:hAnsi="Times"/>
        </w:rPr>
        <w:t xml:space="preserve"> main aspects of engagement which is two-way nature and the idee to which an employee are expected to have good feelings and attitudes about their work.</w:t>
      </w:r>
    </w:p>
    <w:p w14:paraId="0711DA57" w14:textId="52F1DF1F" w:rsidR="00807BF6" w:rsidRDefault="00807BF6" w:rsidP="00807BF6">
      <w:pPr>
        <w:rPr>
          <w:rFonts w:ascii="Times" w:hAnsi="Times"/>
        </w:rPr>
      </w:pPr>
    </w:p>
    <w:p w14:paraId="240985D9" w14:textId="54BD0B4A" w:rsidR="00807BF6" w:rsidRDefault="00807BF6" w:rsidP="00807BF6">
      <w:pPr>
        <w:rPr>
          <w:rFonts w:ascii="Times" w:hAnsi="Times"/>
          <w:b/>
          <w:bCs/>
        </w:rPr>
      </w:pPr>
      <w:r>
        <w:rPr>
          <w:rFonts w:ascii="Times" w:hAnsi="Times"/>
          <w:b/>
          <w:bCs/>
        </w:rPr>
        <w:t>Motivation</w:t>
      </w:r>
    </w:p>
    <w:p w14:paraId="7366E873" w14:textId="38F2817B" w:rsidR="00807BF6" w:rsidRDefault="00807BF6" w:rsidP="00807BF6">
      <w:pPr>
        <w:rPr>
          <w:rFonts w:ascii="Times" w:hAnsi="Times"/>
        </w:rPr>
      </w:pPr>
      <w:r w:rsidRPr="00807BF6">
        <w:rPr>
          <w:rFonts w:ascii="Times" w:hAnsi="Times"/>
        </w:rPr>
        <w:t>The fundamental component of engagement is motivation. 'When the work itself is significant, it is also considered to have internal drive</w:t>
      </w:r>
      <w:r>
        <w:rPr>
          <w:rFonts w:ascii="Times" w:hAnsi="Times"/>
        </w:rPr>
        <w:t>.</w:t>
      </w:r>
      <w:r w:rsidRPr="00807BF6">
        <w:rPr>
          <w:rFonts w:ascii="Times" w:hAnsi="Times"/>
        </w:rPr>
        <w:t> This suggests that it is the labour itself, not the income or recognition, that produces positive sentiments of involvement. Employees that are engaged believe that their jobs are a significant part of who they are,' according to the study.</w:t>
      </w:r>
    </w:p>
    <w:p w14:paraId="4A5E2A3F" w14:textId="19878636" w:rsidR="00807BF6" w:rsidRDefault="00807BF6" w:rsidP="00807BF6">
      <w:pPr>
        <w:rPr>
          <w:rFonts w:ascii="Times" w:hAnsi="Times"/>
        </w:rPr>
      </w:pPr>
    </w:p>
    <w:p w14:paraId="7F34787D" w14:textId="3BF6F44F" w:rsidR="00807BF6" w:rsidRDefault="00807BF6" w:rsidP="00807BF6">
      <w:pPr>
        <w:rPr>
          <w:rFonts w:ascii="Times" w:hAnsi="Times"/>
          <w:b/>
          <w:bCs/>
        </w:rPr>
      </w:pPr>
      <w:r>
        <w:rPr>
          <w:rFonts w:ascii="Times" w:hAnsi="Times"/>
          <w:b/>
          <w:bCs/>
        </w:rPr>
        <w:t>Organizational Citizenship</w:t>
      </w:r>
    </w:p>
    <w:p w14:paraId="189C3702" w14:textId="329DE202" w:rsidR="00807BF6" w:rsidRDefault="00807BF6" w:rsidP="00807BF6">
      <w:pPr>
        <w:jc w:val="both"/>
      </w:pPr>
      <w:r w:rsidRPr="00807BF6">
        <w:rPr>
          <w:rFonts w:ascii="Times" w:hAnsi="Times"/>
        </w:rPr>
        <w:t>Employee behaviour that goes far beyond call of duty and adds to organisational effectiveness is referred to as organisational citizenship behaviour. It is optional and not officially acknowledged by the formal incentive system of the employer.</w:t>
      </w:r>
      <w:r w:rsidRPr="00807BF6">
        <w:t xml:space="preserve"> </w:t>
      </w:r>
      <w:r w:rsidRPr="00807BF6">
        <w:rPr>
          <w:rFonts w:ascii="Times" w:hAnsi="Times"/>
        </w:rPr>
        <w:t xml:space="preserve">Job happiness and organisational commitment combine to create organisational citizenship. It's comparable to the engagement literature's concepts of being courteous of and helpful to co-workers, as well as a readiness to go the additional mile or work longer hours, try harder, accomplish more, and talk favourably about the </w:t>
      </w:r>
      <w:proofErr w:type="spellStart"/>
      <w:proofErr w:type="gramStart"/>
      <w:r w:rsidRPr="00807BF6">
        <w:rPr>
          <w:rFonts w:ascii="Times" w:hAnsi="Times"/>
        </w:rPr>
        <w:t>company.</w:t>
      </w:r>
      <w:r>
        <w:rPr>
          <w:rFonts w:ascii="Times" w:hAnsi="Times"/>
        </w:rPr>
        <w:t>T</w:t>
      </w:r>
      <w:r w:rsidRPr="00807BF6">
        <w:rPr>
          <w:rFonts w:ascii="Times" w:hAnsi="Times"/>
        </w:rPr>
        <w:t>his</w:t>
      </w:r>
      <w:proofErr w:type="spellEnd"/>
      <w:proofErr w:type="gramEnd"/>
      <w:r w:rsidRPr="00807BF6">
        <w:rPr>
          <w:rFonts w:ascii="Times" w:hAnsi="Times"/>
        </w:rPr>
        <w:t xml:space="preserve"> desirable behaviour has been linked to the work environment rather than individual preferences</w:t>
      </w:r>
      <w:r w:rsidRPr="00807BF6">
        <w:t>.</w:t>
      </w:r>
    </w:p>
    <w:p w14:paraId="6DF44103" w14:textId="4E6F0B92" w:rsidR="00B32C7B" w:rsidRDefault="00B32C7B" w:rsidP="00807BF6">
      <w:pPr>
        <w:jc w:val="both"/>
      </w:pPr>
    </w:p>
    <w:p w14:paraId="151BC712" w14:textId="1A4EDF2F" w:rsidR="00B32C7B" w:rsidRDefault="00B32C7B" w:rsidP="00807BF6">
      <w:pPr>
        <w:jc w:val="both"/>
        <w:rPr>
          <w:rFonts w:ascii="Times" w:hAnsi="Times"/>
          <w:b/>
          <w:bCs/>
        </w:rPr>
      </w:pPr>
      <w:r>
        <w:rPr>
          <w:rFonts w:ascii="Times" w:hAnsi="Times"/>
          <w:b/>
          <w:bCs/>
        </w:rPr>
        <w:t>Antecedents and Driving force of employee engagement</w:t>
      </w:r>
    </w:p>
    <w:p w14:paraId="5ED4E0DE" w14:textId="5D0BB239" w:rsidR="00B32C7B" w:rsidRDefault="00B32C7B" w:rsidP="00807BF6">
      <w:pPr>
        <w:jc w:val="both"/>
        <w:rPr>
          <w:rFonts w:ascii="Times" w:hAnsi="Times"/>
        </w:rPr>
      </w:pPr>
      <w:r>
        <w:rPr>
          <w:rFonts w:ascii="Times" w:hAnsi="Times"/>
        </w:rPr>
        <w:t>In order to help in growing the employee engagement it is mandatory to understand the factors that has an impact on it. The drivers which affect employee engagement are the following:</w:t>
      </w:r>
    </w:p>
    <w:p w14:paraId="1ECCA180" w14:textId="77777777" w:rsidR="00B32C7B" w:rsidRDefault="00B32C7B" w:rsidP="00807BF6">
      <w:pPr>
        <w:jc w:val="both"/>
        <w:rPr>
          <w:rFonts w:ascii="Times" w:hAnsi="Times"/>
          <w:i/>
          <w:iCs/>
        </w:rPr>
      </w:pPr>
    </w:p>
    <w:p w14:paraId="2B8E72A3" w14:textId="7928EC7D" w:rsidR="00B32C7B" w:rsidRDefault="00B32C7B" w:rsidP="00807BF6">
      <w:pPr>
        <w:jc w:val="both"/>
        <w:rPr>
          <w:rFonts w:ascii="Times" w:hAnsi="Times"/>
        </w:rPr>
      </w:pPr>
      <w:r>
        <w:rPr>
          <w:rFonts w:ascii="Times" w:hAnsi="Times"/>
          <w:i/>
          <w:iCs/>
        </w:rPr>
        <w:t xml:space="preserve">       Autonomy- </w:t>
      </w:r>
      <w:r w:rsidRPr="00B32C7B">
        <w:rPr>
          <w:rFonts w:ascii="Times" w:hAnsi="Times"/>
        </w:rPr>
        <w:t>Employees have the freedom, independence, and discretion to schedule their work and determine the processes for carrying it out. It gives you a control or power over work.</w:t>
      </w:r>
    </w:p>
    <w:p w14:paraId="3205633C" w14:textId="13BCB6F6" w:rsidR="00B32C7B" w:rsidRDefault="00B32C7B" w:rsidP="00807BF6">
      <w:pPr>
        <w:jc w:val="both"/>
        <w:rPr>
          <w:rFonts w:ascii="Times" w:hAnsi="Times"/>
        </w:rPr>
      </w:pPr>
    </w:p>
    <w:p w14:paraId="49C3BDC1" w14:textId="21A0D4B0" w:rsidR="00B32C7B" w:rsidRDefault="00B32C7B" w:rsidP="00807BF6">
      <w:pPr>
        <w:jc w:val="both"/>
        <w:rPr>
          <w:rFonts w:ascii="Times" w:hAnsi="Times"/>
          <w:i/>
          <w:iCs/>
        </w:rPr>
      </w:pPr>
      <w:r>
        <w:rPr>
          <w:rFonts w:ascii="Times" w:hAnsi="Times"/>
        </w:rPr>
        <w:t xml:space="preserve">      </w:t>
      </w:r>
      <w:r>
        <w:rPr>
          <w:rFonts w:ascii="Times" w:hAnsi="Times"/>
          <w:i/>
          <w:iCs/>
        </w:rPr>
        <w:t>Job challenge-</w:t>
      </w:r>
      <w:r w:rsidRPr="00B32C7B">
        <w:t xml:space="preserve"> </w:t>
      </w:r>
      <w:r w:rsidRPr="00B32C7B">
        <w:rPr>
          <w:rFonts w:ascii="Times" w:hAnsi="Times"/>
        </w:rPr>
        <w:t>This occurs when the job scope is vast, job responsibility is great, and the workload is heavy. It increases participation by providing opportunities for achievement and personal development</w:t>
      </w:r>
      <w:r w:rsidRPr="00B32C7B">
        <w:rPr>
          <w:rFonts w:ascii="Times" w:hAnsi="Times"/>
          <w:i/>
          <w:iCs/>
        </w:rPr>
        <w:t>.</w:t>
      </w:r>
    </w:p>
    <w:p w14:paraId="320C3084" w14:textId="18AE03DC" w:rsidR="00B32C7B" w:rsidRDefault="00B32C7B" w:rsidP="00807BF6">
      <w:pPr>
        <w:jc w:val="both"/>
        <w:rPr>
          <w:rFonts w:ascii="Times" w:hAnsi="Times"/>
          <w:i/>
          <w:iCs/>
        </w:rPr>
      </w:pPr>
    </w:p>
    <w:p w14:paraId="66D6C278" w14:textId="455A6BA3" w:rsidR="00B32C7B" w:rsidRDefault="00B32C7B" w:rsidP="00807BF6">
      <w:pPr>
        <w:jc w:val="both"/>
        <w:rPr>
          <w:rFonts w:ascii="Times" w:hAnsi="Times"/>
        </w:rPr>
      </w:pPr>
      <w:r>
        <w:rPr>
          <w:rFonts w:ascii="Times" w:hAnsi="Times"/>
          <w:i/>
          <w:iCs/>
        </w:rPr>
        <w:t xml:space="preserve">       Opportunities for development-</w:t>
      </w:r>
      <w:r>
        <w:rPr>
          <w:rFonts w:ascii="Times" w:hAnsi="Times"/>
        </w:rPr>
        <w:t xml:space="preserve"> The opportunities provide chances to an employee to grow and fulfil.</w:t>
      </w:r>
    </w:p>
    <w:p w14:paraId="38E0338B" w14:textId="0C26217C" w:rsidR="00B32C7B" w:rsidRDefault="00B32C7B" w:rsidP="00807BF6">
      <w:pPr>
        <w:jc w:val="both"/>
        <w:rPr>
          <w:rFonts w:ascii="Times" w:hAnsi="Times"/>
        </w:rPr>
      </w:pPr>
    </w:p>
    <w:p w14:paraId="2DDF3830" w14:textId="2F0526B0" w:rsidR="00B32C7B" w:rsidRDefault="00B32C7B" w:rsidP="00807BF6">
      <w:pPr>
        <w:jc w:val="both"/>
        <w:rPr>
          <w:rFonts w:ascii="Times" w:hAnsi="Times"/>
        </w:rPr>
      </w:pPr>
      <w:r>
        <w:rPr>
          <w:rFonts w:ascii="Times" w:hAnsi="Times"/>
        </w:rPr>
        <w:t xml:space="preserve">      </w:t>
      </w:r>
      <w:r>
        <w:rPr>
          <w:rFonts w:ascii="Times" w:hAnsi="Times"/>
          <w:i/>
          <w:iCs/>
        </w:rPr>
        <w:t xml:space="preserve">Rewards and recognition- </w:t>
      </w:r>
      <w:r w:rsidRPr="00B32C7B">
        <w:rPr>
          <w:rFonts w:ascii="Times" w:hAnsi="Times"/>
        </w:rPr>
        <w:t>These are both direct and indirect rewards on one's own investment of time in performing a job function.</w:t>
      </w:r>
    </w:p>
    <w:p w14:paraId="73A9FA10" w14:textId="5AEB26A1" w:rsidR="00B32C7B" w:rsidRDefault="00B32C7B" w:rsidP="00807BF6">
      <w:pPr>
        <w:jc w:val="both"/>
        <w:rPr>
          <w:rFonts w:ascii="Times" w:hAnsi="Times"/>
        </w:rPr>
      </w:pPr>
    </w:p>
    <w:p w14:paraId="0A35E135" w14:textId="0BDB1DEA" w:rsidR="00B32C7B" w:rsidRDefault="00B32C7B" w:rsidP="00807BF6">
      <w:pPr>
        <w:jc w:val="both"/>
        <w:rPr>
          <w:rFonts w:ascii="Times" w:hAnsi="Times"/>
        </w:rPr>
      </w:pPr>
      <w:r>
        <w:rPr>
          <w:rFonts w:ascii="Times" w:hAnsi="Times"/>
        </w:rPr>
        <w:t xml:space="preserve">      </w:t>
      </w:r>
      <w:r>
        <w:rPr>
          <w:rFonts w:ascii="Times" w:hAnsi="Times"/>
          <w:i/>
          <w:iCs/>
        </w:rPr>
        <w:t>Variety-</w:t>
      </w:r>
      <w:r>
        <w:rPr>
          <w:rFonts w:ascii="Times" w:hAnsi="Times"/>
        </w:rPr>
        <w:t xml:space="preserve"> </w:t>
      </w:r>
      <w:r w:rsidRPr="00B32C7B">
        <w:rPr>
          <w:rFonts w:ascii="Times" w:hAnsi="Times"/>
        </w:rPr>
        <w:t>Individuals who have professions that allow them to do a variety of things or employ a variety of abilities.</w:t>
      </w:r>
    </w:p>
    <w:p w14:paraId="7017532D" w14:textId="49DED5E4" w:rsidR="00B32C7B" w:rsidRDefault="00B32C7B" w:rsidP="00807BF6">
      <w:pPr>
        <w:jc w:val="both"/>
        <w:rPr>
          <w:rFonts w:ascii="Times" w:hAnsi="Times"/>
        </w:rPr>
      </w:pPr>
    </w:p>
    <w:p w14:paraId="04C05F14" w14:textId="630C2E2C" w:rsidR="00B32C7B" w:rsidRDefault="00B32C7B" w:rsidP="00807BF6">
      <w:pPr>
        <w:jc w:val="both"/>
        <w:rPr>
          <w:rFonts w:ascii="Times" w:hAnsi="Times"/>
        </w:rPr>
      </w:pPr>
    </w:p>
    <w:p w14:paraId="655438C1" w14:textId="6B123E18" w:rsidR="00B32C7B" w:rsidRDefault="00B32C7B" w:rsidP="00807BF6">
      <w:pPr>
        <w:jc w:val="both"/>
        <w:rPr>
          <w:rFonts w:ascii="Times" w:hAnsi="Times"/>
        </w:rPr>
      </w:pPr>
    </w:p>
    <w:p w14:paraId="35E513D5" w14:textId="48111025" w:rsidR="00B32C7B" w:rsidRDefault="00B32C7B" w:rsidP="00807BF6">
      <w:pPr>
        <w:jc w:val="both"/>
        <w:rPr>
          <w:rFonts w:ascii="Times" w:hAnsi="Times"/>
          <w:b/>
          <w:bCs/>
        </w:rPr>
      </w:pPr>
      <w:r>
        <w:rPr>
          <w:rFonts w:ascii="Times" w:hAnsi="Times"/>
          <w:b/>
          <w:bCs/>
        </w:rPr>
        <w:t>The outcomes of engagement</w:t>
      </w:r>
    </w:p>
    <w:p w14:paraId="51A52B2A" w14:textId="7E592AB1" w:rsidR="00B32C7B" w:rsidRDefault="00B32C7B" w:rsidP="00807BF6">
      <w:pPr>
        <w:jc w:val="both"/>
        <w:rPr>
          <w:rFonts w:ascii="Times" w:hAnsi="Times"/>
        </w:rPr>
      </w:pPr>
      <w:r>
        <w:rPr>
          <w:rFonts w:ascii="Times" w:hAnsi="Times"/>
        </w:rPr>
        <w:t xml:space="preserve">A high level of engagement means that the employees are increasing the effort and productivity, the work quality is also </w:t>
      </w:r>
      <w:proofErr w:type="gramStart"/>
      <w:r>
        <w:rPr>
          <w:rFonts w:ascii="Times" w:hAnsi="Times"/>
        </w:rPr>
        <w:t>increased</w:t>
      </w:r>
      <w:proofErr w:type="gramEnd"/>
      <w:r>
        <w:rPr>
          <w:rFonts w:ascii="Times" w:hAnsi="Times"/>
        </w:rPr>
        <w:t xml:space="preserve"> and the error rates are decreased. The outcome of a high level of engagement results in higher profitability, enhanced client satisfaction and loyalty and the most important one in a higher chance of business success. </w:t>
      </w:r>
      <w:r w:rsidRPr="00B32C7B">
        <w:rPr>
          <w:rFonts w:ascii="Times" w:hAnsi="Times"/>
        </w:rPr>
        <w:t xml:space="preserve">Employees that are </w:t>
      </w:r>
      <w:r w:rsidRPr="00B32C7B">
        <w:rPr>
          <w:rFonts w:ascii="Times" w:hAnsi="Times"/>
        </w:rPr>
        <w:lastRenderedPageBreak/>
        <w:t>more engaged perform better, are more innovative, are more likely to want to stay with their employers, have higher levels of personal health, and consider their workload to be more sustainable.</w:t>
      </w:r>
    </w:p>
    <w:p w14:paraId="3DC7BF36" w14:textId="1E57902D" w:rsidR="00B32C7B" w:rsidRPr="00B32C7B" w:rsidRDefault="00B32C7B" w:rsidP="00807BF6">
      <w:pPr>
        <w:jc w:val="both"/>
        <w:rPr>
          <w:rFonts w:ascii="Times" w:hAnsi="Times"/>
        </w:rPr>
      </w:pPr>
      <w:r>
        <w:rPr>
          <w:rFonts w:ascii="Times" w:hAnsi="Times"/>
        </w:rPr>
        <w:t xml:space="preserve">In order to perform a high level of employee engagement </w:t>
      </w:r>
      <w:proofErr w:type="gramStart"/>
      <w:r>
        <w:rPr>
          <w:rFonts w:ascii="Times" w:hAnsi="Times"/>
        </w:rPr>
        <w:t>its</w:t>
      </w:r>
      <w:proofErr w:type="gramEnd"/>
      <w:r>
        <w:rPr>
          <w:rFonts w:ascii="Times" w:hAnsi="Times"/>
        </w:rPr>
        <w:t xml:space="preserve"> needed a modality to measure it and to be able to read and see the company situation and that is why is necessary to say about the tools that can measure the level of engagement. Below will be related about how the employee engagement is measured and tools are used for this.</w:t>
      </w:r>
    </w:p>
    <w:p w14:paraId="1858E6DA" w14:textId="2042D010" w:rsidR="00B32C7B" w:rsidRDefault="00B32C7B" w:rsidP="00807BF6">
      <w:pPr>
        <w:jc w:val="both"/>
        <w:rPr>
          <w:rFonts w:ascii="Times" w:hAnsi="Times"/>
        </w:rPr>
      </w:pPr>
    </w:p>
    <w:p w14:paraId="3E34B4C1" w14:textId="070719C6" w:rsidR="00B32C7B" w:rsidRDefault="00B32C7B" w:rsidP="00807BF6">
      <w:pPr>
        <w:jc w:val="both"/>
        <w:rPr>
          <w:rFonts w:ascii="Times" w:hAnsi="Times"/>
        </w:rPr>
      </w:pPr>
    </w:p>
    <w:p w14:paraId="3674633F" w14:textId="2A104912" w:rsidR="00B32C7B" w:rsidRDefault="00B32C7B" w:rsidP="00807BF6">
      <w:pPr>
        <w:jc w:val="both"/>
        <w:rPr>
          <w:rFonts w:ascii="Times" w:hAnsi="Times"/>
        </w:rPr>
      </w:pPr>
    </w:p>
    <w:p w14:paraId="4DD00191" w14:textId="17770985" w:rsidR="00B32C7B" w:rsidRDefault="00B32C7B" w:rsidP="00B32C7B">
      <w:pPr>
        <w:pStyle w:val="Heading2"/>
      </w:pPr>
      <w:r>
        <w:t>The tools measuring the engagement</w:t>
      </w:r>
    </w:p>
    <w:p w14:paraId="02BAFBD7" w14:textId="77777777" w:rsidR="00B32C7B" w:rsidRPr="00B32C7B" w:rsidRDefault="00B32C7B" w:rsidP="00B32C7B">
      <w:pPr>
        <w:rPr>
          <w:rFonts w:ascii="Times" w:hAnsi="Times"/>
        </w:rPr>
      </w:pPr>
      <w:r w:rsidRPr="00B32C7B">
        <w:rPr>
          <w:rFonts w:ascii="Times" w:hAnsi="Times"/>
        </w:rPr>
        <w:t>Business executives have challenges in creating an engaged team culture that will drive their company's success in today's multi-generational and mobile workforce. Only 12% of employees think their company is "great at effectively fostering the desired culture,</w:t>
      </w:r>
    </w:p>
    <w:p w14:paraId="5A5C2166" w14:textId="77777777" w:rsidR="00B32C7B" w:rsidRPr="00B32C7B" w:rsidRDefault="00B32C7B" w:rsidP="00B32C7B">
      <w:pPr>
        <w:rPr>
          <w:rFonts w:ascii="Times" w:hAnsi="Times"/>
        </w:rPr>
      </w:pPr>
      <w:r w:rsidRPr="00B32C7B">
        <w:rPr>
          <w:rFonts w:ascii="Times" w:hAnsi="Times"/>
        </w:rPr>
        <w:t>Only 32% of the American workforce is completely engaged, according to a Gallup poll from 2015, indicating that the rest are either not fully engaged or actively disengaged. This causes issues for businesses because Gallup research show that employee engagement has a direct impact on a company's bottom line.</w:t>
      </w:r>
    </w:p>
    <w:p w14:paraId="1B7A2C09" w14:textId="77777777" w:rsidR="00B32C7B" w:rsidRPr="00B32C7B" w:rsidRDefault="00B32C7B" w:rsidP="00B32C7B">
      <w:pPr>
        <w:rPr>
          <w:rFonts w:ascii="Times" w:hAnsi="Times"/>
        </w:rPr>
      </w:pPr>
    </w:p>
    <w:p w14:paraId="4CB4E25F" w14:textId="23202343" w:rsidR="00B32C7B" w:rsidRDefault="00B32C7B" w:rsidP="00B32C7B">
      <w:pPr>
        <w:rPr>
          <w:rFonts w:ascii="Times" w:hAnsi="Times"/>
        </w:rPr>
      </w:pPr>
      <w:r w:rsidRPr="00B32C7B">
        <w:rPr>
          <w:rFonts w:ascii="Times" w:hAnsi="Times"/>
        </w:rPr>
        <w:t>Businesses should search for measures to monitor and measure employee engagement levels in order to ensure future success.</w:t>
      </w:r>
    </w:p>
    <w:p w14:paraId="22F5805B" w14:textId="28B49C7B" w:rsidR="00B32C7B" w:rsidRDefault="00B32C7B" w:rsidP="00B32C7B">
      <w:pPr>
        <w:rPr>
          <w:rFonts w:ascii="Times" w:hAnsi="Times"/>
        </w:rPr>
      </w:pPr>
      <w:r>
        <w:rPr>
          <w:rFonts w:ascii="Times" w:hAnsi="Times"/>
        </w:rPr>
        <w:t>Here are some tools to measure employee engagement:</w:t>
      </w:r>
    </w:p>
    <w:p w14:paraId="4AE1ABC0" w14:textId="77777777" w:rsidR="00B32C7B" w:rsidRDefault="00B32C7B" w:rsidP="00B32C7B">
      <w:pPr>
        <w:rPr>
          <w:rFonts w:ascii="Times" w:hAnsi="Times"/>
          <w:i/>
          <w:iCs/>
        </w:rPr>
      </w:pPr>
      <w:r>
        <w:rPr>
          <w:rFonts w:ascii="Times" w:hAnsi="Times"/>
          <w:i/>
          <w:iCs/>
        </w:rPr>
        <w:t xml:space="preserve">    </w:t>
      </w:r>
    </w:p>
    <w:p w14:paraId="52DDD36A" w14:textId="580FA101" w:rsidR="00B32C7B" w:rsidRPr="00B32C7B" w:rsidRDefault="00B32C7B" w:rsidP="00B32C7B">
      <w:pPr>
        <w:rPr>
          <w:rFonts w:ascii="Times" w:hAnsi="Times"/>
        </w:rPr>
      </w:pPr>
      <w:r>
        <w:rPr>
          <w:rFonts w:ascii="Times" w:hAnsi="Times"/>
          <w:i/>
          <w:iCs/>
        </w:rPr>
        <w:t xml:space="preserve">        Employee surveys-</w:t>
      </w:r>
      <w:r>
        <w:rPr>
          <w:rFonts w:ascii="Times" w:hAnsi="Times"/>
        </w:rPr>
        <w:t xml:space="preserve"> </w:t>
      </w:r>
      <w:r w:rsidRPr="00B32C7B">
        <w:rPr>
          <w:rFonts w:ascii="Times" w:hAnsi="Times"/>
        </w:rPr>
        <w:t>Employee engagement is most typically measured with surveys, which provide input on employee sentiments and opinions. The most effective surveys can be completed and submitted anonymously, increasing participation rates and allowing staff to give more honest comments.</w:t>
      </w:r>
    </w:p>
    <w:p w14:paraId="33E3DE7F" w14:textId="7DF2D891" w:rsidR="00B32C7B" w:rsidRDefault="00B32C7B" w:rsidP="00B32C7B">
      <w:pPr>
        <w:rPr>
          <w:rFonts w:ascii="Times" w:hAnsi="Times"/>
        </w:rPr>
      </w:pPr>
      <w:r w:rsidRPr="00B32C7B">
        <w:rPr>
          <w:rFonts w:ascii="Times" w:hAnsi="Times"/>
        </w:rPr>
        <w:t>Using a third-party administrator (such as Survey Monkey) might also give employees more confidence in their ability to express themselves without fear of reprisal.</w:t>
      </w:r>
    </w:p>
    <w:p w14:paraId="43D889FD" w14:textId="77777777" w:rsidR="00B32C7B" w:rsidRPr="00B32C7B" w:rsidRDefault="00B32C7B" w:rsidP="00B32C7B">
      <w:pPr>
        <w:rPr>
          <w:rFonts w:ascii="Times" w:hAnsi="Times"/>
        </w:rPr>
      </w:pPr>
      <w:r w:rsidRPr="00B32C7B">
        <w:rPr>
          <w:rFonts w:ascii="Times" w:hAnsi="Times"/>
        </w:rPr>
        <w:t>Employers can evaluate their employees' level of involvement by asking survey questions like:</w:t>
      </w:r>
    </w:p>
    <w:p w14:paraId="6532999B" w14:textId="77777777" w:rsidR="00B32C7B" w:rsidRPr="00B32C7B" w:rsidRDefault="00B32C7B" w:rsidP="00B32C7B">
      <w:pPr>
        <w:rPr>
          <w:rFonts w:ascii="Times" w:hAnsi="Times"/>
        </w:rPr>
      </w:pPr>
    </w:p>
    <w:p w14:paraId="613BC252" w14:textId="77777777" w:rsidR="00B32C7B" w:rsidRPr="00B32C7B" w:rsidRDefault="00B32C7B" w:rsidP="00B32C7B">
      <w:pPr>
        <w:rPr>
          <w:rFonts w:ascii="Times" w:hAnsi="Times"/>
        </w:rPr>
      </w:pPr>
      <w:r w:rsidRPr="00B32C7B">
        <w:rPr>
          <w:rFonts w:ascii="Times" w:hAnsi="Times"/>
        </w:rPr>
        <w:t>Are you serious about putting up your best effort every day at work?</w:t>
      </w:r>
    </w:p>
    <w:p w14:paraId="4C9ABD06" w14:textId="77777777" w:rsidR="00B32C7B" w:rsidRPr="00B32C7B" w:rsidRDefault="00B32C7B" w:rsidP="00B32C7B">
      <w:pPr>
        <w:rPr>
          <w:rFonts w:ascii="Times" w:hAnsi="Times"/>
        </w:rPr>
      </w:pPr>
    </w:p>
    <w:p w14:paraId="675264F8" w14:textId="77777777" w:rsidR="00B32C7B" w:rsidRPr="00B32C7B" w:rsidRDefault="00B32C7B" w:rsidP="00B32C7B">
      <w:pPr>
        <w:rPr>
          <w:rFonts w:ascii="Times" w:hAnsi="Times"/>
        </w:rPr>
      </w:pPr>
      <w:r w:rsidRPr="00B32C7B">
        <w:rPr>
          <w:rFonts w:ascii="Times" w:hAnsi="Times"/>
        </w:rPr>
        <w:t>Are you happy with your workplace's culture?</w:t>
      </w:r>
    </w:p>
    <w:p w14:paraId="5EF87D78" w14:textId="77777777" w:rsidR="00B32C7B" w:rsidRPr="00B32C7B" w:rsidRDefault="00B32C7B" w:rsidP="00B32C7B">
      <w:pPr>
        <w:rPr>
          <w:rFonts w:ascii="Times" w:hAnsi="Times"/>
        </w:rPr>
      </w:pPr>
    </w:p>
    <w:p w14:paraId="686B28B0" w14:textId="6AA07D6D" w:rsidR="00B32C7B" w:rsidRDefault="00B32C7B" w:rsidP="00B32C7B">
      <w:pPr>
        <w:rPr>
          <w:rFonts w:ascii="Times" w:hAnsi="Times"/>
        </w:rPr>
      </w:pPr>
      <w:r w:rsidRPr="00B32C7B">
        <w:rPr>
          <w:rFonts w:ascii="Times" w:hAnsi="Times"/>
        </w:rPr>
        <w:t>Is there an obvious connection between your work and the company's objectives?</w:t>
      </w:r>
    </w:p>
    <w:p w14:paraId="29F8A52D" w14:textId="42E57C60" w:rsidR="00B32C7B" w:rsidRDefault="00B32C7B" w:rsidP="00B32C7B">
      <w:pPr>
        <w:rPr>
          <w:rFonts w:ascii="Times" w:hAnsi="Times"/>
        </w:rPr>
      </w:pPr>
    </w:p>
    <w:p w14:paraId="78E13E39" w14:textId="741CF841" w:rsidR="00B32C7B" w:rsidRDefault="00B32C7B" w:rsidP="00B32C7B">
      <w:pPr>
        <w:rPr>
          <w:rFonts w:ascii="Times" w:hAnsi="Times"/>
        </w:rPr>
      </w:pPr>
    </w:p>
    <w:p w14:paraId="72DA6283" w14:textId="77777777" w:rsidR="00B32C7B" w:rsidRPr="00B32C7B" w:rsidRDefault="00B32C7B" w:rsidP="00B32C7B">
      <w:pPr>
        <w:rPr>
          <w:rFonts w:ascii="Times" w:hAnsi="Times"/>
        </w:rPr>
      </w:pPr>
      <w:r>
        <w:rPr>
          <w:rFonts w:ascii="Times" w:hAnsi="Times"/>
        </w:rPr>
        <w:t xml:space="preserve">        </w:t>
      </w:r>
      <w:r>
        <w:rPr>
          <w:rFonts w:ascii="Times" w:hAnsi="Times"/>
          <w:i/>
          <w:iCs/>
        </w:rPr>
        <w:t>HR Tools</w:t>
      </w:r>
      <w:r w:rsidRPr="00B32C7B">
        <w:rPr>
          <w:rFonts w:ascii="Times" w:hAnsi="Times"/>
        </w:rPr>
        <w:t>- While polling employees once or twice a year is a fine place to start, it does not provide real-time, ongoing, or complete input. As a result, firms are increasingly supplementing annual surveys with flexible software tools that can collect and track employee engagement throughout the year.</w:t>
      </w:r>
    </w:p>
    <w:p w14:paraId="166CD704" w14:textId="500DD6E9" w:rsidR="00B32C7B" w:rsidRDefault="00B32C7B" w:rsidP="00B32C7B">
      <w:pPr>
        <w:rPr>
          <w:rFonts w:ascii="Times" w:hAnsi="Times"/>
        </w:rPr>
      </w:pPr>
      <w:r w:rsidRPr="00B32C7B">
        <w:rPr>
          <w:rFonts w:ascii="Times" w:hAnsi="Times"/>
        </w:rPr>
        <w:t xml:space="preserve">Current HR platforms include capabilities for collecting feedback and measuring employee happiness, as well as the ability to manage your staff and their data by centralising survey results. More frequent dialogues and feedback between managers and staff can be facilitated </w:t>
      </w:r>
      <w:r w:rsidRPr="00B32C7B">
        <w:rPr>
          <w:rFonts w:ascii="Times" w:hAnsi="Times"/>
        </w:rPr>
        <w:lastRenderedPageBreak/>
        <w:t>(and tracked!) with performance management software. This keeps everyone pleased, on track, and focused on individual, departmental, and company-wide objectives.</w:t>
      </w:r>
    </w:p>
    <w:p w14:paraId="3DFA91FF" w14:textId="50BFA5F3" w:rsidR="00B32C7B" w:rsidRDefault="00B32C7B" w:rsidP="00B32C7B">
      <w:pPr>
        <w:rPr>
          <w:rFonts w:ascii="Times" w:hAnsi="Times"/>
        </w:rPr>
      </w:pPr>
    </w:p>
    <w:p w14:paraId="634E2B99" w14:textId="75122174" w:rsidR="00B32C7B" w:rsidRDefault="00B32C7B" w:rsidP="00B32C7B">
      <w:pPr>
        <w:rPr>
          <w:rFonts w:ascii="Times" w:hAnsi="Times"/>
        </w:rPr>
      </w:pPr>
      <w:r>
        <w:rPr>
          <w:rFonts w:ascii="Times" w:hAnsi="Times"/>
        </w:rPr>
        <w:t xml:space="preserve">          </w:t>
      </w:r>
      <w:r>
        <w:rPr>
          <w:rFonts w:ascii="Times" w:hAnsi="Times"/>
          <w:i/>
          <w:iCs/>
        </w:rPr>
        <w:t xml:space="preserve">Social Media- </w:t>
      </w:r>
      <w:r w:rsidRPr="00B32C7B">
        <w:rPr>
          <w:rFonts w:ascii="Times" w:hAnsi="Times"/>
        </w:rPr>
        <w:t>Employers now have another powerful tool at their disposal because to the rise of social media. Companies can watch Glassdoor reviews and ratings, for example, to measure employee opinion. Internal social media networks, such as the corporate intranet, that allow workers to give ideas and participate in discussions are also beneficial. This enables executives to have a better understanding of their teams, their morale, and the broader corporate culture.</w:t>
      </w:r>
    </w:p>
    <w:p w14:paraId="539A638A" w14:textId="64E97D79" w:rsidR="00B32C7B" w:rsidRDefault="00B32C7B" w:rsidP="00B32C7B">
      <w:pPr>
        <w:rPr>
          <w:rFonts w:ascii="Times" w:hAnsi="Times"/>
        </w:rPr>
      </w:pPr>
    </w:p>
    <w:p w14:paraId="6C7F6AB7" w14:textId="6F2DCD90" w:rsidR="00B32C7B" w:rsidRDefault="00B32C7B" w:rsidP="00B32C7B">
      <w:pPr>
        <w:rPr>
          <w:rFonts w:ascii="Times" w:hAnsi="Times"/>
        </w:rPr>
      </w:pPr>
    </w:p>
    <w:p w14:paraId="4B33FA7C" w14:textId="5C77EAF8" w:rsidR="00B32C7B" w:rsidRDefault="00B32C7B" w:rsidP="00B32C7B">
      <w:pPr>
        <w:rPr>
          <w:rFonts w:ascii="Times" w:hAnsi="Times"/>
        </w:rPr>
      </w:pPr>
      <w:r>
        <w:rPr>
          <w:rFonts w:ascii="Times" w:hAnsi="Times"/>
        </w:rPr>
        <w:t xml:space="preserve">         </w:t>
      </w:r>
      <w:r w:rsidRPr="00B32C7B">
        <w:rPr>
          <w:rFonts w:ascii="Times" w:hAnsi="Times"/>
          <w:i/>
          <w:iCs/>
        </w:rPr>
        <w:t>Exit Interviews</w:t>
      </w:r>
      <w:r>
        <w:rPr>
          <w:rFonts w:ascii="Times" w:hAnsi="Times"/>
          <w:i/>
          <w:iCs/>
        </w:rPr>
        <w:t>-</w:t>
      </w:r>
      <w:r w:rsidRPr="00B32C7B">
        <w:t xml:space="preserve"> </w:t>
      </w:r>
      <w:r w:rsidRPr="00B32C7B">
        <w:rPr>
          <w:rFonts w:ascii="Times" w:hAnsi="Times"/>
        </w:rPr>
        <w:t>It's crucial to ask the proper questions via a well-designed engagement session, but it's also necessary to ask the tough questions about why employees, especially high performers, choose to leave the organisation. This useful input can aid in identifying areas for improvement in order to attract and maintain the greatest, most engaged super stars. Many specialists advise combining a written questionnaire with an exit interview during the employee's final week on the job, as well as a follow-up phone interview a month or more later.</w:t>
      </w:r>
    </w:p>
    <w:p w14:paraId="7F7E209B" w14:textId="24B5C575" w:rsidR="00B32C7B" w:rsidRDefault="00B32C7B" w:rsidP="00B32C7B">
      <w:pPr>
        <w:rPr>
          <w:rFonts w:ascii="Times" w:hAnsi="Times"/>
        </w:rPr>
      </w:pPr>
    </w:p>
    <w:p w14:paraId="6C64E9C0" w14:textId="76685931" w:rsidR="00B32C7B" w:rsidRDefault="00B32C7B" w:rsidP="00B32C7B">
      <w:pPr>
        <w:rPr>
          <w:rFonts w:ascii="Times" w:hAnsi="Times"/>
        </w:rPr>
      </w:pPr>
    </w:p>
    <w:p w14:paraId="1C32A31D" w14:textId="6EF59226" w:rsidR="00B32C7B" w:rsidRPr="00B32C7B" w:rsidRDefault="00B32C7B" w:rsidP="00B32C7B">
      <w:pPr>
        <w:pStyle w:val="Heading2"/>
      </w:pPr>
      <w:r>
        <w:t xml:space="preserve">         employee value and strategies to raise levels of engagement</w:t>
      </w:r>
    </w:p>
    <w:p w14:paraId="1B1E32F5" w14:textId="77777777" w:rsidR="00807BF6" w:rsidRPr="00B32C7B" w:rsidRDefault="00807BF6" w:rsidP="00807BF6">
      <w:pPr>
        <w:rPr>
          <w:rFonts w:ascii="Times" w:hAnsi="Times"/>
          <w:b/>
          <w:bCs/>
        </w:rPr>
      </w:pPr>
    </w:p>
    <w:p w14:paraId="1EFD424C" w14:textId="4D91A0B8" w:rsidR="00807BF6" w:rsidRDefault="00B32C7B" w:rsidP="0057781E">
      <w:pPr>
        <w:rPr>
          <w:rFonts w:ascii="Times" w:hAnsi="Times"/>
        </w:rPr>
      </w:pPr>
      <w:r w:rsidRPr="00B32C7B">
        <w:rPr>
          <w:rFonts w:ascii="Times" w:hAnsi="Times"/>
        </w:rPr>
        <w:t>The employee value proposition of a company is what it delivers to potential or current employees that they will appreciate and will persuade them to join or stay with the company.</w:t>
      </w:r>
    </w:p>
    <w:p w14:paraId="66CF8D0E" w14:textId="0238E492" w:rsidR="00B32C7B" w:rsidRDefault="00B32C7B" w:rsidP="0057781E">
      <w:pPr>
        <w:rPr>
          <w:rFonts w:ascii="Times" w:hAnsi="Times"/>
        </w:rPr>
      </w:pPr>
      <w:r>
        <w:rPr>
          <w:rFonts w:ascii="Times" w:hAnsi="Times"/>
        </w:rPr>
        <w:t xml:space="preserve">There are plenty of strategies to increase level of engagement but not all of them effective for example one of the most common way to motivate employee is annual bonus or pay incentive they do have an immediate and strong effect but it will not last for long. </w:t>
      </w:r>
      <w:r w:rsidRPr="00B32C7B">
        <w:rPr>
          <w:rFonts w:ascii="Times" w:hAnsi="Times"/>
        </w:rPr>
        <w:t>Sources of motivation, which are concerned with the 'quality of working life, are more likely to have a longer-term impact because they are fundamental in people and the work they do, rather than imposed from the outside in the form of performance-related pay.</w:t>
      </w:r>
      <w:r>
        <w:rPr>
          <w:rFonts w:ascii="Times" w:hAnsi="Times"/>
        </w:rPr>
        <w:t xml:space="preserve"> </w:t>
      </w:r>
      <w:r w:rsidRPr="00B32C7B">
        <w:rPr>
          <w:rFonts w:ascii="Times" w:hAnsi="Times"/>
        </w:rPr>
        <w:t>Money will motivate some people far more than it will others. Money does not necessarily inspire everyone in the same way or to the same degree.</w:t>
      </w:r>
    </w:p>
    <w:p w14:paraId="5BA572A2" w14:textId="73747F8A" w:rsidR="00B32C7B" w:rsidRDefault="00B32C7B" w:rsidP="0057781E">
      <w:pPr>
        <w:rPr>
          <w:rFonts w:ascii="Times" w:hAnsi="Times"/>
        </w:rPr>
      </w:pPr>
      <w:r>
        <w:rPr>
          <w:rFonts w:ascii="Times" w:hAnsi="Times"/>
        </w:rPr>
        <w:t>Another strategy is leadership, l</w:t>
      </w:r>
      <w:r w:rsidRPr="00B32C7B">
        <w:rPr>
          <w:rFonts w:ascii="Times" w:hAnsi="Times"/>
        </w:rPr>
        <w:t>eadership that sets the tone, encourages and stimulates accomplishment, and supports people in their attempts to attain goals and improve overall performance can boost motivation.</w:t>
      </w:r>
    </w:p>
    <w:p w14:paraId="574DC3C6" w14:textId="6B89D7FC" w:rsidR="00B32C7B" w:rsidRDefault="00B32C7B" w:rsidP="0057781E">
      <w:pPr>
        <w:rPr>
          <w:rFonts w:ascii="Times" w:hAnsi="Times"/>
        </w:rPr>
      </w:pPr>
      <w:r>
        <w:rPr>
          <w:rFonts w:ascii="Times" w:hAnsi="Times"/>
        </w:rPr>
        <w:t>Organizational culture is on of the strategies to increase level of engagement, t</w:t>
      </w:r>
      <w:r w:rsidRPr="00B32C7B">
        <w:rPr>
          <w:rFonts w:ascii="Times" w:hAnsi="Times"/>
        </w:rPr>
        <w:t>he impact of any direct or indirect attempts to encourage workers will be influenced by the organization's cultural environment, which includes its values and norms.</w:t>
      </w:r>
    </w:p>
    <w:p w14:paraId="222FD277" w14:textId="5037A7D3" w:rsidR="00B32C7B" w:rsidRDefault="00B32C7B" w:rsidP="0057781E">
      <w:pPr>
        <w:rPr>
          <w:rFonts w:ascii="Times" w:hAnsi="Times"/>
        </w:rPr>
      </w:pPr>
      <w:r>
        <w:rPr>
          <w:rFonts w:ascii="Times" w:hAnsi="Times"/>
        </w:rPr>
        <w:t xml:space="preserve">Recognition is also a powerful motivator it </w:t>
      </w:r>
      <w:r w:rsidRPr="00B32C7B">
        <w:rPr>
          <w:rFonts w:ascii="Times" w:hAnsi="Times"/>
        </w:rPr>
        <w:t>should be given to the need for work which provides people with the means to achieve their goals, a reasonable degree of autonomy, and scope for the use of skills and competences.</w:t>
      </w:r>
    </w:p>
    <w:p w14:paraId="022E36FA" w14:textId="67F47CB5" w:rsidR="00F87D65" w:rsidRPr="00B32C7B" w:rsidRDefault="00F87D65" w:rsidP="0057781E">
      <w:pPr>
        <w:rPr>
          <w:rFonts w:ascii="Times" w:hAnsi="Times"/>
        </w:rPr>
      </w:pPr>
      <w:r>
        <w:rPr>
          <w:rFonts w:ascii="Times" w:hAnsi="Times"/>
        </w:rPr>
        <w:t>That was some of the most important and most used strategies to enhance the level of engagement, they are very important for every company or firm that tend to increase the level of employee engagement and transform the business into a successful one.</w:t>
      </w:r>
    </w:p>
    <w:p w14:paraId="12ECE93F" w14:textId="29612045" w:rsidR="00807BF6" w:rsidRDefault="00807BF6" w:rsidP="00F87D65">
      <w:pPr>
        <w:pStyle w:val="Heading2"/>
      </w:pPr>
      <w:r w:rsidRPr="00B32C7B">
        <w:br w:type="page"/>
      </w:r>
    </w:p>
    <w:p w14:paraId="0E1FBBDB" w14:textId="74087DB5" w:rsidR="00F87D65" w:rsidRDefault="00F87D65" w:rsidP="00F87D65">
      <w:pPr>
        <w:pStyle w:val="Heading2"/>
      </w:pPr>
      <w:r>
        <w:lastRenderedPageBreak/>
        <w:t>Conclusion</w:t>
      </w:r>
    </w:p>
    <w:p w14:paraId="556C1321" w14:textId="0BBA5FBE" w:rsidR="00807BF6" w:rsidRDefault="00F87D65" w:rsidP="0057781E">
      <w:pPr>
        <w:rPr>
          <w:rFonts w:ascii="Times" w:hAnsi="Times"/>
        </w:rPr>
      </w:pPr>
      <w:r>
        <w:rPr>
          <w:rFonts w:ascii="Times" w:hAnsi="Times"/>
        </w:rPr>
        <w:t>As stated above w</w:t>
      </w:r>
      <w:r w:rsidRPr="00F87D65">
        <w:rPr>
          <w:rFonts w:ascii="Times" w:hAnsi="Times"/>
        </w:rPr>
        <w:t>ork that gives people with the means to pursue their goals, a reasonable degree of autonomy, and opportunities to use their talents and competencies should be recognised. To ensure future success, businesses should look for ways to monitor and measure employee engagement levels. The components, antecedents (the driving force), and outcomes of involvement can all be characterised in this way.</w:t>
      </w:r>
    </w:p>
    <w:p w14:paraId="1B45B7E2" w14:textId="033F41B5" w:rsidR="005A08B6" w:rsidRDefault="005A08B6" w:rsidP="0057781E">
      <w:pPr>
        <w:rPr>
          <w:rFonts w:ascii="Times" w:hAnsi="Times"/>
        </w:rPr>
      </w:pPr>
    </w:p>
    <w:p w14:paraId="2CC87F4B" w14:textId="77777777" w:rsidR="005A08B6" w:rsidRDefault="005A08B6">
      <w:pPr>
        <w:rPr>
          <w:rFonts w:ascii="Times" w:hAnsi="Times"/>
        </w:rPr>
      </w:pPr>
      <w:r>
        <w:rPr>
          <w:rFonts w:ascii="Times" w:hAnsi="Times"/>
        </w:rPr>
        <w:br w:type="page"/>
      </w:r>
    </w:p>
    <w:p w14:paraId="40EDF0E4" w14:textId="596378F1" w:rsidR="0057781E" w:rsidRDefault="005A08B6" w:rsidP="005A08B6">
      <w:pPr>
        <w:jc w:val="center"/>
        <w:rPr>
          <w:rFonts w:ascii="Times" w:hAnsi="Times"/>
          <w:b/>
          <w:bCs/>
          <w:sz w:val="28"/>
          <w:szCs w:val="28"/>
        </w:rPr>
      </w:pPr>
      <w:r w:rsidRPr="005A08B6">
        <w:rPr>
          <w:rFonts w:ascii="Times" w:hAnsi="Times"/>
          <w:b/>
          <w:bCs/>
          <w:sz w:val="28"/>
          <w:szCs w:val="28"/>
        </w:rPr>
        <w:lastRenderedPageBreak/>
        <w:t>Reference:</w:t>
      </w:r>
    </w:p>
    <w:p w14:paraId="6722FEA1" w14:textId="4F38EAA4" w:rsidR="005A08B6" w:rsidRDefault="005A08B6" w:rsidP="005A08B6">
      <w:pPr>
        <w:rPr>
          <w:rFonts w:ascii="Times New Roman" w:eastAsia="Times New Roman" w:hAnsi="Times New Roman" w:cs="Times New Roman"/>
          <w:lang w:eastAsia="en-GB"/>
        </w:rPr>
      </w:pPr>
      <w:r>
        <w:rPr>
          <w:rFonts w:ascii="Times" w:hAnsi="Times"/>
        </w:rPr>
        <w:t>Armstrong, M., and Taylor, S., (2020) “</w:t>
      </w:r>
      <w:r>
        <w:rPr>
          <w:rFonts w:ascii="Times" w:hAnsi="Times"/>
          <w:i/>
          <w:iCs/>
        </w:rPr>
        <w:t xml:space="preserve">Armstrong’s handbook of human resource management practice </w:t>
      </w:r>
      <w:r>
        <w:rPr>
          <w:rFonts w:ascii="Times" w:hAnsi="Times"/>
        </w:rPr>
        <w:t>“ 15</w:t>
      </w:r>
      <w:r w:rsidRPr="005A08B6">
        <w:rPr>
          <w:rFonts w:ascii="Times" w:hAnsi="Times"/>
          <w:vertAlign w:val="superscript"/>
        </w:rPr>
        <w:t>th</w:t>
      </w:r>
      <w:r>
        <w:rPr>
          <w:rFonts w:ascii="Times" w:hAnsi="Times"/>
        </w:rPr>
        <w:t xml:space="preserve"> </w:t>
      </w:r>
      <w:proofErr w:type="spellStart"/>
      <w:r>
        <w:rPr>
          <w:rFonts w:ascii="Times" w:hAnsi="Times"/>
        </w:rPr>
        <w:t>ed.,Available</w:t>
      </w:r>
      <w:proofErr w:type="spellEnd"/>
      <w:r>
        <w:rPr>
          <w:rFonts w:ascii="Times" w:hAnsi="Times"/>
        </w:rPr>
        <w:t xml:space="preserve"> at :</w:t>
      </w:r>
      <w:r w:rsidRPr="005A08B6">
        <w:t xml:space="preserve"> </w:t>
      </w:r>
      <w:hyperlink r:id="rId10" w:anchor="/view/books/9780749498283/epub/content/82_chapter59.html#page_998" w:history="1">
        <w:proofErr w:type="spellStart"/>
        <w:r w:rsidRPr="005A08B6">
          <w:rPr>
            <w:rFonts w:ascii="Times New Roman" w:eastAsia="Times New Roman" w:hAnsi="Times New Roman" w:cs="Times New Roman"/>
            <w:color w:val="0000FF"/>
            <w:u w:val="single"/>
            <w:lang w:eastAsia="en-GB"/>
          </w:rPr>
          <w:t>BibliU</w:t>
        </w:r>
        <w:proofErr w:type="spellEnd"/>
        <w:r w:rsidRPr="005A08B6">
          <w:rPr>
            <w:rFonts w:ascii="Times New Roman" w:eastAsia="Times New Roman" w:hAnsi="Times New Roman" w:cs="Times New Roman"/>
            <w:color w:val="0000FF"/>
            <w:u w:val="single"/>
            <w:lang w:eastAsia="en-GB"/>
          </w:rPr>
          <w:t xml:space="preserve"> - Reader - Armstrong’s Handbook of Human Resource Management Practice</w:t>
        </w:r>
      </w:hyperlink>
    </w:p>
    <w:p w14:paraId="558E67C6" w14:textId="532FFABC" w:rsidR="005A08B6" w:rsidRDefault="005A08B6" w:rsidP="005A08B6">
      <w:pPr>
        <w:rPr>
          <w:rFonts w:ascii="Times New Roman" w:eastAsia="Times New Roman" w:hAnsi="Times New Roman" w:cs="Times New Roman"/>
          <w:lang w:eastAsia="en-GB"/>
        </w:rPr>
      </w:pPr>
    </w:p>
    <w:p w14:paraId="72B2D609" w14:textId="51CA0C02" w:rsidR="005A08B6" w:rsidRDefault="005A08B6" w:rsidP="005A08B6">
      <w:pPr>
        <w:rPr>
          <w:rFonts w:ascii="Times New Roman" w:eastAsia="Times New Roman" w:hAnsi="Times New Roman" w:cs="Times New Roman"/>
          <w:lang w:eastAsia="en-GB"/>
        </w:rPr>
      </w:pPr>
    </w:p>
    <w:p w14:paraId="0631EC88" w14:textId="444BD7B4" w:rsidR="00E81891" w:rsidRDefault="00E81891" w:rsidP="00E8189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Armstrong, M., Taylor, S., </w:t>
      </w:r>
      <w:proofErr w:type="gramStart"/>
      <w:r>
        <w:rPr>
          <w:rFonts w:ascii="Times New Roman" w:eastAsia="Times New Roman" w:hAnsi="Times New Roman" w:cs="Times New Roman"/>
          <w:lang w:eastAsia="en-GB"/>
        </w:rPr>
        <w:t>( 2014</w:t>
      </w:r>
      <w:proofErr w:type="gramEnd"/>
      <w:r>
        <w:rPr>
          <w:rFonts w:ascii="Times New Roman" w:eastAsia="Times New Roman" w:hAnsi="Times New Roman" w:cs="Times New Roman"/>
          <w:lang w:eastAsia="en-GB"/>
        </w:rPr>
        <w:t>) “</w:t>
      </w:r>
      <w:r>
        <w:rPr>
          <w:rFonts w:ascii="Times New Roman" w:eastAsia="Times New Roman" w:hAnsi="Times New Roman" w:cs="Times New Roman"/>
          <w:i/>
          <w:iCs/>
          <w:lang w:eastAsia="en-GB"/>
        </w:rPr>
        <w:t xml:space="preserve">Armstrong’s Handbook of Human Resource Management Practice” </w:t>
      </w:r>
      <w:r>
        <w:rPr>
          <w:rFonts w:ascii="Times New Roman" w:eastAsia="Times New Roman" w:hAnsi="Times New Roman" w:cs="Times New Roman"/>
          <w:lang w:eastAsia="en-GB"/>
        </w:rPr>
        <w:t>13</w:t>
      </w:r>
      <w:r w:rsidRPr="005A08B6">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ed., Available at : </w:t>
      </w:r>
      <w:hyperlink r:id="rId11" w:history="1">
        <w:r w:rsidRPr="005A08B6">
          <w:rPr>
            <w:rFonts w:ascii="Times New Roman" w:eastAsia="Times New Roman" w:hAnsi="Times New Roman" w:cs="Times New Roman"/>
            <w:color w:val="0000FF"/>
            <w:u w:val="single"/>
            <w:lang w:eastAsia="en-GB"/>
          </w:rPr>
          <w:t xml:space="preserve">- </w:t>
        </w:r>
        <w:proofErr w:type="spellStart"/>
        <w:r w:rsidRPr="005A08B6">
          <w:rPr>
            <w:rFonts w:ascii="Times New Roman" w:eastAsia="Times New Roman" w:hAnsi="Times New Roman" w:cs="Times New Roman"/>
            <w:color w:val="0000FF"/>
            <w:u w:val="single"/>
            <w:lang w:eastAsia="en-GB"/>
          </w:rPr>
          <w:t>VleReader</w:t>
        </w:r>
        <w:proofErr w:type="spellEnd"/>
      </w:hyperlink>
    </w:p>
    <w:p w14:paraId="2C9EDF81" w14:textId="77777777" w:rsidR="00E81891" w:rsidRPr="005A08B6" w:rsidRDefault="00E81891" w:rsidP="00E81891">
      <w:pPr>
        <w:rPr>
          <w:rFonts w:ascii="Times New Roman" w:eastAsia="Times New Roman" w:hAnsi="Times New Roman" w:cs="Times New Roman"/>
          <w:lang w:eastAsia="en-GB"/>
        </w:rPr>
      </w:pPr>
    </w:p>
    <w:p w14:paraId="50627D52" w14:textId="77777777" w:rsidR="00E81891" w:rsidRDefault="00E81891" w:rsidP="005A08B6">
      <w:pPr>
        <w:rPr>
          <w:rFonts w:ascii="Times New Roman" w:eastAsia="Times New Roman" w:hAnsi="Times New Roman" w:cs="Times New Roman"/>
          <w:lang w:eastAsia="en-GB"/>
        </w:rPr>
      </w:pPr>
    </w:p>
    <w:p w14:paraId="687DFBE3" w14:textId="77777777" w:rsidR="00E81891" w:rsidRDefault="00E81891" w:rsidP="00E81891">
      <w:pPr>
        <w:rPr>
          <w:rFonts w:ascii="Times New Roman" w:eastAsia="Times New Roman" w:hAnsi="Times New Roman" w:cs="Times New Roman"/>
          <w:lang w:eastAsia="en-GB"/>
        </w:rPr>
      </w:pPr>
      <w:r w:rsidRPr="005A08B6">
        <w:rPr>
          <w:rFonts w:ascii="Times New Roman" w:eastAsia="Times New Roman" w:hAnsi="Times New Roman" w:cs="Times New Roman"/>
          <w:lang w:eastAsia="en-GB"/>
        </w:rPr>
        <w:t>Corbridge, M., </w:t>
      </w:r>
      <w:proofErr w:type="spellStart"/>
      <w:r w:rsidRPr="005A08B6">
        <w:rPr>
          <w:rFonts w:ascii="Times New Roman" w:eastAsia="Times New Roman" w:hAnsi="Times New Roman" w:cs="Times New Roman"/>
          <w:lang w:eastAsia="en-GB"/>
        </w:rPr>
        <w:t>Pilbeam</w:t>
      </w:r>
      <w:proofErr w:type="spellEnd"/>
      <w:r w:rsidRPr="005A08B6">
        <w:rPr>
          <w:rFonts w:ascii="Times New Roman" w:eastAsia="Times New Roman" w:hAnsi="Times New Roman" w:cs="Times New Roman"/>
          <w:lang w:eastAsia="en-GB"/>
        </w:rPr>
        <w:t>, S. (2010). People Resourcing and Talent Planning: HRM in Practice. United Kingdom: Financial Times Prentice Hall.</w:t>
      </w:r>
    </w:p>
    <w:p w14:paraId="43D3DCA5" w14:textId="77777777" w:rsidR="00E81891" w:rsidRDefault="00E81891" w:rsidP="005A08B6">
      <w:pPr>
        <w:rPr>
          <w:rFonts w:ascii="Times New Roman" w:eastAsia="Times New Roman" w:hAnsi="Times New Roman" w:cs="Times New Roman"/>
          <w:lang w:eastAsia="en-GB"/>
        </w:rPr>
      </w:pPr>
    </w:p>
    <w:p w14:paraId="78842957" w14:textId="77777777" w:rsidR="00E81891" w:rsidRDefault="00E81891" w:rsidP="00E81891">
      <w:pPr>
        <w:rPr>
          <w:rFonts w:ascii="Times New Roman" w:eastAsia="Times New Roman" w:hAnsi="Times New Roman" w:cs="Times New Roman"/>
          <w:i/>
          <w:iCs/>
          <w:lang w:eastAsia="en-GB"/>
        </w:rPr>
      </w:pPr>
      <w:r>
        <w:rPr>
          <w:rFonts w:ascii="Times New Roman" w:eastAsia="Times New Roman" w:hAnsi="Times New Roman" w:cs="Times New Roman"/>
          <w:lang w:eastAsia="en-GB"/>
        </w:rPr>
        <w:t>Saks, M., (2006) “</w:t>
      </w:r>
      <w:r>
        <w:rPr>
          <w:rFonts w:ascii="Times New Roman" w:eastAsia="Times New Roman" w:hAnsi="Times New Roman" w:cs="Times New Roman"/>
          <w:i/>
          <w:iCs/>
          <w:lang w:eastAsia="en-GB"/>
        </w:rPr>
        <w:t>An investigation of training activities and transfer of training in organizations”</w:t>
      </w:r>
    </w:p>
    <w:p w14:paraId="5A896BC6" w14:textId="44351F96" w:rsidR="00E81891" w:rsidRDefault="00E81891" w:rsidP="005A08B6">
      <w:pPr>
        <w:rPr>
          <w:rFonts w:ascii="Times New Roman" w:eastAsia="Times New Roman" w:hAnsi="Times New Roman" w:cs="Times New Roman"/>
          <w:lang w:eastAsia="en-GB"/>
        </w:rPr>
      </w:pPr>
    </w:p>
    <w:p w14:paraId="45099B74" w14:textId="77777777" w:rsidR="00E81891" w:rsidRDefault="00E81891" w:rsidP="005A08B6">
      <w:pPr>
        <w:rPr>
          <w:rFonts w:ascii="Times New Roman" w:eastAsia="Times New Roman" w:hAnsi="Times New Roman" w:cs="Times New Roman"/>
          <w:lang w:eastAsia="en-GB"/>
        </w:rPr>
      </w:pPr>
    </w:p>
    <w:p w14:paraId="002979BC" w14:textId="31C480AE" w:rsidR="005A08B6" w:rsidRDefault="005A08B6" w:rsidP="005A08B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Torrington, D., Hall, L., et </w:t>
      </w:r>
      <w:proofErr w:type="gramStart"/>
      <w:r>
        <w:rPr>
          <w:rFonts w:ascii="Times New Roman" w:eastAsia="Times New Roman" w:hAnsi="Times New Roman" w:cs="Times New Roman"/>
          <w:lang w:eastAsia="en-GB"/>
        </w:rPr>
        <w:t>al,(</w:t>
      </w:r>
      <w:proofErr w:type="gramEnd"/>
      <w:r>
        <w:rPr>
          <w:rFonts w:ascii="Times New Roman" w:eastAsia="Times New Roman" w:hAnsi="Times New Roman" w:cs="Times New Roman"/>
          <w:lang w:eastAsia="en-GB"/>
        </w:rPr>
        <w:t xml:space="preserve"> 2020) “</w:t>
      </w:r>
      <w:r>
        <w:rPr>
          <w:rFonts w:ascii="Times New Roman" w:eastAsia="Times New Roman" w:hAnsi="Times New Roman" w:cs="Times New Roman"/>
          <w:i/>
          <w:iCs/>
          <w:lang w:eastAsia="en-GB"/>
        </w:rPr>
        <w:t xml:space="preserve">Human resource management” </w:t>
      </w:r>
      <w:r>
        <w:rPr>
          <w:rFonts w:ascii="Times New Roman" w:eastAsia="Times New Roman" w:hAnsi="Times New Roman" w:cs="Times New Roman"/>
          <w:lang w:eastAsia="en-GB"/>
        </w:rPr>
        <w:t>11</w:t>
      </w:r>
      <w:r w:rsidRPr="005A08B6">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ed., Available at : </w:t>
      </w:r>
      <w:hyperlink r:id="rId12" w:history="1">
        <w:r w:rsidRPr="005A08B6">
          <w:rPr>
            <w:rFonts w:ascii="Times New Roman" w:eastAsia="Times New Roman" w:hAnsi="Times New Roman" w:cs="Times New Roman"/>
            <w:color w:val="0000FF"/>
            <w:u w:val="single"/>
            <w:lang w:eastAsia="en-GB"/>
          </w:rPr>
          <w:t xml:space="preserve">ProQuest </w:t>
        </w:r>
        <w:proofErr w:type="spellStart"/>
        <w:r w:rsidRPr="005A08B6">
          <w:rPr>
            <w:rFonts w:ascii="Times New Roman" w:eastAsia="Times New Roman" w:hAnsi="Times New Roman" w:cs="Times New Roman"/>
            <w:color w:val="0000FF"/>
            <w:u w:val="single"/>
            <w:lang w:eastAsia="en-GB"/>
          </w:rPr>
          <w:t>Ebook</w:t>
        </w:r>
        <w:proofErr w:type="spellEnd"/>
        <w:r w:rsidRPr="005A08B6">
          <w:rPr>
            <w:rFonts w:ascii="Times New Roman" w:eastAsia="Times New Roman" w:hAnsi="Times New Roman" w:cs="Times New Roman"/>
            <w:color w:val="0000FF"/>
            <w:u w:val="single"/>
            <w:lang w:eastAsia="en-GB"/>
          </w:rPr>
          <w:t xml:space="preserve"> Central - Reader</w:t>
        </w:r>
      </w:hyperlink>
    </w:p>
    <w:p w14:paraId="0663EFEF" w14:textId="42F85DBE" w:rsidR="005A08B6" w:rsidRDefault="005A08B6" w:rsidP="005A08B6">
      <w:pPr>
        <w:rPr>
          <w:rFonts w:ascii="Times New Roman" w:eastAsia="Times New Roman" w:hAnsi="Times New Roman" w:cs="Times New Roman"/>
          <w:lang w:eastAsia="en-GB"/>
        </w:rPr>
      </w:pPr>
    </w:p>
    <w:p w14:paraId="4D312B86" w14:textId="725F83ED" w:rsidR="005A08B6" w:rsidRDefault="005A08B6" w:rsidP="005A08B6">
      <w:pPr>
        <w:rPr>
          <w:rFonts w:ascii="Times New Roman" w:eastAsia="Times New Roman" w:hAnsi="Times New Roman" w:cs="Times New Roman"/>
          <w:lang w:eastAsia="en-GB"/>
        </w:rPr>
      </w:pPr>
    </w:p>
    <w:p w14:paraId="53E632BD" w14:textId="4D04EFDA" w:rsidR="005A08B6" w:rsidRDefault="005A08B6" w:rsidP="005A08B6">
      <w:pPr>
        <w:rPr>
          <w:rFonts w:ascii="Times New Roman" w:eastAsia="Times New Roman" w:hAnsi="Times New Roman" w:cs="Times New Roman"/>
          <w:lang w:eastAsia="en-GB"/>
        </w:rPr>
      </w:pPr>
      <w:r>
        <w:rPr>
          <w:rFonts w:ascii="Times New Roman" w:eastAsia="Times New Roman" w:hAnsi="Times New Roman" w:cs="Times New Roman"/>
          <w:lang w:eastAsia="en-GB"/>
        </w:rPr>
        <w:t>Torrington, D., (2014) “</w:t>
      </w:r>
      <w:r>
        <w:rPr>
          <w:rFonts w:ascii="Times New Roman" w:eastAsia="Times New Roman" w:hAnsi="Times New Roman" w:cs="Times New Roman"/>
          <w:i/>
          <w:iCs/>
          <w:lang w:eastAsia="en-GB"/>
        </w:rPr>
        <w:t xml:space="preserve">Human resource management” </w:t>
      </w:r>
      <w:r>
        <w:rPr>
          <w:rFonts w:ascii="Times New Roman" w:eastAsia="Times New Roman" w:hAnsi="Times New Roman" w:cs="Times New Roman"/>
          <w:lang w:eastAsia="en-GB"/>
        </w:rPr>
        <w:t>9</w:t>
      </w:r>
      <w:r w:rsidRPr="005A08B6">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ed., Available </w:t>
      </w:r>
      <w:proofErr w:type="gramStart"/>
      <w:r>
        <w:rPr>
          <w:rFonts w:ascii="Times New Roman" w:eastAsia="Times New Roman" w:hAnsi="Times New Roman" w:cs="Times New Roman"/>
          <w:lang w:eastAsia="en-GB"/>
        </w:rPr>
        <w:t>at :</w:t>
      </w:r>
      <w:proofErr w:type="gramEnd"/>
      <w:r>
        <w:rPr>
          <w:rFonts w:ascii="Times New Roman" w:eastAsia="Times New Roman" w:hAnsi="Times New Roman" w:cs="Times New Roman"/>
          <w:lang w:eastAsia="en-GB"/>
        </w:rPr>
        <w:t xml:space="preserve"> </w:t>
      </w:r>
      <w:hyperlink r:id="rId13" w:history="1">
        <w:r w:rsidRPr="005A08B6">
          <w:rPr>
            <w:rFonts w:ascii="Times New Roman" w:eastAsia="Times New Roman" w:hAnsi="Times New Roman" w:cs="Times New Roman"/>
            <w:color w:val="0000FF"/>
            <w:u w:val="single"/>
            <w:lang w:eastAsia="en-GB"/>
          </w:rPr>
          <w:t xml:space="preserve">- </w:t>
        </w:r>
        <w:proofErr w:type="spellStart"/>
        <w:r w:rsidRPr="005A08B6">
          <w:rPr>
            <w:rFonts w:ascii="Times New Roman" w:eastAsia="Times New Roman" w:hAnsi="Times New Roman" w:cs="Times New Roman"/>
            <w:color w:val="0000FF"/>
            <w:u w:val="single"/>
            <w:lang w:eastAsia="en-GB"/>
          </w:rPr>
          <w:t>VleReader</w:t>
        </w:r>
        <w:proofErr w:type="spellEnd"/>
      </w:hyperlink>
    </w:p>
    <w:p w14:paraId="51725AE2" w14:textId="2B156C6A" w:rsidR="005A08B6" w:rsidRDefault="005A08B6" w:rsidP="005A08B6">
      <w:pPr>
        <w:rPr>
          <w:rFonts w:ascii="Times New Roman" w:eastAsia="Times New Roman" w:hAnsi="Times New Roman" w:cs="Times New Roman"/>
          <w:lang w:eastAsia="en-GB"/>
        </w:rPr>
      </w:pPr>
    </w:p>
    <w:p w14:paraId="6FECEFF4" w14:textId="6FBE4E7C" w:rsidR="005A08B6" w:rsidRDefault="005A08B6" w:rsidP="005A08B6">
      <w:pPr>
        <w:rPr>
          <w:rFonts w:ascii="Times New Roman" w:eastAsia="Times New Roman" w:hAnsi="Times New Roman" w:cs="Times New Roman"/>
          <w:lang w:eastAsia="en-GB"/>
        </w:rPr>
      </w:pPr>
    </w:p>
    <w:p w14:paraId="72D5EC25" w14:textId="244AFE58" w:rsidR="005A08B6" w:rsidRDefault="005A08B6" w:rsidP="005A08B6">
      <w:pPr>
        <w:rPr>
          <w:rFonts w:ascii="Times New Roman" w:eastAsia="Times New Roman" w:hAnsi="Times New Roman" w:cs="Times New Roman"/>
          <w:lang w:eastAsia="en-GB"/>
        </w:rPr>
      </w:pPr>
      <w:r>
        <w:rPr>
          <w:rFonts w:ascii="Times New Roman" w:eastAsia="Times New Roman" w:hAnsi="Times New Roman" w:cs="Times New Roman"/>
          <w:lang w:eastAsia="en-GB"/>
        </w:rPr>
        <w:t>Torrington, D., Taylor, S., et. al., (2011) “</w:t>
      </w:r>
      <w:r>
        <w:rPr>
          <w:rFonts w:ascii="Times New Roman" w:eastAsia="Times New Roman" w:hAnsi="Times New Roman" w:cs="Times New Roman"/>
          <w:i/>
          <w:iCs/>
          <w:lang w:eastAsia="en-GB"/>
        </w:rPr>
        <w:t xml:space="preserve">Human resource management” </w:t>
      </w:r>
      <w:r>
        <w:rPr>
          <w:rFonts w:ascii="Times New Roman" w:eastAsia="Times New Roman" w:hAnsi="Times New Roman" w:cs="Times New Roman"/>
          <w:lang w:eastAsia="en-GB"/>
        </w:rPr>
        <w:t>8</w:t>
      </w:r>
      <w:r w:rsidRPr="005A08B6">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ed., Pearson Education Limited, Edinburgh Gate.</w:t>
      </w:r>
    </w:p>
    <w:p w14:paraId="6C0C3B46" w14:textId="2C4AED4F" w:rsidR="005A08B6" w:rsidRDefault="005A08B6" w:rsidP="005A08B6">
      <w:pPr>
        <w:rPr>
          <w:rFonts w:ascii="Times New Roman" w:eastAsia="Times New Roman" w:hAnsi="Times New Roman" w:cs="Times New Roman"/>
          <w:lang w:eastAsia="en-GB"/>
        </w:rPr>
      </w:pPr>
    </w:p>
    <w:p w14:paraId="58ED8BDA" w14:textId="2C1B1F9C" w:rsidR="005A08B6" w:rsidRPr="005A08B6" w:rsidRDefault="005A08B6" w:rsidP="005A08B6">
      <w:pPr>
        <w:rPr>
          <w:rFonts w:ascii="Times New Roman" w:eastAsia="Times New Roman" w:hAnsi="Times New Roman" w:cs="Times New Roman"/>
          <w:lang w:eastAsia="en-GB"/>
        </w:rPr>
      </w:pPr>
    </w:p>
    <w:p w14:paraId="23737AE9" w14:textId="203EF5F8" w:rsidR="005A08B6" w:rsidRDefault="005A08B6" w:rsidP="005A08B6">
      <w:pPr>
        <w:rPr>
          <w:rFonts w:ascii="Times New Roman" w:eastAsia="Times New Roman" w:hAnsi="Times New Roman" w:cs="Times New Roman"/>
          <w:lang w:eastAsia="en-GB"/>
        </w:rPr>
      </w:pPr>
    </w:p>
    <w:p w14:paraId="2A6EDCD9" w14:textId="46B46FF0" w:rsidR="005A08B6" w:rsidRPr="005A08B6" w:rsidRDefault="005A08B6" w:rsidP="005A08B6">
      <w:pPr>
        <w:rPr>
          <w:rFonts w:ascii="Times New Roman" w:eastAsia="Times New Roman" w:hAnsi="Times New Roman" w:cs="Times New Roman"/>
          <w:lang w:eastAsia="en-GB"/>
        </w:rPr>
      </w:pPr>
      <w:r w:rsidRPr="005A08B6">
        <w:rPr>
          <w:rFonts w:ascii="Times New Roman" w:eastAsia="Times New Roman" w:hAnsi="Times New Roman" w:cs="Times New Roman"/>
          <w:lang w:eastAsia="en-GB"/>
        </w:rPr>
        <w:t>Taylor, S. (2018). Resourcing and Talent Management. United Kingdom: Kogan Page.</w:t>
      </w:r>
    </w:p>
    <w:p w14:paraId="5555098A" w14:textId="41355F1E" w:rsidR="005A08B6" w:rsidRPr="005A08B6" w:rsidRDefault="005A08B6" w:rsidP="005A08B6">
      <w:pPr>
        <w:rPr>
          <w:rFonts w:ascii="Times New Roman" w:eastAsia="Times New Roman" w:hAnsi="Times New Roman" w:cs="Times New Roman"/>
          <w:lang w:eastAsia="en-GB"/>
        </w:rPr>
      </w:pPr>
    </w:p>
    <w:p w14:paraId="4F3B8291" w14:textId="02C123EA" w:rsidR="005A08B6" w:rsidRDefault="005A08B6" w:rsidP="005A08B6">
      <w:pPr>
        <w:rPr>
          <w:rFonts w:ascii="Times New Roman" w:eastAsia="Times New Roman" w:hAnsi="Times New Roman" w:cs="Times New Roman"/>
          <w:lang w:eastAsia="en-GB"/>
        </w:rPr>
      </w:pPr>
    </w:p>
    <w:p w14:paraId="468B69E0" w14:textId="77777777" w:rsidR="005A08B6" w:rsidRPr="005A08B6" w:rsidRDefault="005A08B6" w:rsidP="005A08B6">
      <w:pPr>
        <w:rPr>
          <w:rFonts w:ascii="Times New Roman" w:eastAsia="Times New Roman" w:hAnsi="Times New Roman" w:cs="Times New Roman"/>
          <w:lang w:eastAsia="en-GB"/>
        </w:rPr>
      </w:pPr>
    </w:p>
    <w:p w14:paraId="58239169" w14:textId="448F44E6" w:rsidR="005A08B6" w:rsidRPr="005A08B6" w:rsidRDefault="005A08B6" w:rsidP="005A08B6">
      <w:pPr>
        <w:jc w:val="both"/>
        <w:rPr>
          <w:rFonts w:ascii="Times" w:hAnsi="Times"/>
        </w:rPr>
      </w:pPr>
    </w:p>
    <w:sectPr w:rsidR="005A08B6" w:rsidRPr="005A08B6">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6B05F" w14:textId="77777777" w:rsidR="00B9345D" w:rsidRDefault="00B9345D" w:rsidP="0057781E">
      <w:r>
        <w:separator/>
      </w:r>
    </w:p>
  </w:endnote>
  <w:endnote w:type="continuationSeparator" w:id="0">
    <w:p w14:paraId="6F9436FD" w14:textId="77777777" w:rsidR="00B9345D" w:rsidRDefault="00B9345D" w:rsidP="00577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3144210"/>
      <w:docPartObj>
        <w:docPartGallery w:val="Page Numbers (Bottom of Page)"/>
        <w:docPartUnique/>
      </w:docPartObj>
    </w:sdtPr>
    <w:sdtEndPr>
      <w:rPr>
        <w:rStyle w:val="PageNumber"/>
      </w:rPr>
    </w:sdtEndPr>
    <w:sdtContent>
      <w:p w14:paraId="7128EFD2" w14:textId="76A832C7" w:rsidR="005A08B6" w:rsidRDefault="005A08B6"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DF4A0E" w14:textId="77777777" w:rsidR="005A08B6" w:rsidRDefault="005A08B6" w:rsidP="005A08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872435"/>
      <w:docPartObj>
        <w:docPartGallery w:val="Page Numbers (Bottom of Page)"/>
        <w:docPartUnique/>
      </w:docPartObj>
    </w:sdtPr>
    <w:sdtEndPr>
      <w:rPr>
        <w:rStyle w:val="PageNumber"/>
      </w:rPr>
    </w:sdtEndPr>
    <w:sdtContent>
      <w:p w14:paraId="32E649E4" w14:textId="1B229A33" w:rsidR="005A08B6" w:rsidRDefault="005A08B6"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ABB25D" w14:textId="77777777" w:rsidR="005A08B6" w:rsidRDefault="005A08B6" w:rsidP="005A08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03017" w14:textId="77777777" w:rsidR="00B9345D" w:rsidRDefault="00B9345D" w:rsidP="0057781E">
      <w:r>
        <w:separator/>
      </w:r>
    </w:p>
  </w:footnote>
  <w:footnote w:type="continuationSeparator" w:id="0">
    <w:p w14:paraId="05EB3419" w14:textId="77777777" w:rsidR="00B9345D" w:rsidRDefault="00B9345D" w:rsidP="00577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97C2A"/>
    <w:multiLevelType w:val="hybridMultilevel"/>
    <w:tmpl w:val="7102F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B0A"/>
    <w:rsid w:val="000E0B0A"/>
    <w:rsid w:val="002C3DB9"/>
    <w:rsid w:val="00390816"/>
    <w:rsid w:val="0057781E"/>
    <w:rsid w:val="005A08B6"/>
    <w:rsid w:val="00625F40"/>
    <w:rsid w:val="007E5515"/>
    <w:rsid w:val="00807BF6"/>
    <w:rsid w:val="00A6076C"/>
    <w:rsid w:val="00AA1E3B"/>
    <w:rsid w:val="00B32C7B"/>
    <w:rsid w:val="00B9345D"/>
    <w:rsid w:val="00E81891"/>
    <w:rsid w:val="00F8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EAFAE"/>
  <w15:chartTrackingRefBased/>
  <w15:docId w15:val="{46BD685D-CB98-DA41-9A29-E4B332482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81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TOC2">
    <w:name w:val="toc 2"/>
    <w:basedOn w:val="Normal"/>
    <w:next w:val="Normal"/>
    <w:autoRedefine/>
    <w:uiPriority w:val="39"/>
    <w:unhideWhenUsed/>
    <w:rsid w:val="0057781E"/>
    <w:pPr>
      <w:spacing w:before="120"/>
      <w:ind w:left="240"/>
    </w:pPr>
    <w:rPr>
      <w:rFonts w:cstheme="minorHAnsi"/>
      <w:b/>
      <w:bCs/>
      <w:sz w:val="22"/>
      <w:szCs w:val="22"/>
    </w:rPr>
  </w:style>
  <w:style w:type="paragraph" w:styleId="TOC1">
    <w:name w:val="toc 1"/>
    <w:basedOn w:val="BodyText3"/>
    <w:next w:val="TOC3"/>
    <w:autoRedefine/>
    <w:uiPriority w:val="39"/>
    <w:unhideWhenUsed/>
    <w:rsid w:val="0057781E"/>
    <w:pPr>
      <w:spacing w:before="120" w:after="0"/>
    </w:pPr>
    <w:rPr>
      <w:rFonts w:cstheme="minorHAnsi"/>
      <w:b/>
      <w:bCs/>
      <w:i/>
      <w:iCs/>
      <w:sz w:val="24"/>
      <w:szCs w:val="24"/>
    </w:rPr>
  </w:style>
  <w:style w:type="paragraph" w:styleId="BodyText3">
    <w:name w:val="Body Text 3"/>
    <w:basedOn w:val="Normal"/>
    <w:link w:val="BodyText3Char"/>
    <w:uiPriority w:val="99"/>
    <w:semiHidden/>
    <w:unhideWhenUsed/>
    <w:rsid w:val="0057781E"/>
    <w:pPr>
      <w:spacing w:after="120"/>
    </w:pPr>
    <w:rPr>
      <w:sz w:val="16"/>
      <w:szCs w:val="16"/>
    </w:rPr>
  </w:style>
  <w:style w:type="character" w:customStyle="1" w:styleId="BodyText3Char">
    <w:name w:val="Body Text 3 Char"/>
    <w:basedOn w:val="DefaultParagraphFont"/>
    <w:link w:val="BodyText3"/>
    <w:uiPriority w:val="99"/>
    <w:semiHidden/>
    <w:rsid w:val="0057781E"/>
    <w:rPr>
      <w:sz w:val="16"/>
      <w:szCs w:val="16"/>
    </w:rPr>
  </w:style>
  <w:style w:type="paragraph" w:styleId="TOC3">
    <w:name w:val="toc 3"/>
    <w:basedOn w:val="Normal"/>
    <w:next w:val="Normal"/>
    <w:autoRedefine/>
    <w:uiPriority w:val="39"/>
    <w:unhideWhenUsed/>
    <w:rsid w:val="0057781E"/>
    <w:pPr>
      <w:ind w:left="480"/>
    </w:pPr>
    <w:rPr>
      <w:rFonts w:cstheme="minorHAnsi"/>
      <w:sz w:val="20"/>
      <w:szCs w:val="20"/>
    </w:rPr>
  </w:style>
  <w:style w:type="paragraph" w:styleId="TOC4">
    <w:name w:val="toc 4"/>
    <w:basedOn w:val="Normal"/>
    <w:next w:val="Normal"/>
    <w:autoRedefine/>
    <w:uiPriority w:val="39"/>
    <w:unhideWhenUsed/>
    <w:rsid w:val="0057781E"/>
    <w:pPr>
      <w:ind w:left="720"/>
    </w:pPr>
    <w:rPr>
      <w:rFonts w:cstheme="minorHAnsi"/>
      <w:sz w:val="20"/>
      <w:szCs w:val="20"/>
    </w:rPr>
  </w:style>
  <w:style w:type="paragraph" w:styleId="TOC5">
    <w:name w:val="toc 5"/>
    <w:basedOn w:val="Normal"/>
    <w:next w:val="Normal"/>
    <w:autoRedefine/>
    <w:uiPriority w:val="39"/>
    <w:unhideWhenUsed/>
    <w:rsid w:val="0057781E"/>
    <w:pPr>
      <w:ind w:left="960"/>
    </w:pPr>
    <w:rPr>
      <w:rFonts w:cstheme="minorHAnsi"/>
      <w:sz w:val="20"/>
      <w:szCs w:val="20"/>
    </w:rPr>
  </w:style>
  <w:style w:type="paragraph" w:styleId="TOC6">
    <w:name w:val="toc 6"/>
    <w:basedOn w:val="Normal"/>
    <w:next w:val="Normal"/>
    <w:autoRedefine/>
    <w:uiPriority w:val="39"/>
    <w:unhideWhenUsed/>
    <w:rsid w:val="0057781E"/>
    <w:pPr>
      <w:ind w:left="1200"/>
    </w:pPr>
    <w:rPr>
      <w:rFonts w:cstheme="minorHAnsi"/>
      <w:sz w:val="20"/>
      <w:szCs w:val="20"/>
    </w:rPr>
  </w:style>
  <w:style w:type="paragraph" w:styleId="TOC7">
    <w:name w:val="toc 7"/>
    <w:basedOn w:val="Normal"/>
    <w:next w:val="Normal"/>
    <w:autoRedefine/>
    <w:uiPriority w:val="39"/>
    <w:unhideWhenUsed/>
    <w:rsid w:val="0057781E"/>
    <w:pPr>
      <w:ind w:left="1440"/>
    </w:pPr>
    <w:rPr>
      <w:rFonts w:cstheme="minorHAnsi"/>
      <w:sz w:val="20"/>
      <w:szCs w:val="20"/>
    </w:rPr>
  </w:style>
  <w:style w:type="paragraph" w:styleId="TOC8">
    <w:name w:val="toc 8"/>
    <w:basedOn w:val="Normal"/>
    <w:next w:val="Normal"/>
    <w:autoRedefine/>
    <w:uiPriority w:val="39"/>
    <w:unhideWhenUsed/>
    <w:rsid w:val="0057781E"/>
    <w:pPr>
      <w:ind w:left="1680"/>
    </w:pPr>
    <w:rPr>
      <w:rFonts w:cstheme="minorHAnsi"/>
      <w:sz w:val="20"/>
      <w:szCs w:val="20"/>
    </w:rPr>
  </w:style>
  <w:style w:type="paragraph" w:styleId="TOC9">
    <w:name w:val="toc 9"/>
    <w:basedOn w:val="Normal"/>
    <w:next w:val="Normal"/>
    <w:autoRedefine/>
    <w:uiPriority w:val="39"/>
    <w:unhideWhenUsed/>
    <w:rsid w:val="0057781E"/>
    <w:pPr>
      <w:ind w:left="1920"/>
    </w:pPr>
    <w:rPr>
      <w:rFonts w:cstheme="minorHAnsi"/>
      <w:sz w:val="20"/>
      <w:szCs w:val="20"/>
    </w:rPr>
  </w:style>
  <w:style w:type="character" w:customStyle="1" w:styleId="Heading1Char">
    <w:name w:val="Heading 1 Char"/>
    <w:basedOn w:val="DefaultParagraphFont"/>
    <w:link w:val="Heading1"/>
    <w:uiPriority w:val="9"/>
    <w:rsid w:val="005778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781E"/>
    <w:pPr>
      <w:spacing w:before="480" w:line="276" w:lineRule="auto"/>
      <w:outlineLvl w:val="9"/>
    </w:pPr>
    <w:rPr>
      <w:b/>
      <w:bCs/>
      <w:sz w:val="28"/>
      <w:szCs w:val="28"/>
      <w:lang w:val="en-US"/>
    </w:rPr>
  </w:style>
  <w:style w:type="paragraph" w:styleId="FootnoteText">
    <w:name w:val="footnote text"/>
    <w:basedOn w:val="Normal"/>
    <w:link w:val="FootnoteTextChar"/>
    <w:uiPriority w:val="99"/>
    <w:semiHidden/>
    <w:unhideWhenUsed/>
    <w:rsid w:val="0057781E"/>
    <w:rPr>
      <w:sz w:val="20"/>
      <w:szCs w:val="20"/>
    </w:rPr>
  </w:style>
  <w:style w:type="character" w:customStyle="1" w:styleId="FootnoteTextChar">
    <w:name w:val="Footnote Text Char"/>
    <w:basedOn w:val="DefaultParagraphFont"/>
    <w:link w:val="FootnoteText"/>
    <w:uiPriority w:val="99"/>
    <w:semiHidden/>
    <w:rsid w:val="0057781E"/>
    <w:rPr>
      <w:sz w:val="20"/>
      <w:szCs w:val="20"/>
    </w:rPr>
  </w:style>
  <w:style w:type="character" w:styleId="FootnoteReference">
    <w:name w:val="footnote reference"/>
    <w:basedOn w:val="DefaultParagraphFont"/>
    <w:uiPriority w:val="99"/>
    <w:semiHidden/>
    <w:unhideWhenUsed/>
    <w:rsid w:val="0057781E"/>
    <w:rPr>
      <w:vertAlign w:val="superscript"/>
    </w:rPr>
  </w:style>
  <w:style w:type="paragraph" w:styleId="ListParagraph">
    <w:name w:val="List Paragraph"/>
    <w:basedOn w:val="Normal"/>
    <w:uiPriority w:val="34"/>
    <w:qFormat/>
    <w:rsid w:val="00807BF6"/>
    <w:pPr>
      <w:ind w:left="720"/>
      <w:contextualSpacing/>
    </w:pPr>
  </w:style>
  <w:style w:type="paragraph" w:styleId="Header">
    <w:name w:val="header"/>
    <w:basedOn w:val="Normal"/>
    <w:link w:val="HeaderChar"/>
    <w:uiPriority w:val="99"/>
    <w:unhideWhenUsed/>
    <w:rsid w:val="00807BF6"/>
    <w:pPr>
      <w:tabs>
        <w:tab w:val="center" w:pos="4513"/>
        <w:tab w:val="right" w:pos="9026"/>
      </w:tabs>
    </w:pPr>
  </w:style>
  <w:style w:type="character" w:customStyle="1" w:styleId="HeaderChar">
    <w:name w:val="Header Char"/>
    <w:basedOn w:val="DefaultParagraphFont"/>
    <w:link w:val="Header"/>
    <w:uiPriority w:val="99"/>
    <w:rsid w:val="00807BF6"/>
  </w:style>
  <w:style w:type="paragraph" w:styleId="Footer">
    <w:name w:val="footer"/>
    <w:basedOn w:val="Normal"/>
    <w:link w:val="FooterChar"/>
    <w:uiPriority w:val="99"/>
    <w:unhideWhenUsed/>
    <w:rsid w:val="00807BF6"/>
    <w:pPr>
      <w:tabs>
        <w:tab w:val="center" w:pos="4513"/>
        <w:tab w:val="right" w:pos="9026"/>
      </w:tabs>
    </w:pPr>
  </w:style>
  <w:style w:type="character" w:customStyle="1" w:styleId="FooterChar">
    <w:name w:val="Footer Char"/>
    <w:basedOn w:val="DefaultParagraphFont"/>
    <w:link w:val="Footer"/>
    <w:uiPriority w:val="99"/>
    <w:rsid w:val="00807BF6"/>
  </w:style>
  <w:style w:type="character" w:styleId="PageNumber">
    <w:name w:val="page number"/>
    <w:basedOn w:val="DefaultParagraphFont"/>
    <w:uiPriority w:val="99"/>
    <w:semiHidden/>
    <w:unhideWhenUsed/>
    <w:rsid w:val="005A08B6"/>
  </w:style>
  <w:style w:type="character" w:styleId="Hyperlink">
    <w:name w:val="Hyperlink"/>
    <w:basedOn w:val="DefaultParagraphFont"/>
    <w:uiPriority w:val="99"/>
    <w:semiHidden/>
    <w:unhideWhenUsed/>
    <w:rsid w:val="005A08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483120">
      <w:bodyDiv w:val="1"/>
      <w:marLeft w:val="0"/>
      <w:marRight w:val="0"/>
      <w:marTop w:val="0"/>
      <w:marBottom w:val="0"/>
      <w:divBdr>
        <w:top w:val="none" w:sz="0" w:space="0" w:color="auto"/>
        <w:left w:val="none" w:sz="0" w:space="0" w:color="auto"/>
        <w:bottom w:val="none" w:sz="0" w:space="0" w:color="auto"/>
        <w:right w:val="none" w:sz="0" w:space="0" w:color="auto"/>
      </w:divBdr>
    </w:div>
    <w:div w:id="809709413">
      <w:bodyDiv w:val="1"/>
      <w:marLeft w:val="0"/>
      <w:marRight w:val="0"/>
      <w:marTop w:val="0"/>
      <w:marBottom w:val="0"/>
      <w:divBdr>
        <w:top w:val="none" w:sz="0" w:space="0" w:color="auto"/>
        <w:left w:val="none" w:sz="0" w:space="0" w:color="auto"/>
        <w:bottom w:val="none" w:sz="0" w:space="0" w:color="auto"/>
        <w:right w:val="none" w:sz="0" w:space="0" w:color="auto"/>
      </w:divBdr>
    </w:div>
    <w:div w:id="880821123">
      <w:bodyDiv w:val="1"/>
      <w:marLeft w:val="0"/>
      <w:marRight w:val="0"/>
      <w:marTop w:val="0"/>
      <w:marBottom w:val="0"/>
      <w:divBdr>
        <w:top w:val="none" w:sz="0" w:space="0" w:color="auto"/>
        <w:left w:val="none" w:sz="0" w:space="0" w:color="auto"/>
        <w:bottom w:val="none" w:sz="0" w:space="0" w:color="auto"/>
        <w:right w:val="none" w:sz="0" w:space="0" w:color="auto"/>
      </w:divBdr>
    </w:div>
    <w:div w:id="1730423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3.vlereader.com/Reader?ean=978027378668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bookcentral.proquest.com/lib/trinity/reader.action?docID=610884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4.vlereader.com/Reader?ean=978074946965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bibliu.com/ap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AC990A-91CA-894C-AEB7-D08A8D3B0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9</Pages>
  <Words>2244</Words>
  <Characters>12793</Characters>
  <Application>Microsoft Office Word</Application>
  <DocSecurity>0</DocSecurity>
  <Lines>106</Lines>
  <Paragraphs>30</Paragraphs>
  <ScaleCrop>false</ScaleCrop>
  <Company/>
  <LinksUpToDate>false</LinksUpToDate>
  <CharactersWithSpaces>15007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10</cp:revision>
  <dcterms:created xsi:type="dcterms:W3CDTF">2022-05-10T15:36:00Z</dcterms:created>
  <dcterms:modified xsi:type="dcterms:W3CDTF">2022-05-11T09:42:00Z</dcterms:modified>
</cp:coreProperties>
</file>