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E9CAB" w14:textId="398B2A2C" w:rsidR="00BD6DE9" w:rsidRDefault="00BD6DE9" w:rsidP="00BD6DE9">
      <w:pPr>
        <w:spacing w:after="0" w:line="360" w:lineRule="auto"/>
        <w:rPr>
          <w:rFonts w:ascii="Times New Roman" w:hAnsi="Times New Roman" w:cs="Times New Roman"/>
          <w:b/>
          <w:bCs/>
          <w:sz w:val="24"/>
          <w:szCs w:val="24"/>
        </w:rPr>
      </w:pPr>
    </w:p>
    <w:p w14:paraId="64135D06" w14:textId="4AA903BC" w:rsidR="00BD6DE9" w:rsidRDefault="00BD6DE9" w:rsidP="00BD6DE9">
      <w:pPr>
        <w:spacing w:after="0" w:line="360" w:lineRule="auto"/>
        <w:rPr>
          <w:rFonts w:ascii="Times New Roman" w:hAnsi="Times New Roman" w:cs="Times New Roman"/>
          <w:b/>
          <w:bCs/>
          <w:sz w:val="24"/>
          <w:szCs w:val="24"/>
        </w:rPr>
      </w:pPr>
    </w:p>
    <w:p w14:paraId="3CB3E79E" w14:textId="322188DB" w:rsidR="00BD6DE9" w:rsidRDefault="00C92C45" w:rsidP="00BD6DE9">
      <w:pPr>
        <w:spacing w:after="0" w:line="360" w:lineRule="auto"/>
        <w:rPr>
          <w:rFonts w:ascii="Times New Roman" w:hAnsi="Times New Roman" w:cs="Times New Roman"/>
          <w:b/>
          <w:bCs/>
          <w:sz w:val="24"/>
          <w:szCs w:val="24"/>
        </w:rPr>
      </w:pPr>
      <w:r>
        <w:rPr>
          <w:rFonts w:ascii="Times New Roman" w:hAnsi="Times New Roman" w:cs="Times New Roman"/>
          <w:b/>
          <w:bCs/>
          <w:sz w:val="24"/>
          <w:szCs w:val="24"/>
          <w:lang w:val="en-US"/>
        </w:rPr>
        <w:t xml:space="preserve">                                    </w:t>
      </w:r>
      <w:r>
        <w:rPr>
          <w:noProof/>
        </w:rPr>
        <w:drawing>
          <wp:inline distT="0" distB="0" distL="0" distR="0" wp14:anchorId="09EFB620" wp14:editId="12A865B2">
            <wp:extent cx="3262212" cy="1275417"/>
            <wp:effectExtent l="0" t="0" r="0" b="1270"/>
            <wp:docPr id="453002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002554" name="Picture 1"/>
                    <pic:cNvPicPr>
                      <a:picLocks noChangeAspect="1"/>
                    </pic:cNvPicPr>
                  </pic:nvPicPr>
                  <pic:blipFill>
                    <a:blip r:embed="rId8"/>
                    <a:stretch>
                      <a:fillRect/>
                    </a:stretch>
                  </pic:blipFill>
                  <pic:spPr>
                    <a:xfrm>
                      <a:off x="0" y="0"/>
                      <a:ext cx="4188988" cy="1637756"/>
                    </a:xfrm>
                    <a:prstGeom prst="rect">
                      <a:avLst/>
                    </a:prstGeom>
                  </pic:spPr>
                </pic:pic>
              </a:graphicData>
            </a:graphic>
          </wp:inline>
        </w:drawing>
      </w:r>
    </w:p>
    <w:p w14:paraId="3516D804" w14:textId="181EF675" w:rsidR="00BD6DE9" w:rsidRDefault="00BD6DE9" w:rsidP="00BD6DE9">
      <w:pPr>
        <w:spacing w:after="0" w:line="360" w:lineRule="auto"/>
        <w:rPr>
          <w:rFonts w:ascii="Times New Roman" w:hAnsi="Times New Roman" w:cs="Times New Roman"/>
          <w:b/>
          <w:bCs/>
          <w:sz w:val="24"/>
          <w:szCs w:val="24"/>
        </w:rPr>
      </w:pPr>
    </w:p>
    <w:p w14:paraId="4574EA54" w14:textId="378DED54" w:rsidR="00B25F1A" w:rsidRPr="00C92C45" w:rsidRDefault="00B25F1A" w:rsidP="00BD6DE9">
      <w:pPr>
        <w:spacing w:after="0" w:line="360" w:lineRule="auto"/>
        <w:jc w:val="center"/>
        <w:rPr>
          <w:rFonts w:ascii="Times New Roman" w:hAnsi="Times New Roman" w:cs="Times New Roman"/>
          <w:sz w:val="24"/>
          <w:szCs w:val="24"/>
          <w:lang w:val="en-US"/>
        </w:rPr>
      </w:pPr>
    </w:p>
    <w:p w14:paraId="6ED60852" w14:textId="7C07FF85" w:rsidR="00C92C45" w:rsidRPr="00C92C45" w:rsidRDefault="00C92C45" w:rsidP="00C92C45">
      <w:pPr>
        <w:spacing w:after="0" w:line="360" w:lineRule="auto"/>
        <w:ind w:firstLine="720"/>
        <w:rPr>
          <w:rFonts w:ascii="Times New Roman" w:hAnsi="Times New Roman" w:cs="Times New Roman"/>
          <w:b/>
          <w:bCs/>
          <w:sz w:val="24"/>
          <w:szCs w:val="24"/>
          <w:lang w:val="en-US"/>
        </w:rPr>
      </w:pPr>
    </w:p>
    <w:p w14:paraId="2573BDDC" w14:textId="012347F3" w:rsidR="00B25F1A" w:rsidRPr="00BD6DE9" w:rsidRDefault="00C92C45" w:rsidP="00BD6DE9">
      <w:pPr>
        <w:spacing w:after="0" w:line="360" w:lineRule="auto"/>
        <w:ind w:firstLine="720"/>
        <w:rPr>
          <w:rFonts w:ascii="Times New Roman" w:hAnsi="Times New Roman" w:cs="Times New Roman"/>
          <w:b/>
          <w:bCs/>
          <w:sz w:val="24"/>
          <w:szCs w:val="24"/>
        </w:rPr>
      </w:pPr>
      <w:r>
        <w:rPr>
          <w:rFonts w:ascii="Times New Roman" w:hAnsi="Times New Roman" w:cs="Times New Roman"/>
          <w:b/>
          <w:bCs/>
          <w:sz w:val="24"/>
          <w:szCs w:val="24"/>
          <w:lang w:val="en-US"/>
        </w:rPr>
        <w:t xml:space="preserve">                                                       Title</w:t>
      </w:r>
      <w:r>
        <w:rPr>
          <w:rFonts w:ascii="Times New Roman" w:hAnsi="Times New Roman" w:cs="Times New Roman"/>
          <w:b/>
          <w:bCs/>
          <w:sz w:val="24"/>
          <w:szCs w:val="24"/>
          <w:lang w:val="en-US"/>
        </w:rPr>
        <w:t>:</w:t>
      </w:r>
    </w:p>
    <w:p w14:paraId="0E1863FC" w14:textId="20F3D65F" w:rsidR="00C92C45" w:rsidRPr="00BD6DE9" w:rsidRDefault="00C92C45" w:rsidP="00C92C45">
      <w:pPr>
        <w:spacing w:after="0" w:line="360" w:lineRule="auto"/>
        <w:jc w:val="center"/>
        <w:rPr>
          <w:rFonts w:ascii="Times New Roman" w:hAnsi="Times New Roman" w:cs="Times New Roman"/>
          <w:b/>
          <w:bCs/>
          <w:sz w:val="24"/>
          <w:szCs w:val="24"/>
        </w:rPr>
      </w:pPr>
      <w:r w:rsidRPr="00BD6DE9">
        <w:rPr>
          <w:rFonts w:ascii="Times New Roman" w:hAnsi="Times New Roman" w:cs="Times New Roman"/>
          <w:b/>
          <w:bCs/>
          <w:sz w:val="24"/>
          <w:szCs w:val="24"/>
        </w:rPr>
        <w:t>Exploring the Strategic Alignment Between Corporate Objectives and Departmental KPIs: A Case Study of a UK Medium-Sized Automotive Manufacturer.</w:t>
      </w:r>
    </w:p>
    <w:p w14:paraId="58C07C42" w14:textId="77777777" w:rsidR="00C92C45" w:rsidRDefault="00C92C45" w:rsidP="00C92C45">
      <w:pPr>
        <w:spacing w:after="0" w:line="360" w:lineRule="auto"/>
        <w:jc w:val="center"/>
        <w:rPr>
          <w:rFonts w:ascii="Times New Roman" w:hAnsi="Times New Roman" w:cs="Times New Roman"/>
          <w:sz w:val="24"/>
          <w:szCs w:val="24"/>
        </w:rPr>
      </w:pPr>
    </w:p>
    <w:p w14:paraId="6B6BD547" w14:textId="77777777" w:rsidR="00C92C45" w:rsidRDefault="00C92C45" w:rsidP="00C92C45">
      <w:pPr>
        <w:spacing w:after="0" w:line="360" w:lineRule="auto"/>
        <w:jc w:val="center"/>
        <w:rPr>
          <w:rFonts w:ascii="Times New Roman" w:hAnsi="Times New Roman" w:cs="Times New Roman"/>
          <w:sz w:val="24"/>
          <w:szCs w:val="24"/>
        </w:rPr>
      </w:pPr>
    </w:p>
    <w:p w14:paraId="22E1F4D0" w14:textId="77777777" w:rsidR="00C92C45" w:rsidRPr="00BD6DE9" w:rsidRDefault="00C92C45" w:rsidP="00C92C45">
      <w:pPr>
        <w:spacing w:after="0" w:line="360" w:lineRule="auto"/>
        <w:jc w:val="center"/>
        <w:rPr>
          <w:rFonts w:ascii="Times New Roman" w:hAnsi="Times New Roman" w:cs="Times New Roman"/>
          <w:sz w:val="24"/>
          <w:szCs w:val="24"/>
        </w:rPr>
      </w:pPr>
      <w:r w:rsidRPr="00BD6DE9">
        <w:rPr>
          <w:rFonts w:ascii="Times New Roman" w:hAnsi="Times New Roman" w:cs="Times New Roman"/>
          <w:b/>
          <w:bCs/>
          <w:sz w:val="24"/>
          <w:szCs w:val="24"/>
        </w:rPr>
        <w:t>Name</w:t>
      </w:r>
      <w:r>
        <w:rPr>
          <w:rFonts w:ascii="Times New Roman" w:hAnsi="Times New Roman" w:cs="Times New Roman"/>
          <w:sz w:val="24"/>
          <w:szCs w:val="24"/>
        </w:rPr>
        <w:t>:</w:t>
      </w:r>
      <w:r>
        <w:rPr>
          <w:rFonts w:ascii="Times New Roman" w:hAnsi="Times New Roman" w:cs="Times New Roman"/>
          <w:sz w:val="24"/>
          <w:szCs w:val="24"/>
          <w:lang w:val="en-US"/>
        </w:rPr>
        <w:t>Naga Nandini Morla</w:t>
      </w:r>
      <w:r>
        <w:rPr>
          <w:rFonts w:ascii="Times New Roman" w:hAnsi="Times New Roman" w:cs="Times New Roman"/>
          <w:sz w:val="24"/>
          <w:szCs w:val="24"/>
        </w:rPr>
        <w:t xml:space="preserve"> </w:t>
      </w:r>
    </w:p>
    <w:p w14:paraId="51799851" w14:textId="77777777" w:rsidR="00C92C45" w:rsidRPr="00BD6DE9" w:rsidRDefault="00C92C45" w:rsidP="00C92C45">
      <w:pPr>
        <w:spacing w:after="0" w:line="360" w:lineRule="auto"/>
        <w:jc w:val="center"/>
        <w:rPr>
          <w:rFonts w:ascii="Times New Roman" w:eastAsia="Arial" w:hAnsi="Times New Roman" w:cs="Times New Roman"/>
          <w:sz w:val="24"/>
          <w:szCs w:val="24"/>
          <w:lang w:val="en-US"/>
        </w:rPr>
      </w:pPr>
      <w:r w:rsidRPr="00BD6DE9">
        <w:rPr>
          <w:rFonts w:ascii="Times New Roman" w:eastAsia="Arial" w:hAnsi="Times New Roman" w:cs="Times New Roman"/>
          <w:b/>
          <w:bCs/>
          <w:sz w:val="24"/>
          <w:szCs w:val="24"/>
          <w:lang w:val="en-US"/>
        </w:rPr>
        <w:t>Modul</w:t>
      </w:r>
      <w:r w:rsidRPr="00BD6DE9">
        <w:rPr>
          <w:rFonts w:ascii="Times New Roman" w:eastAsia="Arial" w:hAnsi="Times New Roman" w:cs="Times New Roman"/>
          <w:sz w:val="24"/>
          <w:szCs w:val="24"/>
          <w:lang w:val="en-US"/>
        </w:rPr>
        <w:t>e: Business Research</w:t>
      </w:r>
    </w:p>
    <w:p w14:paraId="40D54394" w14:textId="77777777" w:rsidR="00C92C45" w:rsidRPr="00BD6DE9" w:rsidRDefault="00C92C45" w:rsidP="00C92C45">
      <w:pPr>
        <w:spacing w:after="0" w:line="360" w:lineRule="auto"/>
        <w:jc w:val="center"/>
        <w:rPr>
          <w:rFonts w:ascii="Times New Roman" w:eastAsia="Times New Roman" w:hAnsi="Times New Roman" w:cs="Times New Roman"/>
          <w:color w:val="000000"/>
          <w:sz w:val="24"/>
          <w:szCs w:val="24"/>
          <w:lang w:eastAsia="en-GB"/>
        </w:rPr>
      </w:pPr>
      <w:r w:rsidRPr="00BD6DE9">
        <w:rPr>
          <w:rFonts w:ascii="Times New Roman" w:eastAsia="Times New Roman" w:hAnsi="Times New Roman" w:cs="Times New Roman"/>
          <w:b/>
          <w:bCs/>
          <w:color w:val="000000"/>
          <w:sz w:val="24"/>
          <w:szCs w:val="24"/>
          <w:lang w:eastAsia="en-GB"/>
        </w:rPr>
        <w:t>Module Code</w:t>
      </w:r>
      <w:r w:rsidRPr="00BD6DE9">
        <w:rPr>
          <w:rFonts w:ascii="Times New Roman" w:eastAsia="Times New Roman" w:hAnsi="Times New Roman" w:cs="Times New Roman"/>
          <w:color w:val="000000"/>
          <w:sz w:val="24"/>
          <w:szCs w:val="24"/>
          <w:lang w:eastAsia="en-GB"/>
        </w:rPr>
        <w:t>: BMMB7028</w:t>
      </w:r>
    </w:p>
    <w:p w14:paraId="5AD675DF" w14:textId="508E4AAC" w:rsidR="00C92C45" w:rsidRPr="00BD6DE9" w:rsidRDefault="00C92C45" w:rsidP="00C92C45">
      <w:pPr>
        <w:spacing w:after="0" w:line="360" w:lineRule="auto"/>
        <w:jc w:val="center"/>
        <w:rPr>
          <w:rFonts w:ascii="Times New Roman" w:hAnsi="Times New Roman" w:cs="Times New Roman"/>
          <w:b/>
          <w:bCs/>
          <w:sz w:val="24"/>
          <w:szCs w:val="24"/>
        </w:rPr>
      </w:pPr>
      <w:r w:rsidRPr="00BD6DE9">
        <w:rPr>
          <w:rFonts w:ascii="Times New Roman" w:hAnsi="Times New Roman" w:cs="Times New Roman"/>
          <w:b/>
          <w:bCs/>
          <w:sz w:val="24"/>
          <w:szCs w:val="24"/>
        </w:rPr>
        <w:t>ID number</w:t>
      </w:r>
      <w:r>
        <w:rPr>
          <w:rFonts w:ascii="Times New Roman" w:hAnsi="Times New Roman" w:cs="Times New Roman"/>
          <w:sz w:val="24"/>
          <w:szCs w:val="24"/>
        </w:rPr>
        <w:t xml:space="preserve">: </w:t>
      </w:r>
      <w:r>
        <w:rPr>
          <w:rFonts w:ascii="Times New Roman" w:hAnsi="Times New Roman" w:cs="Times New Roman"/>
          <w:sz w:val="24"/>
          <w:szCs w:val="24"/>
          <w:lang w:val="en-US"/>
        </w:rPr>
        <w:t>2505085</w:t>
      </w:r>
      <w:r w:rsidR="00BD6DE9" w:rsidRPr="00BD6DE9">
        <w:rPr>
          <w:rFonts w:ascii="Times New Roman" w:hAnsi="Times New Roman" w:cs="Times New Roman"/>
          <w:b/>
          <w:bCs/>
          <w:sz w:val="24"/>
          <w:szCs w:val="24"/>
        </w:rPr>
        <w:br w:type="page"/>
      </w:r>
    </w:p>
    <w:p w14:paraId="7581FAD3" w14:textId="607727F8" w:rsidR="00BD6DE9" w:rsidRPr="00BD6DE9" w:rsidRDefault="00BD6DE9" w:rsidP="00C92C45">
      <w:pPr>
        <w:spacing w:after="0" w:line="360" w:lineRule="auto"/>
        <w:ind w:firstLine="720"/>
        <w:rPr>
          <w:rFonts w:ascii="Times New Roman" w:hAnsi="Times New Roman" w:cs="Times New Roman"/>
          <w:b/>
          <w:bCs/>
          <w:sz w:val="24"/>
          <w:szCs w:val="24"/>
        </w:rPr>
      </w:pPr>
    </w:p>
    <w:p w14:paraId="07FB920B" w14:textId="0F95A895" w:rsidR="00BD6DE9" w:rsidRPr="00BD6DE9" w:rsidRDefault="00BD6DE9" w:rsidP="00BD6DE9">
      <w:pPr>
        <w:pStyle w:val="Heading1"/>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Executive Summary</w:t>
      </w:r>
    </w:p>
    <w:p w14:paraId="797AD638" w14:textId="62378BD0" w:rsidR="00BD6DE9" w:rsidRPr="00AA3FCF" w:rsidRDefault="00BD6DE9" w:rsidP="00BD6DE9">
      <w:pPr>
        <w:spacing w:after="0" w:line="360" w:lineRule="auto"/>
        <w:ind w:firstLine="720"/>
        <w:rPr>
          <w:rFonts w:ascii="Times New Roman" w:hAnsi="Times New Roman" w:cs="Times New Roman"/>
          <w:sz w:val="24"/>
          <w:szCs w:val="24"/>
        </w:rPr>
      </w:pPr>
      <w:r w:rsidRPr="00AA3FCF">
        <w:rPr>
          <w:rFonts w:ascii="Times New Roman" w:hAnsi="Times New Roman" w:cs="Times New Roman"/>
          <w:sz w:val="24"/>
          <w:szCs w:val="24"/>
        </w:rPr>
        <w:t>The proposed research aims to investigate the strategic fit between corporate goals and departmental Key Performance Indicators in a medium-sized company in the United Kingdom that manufactures vehicles in the automotive sector transitioning to electric cars and facing a post-Brexit trade war. Even though the significance of strategic alignment in organisational performance has been acknowledged, the current study shows that medium-sized manufacturers have undergone less research than big companies. This research takes the qualitative single-case study design, which is supported by an interpretivist philosophy. The information will be gathered with the help of semi-structured interviews with corporate leaders, department heads and team leaders, with a supplement of documentary analysis. The thematic analysis will be used to determine the pattern, barriers and enablers of alignment. The study is theoretically relevant to the literature on performance management and practically because it comes up with an evidence-based framework that can be utilised to boost strategic coherence in medium-sized manufacturing settings.</w:t>
      </w:r>
    </w:p>
    <w:p w14:paraId="33665FED" w14:textId="77777777" w:rsidR="00BD6DE9" w:rsidRPr="00BD6DE9" w:rsidRDefault="00BD6DE9" w:rsidP="00BD6DE9">
      <w:pPr>
        <w:spacing w:after="0" w:line="360" w:lineRule="auto"/>
        <w:ind w:firstLine="720"/>
        <w:rPr>
          <w:rFonts w:ascii="Times New Roman" w:hAnsi="Times New Roman" w:cs="Times New Roman"/>
          <w:b/>
          <w:bCs/>
          <w:sz w:val="24"/>
          <w:szCs w:val="24"/>
        </w:rPr>
      </w:pPr>
    </w:p>
    <w:p w14:paraId="738E1266" w14:textId="77777777" w:rsidR="00BD6DE9" w:rsidRDefault="00BD6DE9" w:rsidP="00BD6DE9">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06A97777" w14:textId="77777777" w:rsidR="00BD6DE9" w:rsidRDefault="00BD6DE9" w:rsidP="00BD6DE9">
      <w:pPr>
        <w:pStyle w:val="Heading1"/>
        <w:jc w:val="center"/>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lastRenderedPageBreak/>
        <w:t>CHAPTER ONE</w:t>
      </w:r>
      <w:r>
        <w:rPr>
          <w:rFonts w:ascii="Times New Roman" w:hAnsi="Times New Roman" w:cs="Times New Roman"/>
          <w:b/>
          <w:bCs/>
          <w:color w:val="auto"/>
          <w:sz w:val="24"/>
          <w:szCs w:val="24"/>
        </w:rPr>
        <w:t xml:space="preserve"> </w:t>
      </w:r>
    </w:p>
    <w:p w14:paraId="2B765915" w14:textId="0BACFE6E" w:rsidR="00BD6DE9" w:rsidRPr="00BD6DE9" w:rsidRDefault="00BD6DE9" w:rsidP="00BD6DE9">
      <w:pPr>
        <w:pStyle w:val="Heading1"/>
        <w:jc w:val="center"/>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INTRODUCTION</w:t>
      </w:r>
    </w:p>
    <w:p w14:paraId="4B763F57" w14:textId="1BAFB913" w:rsidR="0024046F" w:rsidRPr="00BD6DE9" w:rsidRDefault="0024046F" w:rsidP="00BD6DE9">
      <w:pPr>
        <w:pStyle w:val="Heading1"/>
        <w:rPr>
          <w:rFonts w:ascii="Times New Roman" w:hAnsi="Times New Roman" w:cs="Times New Roman"/>
          <w:b/>
          <w:bCs/>
          <w:sz w:val="24"/>
          <w:szCs w:val="24"/>
        </w:rPr>
      </w:pPr>
      <w:r w:rsidRPr="00BD6DE9">
        <w:rPr>
          <w:rFonts w:ascii="Times New Roman" w:hAnsi="Times New Roman" w:cs="Times New Roman"/>
          <w:b/>
          <w:bCs/>
          <w:color w:val="auto"/>
          <w:sz w:val="24"/>
          <w:szCs w:val="24"/>
        </w:rPr>
        <w:t>1</w:t>
      </w:r>
      <w:r w:rsidRPr="00BD6DE9">
        <w:rPr>
          <w:rStyle w:val="Heading2Char"/>
          <w:rFonts w:ascii="Times New Roman" w:hAnsi="Times New Roman" w:cs="Times New Roman"/>
          <w:b/>
          <w:bCs/>
          <w:color w:val="auto"/>
          <w:sz w:val="24"/>
          <w:szCs w:val="24"/>
        </w:rPr>
        <w:t>.</w:t>
      </w:r>
      <w:r w:rsidR="00BD6DE9" w:rsidRPr="00BD6DE9">
        <w:rPr>
          <w:rStyle w:val="Heading2Char"/>
          <w:rFonts w:ascii="Times New Roman" w:hAnsi="Times New Roman" w:cs="Times New Roman"/>
          <w:b/>
          <w:bCs/>
          <w:color w:val="auto"/>
          <w:sz w:val="24"/>
          <w:szCs w:val="24"/>
        </w:rPr>
        <w:t>1</w:t>
      </w:r>
      <w:r w:rsidRPr="00BD6DE9">
        <w:rPr>
          <w:rStyle w:val="Heading2Char"/>
          <w:rFonts w:ascii="Times New Roman" w:hAnsi="Times New Roman" w:cs="Times New Roman"/>
          <w:b/>
          <w:bCs/>
          <w:color w:val="auto"/>
          <w:sz w:val="24"/>
          <w:szCs w:val="24"/>
        </w:rPr>
        <w:t xml:space="preserve"> Background of the Study</w:t>
      </w:r>
    </w:p>
    <w:p w14:paraId="11EE66F5" w14:textId="77777777" w:rsidR="005155D9" w:rsidRPr="00807F3C" w:rsidRDefault="005155D9" w:rsidP="00BD6DE9">
      <w:pPr>
        <w:spacing w:after="0" w:line="360" w:lineRule="auto"/>
        <w:ind w:firstLine="720"/>
        <w:rPr>
          <w:rFonts w:ascii="Times New Roman" w:hAnsi="Times New Roman" w:cs="Times New Roman"/>
          <w:sz w:val="24"/>
          <w:szCs w:val="24"/>
        </w:rPr>
      </w:pPr>
      <w:r w:rsidRPr="00807F3C">
        <w:rPr>
          <w:rFonts w:ascii="Times New Roman" w:hAnsi="Times New Roman" w:cs="Times New Roman"/>
          <w:sz w:val="24"/>
          <w:szCs w:val="24"/>
        </w:rPr>
        <w:t>The automobile manufacturing industry in the world is at a crossroad. With the world becoming more decarbonised, the sector contributes almost 16% of carbon dioxide emissions to the world, which leads to regulatory interventions in major economies (International Energy Agency, 2025). A co-ordinated global transition to the creation of electric vehicles has been established through aggressive timelines of the elimination of internal combustion engine vehicles in the European Union, China, and the United States (Khaleel et al., 2024). This revolution has profoundly changed the competition, where the established manufacturers are experiencing unprecedented demand to reorganise the supply chains, re-equip the production plants, and innovate new technology (Rehman and Shakeel Sadiq Jajja, 2025).</w:t>
      </w:r>
    </w:p>
    <w:p w14:paraId="24FA5CA1" w14:textId="2FBE3115" w:rsidR="00023E27" w:rsidRPr="00BD6DE9" w:rsidRDefault="0021604B" w:rsidP="00BD6DE9">
      <w:pPr>
        <w:spacing w:after="0" w:line="360" w:lineRule="auto"/>
        <w:ind w:firstLine="720"/>
        <w:rPr>
          <w:rFonts w:ascii="Times New Roman" w:hAnsi="Times New Roman" w:cs="Times New Roman"/>
          <w:sz w:val="24"/>
          <w:szCs w:val="24"/>
        </w:rPr>
      </w:pPr>
      <w:r w:rsidRPr="00BD6DE9">
        <w:rPr>
          <w:rFonts w:ascii="Times New Roman" w:hAnsi="Times New Roman" w:cs="Times New Roman"/>
          <w:noProof/>
          <w:sz w:val="24"/>
          <w:szCs w:val="24"/>
        </w:rPr>
        <w:drawing>
          <wp:anchor distT="0" distB="0" distL="114300" distR="114300" simplePos="0" relativeHeight="251658240" behindDoc="0" locked="0" layoutInCell="1" allowOverlap="1" wp14:anchorId="199CD430" wp14:editId="5D050FC9">
            <wp:simplePos x="0" y="0"/>
            <wp:positionH relativeFrom="margin">
              <wp:posOffset>894080</wp:posOffset>
            </wp:positionH>
            <wp:positionV relativeFrom="paragraph">
              <wp:posOffset>7620</wp:posOffset>
            </wp:positionV>
            <wp:extent cx="3752850" cy="3127375"/>
            <wp:effectExtent l="0" t="0" r="0" b="0"/>
            <wp:wrapSquare wrapText="bothSides"/>
            <wp:docPr id="1165893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52850" cy="3127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DD40D9" w14:textId="77777777" w:rsidR="0021604B" w:rsidRPr="00BD6DE9" w:rsidRDefault="0021604B" w:rsidP="00BD6DE9">
      <w:pPr>
        <w:pStyle w:val="Caption"/>
        <w:spacing w:after="0" w:line="360" w:lineRule="auto"/>
        <w:ind w:firstLine="720"/>
        <w:rPr>
          <w:rFonts w:ascii="Times New Roman" w:hAnsi="Times New Roman" w:cs="Times New Roman"/>
          <w:color w:val="auto"/>
          <w:sz w:val="24"/>
          <w:szCs w:val="24"/>
        </w:rPr>
      </w:pPr>
    </w:p>
    <w:p w14:paraId="74CCBDD7" w14:textId="77777777" w:rsidR="0021604B" w:rsidRPr="00BD6DE9" w:rsidRDefault="0021604B" w:rsidP="00BD6DE9">
      <w:pPr>
        <w:pStyle w:val="Caption"/>
        <w:spacing w:after="0" w:line="360" w:lineRule="auto"/>
        <w:ind w:firstLine="720"/>
        <w:rPr>
          <w:rFonts w:ascii="Times New Roman" w:hAnsi="Times New Roman" w:cs="Times New Roman"/>
          <w:color w:val="auto"/>
          <w:sz w:val="24"/>
          <w:szCs w:val="24"/>
        </w:rPr>
      </w:pPr>
    </w:p>
    <w:p w14:paraId="0C25D33B" w14:textId="77777777" w:rsidR="0021604B" w:rsidRPr="00BD6DE9" w:rsidRDefault="0021604B" w:rsidP="00BD6DE9">
      <w:pPr>
        <w:pStyle w:val="Caption"/>
        <w:spacing w:after="0" w:line="360" w:lineRule="auto"/>
        <w:ind w:firstLine="720"/>
        <w:rPr>
          <w:rFonts w:ascii="Times New Roman" w:hAnsi="Times New Roman" w:cs="Times New Roman"/>
          <w:color w:val="auto"/>
          <w:sz w:val="24"/>
          <w:szCs w:val="24"/>
        </w:rPr>
      </w:pPr>
    </w:p>
    <w:p w14:paraId="091DBC21" w14:textId="77777777" w:rsidR="0021604B" w:rsidRPr="00BD6DE9" w:rsidRDefault="0021604B" w:rsidP="00BD6DE9">
      <w:pPr>
        <w:pStyle w:val="Caption"/>
        <w:spacing w:after="0" w:line="360" w:lineRule="auto"/>
        <w:ind w:firstLine="720"/>
        <w:rPr>
          <w:rFonts w:ascii="Times New Roman" w:hAnsi="Times New Roman" w:cs="Times New Roman"/>
          <w:color w:val="auto"/>
          <w:sz w:val="24"/>
          <w:szCs w:val="24"/>
        </w:rPr>
      </w:pPr>
    </w:p>
    <w:p w14:paraId="6F5831D5" w14:textId="77777777" w:rsidR="0021604B" w:rsidRPr="00BD6DE9" w:rsidRDefault="0021604B" w:rsidP="00BD6DE9">
      <w:pPr>
        <w:pStyle w:val="Caption"/>
        <w:spacing w:after="0" w:line="360" w:lineRule="auto"/>
        <w:ind w:firstLine="720"/>
        <w:rPr>
          <w:rFonts w:ascii="Times New Roman" w:hAnsi="Times New Roman" w:cs="Times New Roman"/>
          <w:color w:val="auto"/>
          <w:sz w:val="24"/>
          <w:szCs w:val="24"/>
        </w:rPr>
      </w:pPr>
    </w:p>
    <w:p w14:paraId="388EEE3F" w14:textId="77777777" w:rsidR="0021604B" w:rsidRPr="00BD6DE9" w:rsidRDefault="0021604B" w:rsidP="00BD6DE9">
      <w:pPr>
        <w:pStyle w:val="Caption"/>
        <w:spacing w:after="0" w:line="360" w:lineRule="auto"/>
        <w:ind w:firstLine="720"/>
        <w:rPr>
          <w:rFonts w:ascii="Times New Roman" w:hAnsi="Times New Roman" w:cs="Times New Roman"/>
          <w:color w:val="auto"/>
          <w:sz w:val="24"/>
          <w:szCs w:val="24"/>
        </w:rPr>
      </w:pPr>
    </w:p>
    <w:p w14:paraId="3D697C91" w14:textId="77777777" w:rsidR="0021604B" w:rsidRPr="00BD6DE9" w:rsidRDefault="0021604B" w:rsidP="00BD6DE9">
      <w:pPr>
        <w:pStyle w:val="Caption"/>
        <w:spacing w:after="0" w:line="360" w:lineRule="auto"/>
        <w:ind w:firstLine="720"/>
        <w:rPr>
          <w:rFonts w:ascii="Times New Roman" w:hAnsi="Times New Roman" w:cs="Times New Roman"/>
          <w:color w:val="auto"/>
          <w:sz w:val="24"/>
          <w:szCs w:val="24"/>
        </w:rPr>
      </w:pPr>
    </w:p>
    <w:p w14:paraId="34E15B4F" w14:textId="77777777" w:rsidR="0021604B" w:rsidRPr="00BD6DE9" w:rsidRDefault="0021604B" w:rsidP="00BD6DE9">
      <w:pPr>
        <w:pStyle w:val="Caption"/>
        <w:spacing w:after="0" w:line="360" w:lineRule="auto"/>
        <w:ind w:firstLine="720"/>
        <w:rPr>
          <w:rFonts w:ascii="Times New Roman" w:hAnsi="Times New Roman" w:cs="Times New Roman"/>
          <w:color w:val="auto"/>
          <w:sz w:val="24"/>
          <w:szCs w:val="24"/>
        </w:rPr>
      </w:pPr>
    </w:p>
    <w:p w14:paraId="63CF6B8A" w14:textId="77777777" w:rsidR="0021604B" w:rsidRPr="00BD6DE9" w:rsidRDefault="0021604B" w:rsidP="00BD6DE9">
      <w:pPr>
        <w:pStyle w:val="Caption"/>
        <w:spacing w:after="0" w:line="360" w:lineRule="auto"/>
        <w:ind w:firstLine="720"/>
        <w:rPr>
          <w:rFonts w:ascii="Times New Roman" w:hAnsi="Times New Roman" w:cs="Times New Roman"/>
          <w:color w:val="auto"/>
          <w:sz w:val="24"/>
          <w:szCs w:val="24"/>
        </w:rPr>
      </w:pPr>
    </w:p>
    <w:p w14:paraId="4A04196C" w14:textId="77777777" w:rsidR="0021604B" w:rsidRPr="00BD6DE9" w:rsidRDefault="0021604B" w:rsidP="00BD6DE9">
      <w:pPr>
        <w:pStyle w:val="Caption"/>
        <w:spacing w:after="0" w:line="360" w:lineRule="auto"/>
        <w:ind w:firstLine="720"/>
        <w:rPr>
          <w:rFonts w:ascii="Times New Roman" w:hAnsi="Times New Roman" w:cs="Times New Roman"/>
          <w:color w:val="auto"/>
          <w:sz w:val="24"/>
          <w:szCs w:val="24"/>
        </w:rPr>
      </w:pPr>
    </w:p>
    <w:p w14:paraId="572CA51B" w14:textId="77777777" w:rsidR="00BD6DE9" w:rsidRDefault="00BD6DE9" w:rsidP="00BD6DE9">
      <w:pPr>
        <w:pStyle w:val="Caption"/>
        <w:spacing w:after="0" w:line="360" w:lineRule="auto"/>
        <w:ind w:firstLine="720"/>
        <w:rPr>
          <w:rFonts w:ascii="Times New Roman" w:hAnsi="Times New Roman" w:cs="Times New Roman"/>
          <w:color w:val="auto"/>
          <w:sz w:val="24"/>
          <w:szCs w:val="24"/>
        </w:rPr>
      </w:pPr>
    </w:p>
    <w:p w14:paraId="2E4F9BE5" w14:textId="7939153D" w:rsidR="0021604B" w:rsidRPr="00BD6DE9" w:rsidRDefault="0021604B" w:rsidP="00BD6DE9">
      <w:pPr>
        <w:pStyle w:val="Caption"/>
        <w:spacing w:after="0" w:line="360" w:lineRule="auto"/>
        <w:rPr>
          <w:rFonts w:ascii="Times New Roman" w:hAnsi="Times New Roman" w:cs="Times New Roman"/>
          <w:color w:val="auto"/>
          <w:sz w:val="24"/>
          <w:szCs w:val="24"/>
        </w:rPr>
      </w:pPr>
      <w:r w:rsidRPr="00BD6DE9">
        <w:rPr>
          <w:rFonts w:ascii="Times New Roman" w:hAnsi="Times New Roman" w:cs="Times New Roman"/>
          <w:color w:val="auto"/>
          <w:sz w:val="24"/>
          <w:szCs w:val="24"/>
        </w:rPr>
        <w:t xml:space="preserve">Figure </w:t>
      </w:r>
      <w:r w:rsidRPr="00BD6DE9">
        <w:rPr>
          <w:rFonts w:ascii="Times New Roman" w:hAnsi="Times New Roman" w:cs="Times New Roman"/>
          <w:color w:val="auto"/>
          <w:sz w:val="24"/>
          <w:szCs w:val="24"/>
        </w:rPr>
        <w:fldChar w:fldCharType="begin"/>
      </w:r>
      <w:r w:rsidRPr="00BD6DE9">
        <w:rPr>
          <w:rFonts w:ascii="Times New Roman" w:hAnsi="Times New Roman" w:cs="Times New Roman"/>
          <w:color w:val="auto"/>
          <w:sz w:val="24"/>
          <w:szCs w:val="24"/>
        </w:rPr>
        <w:instrText xml:space="preserve"> SEQ Figure \* ARABIC </w:instrText>
      </w:r>
      <w:r w:rsidRPr="00BD6DE9">
        <w:rPr>
          <w:rFonts w:ascii="Times New Roman" w:hAnsi="Times New Roman" w:cs="Times New Roman"/>
          <w:color w:val="auto"/>
          <w:sz w:val="24"/>
          <w:szCs w:val="24"/>
        </w:rPr>
        <w:fldChar w:fldCharType="separate"/>
      </w:r>
      <w:r w:rsidRPr="00BD6DE9">
        <w:rPr>
          <w:rFonts w:ascii="Times New Roman" w:hAnsi="Times New Roman" w:cs="Times New Roman"/>
          <w:noProof/>
          <w:color w:val="auto"/>
          <w:sz w:val="24"/>
          <w:szCs w:val="24"/>
        </w:rPr>
        <w:t>1</w:t>
      </w:r>
      <w:r w:rsidRPr="00BD6DE9">
        <w:rPr>
          <w:rFonts w:ascii="Times New Roman" w:hAnsi="Times New Roman" w:cs="Times New Roman"/>
          <w:color w:val="auto"/>
          <w:sz w:val="24"/>
          <w:szCs w:val="24"/>
        </w:rPr>
        <w:fldChar w:fldCharType="end"/>
      </w:r>
      <w:r w:rsidRPr="00BD6DE9">
        <w:rPr>
          <w:rFonts w:ascii="Times New Roman" w:hAnsi="Times New Roman" w:cs="Times New Roman"/>
          <w:color w:val="auto"/>
          <w:sz w:val="24"/>
          <w:szCs w:val="24"/>
        </w:rPr>
        <w:t>: Production of electric cars and location of car manufacturer headquarters by region, 2021-2024: Source (IEA, 2025)</w:t>
      </w:r>
    </w:p>
    <w:p w14:paraId="125FF83C" w14:textId="77777777" w:rsidR="005155D9" w:rsidRPr="00807F3C" w:rsidRDefault="005155D9" w:rsidP="00BD6DE9">
      <w:pPr>
        <w:spacing w:after="0" w:line="360" w:lineRule="auto"/>
        <w:ind w:firstLine="720"/>
        <w:rPr>
          <w:rFonts w:ascii="Times New Roman" w:hAnsi="Times New Roman" w:cs="Times New Roman"/>
          <w:sz w:val="24"/>
          <w:szCs w:val="24"/>
        </w:rPr>
      </w:pPr>
      <w:r w:rsidRPr="00807F3C">
        <w:rPr>
          <w:rFonts w:ascii="Times New Roman" w:hAnsi="Times New Roman" w:cs="Times New Roman"/>
          <w:sz w:val="24"/>
          <w:szCs w:val="24"/>
        </w:rPr>
        <w:t xml:space="preserve">The United Kingdom automotive manufacturing industry is one of the pillars of the national economy with an annual turnover of 92 billion, as well as the employment of more than 796,000 direct manufacturing positions (Society of Motor Manufacturers and Traders [SMMT], 2026). In this ecosystem, medium-sized manufacturers (organisations with a workforce of between 50 and 250 people) have a strategically vital role in being both Tier 1 and Tier 2 suppliers to large original equipment manufacturers (OEMs) of Jaguar Land </w:t>
      </w:r>
      <w:r w:rsidRPr="00807F3C">
        <w:rPr>
          <w:rFonts w:ascii="Times New Roman" w:hAnsi="Times New Roman" w:cs="Times New Roman"/>
          <w:sz w:val="24"/>
          <w:szCs w:val="24"/>
        </w:rPr>
        <w:lastRenderedPageBreak/>
        <w:t>Rover, Nissan, and BMW, among others (Ambe and Badenhorst-Weiss, 2019). These companies provide the accuracy parts, sub-units and division of manufacturing that the whole UK automotive supply chain relies on.</w:t>
      </w:r>
    </w:p>
    <w:p w14:paraId="06C2CD66" w14:textId="77777777" w:rsidR="005155D9" w:rsidRPr="00807F3C" w:rsidRDefault="005155D9" w:rsidP="00BD6DE9">
      <w:pPr>
        <w:spacing w:after="0" w:line="360" w:lineRule="auto"/>
        <w:ind w:firstLine="720"/>
        <w:rPr>
          <w:rFonts w:ascii="Times New Roman" w:hAnsi="Times New Roman" w:cs="Times New Roman"/>
          <w:sz w:val="24"/>
          <w:szCs w:val="24"/>
        </w:rPr>
      </w:pPr>
      <w:r w:rsidRPr="00807F3C">
        <w:rPr>
          <w:rFonts w:ascii="Times New Roman" w:hAnsi="Times New Roman" w:cs="Times New Roman"/>
          <w:sz w:val="24"/>
          <w:szCs w:val="24"/>
        </w:rPr>
        <w:t>However, this subsector is facing unprecedented integration of disruptive pressures. The legally binding Net Zero 2050 commitment by the UK government, formalised in the 2030 prohibition of the sale of new internal combustion engine-powered vehicles, was a requirement to create a fundamental technological shift in the conventional powertrain to an electric vehicle (EV) (Anderson, 2025). At the same time, the trading landscape post-Brexit has also created a new point of friction: The Trade and Cooperation Agreement Rules of Origin frameworks require more and more vehicle content to be of UK or EU origin in order to be tariff-free, which imposes heavy compliance pressure on medium-sized suppliers (Li et al., 2019). These control forces are accompanied by unstable prices of raw materials, chronic skills shortages, and capital-intensive requirements of re-equipment of EV parts manufacture (Ziegler and Abdelkafi, 2023).</w:t>
      </w:r>
    </w:p>
    <w:p w14:paraId="7A4E6CFC" w14:textId="77777777" w:rsidR="005155D9" w:rsidRPr="00807F3C" w:rsidRDefault="005155D9" w:rsidP="00BD6DE9">
      <w:pPr>
        <w:spacing w:after="0" w:line="360" w:lineRule="auto"/>
        <w:ind w:firstLine="720"/>
        <w:rPr>
          <w:rFonts w:ascii="Times New Roman" w:hAnsi="Times New Roman" w:cs="Times New Roman"/>
          <w:sz w:val="24"/>
          <w:szCs w:val="24"/>
        </w:rPr>
      </w:pPr>
      <w:r w:rsidRPr="00807F3C">
        <w:rPr>
          <w:rFonts w:ascii="Times New Roman" w:hAnsi="Times New Roman" w:cs="Times New Roman"/>
          <w:sz w:val="24"/>
          <w:szCs w:val="24"/>
        </w:rPr>
        <w:t>In such a turbulent environment, corporate goal alignment to departmental Key Performance Indicators (KPIs) proves to be a vital organisational capability. The strategy-execution gap is the well-known phenomenon, that is, the inability of strategic intent to be converted into operational action, which has its existential implications in the context of medium-sized manufacturers in the context of technological, regulatory, and competitive changes going on concurrently (Monauni, 2017). Lack of a consistent connection between corporate strategy and departmental KPIs leads to inappropriate allocation of resources, the appearance of competing priorities, and the inability to realise strategic initiatives in tangible results (Pfister, Peda and Otley, 2022). Such misalignment, in the case of a medium-sized automotive maker that faces the EV transition, is not only an operational inefficiency but also a survival risk (Dong, 2024).</w:t>
      </w:r>
    </w:p>
    <w:p w14:paraId="2DB802D3" w14:textId="032F8D4C" w:rsidR="005155D9" w:rsidRPr="00BD6DE9" w:rsidRDefault="00BD6DE9" w:rsidP="00BD6DE9">
      <w:pPr>
        <w:pStyle w:val="Heading2"/>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 xml:space="preserve">1.2 </w:t>
      </w:r>
      <w:r w:rsidR="005155D9" w:rsidRPr="00BD6DE9">
        <w:rPr>
          <w:rFonts w:ascii="Times New Roman" w:hAnsi="Times New Roman" w:cs="Times New Roman"/>
          <w:b/>
          <w:bCs/>
          <w:color w:val="auto"/>
          <w:sz w:val="24"/>
          <w:szCs w:val="24"/>
        </w:rPr>
        <w:t>Statement of the Problem</w:t>
      </w:r>
    </w:p>
    <w:p w14:paraId="07511520" w14:textId="77777777" w:rsidR="005155D9" w:rsidRPr="00807F3C" w:rsidRDefault="005155D9" w:rsidP="00BD6DE9">
      <w:pPr>
        <w:spacing w:after="0" w:line="360" w:lineRule="auto"/>
        <w:ind w:firstLine="720"/>
        <w:rPr>
          <w:rFonts w:ascii="Times New Roman" w:hAnsi="Times New Roman" w:cs="Times New Roman"/>
          <w:sz w:val="24"/>
          <w:szCs w:val="24"/>
        </w:rPr>
      </w:pPr>
      <w:r w:rsidRPr="00807F3C">
        <w:rPr>
          <w:rFonts w:ascii="Times New Roman" w:hAnsi="Times New Roman" w:cs="Times New Roman"/>
          <w:sz w:val="24"/>
          <w:szCs w:val="24"/>
        </w:rPr>
        <w:t>Ideally, corporate strategic objectives ought to ensure a consistent change to departmental key performance indicators, which will produce an integrated direction which will allow sustainable organisational performance. The assumption is that such strategic alignment can be attained in cases whereby leadership communicates out its objectives, performance measurement systems cascade targets down to affect and the department functions are linked to the overall goals (Monauni, 2017). Continued lack of alignment between corporate strategy and departmental KPIs is the norm and not the exception in large-</w:t>
      </w:r>
      <w:r w:rsidRPr="00807F3C">
        <w:rPr>
          <w:rFonts w:ascii="Times New Roman" w:hAnsi="Times New Roman" w:cs="Times New Roman"/>
          <w:sz w:val="24"/>
          <w:szCs w:val="24"/>
        </w:rPr>
        <w:lastRenderedPageBreak/>
        <w:t>sized automotive manufacturers of the United Kingdom. Strategic intent is not reflected in operational activity, departmental interests and corporate interests are no longer aligned, and the resources are distributed without referring to the strategic requirements (Pfister, Peda and Otley, 2022).</w:t>
      </w:r>
    </w:p>
    <w:p w14:paraId="4CA41024" w14:textId="77777777" w:rsidR="005155D9" w:rsidRPr="00807F3C" w:rsidRDefault="005155D9" w:rsidP="00BD6DE9">
      <w:pPr>
        <w:spacing w:after="0" w:line="360" w:lineRule="auto"/>
        <w:ind w:firstLine="720"/>
        <w:rPr>
          <w:rFonts w:ascii="Times New Roman" w:hAnsi="Times New Roman" w:cs="Times New Roman"/>
          <w:sz w:val="24"/>
          <w:szCs w:val="24"/>
        </w:rPr>
      </w:pPr>
      <w:r w:rsidRPr="00807F3C">
        <w:rPr>
          <w:rFonts w:ascii="Times New Roman" w:hAnsi="Times New Roman" w:cs="Times New Roman"/>
          <w:sz w:val="24"/>
          <w:szCs w:val="24"/>
        </w:rPr>
        <w:t>Although literature on the subject has shed some light on the performance measurement systems and the gap in strategy implementation, most of the scholars have assumed this in the massive case of corporations but have not factored in the combined stresses that medium-sized manufacturers face as they experience sectoral change. For example, Monauni (2017) developed the concept of the strategy execution gap in large multinational organisations, whereas Pfister, Peda and Otley (2022) investigated the effects of KPI misalignment in the context of general organisations; however, no research involved the combination of the electric vehicle transition, the post-Brexit trade friction and the resource pressure facing the automotive suppliers in the United Kingdom. These gaps make the medium-sized manufacturers a poorly researched subject compared to the existential pressures they are facing, hence the need for this study.</w:t>
      </w:r>
    </w:p>
    <w:p w14:paraId="4D0C12AA" w14:textId="77777777" w:rsidR="005155D9" w:rsidRPr="00807F3C" w:rsidRDefault="005155D9" w:rsidP="00BD6DE9">
      <w:pPr>
        <w:spacing w:after="0" w:line="360" w:lineRule="auto"/>
        <w:ind w:firstLine="720"/>
        <w:rPr>
          <w:rFonts w:ascii="Times New Roman" w:hAnsi="Times New Roman" w:cs="Times New Roman"/>
          <w:sz w:val="24"/>
          <w:szCs w:val="24"/>
        </w:rPr>
      </w:pPr>
      <w:r w:rsidRPr="00807F3C">
        <w:rPr>
          <w:rFonts w:ascii="Times New Roman" w:hAnsi="Times New Roman" w:cs="Times New Roman"/>
          <w:sz w:val="24"/>
          <w:szCs w:val="24"/>
        </w:rPr>
        <w:t>The gaps in the current study will be addressed by researching the concept of strategic alignment as a whole in a medium-sized United Kingdom automotive company, how corporate goals are developed, how departmental KPIs are constructed and how alignment as well as misalignment can be observed in a sector undergoing change. Thus, the aim of this research is to examine the strategic alignment of corporate objectives and departmental Key Performance Indicators within a medium-sized automotive manufacturer based in the United Kingdom and to work out the structure of enhancing the strategic alignment.</w:t>
      </w:r>
    </w:p>
    <w:p w14:paraId="6334D893" w14:textId="43A220AB" w:rsidR="005155D9" w:rsidRPr="00BD6DE9" w:rsidRDefault="00BD6DE9" w:rsidP="00BD6DE9">
      <w:pPr>
        <w:pStyle w:val="Heading2"/>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 xml:space="preserve">1.3 </w:t>
      </w:r>
      <w:r w:rsidR="005155D9" w:rsidRPr="00BD6DE9">
        <w:rPr>
          <w:rFonts w:ascii="Times New Roman" w:hAnsi="Times New Roman" w:cs="Times New Roman"/>
          <w:b/>
          <w:bCs/>
          <w:color w:val="auto"/>
          <w:sz w:val="24"/>
          <w:szCs w:val="24"/>
        </w:rPr>
        <w:t>Research Questions, Aims and Objectives</w:t>
      </w:r>
    </w:p>
    <w:p w14:paraId="7D6570EA" w14:textId="77777777" w:rsidR="005155D9" w:rsidRPr="00807F3C" w:rsidRDefault="005155D9" w:rsidP="00BD6DE9">
      <w:pPr>
        <w:spacing w:after="0" w:line="360" w:lineRule="auto"/>
        <w:rPr>
          <w:rFonts w:ascii="Times New Roman" w:hAnsi="Times New Roman" w:cs="Times New Roman"/>
          <w:i/>
          <w:iCs/>
          <w:sz w:val="24"/>
          <w:szCs w:val="24"/>
        </w:rPr>
      </w:pPr>
      <w:r w:rsidRPr="00807F3C">
        <w:rPr>
          <w:rFonts w:ascii="Times New Roman" w:hAnsi="Times New Roman" w:cs="Times New Roman"/>
          <w:b/>
          <w:bCs/>
          <w:i/>
          <w:iCs/>
          <w:sz w:val="24"/>
          <w:szCs w:val="24"/>
        </w:rPr>
        <w:t>Research Aim</w:t>
      </w:r>
    </w:p>
    <w:p w14:paraId="37A9C854" w14:textId="77777777" w:rsidR="005155D9" w:rsidRPr="00807F3C" w:rsidRDefault="005155D9" w:rsidP="00BD6DE9">
      <w:pPr>
        <w:spacing w:after="0" w:line="360" w:lineRule="auto"/>
        <w:ind w:firstLine="720"/>
        <w:rPr>
          <w:rFonts w:ascii="Times New Roman" w:hAnsi="Times New Roman" w:cs="Times New Roman"/>
          <w:sz w:val="24"/>
          <w:szCs w:val="24"/>
        </w:rPr>
      </w:pPr>
      <w:r w:rsidRPr="00807F3C">
        <w:rPr>
          <w:rFonts w:ascii="Times New Roman" w:hAnsi="Times New Roman" w:cs="Times New Roman"/>
          <w:sz w:val="24"/>
          <w:szCs w:val="24"/>
        </w:rPr>
        <w:t>To examine the strategic alignment of corporate objectives and departmental Key Performance Indicators within a medium-sized automotive manufacturer based in the United Kingdom and to work out the structure of enhancing the strategic alignment.</w:t>
      </w:r>
    </w:p>
    <w:p w14:paraId="15B6B3DA" w14:textId="77777777" w:rsidR="00BD6DE9" w:rsidRDefault="00BD6DE9" w:rsidP="00BD6DE9">
      <w:pPr>
        <w:spacing w:after="0" w:line="360" w:lineRule="auto"/>
        <w:rPr>
          <w:rFonts w:ascii="Times New Roman" w:hAnsi="Times New Roman" w:cs="Times New Roman"/>
          <w:sz w:val="24"/>
          <w:szCs w:val="24"/>
        </w:rPr>
      </w:pPr>
    </w:p>
    <w:p w14:paraId="07771A28" w14:textId="26B1FFFF" w:rsidR="005155D9" w:rsidRPr="00807F3C" w:rsidRDefault="005155D9" w:rsidP="00BD6DE9">
      <w:pPr>
        <w:spacing w:after="0" w:line="360" w:lineRule="auto"/>
        <w:rPr>
          <w:rFonts w:ascii="Times New Roman" w:hAnsi="Times New Roman" w:cs="Times New Roman"/>
          <w:b/>
          <w:bCs/>
          <w:i/>
          <w:iCs/>
          <w:sz w:val="24"/>
          <w:szCs w:val="24"/>
        </w:rPr>
      </w:pPr>
      <w:r w:rsidRPr="00807F3C">
        <w:rPr>
          <w:rFonts w:ascii="Times New Roman" w:hAnsi="Times New Roman" w:cs="Times New Roman"/>
          <w:b/>
          <w:bCs/>
          <w:i/>
          <w:iCs/>
          <w:sz w:val="24"/>
          <w:szCs w:val="24"/>
        </w:rPr>
        <w:t>Research Objectives</w:t>
      </w:r>
    </w:p>
    <w:p w14:paraId="7F3329A0" w14:textId="1A476FEF" w:rsidR="005155D9" w:rsidRPr="00807F3C" w:rsidRDefault="00BD6DE9" w:rsidP="00BD6DE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1. </w:t>
      </w:r>
      <w:r w:rsidR="005155D9" w:rsidRPr="00807F3C">
        <w:rPr>
          <w:rFonts w:ascii="Times New Roman" w:hAnsi="Times New Roman" w:cs="Times New Roman"/>
          <w:sz w:val="24"/>
          <w:szCs w:val="24"/>
        </w:rPr>
        <w:t>To examine the strategy formulation and communication process in one of the medium-sized car manufacturers in the United Kingdom.</w:t>
      </w:r>
    </w:p>
    <w:p w14:paraId="68D0C8B2" w14:textId="6DCC5DE6" w:rsidR="005155D9" w:rsidRPr="00807F3C" w:rsidRDefault="00BD6DE9" w:rsidP="00BD6DE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2. </w:t>
      </w:r>
      <w:r w:rsidR="005155D9" w:rsidRPr="00807F3C">
        <w:rPr>
          <w:rFonts w:ascii="Times New Roman" w:hAnsi="Times New Roman" w:cs="Times New Roman"/>
          <w:sz w:val="24"/>
          <w:szCs w:val="24"/>
        </w:rPr>
        <w:t>To investigate the design of departmental Key Performance Indicators and whether they capture the corporate strategic goals in the case organisation.</w:t>
      </w:r>
    </w:p>
    <w:p w14:paraId="2CB05252" w14:textId="73730172" w:rsidR="005155D9" w:rsidRPr="00807F3C" w:rsidRDefault="00BD6DE9" w:rsidP="00BD6DE9">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3. </w:t>
      </w:r>
      <w:r w:rsidR="005155D9" w:rsidRPr="00807F3C">
        <w:rPr>
          <w:rFonts w:ascii="Times New Roman" w:hAnsi="Times New Roman" w:cs="Times New Roman"/>
          <w:sz w:val="24"/>
          <w:szCs w:val="24"/>
        </w:rPr>
        <w:t>To determine the barriers and enablers that shape strategic alignment and create a framework to enhance alignment of corporate goals and departmental KPIs.</w:t>
      </w:r>
    </w:p>
    <w:p w14:paraId="0352DEB9" w14:textId="77777777" w:rsidR="005155D9" w:rsidRPr="00807F3C" w:rsidRDefault="005155D9" w:rsidP="00BD6DE9">
      <w:pPr>
        <w:spacing w:after="0" w:line="360" w:lineRule="auto"/>
        <w:rPr>
          <w:rFonts w:ascii="Times New Roman" w:hAnsi="Times New Roman" w:cs="Times New Roman"/>
          <w:i/>
          <w:iCs/>
          <w:sz w:val="24"/>
          <w:szCs w:val="24"/>
        </w:rPr>
      </w:pPr>
      <w:r w:rsidRPr="00807F3C">
        <w:rPr>
          <w:rFonts w:ascii="Times New Roman" w:hAnsi="Times New Roman" w:cs="Times New Roman"/>
          <w:b/>
          <w:bCs/>
          <w:i/>
          <w:iCs/>
          <w:sz w:val="24"/>
          <w:szCs w:val="24"/>
        </w:rPr>
        <w:t>Research Questions</w:t>
      </w:r>
    </w:p>
    <w:p w14:paraId="1D3704E6" w14:textId="1CEAEE39" w:rsidR="005155D9" w:rsidRPr="00BD6DE9" w:rsidRDefault="005155D9" w:rsidP="00BD6DE9">
      <w:pPr>
        <w:pStyle w:val="ListParagraph"/>
        <w:numPr>
          <w:ilvl w:val="0"/>
          <w:numId w:val="2"/>
        </w:numPr>
        <w:spacing w:after="0" w:line="360" w:lineRule="auto"/>
        <w:rPr>
          <w:rFonts w:ascii="Times New Roman" w:hAnsi="Times New Roman" w:cs="Times New Roman"/>
          <w:sz w:val="24"/>
          <w:szCs w:val="24"/>
        </w:rPr>
      </w:pPr>
      <w:r w:rsidRPr="00BD6DE9">
        <w:rPr>
          <w:rFonts w:ascii="Times New Roman" w:hAnsi="Times New Roman" w:cs="Times New Roman"/>
          <w:sz w:val="24"/>
          <w:szCs w:val="24"/>
        </w:rPr>
        <w:t>What happens to corporate strategic objectives, and how do they get communicated to the case organisation departments?</w:t>
      </w:r>
    </w:p>
    <w:p w14:paraId="62C3AD0B" w14:textId="06A40E94" w:rsidR="005155D9" w:rsidRPr="00BD6DE9" w:rsidRDefault="005155D9" w:rsidP="00BD6DE9">
      <w:pPr>
        <w:pStyle w:val="ListParagraph"/>
        <w:numPr>
          <w:ilvl w:val="0"/>
          <w:numId w:val="2"/>
        </w:numPr>
        <w:spacing w:after="0" w:line="360" w:lineRule="auto"/>
        <w:rPr>
          <w:rFonts w:ascii="Times New Roman" w:hAnsi="Times New Roman" w:cs="Times New Roman"/>
          <w:sz w:val="24"/>
          <w:szCs w:val="24"/>
        </w:rPr>
      </w:pPr>
      <w:r w:rsidRPr="00BD6DE9">
        <w:rPr>
          <w:rFonts w:ascii="Times New Roman" w:hAnsi="Times New Roman" w:cs="Times New Roman"/>
          <w:sz w:val="24"/>
          <w:szCs w:val="24"/>
        </w:rPr>
        <w:t>What are the KPIs employed within the departments, and to what extent do the KPIs mirror the corporate strategic objectives?</w:t>
      </w:r>
    </w:p>
    <w:p w14:paraId="07D26667" w14:textId="223AA709" w:rsidR="005155D9" w:rsidRPr="00BD6DE9" w:rsidRDefault="005155D9" w:rsidP="00BD6DE9">
      <w:pPr>
        <w:pStyle w:val="ListParagraph"/>
        <w:numPr>
          <w:ilvl w:val="0"/>
          <w:numId w:val="2"/>
        </w:numPr>
        <w:spacing w:after="0" w:line="360" w:lineRule="auto"/>
        <w:rPr>
          <w:rFonts w:ascii="Times New Roman" w:hAnsi="Times New Roman" w:cs="Times New Roman"/>
          <w:sz w:val="24"/>
          <w:szCs w:val="24"/>
        </w:rPr>
      </w:pPr>
      <w:r w:rsidRPr="00BD6DE9">
        <w:rPr>
          <w:rFonts w:ascii="Times New Roman" w:hAnsi="Times New Roman" w:cs="Times New Roman"/>
          <w:sz w:val="24"/>
          <w:szCs w:val="24"/>
        </w:rPr>
        <w:t>Which barriers and facilitators affect the successful achievement of departmental KPIs in line with corporate strategy?</w:t>
      </w:r>
    </w:p>
    <w:p w14:paraId="2DAF2402" w14:textId="598A8845" w:rsidR="005155D9" w:rsidRPr="00BD6DE9" w:rsidRDefault="00BD6DE9" w:rsidP="00BD6DE9">
      <w:pPr>
        <w:pStyle w:val="Heading2"/>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 xml:space="preserve">1.4 </w:t>
      </w:r>
      <w:r w:rsidR="005155D9" w:rsidRPr="00BD6DE9">
        <w:rPr>
          <w:rFonts w:ascii="Times New Roman" w:hAnsi="Times New Roman" w:cs="Times New Roman"/>
          <w:b/>
          <w:bCs/>
          <w:color w:val="auto"/>
          <w:sz w:val="24"/>
          <w:szCs w:val="24"/>
        </w:rPr>
        <w:t>Significance of the Study</w:t>
      </w:r>
    </w:p>
    <w:p w14:paraId="3305291C" w14:textId="77777777" w:rsidR="005155D9" w:rsidRPr="00807F3C" w:rsidRDefault="005155D9" w:rsidP="00BD6DE9">
      <w:pPr>
        <w:spacing w:after="0" w:line="360" w:lineRule="auto"/>
        <w:ind w:firstLine="720"/>
        <w:rPr>
          <w:rFonts w:ascii="Times New Roman" w:hAnsi="Times New Roman" w:cs="Times New Roman"/>
          <w:sz w:val="24"/>
          <w:szCs w:val="24"/>
        </w:rPr>
      </w:pPr>
      <w:r w:rsidRPr="00807F3C">
        <w:rPr>
          <w:rFonts w:ascii="Times New Roman" w:hAnsi="Times New Roman" w:cs="Times New Roman"/>
          <w:sz w:val="24"/>
          <w:szCs w:val="24"/>
        </w:rPr>
        <w:t>This research has two important contributions. It theoretically develops the performance management literature by exploring strategic alignment among medium-sized automotive producers in the United Kingdom, an area that is not much looked at in the current literature. This paper gives a comprehensive insight into how corporate goals are transformed into departmental Key Performance Indicators in sectoral change, in response to the calls to develop context-specific research on performance management (Aguinis and Burgi-Tian, 2023). In practice, the research provides managers with an evidence-based model of enhancing strategic coherence within departments to deal with the implementation challenges reported (Bristol-Alagbariya, Ayanponle and Ogedengbe, 2022). The findings represent an eye-opener to policymakers because they highlight the ways in which medium-sized manufacturers are able to manage regulatory pressures as a basis to inspire specific support mechanisms for an industry that is very important to the economy of the United Kingdom</w:t>
      </w:r>
      <w:r w:rsidRPr="00BD6DE9">
        <w:rPr>
          <w:rFonts w:ascii="Times New Roman" w:hAnsi="Times New Roman" w:cs="Times New Roman"/>
          <w:sz w:val="24"/>
          <w:szCs w:val="24"/>
        </w:rPr>
        <w:t xml:space="preserve"> (GOV.UK,</w:t>
      </w:r>
      <w:r w:rsidRPr="00807F3C">
        <w:rPr>
          <w:rFonts w:ascii="Times New Roman" w:hAnsi="Times New Roman" w:cs="Times New Roman"/>
          <w:sz w:val="24"/>
          <w:szCs w:val="24"/>
        </w:rPr>
        <w:t xml:space="preserve"> 2025).</w:t>
      </w:r>
    </w:p>
    <w:p w14:paraId="6806DC7A" w14:textId="6DF34136" w:rsidR="005155D9" w:rsidRPr="00BD6DE9" w:rsidRDefault="00BD6DE9" w:rsidP="00BD6DE9">
      <w:pPr>
        <w:pStyle w:val="Heading2"/>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 xml:space="preserve">1.5 </w:t>
      </w:r>
      <w:r w:rsidR="005155D9" w:rsidRPr="00BD6DE9">
        <w:rPr>
          <w:rFonts w:ascii="Times New Roman" w:hAnsi="Times New Roman" w:cs="Times New Roman"/>
          <w:b/>
          <w:bCs/>
          <w:color w:val="auto"/>
          <w:sz w:val="24"/>
          <w:szCs w:val="24"/>
        </w:rPr>
        <w:t>Scope of the Study</w:t>
      </w:r>
    </w:p>
    <w:p w14:paraId="6A453532" w14:textId="77777777" w:rsidR="005155D9" w:rsidRPr="00807F3C" w:rsidRDefault="005155D9" w:rsidP="00BD6DE9">
      <w:pPr>
        <w:spacing w:after="0" w:line="360" w:lineRule="auto"/>
        <w:ind w:firstLine="720"/>
        <w:rPr>
          <w:rFonts w:ascii="Times New Roman" w:hAnsi="Times New Roman" w:cs="Times New Roman"/>
          <w:sz w:val="24"/>
          <w:szCs w:val="24"/>
        </w:rPr>
      </w:pPr>
      <w:r w:rsidRPr="00807F3C">
        <w:rPr>
          <w:rFonts w:ascii="Times New Roman" w:hAnsi="Times New Roman" w:cs="Times New Roman"/>
          <w:sz w:val="24"/>
          <w:szCs w:val="24"/>
        </w:rPr>
        <w:t>The current research is based on one of the medium-sized automotive manufacturers in the United Kingdom, where it employs between fifty and two hundred and fifty people and is either a Tier 1 or 2 supplier in the automotive supply chain. The analysis narrows down to the alignment of corporate strategic objectives and departmental key performance indicators. The United Kingdom is the only geographical area covered in the study. The study is methodologically qualitative in design, using the case study design in which data will be collected via semi-structured interviews and documentary analysis. The research does not aim at the establishment of statistical generalisability, but instead, it aims at creating profound contextual knowledge about the practices of strategic alignment.</w:t>
      </w:r>
    </w:p>
    <w:p w14:paraId="74C45BC2" w14:textId="77777777" w:rsidR="00735358" w:rsidRPr="00BD6DE9" w:rsidRDefault="00735358" w:rsidP="00BD6DE9">
      <w:pPr>
        <w:spacing w:after="0" w:line="360" w:lineRule="auto"/>
        <w:ind w:firstLine="720"/>
        <w:rPr>
          <w:rFonts w:ascii="Times New Roman" w:hAnsi="Times New Roman" w:cs="Times New Roman"/>
          <w:sz w:val="24"/>
          <w:szCs w:val="24"/>
        </w:rPr>
      </w:pPr>
    </w:p>
    <w:p w14:paraId="7F753617" w14:textId="77777777" w:rsidR="00BD6DE9" w:rsidRDefault="00735358" w:rsidP="00BD6DE9">
      <w:pPr>
        <w:pStyle w:val="Heading1"/>
        <w:jc w:val="center"/>
        <w:rPr>
          <w:rFonts w:ascii="Times New Roman" w:hAnsi="Times New Roman" w:cs="Times New Roman"/>
          <w:b/>
          <w:bCs/>
          <w:color w:val="auto"/>
          <w:sz w:val="24"/>
          <w:szCs w:val="24"/>
        </w:rPr>
      </w:pPr>
      <w:bookmarkStart w:id="0" w:name="_Hlk225610891"/>
      <w:r w:rsidRPr="00BD6DE9">
        <w:rPr>
          <w:rFonts w:ascii="Times New Roman" w:hAnsi="Times New Roman" w:cs="Times New Roman"/>
          <w:b/>
          <w:bCs/>
          <w:color w:val="auto"/>
          <w:sz w:val="24"/>
          <w:szCs w:val="24"/>
        </w:rPr>
        <w:t>CHAPTER TWO</w:t>
      </w:r>
      <w:r w:rsidR="00CD62F7" w:rsidRPr="00BD6DE9">
        <w:rPr>
          <w:rFonts w:ascii="Times New Roman" w:hAnsi="Times New Roman" w:cs="Times New Roman"/>
          <w:b/>
          <w:bCs/>
          <w:color w:val="auto"/>
          <w:sz w:val="24"/>
          <w:szCs w:val="24"/>
        </w:rPr>
        <w:t>:</w:t>
      </w:r>
    </w:p>
    <w:p w14:paraId="3EAD2D9E" w14:textId="4EA910C8" w:rsidR="00735358" w:rsidRPr="00BD6DE9" w:rsidRDefault="00CD62F7" w:rsidP="00BD6DE9">
      <w:pPr>
        <w:pStyle w:val="Heading1"/>
        <w:jc w:val="center"/>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LITERATURE REVIEW</w:t>
      </w:r>
    </w:p>
    <w:bookmarkEnd w:id="0"/>
    <w:p w14:paraId="244485A9"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In this chapter, the literature review is critical and based on the topics concerning strategic alignment between corporate goals and departmental key performance indicators. The review is divided into three parts. To begin with, theoretical literature focuses on such basic concepts as strategic management, performance measurement systems, and the strategy execution gap. Second, empirical literature investigates the research on KPI alignment and cascading practices. Third, essential arguments and gaps in research are determined.</w:t>
      </w:r>
    </w:p>
    <w:p w14:paraId="73C869B3" w14:textId="39DF82F5" w:rsidR="006A7670" w:rsidRPr="00BD6DE9" w:rsidRDefault="00BD6DE9" w:rsidP="00BD6DE9">
      <w:pPr>
        <w:pStyle w:val="Heading2"/>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 xml:space="preserve">2.1 </w:t>
      </w:r>
      <w:r w:rsidR="006A7670" w:rsidRPr="00BD6DE9">
        <w:rPr>
          <w:rFonts w:ascii="Times New Roman" w:hAnsi="Times New Roman" w:cs="Times New Roman"/>
          <w:b/>
          <w:bCs/>
          <w:color w:val="auto"/>
          <w:sz w:val="24"/>
          <w:szCs w:val="24"/>
        </w:rPr>
        <w:t>Theoretical Literature Review.</w:t>
      </w:r>
    </w:p>
    <w:p w14:paraId="6A8BF8E7" w14:textId="77777777" w:rsidR="006A7670" w:rsidRPr="00BD6DE9" w:rsidRDefault="006A7670" w:rsidP="00BD6DE9">
      <w:pPr>
        <w:pStyle w:val="Heading3"/>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2.1.1 The Balanced Scorecard Framework.</w:t>
      </w:r>
    </w:p>
    <w:p w14:paraId="16D89FF2"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The balanced scorecard model was developed by Kaplan and Norton in 1996 as a strategic management model to transform the corporate vision and strategy into a consistent set of performance measures regarding four perspectives: financial, customer, internal processes, and learning and growth (Madsen, 2025). The framework essentially questioned the primacy of financial measures by arguing that what is quantified is what is administered, and organisations have to balance the lagging indicators of performance in the past with leading indicators of success in the future. The core message in the Balanced Scorecard is strategic alignment, or the idea that all the performance measures must be based on and linked to corporate strategy in a process of cascading (Sharma, 2009). This top-down reasoning is the direct informant of the current study, as it offers us a theoretical weapon on how the corporate goals ought, in theory, to be translated to the departmental Key Performance Indicators.</w:t>
      </w:r>
    </w:p>
    <w:p w14:paraId="0F7CBB38"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The Balanced Scorecard has, however, received concrete criticism. According to Modell (2012), the framework presupposes the top-down, rational approach to the strategy implementation that might not be shown by the emergent, politically negotiated reality of organisational life. More so, the framework has been created in large corporate settings, and the issue here is whether it can easily be applied to medium-sized manufacturers with limited resources to support formal performance management systems (Sousa and Aspinwall, 2010). Irrespective of these shortcomings, the Balanced Scorecard is necessary in this study due to the fact that it offers the underlying rationale against which real alignment practices can be judged.</w:t>
      </w:r>
    </w:p>
    <w:p w14:paraId="3F26FE94" w14:textId="041771A6" w:rsidR="006A7670" w:rsidRPr="00BD6DE9" w:rsidRDefault="006A7670" w:rsidP="00BD6DE9">
      <w:pPr>
        <w:pStyle w:val="Heading3"/>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lastRenderedPageBreak/>
        <w:t xml:space="preserve">2.1.2 Theory of the </w:t>
      </w:r>
      <w:r w:rsidR="00BD6DE9" w:rsidRPr="00BD6DE9">
        <w:rPr>
          <w:rFonts w:ascii="Times New Roman" w:hAnsi="Times New Roman" w:cs="Times New Roman"/>
          <w:b/>
          <w:bCs/>
          <w:color w:val="auto"/>
          <w:sz w:val="24"/>
          <w:szCs w:val="24"/>
        </w:rPr>
        <w:t>M</w:t>
      </w:r>
      <w:r w:rsidRPr="00BD6DE9">
        <w:rPr>
          <w:rFonts w:ascii="Times New Roman" w:hAnsi="Times New Roman" w:cs="Times New Roman"/>
          <w:b/>
          <w:bCs/>
          <w:color w:val="auto"/>
          <w:sz w:val="24"/>
          <w:szCs w:val="24"/>
        </w:rPr>
        <w:t xml:space="preserve">anagement </w:t>
      </w:r>
      <w:r w:rsidR="00BD6DE9" w:rsidRPr="00BD6DE9">
        <w:rPr>
          <w:rFonts w:ascii="Times New Roman" w:hAnsi="Times New Roman" w:cs="Times New Roman"/>
          <w:b/>
          <w:bCs/>
          <w:color w:val="auto"/>
          <w:sz w:val="24"/>
          <w:szCs w:val="24"/>
        </w:rPr>
        <w:t>C</w:t>
      </w:r>
      <w:r w:rsidRPr="00BD6DE9">
        <w:rPr>
          <w:rFonts w:ascii="Times New Roman" w:hAnsi="Times New Roman" w:cs="Times New Roman"/>
          <w:b/>
          <w:bCs/>
          <w:color w:val="auto"/>
          <w:sz w:val="24"/>
          <w:szCs w:val="24"/>
        </w:rPr>
        <w:t xml:space="preserve">ontrol </w:t>
      </w:r>
      <w:r w:rsidR="00BD6DE9" w:rsidRPr="00BD6DE9">
        <w:rPr>
          <w:rFonts w:ascii="Times New Roman" w:hAnsi="Times New Roman" w:cs="Times New Roman"/>
          <w:b/>
          <w:bCs/>
          <w:color w:val="auto"/>
          <w:sz w:val="24"/>
          <w:szCs w:val="24"/>
        </w:rPr>
        <w:t>S</w:t>
      </w:r>
      <w:r w:rsidRPr="00BD6DE9">
        <w:rPr>
          <w:rFonts w:ascii="Times New Roman" w:hAnsi="Times New Roman" w:cs="Times New Roman"/>
          <w:b/>
          <w:bCs/>
          <w:color w:val="auto"/>
          <w:sz w:val="24"/>
          <w:szCs w:val="24"/>
        </w:rPr>
        <w:t>ystems.</w:t>
      </w:r>
    </w:p>
    <w:p w14:paraId="56014630"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Otley developed the theory of management control systems as an all-inclusive theory of the alignment of individuals' actions with the goals of the organisation (Zecher, 2013). The management control systems theory is based on the complete spectrum of mechanisms, including planning, cybernetic controls, reward systems, administrative controls, and cultural controls, to which organisations apply influence over behaviour and strategic objectives, unlike the Balanced Scorecard, which is largely measurement-orientated (Skoog, 2020). The theory underlines that alignment is attained not only when measurement is done but rather as a coherent package of controls that strengthen desired behaviour in diminishing dysfunctional effects.</w:t>
      </w:r>
    </w:p>
    <w:p w14:paraId="09EE71CA"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This theoretical prism is specifically useful in the current study, as it helps focus on the context of the wider scope on the control environment in which the key performance indicators lie rather than on the key performance indicators themselves. As Eesley et al. (2018) proved, the misalignment is rather caused not by the poorly designed measures but by the contradiction between formal controls and informal cultural norms. In medium-sized automotive companies in the process of the electric vehicle transition, the interaction between the control mechanisms is imperative (Wells and Nieuwenhuis, 2012). The theory also recognises that alignment is not a fixed accomplishment but a continuous process of negotiating and making adjustments.</w:t>
      </w:r>
    </w:p>
    <w:p w14:paraId="1B8FF766" w14:textId="77777777" w:rsidR="006A7670" w:rsidRPr="00BD6DE9" w:rsidRDefault="006A7670" w:rsidP="00BD6DE9">
      <w:pPr>
        <w:pStyle w:val="Heading3"/>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2.1.3 Strategy as Practice Theory</w:t>
      </w:r>
    </w:p>
    <w:p w14:paraId="7D12D38D"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Strategy-as-practice theory is a unique contrast to the previous models, with an emphasis being put on what the members of the organisation perform rather than on what the organisations have to do (Vaara and Whittington, 2012). This school of thought does not view strategy as a plan that is made by top executives and executed by others but as a social achievement that is executed through day-to-day practices, routines and discussions among the members of the organisations. At the heart of this perception is the notion of strategising, which involves micro-practices of making, maintaining and, at times, preying on strategy (Jarzabkowski, 2004).</w:t>
      </w:r>
    </w:p>
    <w:p w14:paraId="564ABDB6"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 xml:space="preserve">The theory of strategy as practice is especially optimal to use in this study due to three reasons. First, it explains the space between the official strategy aims and the operating reality by considering that strategy is a process of being interpreted, negotiated, and implemented at an organisational level (Fenton and Langley, 2011). Second, it recognises the agency of the middle managers and team leaders, the very people who design and implement </w:t>
      </w:r>
      <w:r w:rsidRPr="006A7670">
        <w:rPr>
          <w:rFonts w:ascii="Times New Roman" w:hAnsi="Times New Roman" w:cs="Times New Roman"/>
          <w:sz w:val="24"/>
          <w:szCs w:val="24"/>
        </w:rPr>
        <w:lastRenderedPageBreak/>
        <w:t>departmental Key Performance Indicators, to be strategic agents in the formation of strategies instead of being the passive receivers of strategic orders (Ikävalko, 2005). Third, it offers methods of analysing the emergence of alignment, or misalignment, in the context of situated interactions that can thus be examined using qualitative methodology (Holohan and Sarhan, 2020).</w:t>
      </w:r>
    </w:p>
    <w:p w14:paraId="0C5CC1C4" w14:textId="77777777" w:rsidR="006A7670" w:rsidRPr="00BD6DE9" w:rsidRDefault="006A7670" w:rsidP="00BD6DE9">
      <w:pPr>
        <w:pStyle w:val="Heading2"/>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2.2 Empirical Literature Review</w:t>
      </w:r>
    </w:p>
    <w:p w14:paraId="5D823D17" w14:textId="77777777" w:rsidR="006A7670" w:rsidRPr="00BD6DE9" w:rsidRDefault="006A7670" w:rsidP="00BD6DE9">
      <w:pPr>
        <w:pStyle w:val="Heading3"/>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2.2.1 Strategy Formulation and Communication Processes</w:t>
      </w:r>
    </w:p>
    <w:p w14:paraId="686E80BB"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Recent empirical studies of strategy formulation and communication in automotive supply chains provide an insight into the way external forces influence internal strategic alignment. Moradlou, Fratocchi, Skipworth and Ghadge (2021) utilised a qualitative case study design to utilise past history trends in backshoring to examine how UK manufacturing companies redefined their strategy to address the post-Brexit trade shocks. Their study emphasised that companies that had formal communication lines between corporate and departmental tiers were more readily adjusted to the change in the regulations. A survey of electric vehicle supply chain partners was carried out by Rehman and Shakeel Sadiq Jajja (2025), who analysed the adaptive choices of strategic adjustment when the industry was changing its technology through structural equation modelling. They found that companies that had instituted periodic cross-functional strategy forums realised a higher level of coherence between corporate goals and work priorities.</w:t>
      </w:r>
    </w:p>
    <w:p w14:paraId="724D7CEB"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The study by Zhu, Crotty and Sarkis (2008) involves a cross-country survey of 128 automotive organisations in the UK and China, based on which the ipsative t-tests have been used to compare the practice of environmental supply chain management. Their study showed that the UK automotive companies had greater pressure on the internal rather than external factors, which had an impact on how the environmental strategy was conveyed and how it was prioritised between the departments. All these studies show that communication of strategy is influenced by external disturbances, but none has specifically focused its attention on how medium-sized UK automobile manufacturers develop and communicate strategy when dealing with the convergence of the electric vehicle transition in addition to the post-Brexit trade friction.</w:t>
      </w:r>
    </w:p>
    <w:p w14:paraId="21BE2E4C" w14:textId="77777777" w:rsidR="006A7670" w:rsidRPr="00BD6DE9" w:rsidRDefault="006A7670" w:rsidP="00BD6DE9">
      <w:pPr>
        <w:pStyle w:val="Heading3"/>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2.2.2 Design and Reflection of Corporate Objectives KPIs.</w:t>
      </w:r>
    </w:p>
    <w:p w14:paraId="1802D4E1"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 xml:space="preserve">Lowman and Pattnaik (2025) utilised a case study approach to the study that was qualitative and involved the application of sustainability key performance indicators in the assembly of commercial vehicle batteries. Their results showed that production logistics </w:t>
      </w:r>
      <w:r w:rsidRPr="006A7670">
        <w:rPr>
          <w:rFonts w:ascii="Times New Roman" w:hAnsi="Times New Roman" w:cs="Times New Roman"/>
          <w:sz w:val="24"/>
          <w:szCs w:val="24"/>
        </w:rPr>
        <w:lastRenderedPageBreak/>
        <w:t>departments had problems with integrating sustainability measures and metrics in the current operational KPIs, which resulted in the fact that corporate environmental goals and department performance indicators were not combined. A conceptual framework of the sustainable manufacturing assessment of automotive companies was formulated by Amrina and Yusof (2011) using the multi-criteria decision-making approach. Their study found that most automotive companies tended to implement sustainability KPIs without coming up with effective cascading processes by which such measures can be linked to departmental activities.</w:t>
      </w:r>
    </w:p>
    <w:p w14:paraId="3FAD8937"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Hadiguna, Jaafar and Mohamad (2011) developed a conceptual model of performance measurement in sustainable automotive supply chains and used a systems thinking approach. In their research, they emphasised the lack of consistency between the supply chain sustainability objectives and the individual KPIs of departments led to conflicting functions. These papers indicate that there have been consistent difficulties in coming up with KPIs that are a true representation of the corporate sustainability goals. Nonetheless, none of them have specifically studied how the medium-sized automotive companies in the United Kingdom intend to design KPIs to represent corporate goals in the electric vehicle transition.</w:t>
      </w:r>
    </w:p>
    <w:p w14:paraId="7F75D5C6" w14:textId="77777777" w:rsidR="006A7670" w:rsidRPr="00BD6DE9" w:rsidRDefault="006A7670" w:rsidP="00BD6DE9">
      <w:pPr>
        <w:pStyle w:val="Heading3"/>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2.2.3 Strategic Alignment Barriers and Enablers.</w:t>
      </w:r>
    </w:p>
    <w:p w14:paraId="6697021E"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The recent empirical studies of impediments and facilitators to strategic alignment in automotive supply chains demonstrate complex issues in various country settings. In their study, Dzienis and McCaleb (2024) used a comparative case study design, comparing digital and green transitions in Japanese and Chinese automotive industries. Their study determined that alignment capabilities were greatly determined by institutional context, with Japanese suppliers enjoying long-term keiretsu ties, giving them the ability to strategically cohere compared to Chinese suppliers who were subjected to fragmentation because of fast growth in the market and different original equipment manufacturer requirements. The authors of the study by Juno and Guimarães (2018) conducted a survey of Brazilian automotive supply chain companies and used structural equation modelling to analyse the priorities of competition and alignment strategy. Their results showed that power imbalance between original equipment companies and suppliers was also a major obstacle, as the departmental interests of suppliers tended to depend on the customer demands and not on their organisational needs.</w:t>
      </w:r>
    </w:p>
    <w:p w14:paraId="4A391609"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 xml:space="preserve">Using a qualitative case study design, Soares, da Silva, Ramos, Kirytopoulos, Sá and Ferreira (2022) implemented their methodology in Portuguese automotive suppliers and </w:t>
      </w:r>
      <w:r w:rsidRPr="006A7670">
        <w:rPr>
          <w:rFonts w:ascii="Times New Roman" w:hAnsi="Times New Roman" w:cs="Times New Roman"/>
          <w:sz w:val="24"/>
          <w:szCs w:val="24"/>
        </w:rPr>
        <w:lastRenderedPageBreak/>
        <w:t>established the obstacles to the implementation of agile methods. Their study established that the inflexible hierarchical systems and the old systems of performance measurement as well as the low managerial capacity did not allow the successful alignment of the strategic goals and operational implementations. These papers prove that obstacles to alignment are situational, but none has directly tested obstacles and facilitators in medium-sized automotive companies in the United Kingdom that are facing the convergence of electric vehicle adoption and post-Brexit trade tension.</w:t>
      </w:r>
    </w:p>
    <w:p w14:paraId="0B0F28A5" w14:textId="16EC8CFC" w:rsidR="006A7670" w:rsidRPr="00BD6DE9" w:rsidRDefault="00BD6DE9" w:rsidP="00BD6DE9">
      <w:pPr>
        <w:pStyle w:val="Heading2"/>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 xml:space="preserve">2.3 </w:t>
      </w:r>
      <w:r w:rsidR="006A7670" w:rsidRPr="00BD6DE9">
        <w:rPr>
          <w:rFonts w:ascii="Times New Roman" w:hAnsi="Times New Roman" w:cs="Times New Roman"/>
          <w:b/>
          <w:bCs/>
          <w:color w:val="auto"/>
          <w:sz w:val="24"/>
          <w:szCs w:val="24"/>
        </w:rPr>
        <w:t>Research Gaps</w:t>
      </w:r>
    </w:p>
    <w:p w14:paraId="5F96FF75" w14:textId="77777777" w:rsidR="006A7670" w:rsidRPr="006A7670" w:rsidRDefault="006A7670" w:rsidP="00BD6DE9">
      <w:pPr>
        <w:spacing w:after="0" w:line="360" w:lineRule="auto"/>
        <w:ind w:firstLine="720"/>
        <w:rPr>
          <w:rFonts w:ascii="Times New Roman" w:hAnsi="Times New Roman" w:cs="Times New Roman"/>
          <w:sz w:val="24"/>
          <w:szCs w:val="24"/>
        </w:rPr>
      </w:pPr>
      <w:r w:rsidRPr="006A7670">
        <w:rPr>
          <w:rFonts w:ascii="Times New Roman" w:hAnsi="Times New Roman" w:cs="Times New Roman"/>
          <w:sz w:val="24"/>
          <w:szCs w:val="24"/>
        </w:rPr>
        <w:t>The available literature indicates that the formulation of strategies, KPIs, and strategic alignment in any automotive supply chain is highly contextualised, and findings in national contexts differ greatly. Nevertheless, the bulk of the studies has been devoted to large automotive suppliers in Germany, Japan, China, and Brazil (Krueger and Wirth, 2024; Takahashi and Suzuki, 2024; Chen and Zhang, 2025; Junior and Guimaranes, 2018), and little attention has been paid to medium-sized automotive manufacturers in the United Kingdom. Also, the combination of electric vehicle shift, post-Brexit trade discord, and resource limitation is not researched in this particular context. This gap needs a qualitative case study consisting of a medium-sized automotive manufacturer in the United Kingdom to answer the question of how strategic alignment happens or does not happen at a time when the sector is undergoing change.</w:t>
      </w:r>
    </w:p>
    <w:p w14:paraId="70A346E7" w14:textId="77777777" w:rsidR="00071384" w:rsidRPr="00BD6DE9" w:rsidRDefault="00071384" w:rsidP="00BD6DE9">
      <w:pPr>
        <w:spacing w:after="0" w:line="360" w:lineRule="auto"/>
        <w:ind w:firstLine="720"/>
        <w:rPr>
          <w:rFonts w:ascii="Times New Roman" w:hAnsi="Times New Roman" w:cs="Times New Roman"/>
          <w:sz w:val="24"/>
          <w:szCs w:val="24"/>
        </w:rPr>
      </w:pPr>
    </w:p>
    <w:p w14:paraId="21ACA9E4" w14:textId="77777777" w:rsidR="00BD6DE9" w:rsidRDefault="00BD6DE9" w:rsidP="00BD6DE9">
      <w:pPr>
        <w:spacing w:after="0" w:line="360" w:lineRule="auto"/>
        <w:rPr>
          <w:rFonts w:ascii="Times New Roman" w:hAnsi="Times New Roman" w:cs="Times New Roman"/>
          <w:b/>
          <w:bCs/>
          <w:sz w:val="24"/>
          <w:szCs w:val="24"/>
        </w:rPr>
      </w:pPr>
      <w:bookmarkStart w:id="1" w:name="_Hlk225611686"/>
      <w:r>
        <w:rPr>
          <w:rFonts w:ascii="Times New Roman" w:hAnsi="Times New Roman" w:cs="Times New Roman"/>
          <w:b/>
          <w:bCs/>
          <w:sz w:val="24"/>
          <w:szCs w:val="24"/>
        </w:rPr>
        <w:br w:type="page"/>
      </w:r>
    </w:p>
    <w:p w14:paraId="40E2DC52" w14:textId="0E59AF74" w:rsidR="00071384" w:rsidRPr="00BD6DE9" w:rsidRDefault="00071384" w:rsidP="00BD6DE9">
      <w:pPr>
        <w:pStyle w:val="Heading1"/>
        <w:jc w:val="center"/>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lastRenderedPageBreak/>
        <w:t>CHAPTER THREE</w:t>
      </w:r>
    </w:p>
    <w:p w14:paraId="2287CDC8" w14:textId="1D9DE6EC" w:rsidR="00BD6DE9" w:rsidRPr="00BD6DE9" w:rsidRDefault="00BD6DE9" w:rsidP="00BD6DE9">
      <w:pPr>
        <w:pStyle w:val="Heading1"/>
        <w:jc w:val="center"/>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METHODOLOGY</w:t>
      </w:r>
    </w:p>
    <w:bookmarkEnd w:id="1"/>
    <w:p w14:paraId="46E44C73"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This chapter outlines the methodology that will be used to conduct the empirical study. It describes the research philosophy, research design, data collection, data analysis and ethical issues. The chapter defends every methodological practice with reference to the research questions and objectives, showing that the philosophical assumptions and actual research activities are in line with each other.</w:t>
      </w:r>
    </w:p>
    <w:p w14:paraId="3F559FDC" w14:textId="67149586" w:rsidR="00DA0562" w:rsidRPr="00BD6DE9" w:rsidRDefault="00DA0562" w:rsidP="00BD6DE9">
      <w:pPr>
        <w:pStyle w:val="Heading2"/>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 xml:space="preserve">3.1 </w:t>
      </w:r>
      <w:r w:rsidR="00BD6DE9" w:rsidRPr="00BD6DE9">
        <w:rPr>
          <w:rFonts w:ascii="Times New Roman" w:hAnsi="Times New Roman" w:cs="Times New Roman"/>
          <w:b/>
          <w:bCs/>
          <w:color w:val="auto"/>
          <w:sz w:val="24"/>
          <w:szCs w:val="24"/>
        </w:rPr>
        <w:t xml:space="preserve">Research </w:t>
      </w:r>
      <w:r w:rsidRPr="00BD6DE9">
        <w:rPr>
          <w:rFonts w:ascii="Times New Roman" w:hAnsi="Times New Roman" w:cs="Times New Roman"/>
          <w:b/>
          <w:bCs/>
          <w:color w:val="auto"/>
          <w:sz w:val="24"/>
          <w:szCs w:val="24"/>
        </w:rPr>
        <w:t>Philosophy and Approach</w:t>
      </w:r>
    </w:p>
    <w:p w14:paraId="52E28AB8"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current study falls under an interpretivism research philosophy according to which the social reality is not objectively presented but constantly produced through the interpretations, interactions, and mutual meanings of people (Saunders, Lewis and Thornhill, 2019). In line with this position, the research will take a subjectivist ontology since it acknowledges organisational outcomes like strategy formulation, design of key performance indicators and strategic alignment as a result of negotiated senses of managers, departmental heads and team leaders (Beer et al., 2005). These constructs are not separate from the people who create them and are contextual, relational, and situated practices (Easterby-Smith, Thorpe and Jackson, 2012).</w:t>
      </w:r>
    </w:p>
    <w:p w14:paraId="57F09FD7"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research will adopt the interpretivism approach, which holds that it is the creation of knowledge that arises as a result of comprehending the subjective values that people place on their experiences. The study thus aims at examining the perception, interpretation, and practice of strategic alignment by the participants in a medium-sized United Kingdom car manufacturer in the process of making the transition to electric vehicles. This type of epistemology denies the positivist belief that causal relations are measurable objectively and favours depth, context, and meaning (Bryman, 2016).</w:t>
      </w:r>
    </w:p>
    <w:p w14:paraId="4530E3A1"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study recognises that it is value-based research. Positionality, previous experiences, and assumptions of the researcher will be identified with the help of reflexive practice, such as keeping a research journal and engaging in critical self-interrogation during the research (Matheus et al., 2019).</w:t>
      </w:r>
    </w:p>
    <w:p w14:paraId="7F99803C" w14:textId="15878192" w:rsidR="00DA0562" w:rsidRPr="00DA0562" w:rsidRDefault="00BD6DE9" w:rsidP="00BD6DE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This study </w:t>
      </w:r>
      <w:r w:rsidR="00DA0562" w:rsidRPr="00DA0562">
        <w:rPr>
          <w:rFonts w:ascii="Times New Roman" w:hAnsi="Times New Roman" w:cs="Times New Roman"/>
          <w:sz w:val="24"/>
          <w:szCs w:val="24"/>
        </w:rPr>
        <w:t xml:space="preserve">will take a qualitative, inductive approach in which theory will be generated by data instead of the test of a predetermined hypothesis (Saunders, Lewis and Thornhill, 2019). The method is suitable as the research questions are exploratory and the research context of medium-sized automotive manufacturers in the United Kingdom going through a sectoral change is under-researched. The inductive orientation facilitates the work </w:t>
      </w:r>
      <w:r w:rsidR="00DA0562" w:rsidRPr="00DA0562">
        <w:rPr>
          <w:rFonts w:ascii="Times New Roman" w:hAnsi="Times New Roman" w:cs="Times New Roman"/>
          <w:sz w:val="24"/>
          <w:szCs w:val="24"/>
        </w:rPr>
        <w:lastRenderedPageBreak/>
        <w:t>to pull in the complexity, contingency, and situated practices of strategic alignment and thus generates an insight based on the lived experiences of the organisational members (McAdam and Miller, 2019).</w:t>
      </w:r>
    </w:p>
    <w:p w14:paraId="3ED97B74" w14:textId="17999802" w:rsidR="00DA0562" w:rsidRPr="00BD6DE9" w:rsidRDefault="00BD6DE9" w:rsidP="00BD6DE9">
      <w:pPr>
        <w:pStyle w:val="Heading2"/>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 xml:space="preserve">3.2 Research </w:t>
      </w:r>
      <w:r w:rsidR="00DA0562" w:rsidRPr="00BD6DE9">
        <w:rPr>
          <w:rFonts w:ascii="Times New Roman" w:hAnsi="Times New Roman" w:cs="Times New Roman"/>
          <w:b/>
          <w:bCs/>
          <w:color w:val="auto"/>
          <w:sz w:val="24"/>
          <w:szCs w:val="24"/>
        </w:rPr>
        <w:t>Design and Strategy</w:t>
      </w:r>
    </w:p>
    <w:p w14:paraId="3861DC25"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qualitative research design will be used, which aligns with a paradigm and inductive approach of interpretivism described in the previous part. The qualitative approach is especially appropriate to study the multifaceted, situational-dependent mechanisms in which corporate goals are converted into departmental Key Performance Indicators (Saunders, Lewis and Thornhill, 2019). The qualitative design does not aim at quantifying variables and testing hypotheses, as is the case with quantitative designs; it allows the researcher to capture the richness, nuance, and situated meanings that organisational members ascribe to the strategic alignment practices (Bryman, 2016). This design corresponds to the ontological commitment of the study to subjectivism and epistemological commitment to the study of how reality is socially constructed in the particular context of a medium-sized manufacturer of automobiles in the United Kingdom.</w:t>
      </w:r>
    </w:p>
    <w:p w14:paraId="1D474A77" w14:textId="77777777" w:rsidR="00DA0562" w:rsidRPr="00DA0562" w:rsidRDefault="00DA0562" w:rsidP="00BD6DE9">
      <w:pPr>
        <w:spacing w:after="0" w:line="360" w:lineRule="auto"/>
        <w:rPr>
          <w:rFonts w:ascii="Times New Roman" w:hAnsi="Times New Roman" w:cs="Times New Roman"/>
          <w:b/>
          <w:bCs/>
          <w:i/>
          <w:iCs/>
          <w:sz w:val="24"/>
          <w:szCs w:val="24"/>
        </w:rPr>
      </w:pPr>
      <w:r w:rsidRPr="00DA0562">
        <w:rPr>
          <w:rFonts w:ascii="Times New Roman" w:hAnsi="Times New Roman" w:cs="Times New Roman"/>
          <w:b/>
          <w:bCs/>
          <w:i/>
          <w:iCs/>
          <w:sz w:val="24"/>
          <w:szCs w:val="24"/>
        </w:rPr>
        <w:t>Research Strategy</w:t>
      </w:r>
    </w:p>
    <w:p w14:paraId="53007499"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research will utilise a single case study approach and is based on the classic of Gaya and Smith (2016). It is specifically appropriate in exploring modern phenomena in the context of the real world, which has no clear boundaries between the phenomenon and the context. The case study method helps the researcher to embrace the richness, depth, and nuance of strategic alignment activities as they play out within a particular organisational context (Annamalah, 2024). Instead of attempting to have statistical generalisability, the single case study offers analytical generalisability that enables theoretical propositions to be constructed and enhanced by study immersion in the case. The strategy is suitable for exploratory research questions that aim to comprehend how and why phenomena take place, which is why it is well-suited to research strategy formulation, KPI design, and the obstacles and factors that enable alignment among a medium-sized automotive manufacturer that is going through the electric vehicle transition.</w:t>
      </w:r>
    </w:p>
    <w:p w14:paraId="5385E25B" w14:textId="266E7EC8" w:rsidR="00DA0562" w:rsidRPr="00BD6DE9" w:rsidRDefault="00BD6DE9" w:rsidP="00BD6DE9">
      <w:pPr>
        <w:pStyle w:val="Heading2"/>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 xml:space="preserve">3.3 </w:t>
      </w:r>
      <w:r w:rsidR="00DA0562" w:rsidRPr="00BD6DE9">
        <w:rPr>
          <w:rFonts w:ascii="Times New Roman" w:hAnsi="Times New Roman" w:cs="Times New Roman"/>
          <w:b/>
          <w:bCs/>
          <w:color w:val="auto"/>
          <w:sz w:val="24"/>
          <w:szCs w:val="24"/>
        </w:rPr>
        <w:t>Data Collection Methods and Tools</w:t>
      </w:r>
    </w:p>
    <w:p w14:paraId="52498F8E" w14:textId="61A7AE78" w:rsidR="00DA0562" w:rsidRPr="00BD6DE9" w:rsidRDefault="00BD6DE9" w:rsidP="00BD6DE9">
      <w:pPr>
        <w:pStyle w:val="Heading3"/>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 xml:space="preserve">3.3.1 </w:t>
      </w:r>
      <w:r w:rsidR="00DA0562" w:rsidRPr="00BD6DE9">
        <w:rPr>
          <w:rFonts w:ascii="Times New Roman" w:hAnsi="Times New Roman" w:cs="Times New Roman"/>
          <w:b/>
          <w:bCs/>
          <w:color w:val="auto"/>
          <w:sz w:val="24"/>
          <w:szCs w:val="24"/>
        </w:rPr>
        <w:t>Case Selection</w:t>
      </w:r>
    </w:p>
    <w:p w14:paraId="6B1513E6"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 xml:space="preserve">The case organisation will be selected using purposive sampling, where the selected case has to contain some characteristics that answer the research questions (Saunders, Lewis and Thornhill, 2019). Such a sampling strategy is generally known to be the right choice </w:t>
      </w:r>
      <w:r w:rsidRPr="00DA0562">
        <w:rPr>
          <w:rFonts w:ascii="Times New Roman" w:hAnsi="Times New Roman" w:cs="Times New Roman"/>
          <w:sz w:val="24"/>
          <w:szCs w:val="24"/>
        </w:rPr>
        <w:lastRenderedPageBreak/>
        <w:t>when conducting qualitative research and one is interested in finding information-rich cases that help to elucidate the phenomenon being studied (Alordiah and Oji, 2024). The organisation should be medium-sized, with between fifty and two hundred and fifty people, as this segment is still underresearched when compared to the large corporations. The organisation will also have to function as a Tier 1 or Tier 2 supplier in the automotive supply chain of the United Kingdom, with this placing it within the critical supplier network that is in the process of transitioning to electric vehicles (SMMT, 2026). Moreover, the organisation should also be undergoing the shift to electric vehicles at the moment, which guarantees a modern perspective on the topic of the research (Dong, 2024). It is also important that the organisation be willing to engage and provide access to the corporate leadership, department heads and the pertinent documentation.</w:t>
      </w:r>
    </w:p>
    <w:p w14:paraId="22A94C2D" w14:textId="55F012A4" w:rsidR="00DA0562" w:rsidRPr="00BD6DE9" w:rsidRDefault="00BD6DE9" w:rsidP="00BD6DE9">
      <w:pPr>
        <w:pStyle w:val="Heading3"/>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t xml:space="preserve">3.3.2 </w:t>
      </w:r>
      <w:r w:rsidR="00DA0562" w:rsidRPr="00BD6DE9">
        <w:rPr>
          <w:rFonts w:ascii="Times New Roman" w:hAnsi="Times New Roman" w:cs="Times New Roman"/>
          <w:b/>
          <w:bCs/>
          <w:color w:val="auto"/>
          <w:sz w:val="24"/>
          <w:szCs w:val="24"/>
        </w:rPr>
        <w:t>Sampling Strategy</w:t>
      </w:r>
    </w:p>
    <w:p w14:paraId="53DC2A4C"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In the chosen case, embedded units are discovered within the departments that present operations, finance, sales, quality, and human resources in order to obtain the variation in the alignment practices in functional contexts (Gaya and Smith, 2016). The sample of the participants will be purposely selected to represent both the corporate leadership (Chief Executive Officer, Managing Director and Strategy Director) and department heads as well as the team leaders that will establish the key performance indicators. It is because such a multi-level sampling approach allows the research to access the views of not only the planning of strategies but also the execution of operations to gain a comprehensive picture of alignment practices (Liu et al., 2016). It will undertake approximately fifteen to twenty interviews, which is typical of a qualitative case study in organisational research whereby data saturation is achieved between twelve to twenty-five interviews (Mwita, 2024).</w:t>
      </w:r>
    </w:p>
    <w:p w14:paraId="404F782E" w14:textId="6F95E61B" w:rsidR="00DA0562" w:rsidRPr="00832AB8" w:rsidRDefault="00832AB8" w:rsidP="00832AB8">
      <w:pPr>
        <w:pStyle w:val="Heading3"/>
        <w:rPr>
          <w:rFonts w:ascii="Times New Roman" w:hAnsi="Times New Roman" w:cs="Times New Roman"/>
          <w:b/>
          <w:bCs/>
          <w:sz w:val="24"/>
          <w:szCs w:val="24"/>
        </w:rPr>
      </w:pPr>
      <w:r w:rsidRPr="00832AB8">
        <w:rPr>
          <w:rFonts w:ascii="Times New Roman" w:hAnsi="Times New Roman" w:cs="Times New Roman"/>
          <w:b/>
          <w:bCs/>
          <w:color w:val="auto"/>
          <w:sz w:val="24"/>
          <w:szCs w:val="24"/>
        </w:rPr>
        <w:t xml:space="preserve">3.3.3 </w:t>
      </w:r>
      <w:r w:rsidR="00DA0562" w:rsidRPr="00832AB8">
        <w:rPr>
          <w:rFonts w:ascii="Times New Roman" w:hAnsi="Times New Roman" w:cs="Times New Roman"/>
          <w:b/>
          <w:bCs/>
          <w:color w:val="auto"/>
          <w:sz w:val="24"/>
          <w:szCs w:val="24"/>
        </w:rPr>
        <w:t>Semi-Structured Interviews</w:t>
      </w:r>
    </w:p>
    <w:p w14:paraId="43C25CFE"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 xml:space="preserve">The main data collection criterion is semi-structured interviews. It is a popular method to be used in exploratory research to learn about the views, experiences, and interpretations of participants (Adeoye-Olatunde and Olenik, 2021). The interview protocol will be based on the research questions with open-ended questions whereby the respondents will be given a chance to elaborate on their experiences, interpretations and practices. The subjects are strategy formulation process, communication channel, KPI design and cascading, and perceived barriers and enablers based in the thematic framework that was discovered during the literature review (Pfister, Peda and Otley, 2022). Interviews will be tape-recorded with informed consent and transcribed word-to-word to maintain the richness of the </w:t>
      </w:r>
      <w:r w:rsidRPr="00DA0562">
        <w:rPr>
          <w:rFonts w:ascii="Times New Roman" w:hAnsi="Times New Roman" w:cs="Times New Roman"/>
          <w:sz w:val="24"/>
          <w:szCs w:val="24"/>
        </w:rPr>
        <w:lastRenderedPageBreak/>
        <w:t>information presented by the participants and to facilitate systematic analysis (Bucholtz, 2007).</w:t>
      </w:r>
    </w:p>
    <w:p w14:paraId="127665C7"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documentary analysis will be used as a supplementary source of data, which can be triangulated with the results of the interviews. Some of the documents to be gathered are corporate strategic plans, board minutes, departmental KPI dashboards, performance review templates and strategy communication materials. Such documents give an idea about the planned alignment mechanisms which can be contrasted with the descriptions of real practices given by the participants. The documentary analysis is especially useful in the organisational research to comprehend the formal processes and detect the mismatch between the espoused and acted-upon practices (Saunders, Lewis and Thornhill, 2019).</w:t>
      </w:r>
    </w:p>
    <w:p w14:paraId="632B2D2D" w14:textId="3A5D5875" w:rsidR="00DA0562" w:rsidRPr="00832AB8" w:rsidRDefault="00832AB8" w:rsidP="00832AB8">
      <w:pPr>
        <w:pStyle w:val="Heading3"/>
        <w:rPr>
          <w:rFonts w:ascii="Times New Roman" w:hAnsi="Times New Roman" w:cs="Times New Roman"/>
          <w:b/>
          <w:bCs/>
          <w:color w:val="auto"/>
          <w:sz w:val="24"/>
          <w:szCs w:val="24"/>
        </w:rPr>
      </w:pPr>
      <w:r w:rsidRPr="00832AB8">
        <w:rPr>
          <w:rFonts w:ascii="Times New Roman" w:hAnsi="Times New Roman" w:cs="Times New Roman"/>
          <w:b/>
          <w:bCs/>
          <w:color w:val="auto"/>
          <w:sz w:val="24"/>
          <w:szCs w:val="24"/>
        </w:rPr>
        <w:t xml:space="preserve">3.3.4 </w:t>
      </w:r>
      <w:r w:rsidR="00DA0562" w:rsidRPr="00832AB8">
        <w:rPr>
          <w:rFonts w:ascii="Times New Roman" w:hAnsi="Times New Roman" w:cs="Times New Roman"/>
          <w:b/>
          <w:bCs/>
          <w:color w:val="auto"/>
          <w:sz w:val="24"/>
          <w:szCs w:val="24"/>
        </w:rPr>
        <w:t>Piloting</w:t>
      </w:r>
    </w:p>
    <w:p w14:paraId="0A7105CC"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interview protocol will be tested on one representative of a similar automotive organisation to even out the wording of the questions, the flow and timing (Kim, 2011). A preliminary pilot review will be used to make necessary amendments to the final instrument before actual data collection is initiated, to the extent that it will increase the reliability and validity of the interview tool.</w:t>
      </w:r>
    </w:p>
    <w:p w14:paraId="2CF80C8C" w14:textId="77777777" w:rsidR="00DA0562" w:rsidRPr="00832AB8" w:rsidRDefault="00DA0562" w:rsidP="00832AB8">
      <w:pPr>
        <w:pStyle w:val="Heading2"/>
        <w:rPr>
          <w:rFonts w:ascii="Times New Roman" w:hAnsi="Times New Roman" w:cs="Times New Roman"/>
          <w:b/>
          <w:bCs/>
          <w:color w:val="auto"/>
          <w:sz w:val="24"/>
          <w:szCs w:val="24"/>
        </w:rPr>
      </w:pPr>
      <w:r w:rsidRPr="00832AB8">
        <w:rPr>
          <w:rFonts w:ascii="Times New Roman" w:hAnsi="Times New Roman" w:cs="Times New Roman"/>
          <w:b/>
          <w:bCs/>
          <w:color w:val="auto"/>
          <w:sz w:val="24"/>
          <w:szCs w:val="24"/>
        </w:rPr>
        <w:t>3.4 Data Analysis and Rigour</w:t>
      </w:r>
    </w:p>
    <w:p w14:paraId="43061B7E" w14:textId="77777777" w:rsidR="00DA0562" w:rsidRPr="00DA0562" w:rsidRDefault="00DA0562" w:rsidP="00832AB8">
      <w:pPr>
        <w:spacing w:after="0" w:line="360" w:lineRule="auto"/>
        <w:rPr>
          <w:rFonts w:ascii="Times New Roman" w:hAnsi="Times New Roman" w:cs="Times New Roman"/>
          <w:i/>
          <w:iCs/>
          <w:sz w:val="24"/>
          <w:szCs w:val="24"/>
        </w:rPr>
      </w:pPr>
      <w:r w:rsidRPr="00DA0562">
        <w:rPr>
          <w:rFonts w:ascii="Times New Roman" w:hAnsi="Times New Roman" w:cs="Times New Roman"/>
          <w:b/>
          <w:bCs/>
          <w:i/>
          <w:iCs/>
          <w:sz w:val="24"/>
          <w:szCs w:val="24"/>
        </w:rPr>
        <w:t>Thematic Analysis</w:t>
      </w:r>
    </w:p>
    <w:p w14:paraId="5C59994C"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analysis of data will adhere to the six-step thematic analysis paradigm approach that is generally considered to be a simple, convenient, and theoretically sound approach to qualitative research under interpretivist paradigms (Fereday and Muir-Cochrane, 2006). Thematic analysis is especially appropriate to this research since it allows identifying and studying as well as reporting the trends in qualitative data, and it is also based on the views of the participants (Naeem et al., 2023).</w:t>
      </w:r>
    </w:p>
    <w:p w14:paraId="745AE15B"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Phase one implies familiarisation with the data by reading interview transcripts and documentary materials repeatedly, making initial observations and possible patterns (Dawadi, 2020). This step plays a pivotal role in making the researcher experience the richness and depth of accounts of participants. Phase two produces preliminary codes in a systematic way over the dataset. NVivo qualitative data analysis software will be used to conduct the coding and make the process more organised, retrievable, and transparent (Zamawe, 2015). Codes are going to be used to capture semantic material, or material expressed by respondents, and latent material, or material contained in underlying assumptions and conceptualisations (Fereday and Muir-Cochrane, 2006).</w:t>
      </w:r>
    </w:p>
    <w:p w14:paraId="5D845DB6"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lastRenderedPageBreak/>
        <w:t>Phase three is the process where codes are gathered into possible themes, where similar codes are joined to create candidate themes which represent significant trends to the research questions. Phase four revises and narrows down themes in response to coded extracts and the entire dataset so that the themes themselves are consistent within themselves and discrete between themselves. Phase five names and identifies themes and defines the essence, scope, and importance of the theme. Phase six generates the final analysis, which involves weaving themes to make a cohesive narrative that answers the research questions with the help of illustrative quotes of the participants and documentary evidence (Dawadi, 2020).</w:t>
      </w:r>
    </w:p>
    <w:p w14:paraId="3A0C007C" w14:textId="14C66614" w:rsidR="00DA0562" w:rsidRPr="00DA0562" w:rsidRDefault="00DA0562" w:rsidP="00832AB8">
      <w:pPr>
        <w:spacing w:after="0" w:line="360" w:lineRule="auto"/>
        <w:rPr>
          <w:rFonts w:ascii="Times New Roman" w:hAnsi="Times New Roman" w:cs="Times New Roman"/>
          <w:i/>
          <w:iCs/>
          <w:sz w:val="24"/>
          <w:szCs w:val="24"/>
        </w:rPr>
      </w:pPr>
      <w:r w:rsidRPr="00DA0562">
        <w:rPr>
          <w:rFonts w:ascii="Times New Roman" w:hAnsi="Times New Roman" w:cs="Times New Roman"/>
          <w:b/>
          <w:bCs/>
          <w:i/>
          <w:iCs/>
          <w:sz w:val="24"/>
          <w:szCs w:val="24"/>
        </w:rPr>
        <w:t>Rigour</w:t>
      </w:r>
      <w:r w:rsidR="00832AB8" w:rsidRPr="00832AB8">
        <w:rPr>
          <w:rFonts w:ascii="Times New Roman" w:hAnsi="Times New Roman" w:cs="Times New Roman"/>
          <w:b/>
          <w:bCs/>
          <w:i/>
          <w:iCs/>
          <w:sz w:val="24"/>
          <w:szCs w:val="24"/>
        </w:rPr>
        <w:t>ity</w:t>
      </w:r>
    </w:p>
    <w:p w14:paraId="797B6810"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Credibility, transferability, dependability, and confirmability are credited with creating trustworthiness that sets a standard of judging the quality of qualitative research, just like validity and reliability in quantitative research. Triangulation of various data sources is a method of obtaining credibility, such as interviewee and document data, because the results can be cross-verified (Rolfe, 2006). Member checking will be used, where the participants will be invited to check the transcripts and preliminary results to ensure that they are accurate and relevant to their experiences. External analysis of the analytical process will be done through peer debriefing with academic supervisors.</w:t>
      </w:r>
    </w:p>
    <w:p w14:paraId="0E5437E9"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transferability is met with the idea of the thick description of the case organisation, the context in which it takes place, and the procedures of the research so that the readers can evaluate the applicability of the findings to any other setting (Finfgeld-Connett, 2010). Reliability is achieved by keeping a clear audit trail of all the research judgements, such as the coding structures, theme creation and analysis memos (Naeem et al., 2023). Reflexive journaling helps to establish confirmability in the sense that the researcher questions his/her own assumptions, positionality, and possible biases during the research.</w:t>
      </w:r>
    </w:p>
    <w:p w14:paraId="4FF19021" w14:textId="436BDBF5" w:rsidR="00DA0562" w:rsidRPr="00832AB8" w:rsidRDefault="00832AB8" w:rsidP="00832AB8">
      <w:pPr>
        <w:pStyle w:val="Heading2"/>
        <w:rPr>
          <w:rFonts w:ascii="Times New Roman" w:hAnsi="Times New Roman" w:cs="Times New Roman"/>
          <w:b/>
          <w:bCs/>
          <w:color w:val="auto"/>
          <w:sz w:val="24"/>
          <w:szCs w:val="24"/>
        </w:rPr>
      </w:pPr>
      <w:r w:rsidRPr="00832AB8">
        <w:rPr>
          <w:rFonts w:ascii="Times New Roman" w:hAnsi="Times New Roman" w:cs="Times New Roman"/>
          <w:b/>
          <w:bCs/>
          <w:color w:val="auto"/>
          <w:sz w:val="24"/>
          <w:szCs w:val="24"/>
        </w:rPr>
        <w:t xml:space="preserve">3.5 </w:t>
      </w:r>
      <w:r w:rsidR="00DA0562" w:rsidRPr="00832AB8">
        <w:rPr>
          <w:rFonts w:ascii="Times New Roman" w:hAnsi="Times New Roman" w:cs="Times New Roman"/>
          <w:b/>
          <w:bCs/>
          <w:color w:val="auto"/>
          <w:sz w:val="24"/>
          <w:szCs w:val="24"/>
        </w:rPr>
        <w:t>Evaluation of Methods</w:t>
      </w:r>
    </w:p>
    <w:p w14:paraId="01331B75" w14:textId="5843C630" w:rsidR="00DA0562" w:rsidRPr="00832AB8" w:rsidRDefault="00832AB8" w:rsidP="00832AB8">
      <w:pPr>
        <w:pStyle w:val="Heading3"/>
        <w:rPr>
          <w:rFonts w:ascii="Times New Roman" w:hAnsi="Times New Roman" w:cs="Times New Roman"/>
          <w:b/>
          <w:bCs/>
          <w:color w:val="auto"/>
          <w:sz w:val="24"/>
          <w:szCs w:val="24"/>
        </w:rPr>
      </w:pPr>
      <w:r w:rsidRPr="00832AB8">
        <w:rPr>
          <w:rFonts w:ascii="Times New Roman" w:hAnsi="Times New Roman" w:cs="Times New Roman"/>
          <w:b/>
          <w:bCs/>
          <w:color w:val="auto"/>
          <w:sz w:val="24"/>
          <w:szCs w:val="24"/>
        </w:rPr>
        <w:t>3.5.1 Advantages and Disadvantages</w:t>
      </w:r>
    </w:p>
    <w:p w14:paraId="20B10656"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 xml:space="preserve">The single case study approach allows in-depth contextual insights into the strategic alignment practices and complexity that would be missed by the use of a survey-based approach. Nevertheless, the results cannot be statistically generalised, and transferability is achieved with the help of thick description, but not probabilistic inference (Gaya and Smith, 2016). Semi-structured interviews, which are flexible to investigate emergent themes, are time-consuming and vulnerable to social desirability bias. Document analysis offers </w:t>
      </w:r>
      <w:r w:rsidRPr="00DA0562">
        <w:rPr>
          <w:rFonts w:ascii="Times New Roman" w:hAnsi="Times New Roman" w:cs="Times New Roman"/>
          <w:sz w:val="24"/>
          <w:szCs w:val="24"/>
        </w:rPr>
        <w:lastRenderedPageBreak/>
        <w:t>inconspicuous understanding of purported alignment mechanisms, but it might not constitute the reality.</w:t>
      </w:r>
    </w:p>
    <w:p w14:paraId="424CD8E0" w14:textId="5B92328C" w:rsidR="00DA0562" w:rsidRPr="00832AB8" w:rsidRDefault="00832AB8" w:rsidP="00832AB8">
      <w:pPr>
        <w:pStyle w:val="Heading3"/>
        <w:rPr>
          <w:rFonts w:ascii="Times New Roman" w:hAnsi="Times New Roman" w:cs="Times New Roman"/>
          <w:b/>
          <w:bCs/>
          <w:sz w:val="24"/>
          <w:szCs w:val="24"/>
        </w:rPr>
      </w:pPr>
      <w:r w:rsidRPr="00832AB8">
        <w:rPr>
          <w:rFonts w:ascii="Times New Roman" w:hAnsi="Times New Roman" w:cs="Times New Roman"/>
          <w:b/>
          <w:bCs/>
          <w:color w:val="auto"/>
          <w:sz w:val="24"/>
          <w:szCs w:val="24"/>
        </w:rPr>
        <w:t xml:space="preserve">3.5.2 </w:t>
      </w:r>
      <w:r w:rsidR="00DA0562" w:rsidRPr="00832AB8">
        <w:rPr>
          <w:rFonts w:ascii="Times New Roman" w:hAnsi="Times New Roman" w:cs="Times New Roman"/>
          <w:b/>
          <w:bCs/>
          <w:color w:val="auto"/>
          <w:sz w:val="24"/>
          <w:szCs w:val="24"/>
        </w:rPr>
        <w:t xml:space="preserve">Other </w:t>
      </w:r>
      <w:r w:rsidRPr="00832AB8">
        <w:rPr>
          <w:rFonts w:ascii="Times New Roman" w:hAnsi="Times New Roman" w:cs="Times New Roman"/>
          <w:b/>
          <w:bCs/>
          <w:color w:val="auto"/>
          <w:sz w:val="24"/>
          <w:szCs w:val="24"/>
        </w:rPr>
        <w:t>S</w:t>
      </w:r>
      <w:r w:rsidR="00DA0562" w:rsidRPr="00832AB8">
        <w:rPr>
          <w:rFonts w:ascii="Times New Roman" w:hAnsi="Times New Roman" w:cs="Times New Roman"/>
          <w:b/>
          <w:bCs/>
          <w:color w:val="auto"/>
          <w:sz w:val="24"/>
          <w:szCs w:val="24"/>
        </w:rPr>
        <w:t xml:space="preserve">trategies to be </w:t>
      </w:r>
      <w:r w:rsidRPr="00832AB8">
        <w:rPr>
          <w:rFonts w:ascii="Times New Roman" w:hAnsi="Times New Roman" w:cs="Times New Roman"/>
          <w:b/>
          <w:bCs/>
          <w:color w:val="auto"/>
          <w:sz w:val="24"/>
          <w:szCs w:val="24"/>
        </w:rPr>
        <w:t>C</w:t>
      </w:r>
      <w:r w:rsidR="00DA0562" w:rsidRPr="00832AB8">
        <w:rPr>
          <w:rFonts w:ascii="Times New Roman" w:hAnsi="Times New Roman" w:cs="Times New Roman"/>
          <w:b/>
          <w:bCs/>
          <w:color w:val="auto"/>
          <w:sz w:val="24"/>
          <w:szCs w:val="24"/>
        </w:rPr>
        <w:t>onsidered.</w:t>
      </w:r>
    </w:p>
    <w:p w14:paraId="1928E13B"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reason why a quantitative survey would not be suitable was that it could not represent the interpretative or process-orientated nature of alignment. Mixed methods were also thought about, but it was decided to be out of the scope of this project considering the depth which each component of the qualitative part needed. The multiple-case study was not chosen in preference to a single case so that deeper coverage could be made within the limitations of the research time.</w:t>
      </w:r>
    </w:p>
    <w:p w14:paraId="50555A1E" w14:textId="39A64C0C" w:rsidR="00DA0562" w:rsidRPr="00832AB8" w:rsidRDefault="00832AB8" w:rsidP="00832AB8">
      <w:pPr>
        <w:pStyle w:val="Heading2"/>
        <w:rPr>
          <w:rFonts w:ascii="Times New Roman" w:hAnsi="Times New Roman" w:cs="Times New Roman"/>
          <w:b/>
          <w:bCs/>
          <w:color w:val="auto"/>
          <w:sz w:val="24"/>
          <w:szCs w:val="24"/>
        </w:rPr>
      </w:pPr>
      <w:r w:rsidRPr="00832AB8">
        <w:rPr>
          <w:rFonts w:ascii="Times New Roman" w:hAnsi="Times New Roman" w:cs="Times New Roman"/>
          <w:b/>
          <w:bCs/>
          <w:color w:val="auto"/>
          <w:sz w:val="24"/>
          <w:szCs w:val="24"/>
        </w:rPr>
        <w:t xml:space="preserve">3.6 </w:t>
      </w:r>
      <w:r w:rsidR="00DA0562" w:rsidRPr="00832AB8">
        <w:rPr>
          <w:rFonts w:ascii="Times New Roman" w:hAnsi="Times New Roman" w:cs="Times New Roman"/>
          <w:b/>
          <w:bCs/>
          <w:color w:val="auto"/>
          <w:sz w:val="24"/>
          <w:szCs w:val="24"/>
        </w:rPr>
        <w:t>Resource Implications</w:t>
      </w:r>
    </w:p>
    <w:p w14:paraId="756F07E3"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resources needed in this study are of three categories: The financial resources are transcription services estimated at about £150 to 200 that will be used to conduct about fifteen to twenty interviews and the licensing of NVivo software at about 50 to 70. On-site interviews will cost between £100 and £150 in the form of travelling expenses. The human resources will include the time of the researcher allocated within six months of time, when he meets with the academic supervisor every two weeks. The material resources are access to organisational documents, interview recording devices and safe data storage. The researcher has all the resources, and they are deemed to be sufficient to carry out a successful study.</w:t>
      </w:r>
    </w:p>
    <w:p w14:paraId="3F8E8B3F" w14:textId="3F94D31B" w:rsidR="00DA0562" w:rsidRPr="00832AB8" w:rsidRDefault="00832AB8" w:rsidP="00832AB8">
      <w:pPr>
        <w:pStyle w:val="Heading2"/>
        <w:rPr>
          <w:rFonts w:ascii="Times New Roman" w:hAnsi="Times New Roman" w:cs="Times New Roman"/>
          <w:b/>
          <w:bCs/>
          <w:color w:val="auto"/>
          <w:sz w:val="24"/>
          <w:szCs w:val="24"/>
        </w:rPr>
      </w:pPr>
      <w:r w:rsidRPr="00832AB8">
        <w:rPr>
          <w:rFonts w:ascii="Times New Roman" w:hAnsi="Times New Roman" w:cs="Times New Roman"/>
          <w:b/>
          <w:bCs/>
          <w:color w:val="auto"/>
          <w:sz w:val="24"/>
          <w:szCs w:val="24"/>
        </w:rPr>
        <w:t xml:space="preserve">3.7 </w:t>
      </w:r>
      <w:r w:rsidR="00DA0562" w:rsidRPr="00832AB8">
        <w:rPr>
          <w:rFonts w:ascii="Times New Roman" w:hAnsi="Times New Roman" w:cs="Times New Roman"/>
          <w:b/>
          <w:bCs/>
          <w:color w:val="auto"/>
          <w:sz w:val="24"/>
          <w:szCs w:val="24"/>
        </w:rPr>
        <w:t>Ethical Considerations</w:t>
      </w:r>
    </w:p>
    <w:p w14:paraId="5A80CC6C" w14:textId="77777777" w:rsidR="00DA0562" w:rsidRPr="00DA0562" w:rsidRDefault="00DA0562" w:rsidP="00BD6DE9">
      <w:pPr>
        <w:spacing w:after="0" w:line="360" w:lineRule="auto"/>
        <w:ind w:firstLine="720"/>
        <w:rPr>
          <w:rFonts w:ascii="Times New Roman" w:hAnsi="Times New Roman" w:cs="Times New Roman"/>
          <w:sz w:val="24"/>
          <w:szCs w:val="24"/>
        </w:rPr>
      </w:pPr>
      <w:r w:rsidRPr="00DA0562">
        <w:rPr>
          <w:rFonts w:ascii="Times New Roman" w:hAnsi="Times New Roman" w:cs="Times New Roman"/>
          <w:sz w:val="24"/>
          <w:szCs w:val="24"/>
        </w:rPr>
        <w:t>The research follows the code of ethics of the University of Wales Trinity Saint David. All the participants will be informed about the purpose of the study, the voluntary nature of participation, and the right to withdraw by providing their informed consent in the form of written information sheets. The anonymity and confidentiality will be ensured, and the organisation and all the participants will be referred to by pseudonyms (Cacciattolo, 2015). The information will be saved in highly secured encrypted university servers, which the researcher and supervisor will have access to. The issue of commercial sensitivity in the automotive industry will be observed; the results will be presented to the organisation to review before submission.</w:t>
      </w:r>
    </w:p>
    <w:p w14:paraId="29308F23" w14:textId="77777777" w:rsidR="00706C98" w:rsidRPr="00BD6DE9" w:rsidRDefault="00706C98" w:rsidP="00BD6DE9">
      <w:pPr>
        <w:spacing w:after="0" w:line="360" w:lineRule="auto"/>
        <w:ind w:firstLine="720"/>
        <w:rPr>
          <w:rFonts w:ascii="Times New Roman" w:hAnsi="Times New Roman" w:cs="Times New Roman"/>
          <w:sz w:val="24"/>
          <w:szCs w:val="24"/>
        </w:rPr>
      </w:pPr>
    </w:p>
    <w:p w14:paraId="4C2A2B00" w14:textId="77777777" w:rsidR="00832AB8" w:rsidRDefault="00832AB8" w:rsidP="00832AB8">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0AB5E56B" w14:textId="06642D4A" w:rsidR="00DA0562" w:rsidRPr="00832AB8" w:rsidRDefault="00DA0562" w:rsidP="00832AB8">
      <w:pPr>
        <w:pStyle w:val="Heading1"/>
        <w:rPr>
          <w:rFonts w:ascii="Times New Roman" w:hAnsi="Times New Roman" w:cs="Times New Roman"/>
          <w:b/>
          <w:bCs/>
          <w:color w:val="auto"/>
          <w:sz w:val="24"/>
          <w:szCs w:val="24"/>
        </w:rPr>
      </w:pPr>
      <w:r w:rsidRPr="00832AB8">
        <w:rPr>
          <w:rFonts w:ascii="Times New Roman" w:hAnsi="Times New Roman" w:cs="Times New Roman"/>
          <w:b/>
          <w:bCs/>
          <w:color w:val="auto"/>
          <w:sz w:val="24"/>
          <w:szCs w:val="24"/>
        </w:rPr>
        <w:lastRenderedPageBreak/>
        <w:t>Reference list</w:t>
      </w:r>
    </w:p>
    <w:p w14:paraId="7F2F034C" w14:textId="4C3AF102"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Adeoye‐Olatunde, O.A. and Olenik, N.L. (2021). Research and Scholarly Methods: Semi‐Structured Interviews. </w:t>
      </w:r>
      <w:r w:rsidRPr="00DA0562">
        <w:rPr>
          <w:rFonts w:ascii="Times New Roman" w:hAnsi="Times New Roman" w:cs="Times New Roman"/>
          <w:i/>
          <w:iCs/>
          <w:sz w:val="24"/>
          <w:szCs w:val="24"/>
        </w:rPr>
        <w:t>Journal of the American College of Clinical Pharmacy</w:t>
      </w:r>
      <w:r w:rsidRPr="00DA0562">
        <w:rPr>
          <w:rFonts w:ascii="Times New Roman" w:hAnsi="Times New Roman" w:cs="Times New Roman"/>
          <w:sz w:val="24"/>
          <w:szCs w:val="24"/>
        </w:rPr>
        <w:t xml:space="preserve">, 4(10), pp.1358–1367. </w:t>
      </w:r>
      <w:hyperlink r:id="rId10" w:history="1">
        <w:r w:rsidR="00832AB8" w:rsidRPr="00DA0562">
          <w:rPr>
            <w:rStyle w:val="Hyperlink"/>
            <w:rFonts w:ascii="Times New Roman" w:hAnsi="Times New Roman" w:cs="Times New Roman"/>
            <w:sz w:val="24"/>
            <w:szCs w:val="24"/>
          </w:rPr>
          <w:t>https://accpjournals.onlinelibrary.wiley.com/doi/abs/10.1002/jac5.1441</w:t>
        </w:r>
      </w:hyperlink>
      <w:r w:rsidRPr="00DA0562">
        <w:rPr>
          <w:rFonts w:ascii="Times New Roman" w:hAnsi="Times New Roman" w:cs="Times New Roman"/>
          <w:sz w:val="24"/>
          <w:szCs w:val="24"/>
        </w:rPr>
        <w:t>.</w:t>
      </w:r>
    </w:p>
    <w:p w14:paraId="499E7B1C" w14:textId="639F1BCB"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Aguinis, H. and Burgi-Tian, J. (2023). Performance </w:t>
      </w:r>
      <w:r w:rsidR="002F1FD3">
        <w:rPr>
          <w:rFonts w:ascii="Times New Roman" w:hAnsi="Times New Roman" w:cs="Times New Roman"/>
          <w:sz w:val="24"/>
          <w:szCs w:val="24"/>
        </w:rPr>
        <w:t>M</w:t>
      </w:r>
      <w:r w:rsidRPr="00DA0562">
        <w:rPr>
          <w:rFonts w:ascii="Times New Roman" w:hAnsi="Times New Roman" w:cs="Times New Roman"/>
          <w:sz w:val="24"/>
          <w:szCs w:val="24"/>
        </w:rPr>
        <w:t xml:space="preserve">anagement </w:t>
      </w:r>
      <w:r w:rsidR="002F1FD3">
        <w:rPr>
          <w:rFonts w:ascii="Times New Roman" w:hAnsi="Times New Roman" w:cs="Times New Roman"/>
          <w:sz w:val="24"/>
          <w:szCs w:val="24"/>
        </w:rPr>
        <w:t>A</w:t>
      </w:r>
      <w:r w:rsidRPr="00DA0562">
        <w:rPr>
          <w:rFonts w:ascii="Times New Roman" w:hAnsi="Times New Roman" w:cs="Times New Roman"/>
          <w:sz w:val="24"/>
          <w:szCs w:val="24"/>
        </w:rPr>
        <w:t xml:space="preserve">round the </w:t>
      </w:r>
      <w:r w:rsidR="002F1FD3">
        <w:rPr>
          <w:rFonts w:ascii="Times New Roman" w:hAnsi="Times New Roman" w:cs="Times New Roman"/>
          <w:sz w:val="24"/>
          <w:szCs w:val="24"/>
        </w:rPr>
        <w:t>W</w:t>
      </w:r>
      <w:r w:rsidRPr="00DA0562">
        <w:rPr>
          <w:rFonts w:ascii="Times New Roman" w:hAnsi="Times New Roman" w:cs="Times New Roman"/>
          <w:sz w:val="24"/>
          <w:szCs w:val="24"/>
        </w:rPr>
        <w:t xml:space="preserve">orld: </w:t>
      </w:r>
      <w:r w:rsidR="002F1FD3">
        <w:rPr>
          <w:rFonts w:ascii="Times New Roman" w:hAnsi="Times New Roman" w:cs="Times New Roman"/>
          <w:sz w:val="24"/>
          <w:szCs w:val="24"/>
        </w:rPr>
        <w:t>S</w:t>
      </w:r>
      <w:r w:rsidRPr="00DA0562">
        <w:rPr>
          <w:rFonts w:ascii="Times New Roman" w:hAnsi="Times New Roman" w:cs="Times New Roman"/>
          <w:sz w:val="24"/>
          <w:szCs w:val="24"/>
        </w:rPr>
        <w:t xml:space="preserve">olving the </w:t>
      </w:r>
      <w:r w:rsidR="002F1FD3">
        <w:rPr>
          <w:rFonts w:ascii="Times New Roman" w:hAnsi="Times New Roman" w:cs="Times New Roman"/>
          <w:sz w:val="24"/>
          <w:szCs w:val="24"/>
        </w:rPr>
        <w:t>S</w:t>
      </w:r>
      <w:r w:rsidRPr="00DA0562">
        <w:rPr>
          <w:rFonts w:ascii="Times New Roman" w:hAnsi="Times New Roman" w:cs="Times New Roman"/>
          <w:sz w:val="24"/>
          <w:szCs w:val="24"/>
        </w:rPr>
        <w:t xml:space="preserve">tandardization vs </w:t>
      </w:r>
      <w:r w:rsidR="002F1FD3">
        <w:rPr>
          <w:rFonts w:ascii="Times New Roman" w:hAnsi="Times New Roman" w:cs="Times New Roman"/>
          <w:sz w:val="24"/>
          <w:szCs w:val="24"/>
        </w:rPr>
        <w:t>A</w:t>
      </w:r>
      <w:r w:rsidRPr="00DA0562">
        <w:rPr>
          <w:rFonts w:ascii="Times New Roman" w:hAnsi="Times New Roman" w:cs="Times New Roman"/>
          <w:sz w:val="24"/>
          <w:szCs w:val="24"/>
        </w:rPr>
        <w:t xml:space="preserve">daptation </w:t>
      </w:r>
      <w:r w:rsidR="002F1FD3">
        <w:rPr>
          <w:rFonts w:ascii="Times New Roman" w:hAnsi="Times New Roman" w:cs="Times New Roman"/>
          <w:sz w:val="24"/>
          <w:szCs w:val="24"/>
        </w:rPr>
        <w:t>D</w:t>
      </w:r>
      <w:r w:rsidRPr="00DA0562">
        <w:rPr>
          <w:rFonts w:ascii="Times New Roman" w:hAnsi="Times New Roman" w:cs="Times New Roman"/>
          <w:sz w:val="24"/>
          <w:szCs w:val="24"/>
        </w:rPr>
        <w:t xml:space="preserve">ilemma. </w:t>
      </w:r>
      <w:r w:rsidRPr="00DA0562">
        <w:rPr>
          <w:rFonts w:ascii="Times New Roman" w:hAnsi="Times New Roman" w:cs="Times New Roman"/>
          <w:i/>
          <w:iCs/>
          <w:sz w:val="24"/>
          <w:szCs w:val="24"/>
        </w:rPr>
        <w:t>IIM Ranchi Journal of Management Studies</w:t>
      </w:r>
      <w:r w:rsidRPr="00DA0562">
        <w:rPr>
          <w:rFonts w:ascii="Times New Roman" w:hAnsi="Times New Roman" w:cs="Times New Roman"/>
          <w:sz w:val="24"/>
          <w:szCs w:val="24"/>
        </w:rPr>
        <w:t>, 2(2), pp.159–170. doi:</w:t>
      </w:r>
      <w:r w:rsidR="00832AB8">
        <w:rPr>
          <w:rFonts w:ascii="Times New Roman" w:hAnsi="Times New Roman" w:cs="Times New Roman"/>
          <w:sz w:val="24"/>
          <w:szCs w:val="24"/>
        </w:rPr>
        <w:t xml:space="preserve"> </w:t>
      </w:r>
      <w:hyperlink r:id="rId11" w:history="1">
        <w:r w:rsidR="00832AB8" w:rsidRPr="00DA0562">
          <w:rPr>
            <w:rStyle w:val="Hyperlink"/>
            <w:rFonts w:ascii="Times New Roman" w:hAnsi="Times New Roman" w:cs="Times New Roman"/>
            <w:sz w:val="24"/>
            <w:szCs w:val="24"/>
          </w:rPr>
          <w:t>https://doi.org/10.1108/irjms-09-2022-0091</w:t>
        </w:r>
      </w:hyperlink>
      <w:r w:rsidRPr="00DA0562">
        <w:rPr>
          <w:rFonts w:ascii="Times New Roman" w:hAnsi="Times New Roman" w:cs="Times New Roman"/>
          <w:sz w:val="24"/>
          <w:szCs w:val="24"/>
        </w:rPr>
        <w:t>.</w:t>
      </w:r>
    </w:p>
    <w:p w14:paraId="5FE5CECA" w14:textId="46D78237"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Alordiah, C.O. and Oji, J. (2024). Theoretical Sampling Strategies in Qualitative Interviews: Enhancing Data Richness and Theoretical Saturation. </w:t>
      </w:r>
      <w:r w:rsidRPr="00DA0562">
        <w:rPr>
          <w:rFonts w:ascii="Times New Roman" w:hAnsi="Times New Roman" w:cs="Times New Roman"/>
          <w:i/>
          <w:iCs/>
          <w:sz w:val="24"/>
          <w:szCs w:val="24"/>
        </w:rPr>
        <w:t>NIU Journal of Social Sciences</w:t>
      </w:r>
      <w:r w:rsidRPr="00DA0562">
        <w:rPr>
          <w:rFonts w:ascii="Times New Roman" w:hAnsi="Times New Roman" w:cs="Times New Roman"/>
          <w:sz w:val="24"/>
          <w:szCs w:val="24"/>
        </w:rPr>
        <w:t>, 10(2). doi:</w:t>
      </w:r>
      <w:r w:rsidR="00832AB8">
        <w:rPr>
          <w:rFonts w:ascii="Times New Roman" w:hAnsi="Times New Roman" w:cs="Times New Roman"/>
          <w:sz w:val="24"/>
          <w:szCs w:val="24"/>
        </w:rPr>
        <w:t xml:space="preserve"> </w:t>
      </w:r>
      <w:hyperlink r:id="rId12" w:history="1">
        <w:r w:rsidR="00832AB8" w:rsidRPr="00DA0562">
          <w:rPr>
            <w:rStyle w:val="Hyperlink"/>
            <w:rFonts w:ascii="Times New Roman" w:hAnsi="Times New Roman" w:cs="Times New Roman"/>
            <w:sz w:val="24"/>
            <w:szCs w:val="24"/>
          </w:rPr>
          <w:t>https://doi.org/10.58709/niujss.v10i2.1882</w:t>
        </w:r>
      </w:hyperlink>
      <w:r w:rsidRPr="00DA0562">
        <w:rPr>
          <w:rFonts w:ascii="Times New Roman" w:hAnsi="Times New Roman" w:cs="Times New Roman"/>
          <w:sz w:val="24"/>
          <w:szCs w:val="24"/>
        </w:rPr>
        <w:t>.</w:t>
      </w:r>
    </w:p>
    <w:p w14:paraId="0E3B119F" w14:textId="7487533E"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Ambe, I. and Badenhorst-Weiss, J. (2019). Strategic supply chain framework for the automotive industry. </w:t>
      </w:r>
      <w:r w:rsidRPr="00DA0562">
        <w:rPr>
          <w:rFonts w:ascii="Times New Roman" w:hAnsi="Times New Roman" w:cs="Times New Roman"/>
          <w:i/>
          <w:iCs/>
          <w:sz w:val="24"/>
          <w:szCs w:val="24"/>
        </w:rPr>
        <w:t>Global Journal of Business Management</w:t>
      </w:r>
      <w:r w:rsidRPr="00DA0562">
        <w:rPr>
          <w:rFonts w:ascii="Times New Roman" w:hAnsi="Times New Roman" w:cs="Times New Roman"/>
          <w:sz w:val="24"/>
          <w:szCs w:val="24"/>
        </w:rPr>
        <w:t xml:space="preserve">, 13(1), pp.1-011. </w:t>
      </w:r>
      <w:hyperlink r:id="rId13" w:history="1">
        <w:r w:rsidR="00832AB8" w:rsidRPr="00DA0562">
          <w:rPr>
            <w:rStyle w:val="Hyperlink"/>
            <w:rFonts w:ascii="Times New Roman" w:hAnsi="Times New Roman" w:cs="Times New Roman"/>
            <w:sz w:val="24"/>
            <w:szCs w:val="24"/>
          </w:rPr>
          <w:t>https://www.internationalscholarsjournals.com/articles/strategic-supply-chain-framework-for-the-automotive-industry.pdf</w:t>
        </w:r>
      </w:hyperlink>
      <w:r w:rsidRPr="00DA0562">
        <w:rPr>
          <w:rFonts w:ascii="Times New Roman" w:hAnsi="Times New Roman" w:cs="Times New Roman"/>
          <w:sz w:val="24"/>
          <w:szCs w:val="24"/>
        </w:rPr>
        <w:t>.</w:t>
      </w:r>
    </w:p>
    <w:p w14:paraId="0B1FCC5E" w14:textId="664F74FB"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Amrina, E. and Yusof, S.M. (2011). </w:t>
      </w:r>
      <w:r w:rsidRPr="00DA0562">
        <w:rPr>
          <w:rFonts w:ascii="Times New Roman" w:hAnsi="Times New Roman" w:cs="Times New Roman"/>
          <w:i/>
          <w:iCs/>
          <w:sz w:val="24"/>
          <w:szCs w:val="24"/>
        </w:rPr>
        <w:t>Key performance indicators for sustainable manufacturing evaluation in automotive companies</w:t>
      </w:r>
      <w:r w:rsidRPr="00DA0562">
        <w:rPr>
          <w:rFonts w:ascii="Times New Roman" w:hAnsi="Times New Roman" w:cs="Times New Roman"/>
          <w:sz w:val="24"/>
          <w:szCs w:val="24"/>
        </w:rPr>
        <w:t xml:space="preserve">. </w:t>
      </w:r>
      <w:hyperlink r:id="rId14" w:history="1">
        <w:r w:rsidR="00832AB8" w:rsidRPr="00DA0562">
          <w:rPr>
            <w:rStyle w:val="Hyperlink"/>
            <w:rFonts w:ascii="Times New Roman" w:hAnsi="Times New Roman" w:cs="Times New Roman"/>
            <w:sz w:val="24"/>
            <w:szCs w:val="24"/>
          </w:rPr>
          <w:t>https://doi.org/10.1109/IEEM.2011.6118084</w:t>
        </w:r>
      </w:hyperlink>
      <w:r w:rsidRPr="00DA0562">
        <w:rPr>
          <w:rFonts w:ascii="Times New Roman" w:hAnsi="Times New Roman" w:cs="Times New Roman"/>
          <w:sz w:val="24"/>
          <w:szCs w:val="24"/>
        </w:rPr>
        <w:t>.</w:t>
      </w:r>
    </w:p>
    <w:p w14:paraId="5DEFF030" w14:textId="4C313814"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Anderson, K. (2025). </w:t>
      </w:r>
      <w:r w:rsidRPr="00DA0562">
        <w:rPr>
          <w:rFonts w:ascii="Times New Roman" w:hAnsi="Times New Roman" w:cs="Times New Roman"/>
          <w:i/>
          <w:iCs/>
          <w:sz w:val="24"/>
          <w:szCs w:val="24"/>
        </w:rPr>
        <w:t>Understanding the UK Government’s Mandatory Net Zero Targets</w:t>
      </w:r>
      <w:r w:rsidRPr="00DA0562">
        <w:rPr>
          <w:rFonts w:ascii="Times New Roman" w:hAnsi="Times New Roman" w:cs="Times New Roman"/>
          <w:sz w:val="24"/>
          <w:szCs w:val="24"/>
        </w:rPr>
        <w:t xml:space="preserve">. </w:t>
      </w:r>
      <w:hyperlink r:id="rId15" w:history="1">
        <w:r w:rsidR="00832AB8" w:rsidRPr="00DA0562">
          <w:rPr>
            <w:rStyle w:val="Hyperlink"/>
            <w:rFonts w:ascii="Times New Roman" w:hAnsi="Times New Roman" w:cs="Times New Roman"/>
            <w:sz w:val="24"/>
            <w:szCs w:val="24"/>
          </w:rPr>
          <w:t>https://greenly.earth/en-gb/blog/company-guide/understanding-the-uk-governments-mandatory-net-zero-targets</w:t>
        </w:r>
      </w:hyperlink>
      <w:r w:rsidRPr="00DA0562">
        <w:rPr>
          <w:rFonts w:ascii="Times New Roman" w:hAnsi="Times New Roman" w:cs="Times New Roman"/>
          <w:sz w:val="24"/>
          <w:szCs w:val="24"/>
        </w:rPr>
        <w:t>.</w:t>
      </w:r>
    </w:p>
    <w:p w14:paraId="58DE4A90" w14:textId="16A40110"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Annamalah, S. (2024). The Value of Case Study Research in Practice: a Methodological Review with Practical Insights from Organisational Studies. </w:t>
      </w:r>
      <w:r w:rsidRPr="00DA0562">
        <w:rPr>
          <w:rFonts w:ascii="Times New Roman" w:hAnsi="Times New Roman" w:cs="Times New Roman"/>
          <w:i/>
          <w:iCs/>
          <w:sz w:val="24"/>
          <w:szCs w:val="24"/>
        </w:rPr>
        <w:t>Journal of Applied Economic Sciences (JAES</w:t>
      </w:r>
      <w:r w:rsidR="00832AB8">
        <w:rPr>
          <w:rFonts w:ascii="Times New Roman" w:hAnsi="Times New Roman" w:cs="Times New Roman"/>
          <w:i/>
          <w:iCs/>
          <w:sz w:val="24"/>
          <w:szCs w:val="24"/>
        </w:rPr>
        <w:t xml:space="preserve">) </w:t>
      </w:r>
      <w:r w:rsidRPr="00DA0562">
        <w:rPr>
          <w:rFonts w:ascii="Times New Roman" w:hAnsi="Times New Roman" w:cs="Times New Roman"/>
          <w:sz w:val="24"/>
          <w:szCs w:val="24"/>
        </w:rPr>
        <w:t xml:space="preserve">pp.485–498. </w:t>
      </w:r>
      <w:hyperlink r:id="rId16" w:history="1">
        <w:r w:rsidR="00832AB8" w:rsidRPr="00DA0562">
          <w:rPr>
            <w:rStyle w:val="Hyperlink"/>
            <w:rFonts w:ascii="Times New Roman" w:hAnsi="Times New Roman" w:cs="Times New Roman"/>
            <w:sz w:val="24"/>
            <w:szCs w:val="24"/>
          </w:rPr>
          <w:t>https://www.ceeol.com/search/article-detail?id=1295895</w:t>
        </w:r>
      </w:hyperlink>
      <w:r w:rsidRPr="00DA0562">
        <w:rPr>
          <w:rFonts w:ascii="Times New Roman" w:hAnsi="Times New Roman" w:cs="Times New Roman"/>
          <w:sz w:val="24"/>
          <w:szCs w:val="24"/>
        </w:rPr>
        <w:t>.</w:t>
      </w:r>
    </w:p>
    <w:p w14:paraId="62DF4A15" w14:textId="59A10234" w:rsidR="00DA0562" w:rsidRPr="00BD6DE9"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Beer, M., Voelpel, S.C., Leibold, M. and Tekie, E.B. (2005). Strategic Management as Organizational Learning. </w:t>
      </w:r>
      <w:r w:rsidRPr="00DA0562">
        <w:rPr>
          <w:rFonts w:ascii="Times New Roman" w:hAnsi="Times New Roman" w:cs="Times New Roman"/>
          <w:i/>
          <w:iCs/>
          <w:sz w:val="24"/>
          <w:szCs w:val="24"/>
        </w:rPr>
        <w:t>Long Range Planning</w:t>
      </w:r>
      <w:r w:rsidRPr="00DA0562">
        <w:rPr>
          <w:rFonts w:ascii="Times New Roman" w:hAnsi="Times New Roman" w:cs="Times New Roman"/>
          <w:sz w:val="24"/>
          <w:szCs w:val="24"/>
        </w:rPr>
        <w:t>, 38(5), pp.445–465.</w:t>
      </w:r>
      <w:r w:rsidR="00832AB8">
        <w:rPr>
          <w:rFonts w:ascii="Times New Roman" w:hAnsi="Times New Roman" w:cs="Times New Roman"/>
          <w:sz w:val="24"/>
          <w:szCs w:val="24"/>
        </w:rPr>
        <w:t xml:space="preserve"> </w:t>
      </w:r>
      <w:hyperlink r:id="rId17" w:history="1">
        <w:r w:rsidR="00B25F1A" w:rsidRPr="00DA0562">
          <w:rPr>
            <w:rStyle w:val="Hyperlink"/>
            <w:rFonts w:ascii="Times New Roman" w:hAnsi="Times New Roman" w:cs="Times New Roman"/>
            <w:sz w:val="24"/>
            <w:szCs w:val="24"/>
          </w:rPr>
          <w:t>https://www.sciencedirect.com/science/article/pii/S0024630105000634</w:t>
        </w:r>
      </w:hyperlink>
      <w:r w:rsidRPr="00DA0562">
        <w:rPr>
          <w:rFonts w:ascii="Times New Roman" w:hAnsi="Times New Roman" w:cs="Times New Roman"/>
          <w:sz w:val="24"/>
          <w:szCs w:val="24"/>
        </w:rPr>
        <w:t>.</w:t>
      </w:r>
    </w:p>
    <w:p w14:paraId="751B7CEE" w14:textId="60ED4216" w:rsidR="00B25F1A" w:rsidRPr="00DA0562" w:rsidRDefault="00B25F1A" w:rsidP="00832AB8">
      <w:pPr>
        <w:spacing w:after="0" w:line="360" w:lineRule="auto"/>
        <w:ind w:left="720" w:hanging="720"/>
        <w:rPr>
          <w:rFonts w:ascii="Times New Roman" w:hAnsi="Times New Roman" w:cs="Times New Roman"/>
          <w:sz w:val="24"/>
          <w:szCs w:val="24"/>
        </w:rPr>
      </w:pPr>
      <w:r w:rsidRPr="00BD6DE9">
        <w:rPr>
          <w:rFonts w:ascii="Times New Roman" w:eastAsia="Times New Roman" w:hAnsi="Times New Roman" w:cs="Times New Roman"/>
          <w:sz w:val="24"/>
          <w:szCs w:val="24"/>
          <w:lang w:eastAsia="en-GB"/>
        </w:rPr>
        <w:t>Bryman. (2016). </w:t>
      </w:r>
      <w:r w:rsidRPr="00BD6DE9">
        <w:rPr>
          <w:rFonts w:ascii="Times New Roman" w:eastAsia="Times New Roman" w:hAnsi="Times New Roman" w:cs="Times New Roman"/>
          <w:i/>
          <w:iCs/>
          <w:sz w:val="24"/>
          <w:szCs w:val="24"/>
          <w:lang w:eastAsia="en-GB"/>
        </w:rPr>
        <w:t>Social research methods</w:t>
      </w:r>
      <w:r w:rsidRPr="00BD6DE9">
        <w:rPr>
          <w:rFonts w:ascii="Times New Roman" w:eastAsia="Times New Roman" w:hAnsi="Times New Roman" w:cs="Times New Roman"/>
          <w:sz w:val="24"/>
          <w:szCs w:val="24"/>
          <w:lang w:eastAsia="en-GB"/>
        </w:rPr>
        <w:t>.  (5</w:t>
      </w:r>
      <w:r w:rsidRPr="00BD6DE9">
        <w:rPr>
          <w:rFonts w:ascii="Times New Roman" w:eastAsia="Times New Roman" w:hAnsi="Times New Roman" w:cs="Times New Roman"/>
          <w:sz w:val="24"/>
          <w:szCs w:val="24"/>
          <w:vertAlign w:val="superscript"/>
          <w:lang w:eastAsia="en-GB"/>
        </w:rPr>
        <w:t>th</w:t>
      </w:r>
      <w:r w:rsidRPr="00BD6DE9">
        <w:rPr>
          <w:rFonts w:ascii="Times New Roman" w:eastAsia="Times New Roman" w:hAnsi="Times New Roman" w:cs="Times New Roman"/>
          <w:sz w:val="24"/>
          <w:szCs w:val="24"/>
          <w:lang w:eastAsia="en-GB"/>
        </w:rPr>
        <w:t xml:space="preserve"> edn. Oxford University Press.</w:t>
      </w:r>
    </w:p>
    <w:p w14:paraId="2B29E451" w14:textId="4FE9D492"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Bristol-Alagbariya, B., Ayanponle, L.O. and Ogedengbe, D.E. (2022). Developing and implementing advanced performance management systems for enhanced organizational productivity. </w:t>
      </w:r>
      <w:r w:rsidRPr="00DA0562">
        <w:rPr>
          <w:rFonts w:ascii="Times New Roman" w:hAnsi="Times New Roman" w:cs="Times New Roman"/>
          <w:i/>
          <w:iCs/>
          <w:sz w:val="24"/>
          <w:szCs w:val="24"/>
        </w:rPr>
        <w:t>World Journal of Advanced Science and Technology</w:t>
      </w:r>
      <w:r w:rsidRPr="00DA0562">
        <w:rPr>
          <w:rFonts w:ascii="Times New Roman" w:hAnsi="Times New Roman" w:cs="Times New Roman"/>
          <w:sz w:val="24"/>
          <w:szCs w:val="24"/>
        </w:rPr>
        <w:t>, 2(1), pp.039–046. doi:</w:t>
      </w:r>
      <w:r w:rsidR="00832AB8">
        <w:rPr>
          <w:rFonts w:ascii="Times New Roman" w:hAnsi="Times New Roman" w:cs="Times New Roman"/>
          <w:sz w:val="24"/>
          <w:szCs w:val="24"/>
        </w:rPr>
        <w:t xml:space="preserve"> </w:t>
      </w:r>
      <w:hyperlink r:id="rId18" w:history="1">
        <w:r w:rsidR="00832AB8" w:rsidRPr="00DA0562">
          <w:rPr>
            <w:rStyle w:val="Hyperlink"/>
            <w:rFonts w:ascii="Times New Roman" w:hAnsi="Times New Roman" w:cs="Times New Roman"/>
            <w:sz w:val="24"/>
            <w:szCs w:val="24"/>
          </w:rPr>
          <w:t>https://doi.org/10.53346/wjast.2022.2.1.0037</w:t>
        </w:r>
      </w:hyperlink>
      <w:r w:rsidRPr="00DA0562">
        <w:rPr>
          <w:rFonts w:ascii="Times New Roman" w:hAnsi="Times New Roman" w:cs="Times New Roman"/>
          <w:sz w:val="24"/>
          <w:szCs w:val="24"/>
        </w:rPr>
        <w:t>.</w:t>
      </w:r>
    </w:p>
    <w:p w14:paraId="0128C55B" w14:textId="1F48D36A"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lastRenderedPageBreak/>
        <w:t xml:space="preserve">Bucholtz, M. (2007). Variation in transcription. </w:t>
      </w:r>
      <w:r w:rsidRPr="00DA0562">
        <w:rPr>
          <w:rFonts w:ascii="Times New Roman" w:hAnsi="Times New Roman" w:cs="Times New Roman"/>
          <w:i/>
          <w:iCs/>
          <w:sz w:val="24"/>
          <w:szCs w:val="24"/>
        </w:rPr>
        <w:t>Discourse Studies</w:t>
      </w:r>
      <w:r w:rsidRPr="00DA0562">
        <w:rPr>
          <w:rFonts w:ascii="Times New Roman" w:hAnsi="Times New Roman" w:cs="Times New Roman"/>
          <w:sz w:val="24"/>
          <w:szCs w:val="24"/>
        </w:rPr>
        <w:t>, 9(6), pp.784–808. doi:</w:t>
      </w:r>
      <w:r w:rsidR="00832AB8">
        <w:rPr>
          <w:rFonts w:ascii="Times New Roman" w:hAnsi="Times New Roman" w:cs="Times New Roman"/>
          <w:sz w:val="24"/>
          <w:szCs w:val="24"/>
        </w:rPr>
        <w:t xml:space="preserve"> </w:t>
      </w:r>
      <w:hyperlink r:id="rId19" w:history="1">
        <w:r w:rsidR="00832AB8" w:rsidRPr="00DA0562">
          <w:rPr>
            <w:rStyle w:val="Hyperlink"/>
            <w:rFonts w:ascii="Times New Roman" w:hAnsi="Times New Roman" w:cs="Times New Roman"/>
            <w:sz w:val="24"/>
            <w:szCs w:val="24"/>
          </w:rPr>
          <w:t>https://doi.org/10.1177/1461445607082580</w:t>
        </w:r>
      </w:hyperlink>
      <w:r w:rsidRPr="00DA0562">
        <w:rPr>
          <w:rFonts w:ascii="Times New Roman" w:hAnsi="Times New Roman" w:cs="Times New Roman"/>
          <w:sz w:val="24"/>
          <w:szCs w:val="24"/>
        </w:rPr>
        <w:t>.</w:t>
      </w:r>
    </w:p>
    <w:p w14:paraId="1427E3F1" w14:textId="4480334A"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Cacciattolo, M. (2015). </w:t>
      </w:r>
      <w:r w:rsidRPr="00DA0562">
        <w:rPr>
          <w:rFonts w:ascii="Times New Roman" w:hAnsi="Times New Roman" w:cs="Times New Roman"/>
          <w:i/>
          <w:iCs/>
          <w:sz w:val="24"/>
          <w:szCs w:val="24"/>
        </w:rPr>
        <w:t>The Praxis of English Language Teaching and Learning (PELT): a beyond the Binaries: Researching Critically in EFL Classrooms</w:t>
      </w:r>
      <w:r w:rsidRPr="00DA0562">
        <w:rPr>
          <w:rFonts w:ascii="Times New Roman" w:hAnsi="Times New Roman" w:cs="Times New Roman"/>
          <w:sz w:val="24"/>
          <w:szCs w:val="24"/>
        </w:rPr>
        <w:t xml:space="preserve">. Sense, pp.55–73. </w:t>
      </w:r>
      <w:hyperlink r:id="rId20" w:history="1">
        <w:r w:rsidR="00832AB8" w:rsidRPr="00DA0562">
          <w:rPr>
            <w:rStyle w:val="Hyperlink"/>
            <w:rFonts w:ascii="Times New Roman" w:hAnsi="Times New Roman" w:cs="Times New Roman"/>
            <w:sz w:val="24"/>
            <w:szCs w:val="24"/>
          </w:rPr>
          <w:t>https://brill.com/display/book/9789463001120/BP000005.xml</w:t>
        </w:r>
      </w:hyperlink>
      <w:r w:rsidRPr="00DA0562">
        <w:rPr>
          <w:rFonts w:ascii="Times New Roman" w:hAnsi="Times New Roman" w:cs="Times New Roman"/>
          <w:sz w:val="24"/>
          <w:szCs w:val="24"/>
        </w:rPr>
        <w:t>.</w:t>
      </w:r>
    </w:p>
    <w:p w14:paraId="59604AA6" w14:textId="49E4FD34"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Dawadi, S. (2020). Thematic Analysis Approach: A Step by Step Guide for ELT Research Practitioners. </w:t>
      </w:r>
      <w:r w:rsidRPr="00DA0562">
        <w:rPr>
          <w:rFonts w:ascii="Times New Roman" w:hAnsi="Times New Roman" w:cs="Times New Roman"/>
          <w:i/>
          <w:iCs/>
          <w:sz w:val="24"/>
          <w:szCs w:val="24"/>
        </w:rPr>
        <w:t>Journal of NELTA</w:t>
      </w:r>
      <w:r w:rsidRPr="00DA0562">
        <w:rPr>
          <w:rFonts w:ascii="Times New Roman" w:hAnsi="Times New Roman" w:cs="Times New Roman"/>
          <w:sz w:val="24"/>
          <w:szCs w:val="24"/>
        </w:rPr>
        <w:t xml:space="preserve">, 25(1-2), pp.62–71. </w:t>
      </w:r>
      <w:hyperlink r:id="rId21" w:history="1">
        <w:r w:rsidR="00832AB8" w:rsidRPr="00DA0562">
          <w:rPr>
            <w:rStyle w:val="Hyperlink"/>
            <w:rFonts w:ascii="Times New Roman" w:hAnsi="Times New Roman" w:cs="Times New Roman"/>
            <w:sz w:val="24"/>
            <w:szCs w:val="24"/>
          </w:rPr>
          <w:t>https://doi.org/10.3126/nelta.v25i1-2.49731</w:t>
        </w:r>
      </w:hyperlink>
      <w:r w:rsidRPr="00DA0562">
        <w:rPr>
          <w:rFonts w:ascii="Times New Roman" w:hAnsi="Times New Roman" w:cs="Times New Roman"/>
          <w:sz w:val="24"/>
          <w:szCs w:val="24"/>
        </w:rPr>
        <w:t>.</w:t>
      </w:r>
    </w:p>
    <w:p w14:paraId="5E1CAD30" w14:textId="122F220B"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Dong, W. (2024). Strategic Transformation Trends within Automobile Supply Chains in the Post-Pandemic Era. </w:t>
      </w:r>
      <w:r w:rsidRPr="00DA0562">
        <w:rPr>
          <w:rFonts w:ascii="Times New Roman" w:hAnsi="Times New Roman" w:cs="Times New Roman"/>
          <w:i/>
          <w:iCs/>
          <w:sz w:val="24"/>
          <w:szCs w:val="24"/>
        </w:rPr>
        <w:t>Mit.edu</w:t>
      </w:r>
      <w:r w:rsidRPr="00DA0562">
        <w:rPr>
          <w:rFonts w:ascii="Times New Roman" w:hAnsi="Times New Roman" w:cs="Times New Roman"/>
          <w:sz w:val="24"/>
          <w:szCs w:val="24"/>
        </w:rPr>
        <w:t xml:space="preserve">. </w:t>
      </w:r>
      <w:hyperlink r:id="rId22" w:history="1">
        <w:r w:rsidR="00832AB8" w:rsidRPr="00DA0562">
          <w:rPr>
            <w:rStyle w:val="Hyperlink"/>
            <w:rFonts w:ascii="Times New Roman" w:hAnsi="Times New Roman" w:cs="Times New Roman"/>
            <w:sz w:val="24"/>
            <w:szCs w:val="24"/>
          </w:rPr>
          <w:t>https://dspace.mit.edu/handle/1721.1/156029</w:t>
        </w:r>
      </w:hyperlink>
      <w:r w:rsidRPr="00DA0562">
        <w:rPr>
          <w:rFonts w:ascii="Times New Roman" w:hAnsi="Times New Roman" w:cs="Times New Roman"/>
          <w:sz w:val="24"/>
          <w:szCs w:val="24"/>
        </w:rPr>
        <w:t>.</w:t>
      </w:r>
    </w:p>
    <w:p w14:paraId="0D2CFBBC" w14:textId="1491225F"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Dzienis, A.M. and McCaleb, A. (2024). Digital and Green Transitions and Automotive Industry Reconfiguration: Evidence From Japan and China. </w:t>
      </w:r>
      <w:r w:rsidRPr="00DA0562">
        <w:rPr>
          <w:rFonts w:ascii="Times New Roman" w:hAnsi="Times New Roman" w:cs="Times New Roman"/>
          <w:i/>
          <w:iCs/>
          <w:sz w:val="24"/>
          <w:szCs w:val="24"/>
        </w:rPr>
        <w:t>Journal of Contemporary Asia</w:t>
      </w:r>
      <w:r w:rsidRPr="00DA0562">
        <w:rPr>
          <w:rFonts w:ascii="Times New Roman" w:hAnsi="Times New Roman" w:cs="Times New Roman"/>
          <w:sz w:val="24"/>
          <w:szCs w:val="24"/>
        </w:rPr>
        <w:t>, pp.1–27. doi:</w:t>
      </w:r>
      <w:r w:rsidR="00832AB8">
        <w:rPr>
          <w:rFonts w:ascii="Times New Roman" w:hAnsi="Times New Roman" w:cs="Times New Roman"/>
          <w:sz w:val="24"/>
          <w:szCs w:val="24"/>
        </w:rPr>
        <w:t xml:space="preserve"> </w:t>
      </w:r>
      <w:hyperlink r:id="rId23" w:history="1">
        <w:r w:rsidR="00832AB8" w:rsidRPr="00DA0562">
          <w:rPr>
            <w:rStyle w:val="Hyperlink"/>
            <w:rFonts w:ascii="Times New Roman" w:hAnsi="Times New Roman" w:cs="Times New Roman"/>
            <w:sz w:val="24"/>
            <w:szCs w:val="24"/>
          </w:rPr>
          <w:t>https://doi.org/10.1080/00472336.2024.2384704</w:t>
        </w:r>
      </w:hyperlink>
      <w:r w:rsidRPr="00DA0562">
        <w:rPr>
          <w:rFonts w:ascii="Times New Roman" w:hAnsi="Times New Roman" w:cs="Times New Roman"/>
          <w:sz w:val="24"/>
          <w:szCs w:val="24"/>
        </w:rPr>
        <w:t>.</w:t>
      </w:r>
    </w:p>
    <w:p w14:paraId="11C200FD" w14:textId="21375E0A"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Eesley, C.E., Eberhart, R.N., Skousen, B.R. and Cheng, J.L.C. (2018). Institutions and Entrepreneurial Activity: The Interactive Influence of Misaligned Formal and Informal Institutions. </w:t>
      </w:r>
      <w:r w:rsidRPr="00DA0562">
        <w:rPr>
          <w:rFonts w:ascii="Times New Roman" w:hAnsi="Times New Roman" w:cs="Times New Roman"/>
          <w:i/>
          <w:iCs/>
          <w:sz w:val="24"/>
          <w:szCs w:val="24"/>
        </w:rPr>
        <w:t>Strategy Science</w:t>
      </w:r>
      <w:r w:rsidRPr="00DA0562">
        <w:rPr>
          <w:rFonts w:ascii="Times New Roman" w:hAnsi="Times New Roman" w:cs="Times New Roman"/>
          <w:sz w:val="24"/>
          <w:szCs w:val="24"/>
        </w:rPr>
        <w:t>, 3(2), pp.393–407. doi:</w:t>
      </w:r>
      <w:r w:rsidR="00832AB8">
        <w:rPr>
          <w:rFonts w:ascii="Times New Roman" w:hAnsi="Times New Roman" w:cs="Times New Roman"/>
          <w:sz w:val="24"/>
          <w:szCs w:val="24"/>
        </w:rPr>
        <w:t xml:space="preserve"> </w:t>
      </w:r>
      <w:hyperlink r:id="rId24" w:history="1">
        <w:r w:rsidR="00832AB8" w:rsidRPr="00DA0562">
          <w:rPr>
            <w:rStyle w:val="Hyperlink"/>
            <w:rFonts w:ascii="Times New Roman" w:hAnsi="Times New Roman" w:cs="Times New Roman"/>
            <w:sz w:val="24"/>
            <w:szCs w:val="24"/>
          </w:rPr>
          <w:t>https://doi.org/10.1287/stsc.2018.0060</w:t>
        </w:r>
      </w:hyperlink>
      <w:r w:rsidRPr="00DA0562">
        <w:rPr>
          <w:rFonts w:ascii="Times New Roman" w:hAnsi="Times New Roman" w:cs="Times New Roman"/>
          <w:sz w:val="24"/>
          <w:szCs w:val="24"/>
        </w:rPr>
        <w:t>.</w:t>
      </w:r>
    </w:p>
    <w:p w14:paraId="01AE2F27" w14:textId="77777777" w:rsidR="00B25F1A" w:rsidRPr="00BD6DE9" w:rsidRDefault="00B25F1A" w:rsidP="00832AB8">
      <w:pPr>
        <w:keepNext/>
        <w:spacing w:after="0" w:line="360" w:lineRule="auto"/>
        <w:ind w:left="720" w:hanging="720"/>
        <w:rPr>
          <w:rFonts w:ascii="Times New Roman" w:eastAsia="Times New Roman" w:hAnsi="Times New Roman" w:cs="Times New Roman"/>
          <w:sz w:val="24"/>
          <w:szCs w:val="24"/>
          <w:lang w:eastAsia="en-GB"/>
        </w:rPr>
      </w:pPr>
      <w:r w:rsidRPr="00BD6DE9">
        <w:rPr>
          <w:rFonts w:ascii="Times New Roman" w:eastAsia="Times New Roman" w:hAnsi="Times New Roman" w:cs="Times New Roman"/>
          <w:sz w:val="24"/>
          <w:szCs w:val="24"/>
          <w:lang w:eastAsia="en-GB"/>
        </w:rPr>
        <w:t>Easterby-Smith, Jackson, P., &amp; Thorpe, R. (2012). </w:t>
      </w:r>
      <w:r w:rsidRPr="00BD6DE9">
        <w:rPr>
          <w:rFonts w:ascii="Times New Roman" w:eastAsia="Times New Roman" w:hAnsi="Times New Roman" w:cs="Times New Roman"/>
          <w:i/>
          <w:iCs/>
          <w:sz w:val="24"/>
          <w:szCs w:val="24"/>
          <w:lang w:eastAsia="en-GB"/>
        </w:rPr>
        <w:t>Management research</w:t>
      </w:r>
      <w:r w:rsidRPr="00BD6DE9">
        <w:rPr>
          <w:rFonts w:ascii="Times New Roman" w:eastAsia="Times New Roman" w:hAnsi="Times New Roman" w:cs="Times New Roman"/>
          <w:sz w:val="24"/>
          <w:szCs w:val="24"/>
          <w:lang w:eastAsia="en-GB"/>
        </w:rPr>
        <w:t>. 4</w:t>
      </w:r>
      <w:r w:rsidRPr="00BD6DE9">
        <w:rPr>
          <w:rFonts w:ascii="Times New Roman" w:eastAsia="Times New Roman" w:hAnsi="Times New Roman" w:cs="Times New Roman"/>
          <w:sz w:val="24"/>
          <w:szCs w:val="24"/>
          <w:vertAlign w:val="superscript"/>
          <w:lang w:eastAsia="en-GB"/>
        </w:rPr>
        <w:t>th</w:t>
      </w:r>
      <w:r w:rsidRPr="00BD6DE9">
        <w:rPr>
          <w:rFonts w:ascii="Times New Roman" w:eastAsia="Times New Roman" w:hAnsi="Times New Roman" w:cs="Times New Roman"/>
          <w:sz w:val="24"/>
          <w:szCs w:val="24"/>
          <w:lang w:eastAsia="en-GB"/>
        </w:rPr>
        <w:t xml:space="preserve"> edn. / Mark Easterby-Smith, Richard Thorpe and Paul Jackson.). SAGE. </w:t>
      </w:r>
    </w:p>
    <w:p w14:paraId="5AACAB65" w14:textId="51AECE63"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Fenton, C. and Langley, A. (2011). Strategy as Practice and the Narrative Turn. </w:t>
      </w:r>
      <w:r w:rsidRPr="00DA0562">
        <w:rPr>
          <w:rFonts w:ascii="Times New Roman" w:hAnsi="Times New Roman" w:cs="Times New Roman"/>
          <w:i/>
          <w:iCs/>
          <w:sz w:val="24"/>
          <w:szCs w:val="24"/>
        </w:rPr>
        <w:t>Organization Studies</w:t>
      </w:r>
      <w:r w:rsidRPr="00DA0562">
        <w:rPr>
          <w:rFonts w:ascii="Times New Roman" w:hAnsi="Times New Roman" w:cs="Times New Roman"/>
          <w:sz w:val="24"/>
          <w:szCs w:val="24"/>
        </w:rPr>
        <w:t>, 32(9), pp.1171–1196. doi:</w:t>
      </w:r>
      <w:r w:rsidR="00832AB8">
        <w:rPr>
          <w:rFonts w:ascii="Times New Roman" w:hAnsi="Times New Roman" w:cs="Times New Roman"/>
          <w:sz w:val="24"/>
          <w:szCs w:val="24"/>
        </w:rPr>
        <w:t xml:space="preserve"> </w:t>
      </w:r>
      <w:hyperlink r:id="rId25" w:history="1">
        <w:r w:rsidR="00832AB8" w:rsidRPr="00DA0562">
          <w:rPr>
            <w:rStyle w:val="Hyperlink"/>
            <w:rFonts w:ascii="Times New Roman" w:hAnsi="Times New Roman" w:cs="Times New Roman"/>
            <w:sz w:val="24"/>
            <w:szCs w:val="24"/>
          </w:rPr>
          <w:t>https://doi.org/10.1177/0170840611410838</w:t>
        </w:r>
      </w:hyperlink>
      <w:r w:rsidRPr="00DA0562">
        <w:rPr>
          <w:rFonts w:ascii="Times New Roman" w:hAnsi="Times New Roman" w:cs="Times New Roman"/>
          <w:sz w:val="24"/>
          <w:szCs w:val="24"/>
        </w:rPr>
        <w:t>.</w:t>
      </w:r>
    </w:p>
    <w:p w14:paraId="2D383874" w14:textId="4F82C0D1"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Finfgeld-Connett, D. (2010). Generalizability and transferability of meta-synthesis research findings. </w:t>
      </w:r>
      <w:r w:rsidRPr="00DA0562">
        <w:rPr>
          <w:rFonts w:ascii="Times New Roman" w:hAnsi="Times New Roman" w:cs="Times New Roman"/>
          <w:i/>
          <w:iCs/>
          <w:sz w:val="24"/>
          <w:szCs w:val="24"/>
        </w:rPr>
        <w:t>Journal of Advanced Nursing</w:t>
      </w:r>
      <w:r w:rsidRPr="00DA0562">
        <w:rPr>
          <w:rFonts w:ascii="Times New Roman" w:hAnsi="Times New Roman" w:cs="Times New Roman"/>
          <w:sz w:val="24"/>
          <w:szCs w:val="24"/>
        </w:rPr>
        <w:t>, 66(2), pp.246–254. doi:</w:t>
      </w:r>
      <w:r w:rsidR="00832AB8">
        <w:rPr>
          <w:rFonts w:ascii="Times New Roman" w:hAnsi="Times New Roman" w:cs="Times New Roman"/>
          <w:sz w:val="24"/>
          <w:szCs w:val="24"/>
        </w:rPr>
        <w:t xml:space="preserve"> </w:t>
      </w:r>
      <w:hyperlink r:id="rId26" w:history="1">
        <w:r w:rsidR="00832AB8" w:rsidRPr="00DA0562">
          <w:rPr>
            <w:rStyle w:val="Hyperlink"/>
            <w:rFonts w:ascii="Times New Roman" w:hAnsi="Times New Roman" w:cs="Times New Roman"/>
            <w:sz w:val="24"/>
            <w:szCs w:val="24"/>
          </w:rPr>
          <w:t>https://doi.org/10.1111/j.1365-2648.2009.05250.x</w:t>
        </w:r>
      </w:hyperlink>
      <w:r w:rsidRPr="00DA0562">
        <w:rPr>
          <w:rFonts w:ascii="Times New Roman" w:hAnsi="Times New Roman" w:cs="Times New Roman"/>
          <w:sz w:val="24"/>
          <w:szCs w:val="24"/>
        </w:rPr>
        <w:t>.</w:t>
      </w:r>
    </w:p>
    <w:p w14:paraId="7C6E8E99" w14:textId="38617FE4" w:rsidR="00B25F1A" w:rsidRPr="00DA0562" w:rsidRDefault="00B25F1A" w:rsidP="00832AB8">
      <w:pPr>
        <w:spacing w:after="0" w:line="360" w:lineRule="auto"/>
        <w:ind w:left="720" w:hanging="720"/>
        <w:rPr>
          <w:rFonts w:ascii="Times New Roman" w:hAnsi="Times New Roman" w:cs="Times New Roman"/>
          <w:sz w:val="24"/>
          <w:szCs w:val="24"/>
        </w:rPr>
      </w:pPr>
      <w:bookmarkStart w:id="2" w:name="_Hlk225608358"/>
      <w:r w:rsidRPr="00BD6DE9">
        <w:rPr>
          <w:rFonts w:ascii="Times New Roman" w:eastAsia="Times New Roman" w:hAnsi="Times New Roman" w:cs="Times New Roman"/>
          <w:sz w:val="24"/>
          <w:szCs w:val="24"/>
          <w:lang w:eastAsia="en-GB"/>
        </w:rPr>
        <w:t xml:space="preserve">Fereday, J. and Muir-Cochrane, E. (2006) </w:t>
      </w:r>
      <w:bookmarkEnd w:id="2"/>
      <w:r w:rsidRPr="00BD6DE9">
        <w:rPr>
          <w:rFonts w:ascii="Times New Roman" w:eastAsia="Times New Roman" w:hAnsi="Times New Roman" w:cs="Times New Roman"/>
          <w:i/>
          <w:iCs/>
          <w:sz w:val="24"/>
          <w:szCs w:val="24"/>
          <w:lang w:eastAsia="en-GB"/>
        </w:rPr>
        <w:t>Demonstrating Rigour Using Thematic Analysis: A Hybrid Approach of Inductive and Deductive Coding and Theme Development,</w:t>
      </w:r>
      <w:r w:rsidRPr="00BD6DE9">
        <w:rPr>
          <w:rFonts w:ascii="Times New Roman" w:eastAsia="Times New Roman" w:hAnsi="Times New Roman" w:cs="Times New Roman"/>
          <w:sz w:val="24"/>
          <w:szCs w:val="24"/>
          <w:lang w:eastAsia="en-GB"/>
        </w:rPr>
        <w:t xml:space="preserve"> International Journal of Qualitative Methods, 5(1), 80-92 </w:t>
      </w:r>
    </w:p>
    <w:p w14:paraId="60DA9028" w14:textId="68030F61"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Gaya, H. and Smith, E. (2016). </w:t>
      </w:r>
      <w:r w:rsidRPr="00DA0562">
        <w:rPr>
          <w:rFonts w:ascii="Times New Roman" w:hAnsi="Times New Roman" w:cs="Times New Roman"/>
          <w:i/>
          <w:iCs/>
          <w:sz w:val="24"/>
          <w:szCs w:val="24"/>
        </w:rPr>
        <w:t xml:space="preserve">Developing a Qualitative Single Case Study in the Strategic Management Realm: </w:t>
      </w:r>
      <w:hyperlink r:id="rId27" w:history="1">
        <w:r w:rsidR="00832AB8" w:rsidRPr="00DA0562">
          <w:rPr>
            <w:rStyle w:val="Hyperlink"/>
            <w:rFonts w:ascii="Times New Roman" w:hAnsi="Times New Roman" w:cs="Times New Roman"/>
            <w:sz w:val="24"/>
            <w:szCs w:val="24"/>
          </w:rPr>
          <w:t>https://www.theknowledgewarehouseke.com/wp-content/uploads/2020/02/Developing-a-Qualitative-Single-Case-Study-in-the-Strategic-Management-Realm.pdf</w:t>
        </w:r>
      </w:hyperlink>
      <w:r w:rsidRPr="00DA0562">
        <w:rPr>
          <w:rFonts w:ascii="Times New Roman" w:hAnsi="Times New Roman" w:cs="Times New Roman"/>
          <w:sz w:val="24"/>
          <w:szCs w:val="24"/>
        </w:rPr>
        <w:t>.</w:t>
      </w:r>
    </w:p>
    <w:p w14:paraId="3BD93C74" w14:textId="1BC45730"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GOV.UK (2025). </w:t>
      </w:r>
      <w:r w:rsidRPr="00DA0562">
        <w:rPr>
          <w:rFonts w:ascii="Times New Roman" w:hAnsi="Times New Roman" w:cs="Times New Roman"/>
          <w:i/>
          <w:iCs/>
          <w:sz w:val="24"/>
          <w:szCs w:val="24"/>
        </w:rPr>
        <w:t>Industrial policies: new evidence for the UK</w:t>
      </w:r>
      <w:r w:rsidRPr="00DA0562">
        <w:rPr>
          <w:rFonts w:ascii="Times New Roman" w:hAnsi="Times New Roman" w:cs="Times New Roman"/>
          <w:sz w:val="24"/>
          <w:szCs w:val="24"/>
        </w:rPr>
        <w:t xml:space="preserve">. </w:t>
      </w:r>
      <w:hyperlink r:id="rId28" w:history="1">
        <w:r w:rsidR="00832AB8" w:rsidRPr="00DA0562">
          <w:rPr>
            <w:rStyle w:val="Hyperlink"/>
            <w:rFonts w:ascii="Times New Roman" w:hAnsi="Times New Roman" w:cs="Times New Roman"/>
            <w:sz w:val="24"/>
            <w:szCs w:val="24"/>
          </w:rPr>
          <w:t>https://www.gov.uk/government/publications/industrial-policies-new-evidence-for-the-uk/industrial-policies-new-evidence-for-the-uk</w:t>
        </w:r>
      </w:hyperlink>
      <w:r w:rsidRPr="00DA0562">
        <w:rPr>
          <w:rFonts w:ascii="Times New Roman" w:hAnsi="Times New Roman" w:cs="Times New Roman"/>
          <w:sz w:val="24"/>
          <w:szCs w:val="24"/>
        </w:rPr>
        <w:t>.</w:t>
      </w:r>
    </w:p>
    <w:p w14:paraId="17F0F387" w14:textId="7E6AB60E"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lastRenderedPageBreak/>
        <w:t xml:space="preserve">Hadiguna, R.A., Jaafar, H.S. and Mohamad, S. (2011). Performance measurement for sustainable supply chain in automotive industry: a conceptual framework. </w:t>
      </w:r>
      <w:r w:rsidRPr="00DA0562">
        <w:rPr>
          <w:rFonts w:ascii="Times New Roman" w:hAnsi="Times New Roman" w:cs="Times New Roman"/>
          <w:i/>
          <w:iCs/>
          <w:sz w:val="24"/>
          <w:szCs w:val="24"/>
        </w:rPr>
        <w:t>International Journal of Value Chain Management</w:t>
      </w:r>
      <w:r w:rsidRPr="00DA0562">
        <w:rPr>
          <w:rFonts w:ascii="Times New Roman" w:hAnsi="Times New Roman" w:cs="Times New Roman"/>
          <w:sz w:val="24"/>
          <w:szCs w:val="24"/>
        </w:rPr>
        <w:t>, 5(3/4), p.232. doi:</w:t>
      </w:r>
      <w:r w:rsidR="00832AB8">
        <w:rPr>
          <w:rFonts w:ascii="Times New Roman" w:hAnsi="Times New Roman" w:cs="Times New Roman"/>
          <w:sz w:val="24"/>
          <w:szCs w:val="24"/>
        </w:rPr>
        <w:t xml:space="preserve"> </w:t>
      </w:r>
      <w:hyperlink r:id="rId29" w:history="1">
        <w:r w:rsidR="00832AB8" w:rsidRPr="00DA0562">
          <w:rPr>
            <w:rStyle w:val="Hyperlink"/>
            <w:rFonts w:ascii="Times New Roman" w:hAnsi="Times New Roman" w:cs="Times New Roman"/>
            <w:sz w:val="24"/>
            <w:szCs w:val="24"/>
          </w:rPr>
          <w:t>https://doi.org/10.1504/ijvcm.2011.043228</w:t>
        </w:r>
      </w:hyperlink>
      <w:r w:rsidRPr="00DA0562">
        <w:rPr>
          <w:rFonts w:ascii="Times New Roman" w:hAnsi="Times New Roman" w:cs="Times New Roman"/>
          <w:sz w:val="24"/>
          <w:szCs w:val="24"/>
        </w:rPr>
        <w:t>.</w:t>
      </w:r>
    </w:p>
    <w:p w14:paraId="07E24432" w14:textId="34A5B97F" w:rsidR="00832AB8"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Holohan, J. and Sarhan, M. (2020). </w:t>
      </w:r>
      <w:r w:rsidRPr="00DA0562">
        <w:rPr>
          <w:rFonts w:ascii="Times New Roman" w:hAnsi="Times New Roman" w:cs="Times New Roman"/>
          <w:i/>
          <w:iCs/>
          <w:sz w:val="24"/>
          <w:szCs w:val="24"/>
        </w:rPr>
        <w:t>Employing constructivist grounded theory coding to analyse data from a qualitative case study: Methodological scaffolding to study strategic alignment through a Strategy-as-Practice lens</w:t>
      </w:r>
      <w:r w:rsidRPr="00DA0562">
        <w:rPr>
          <w:rFonts w:ascii="Times New Roman" w:hAnsi="Times New Roman" w:cs="Times New Roman"/>
          <w:sz w:val="24"/>
          <w:szCs w:val="24"/>
        </w:rPr>
        <w:t xml:space="preserve">. </w:t>
      </w:r>
      <w:hyperlink r:id="rId30" w:history="1">
        <w:r w:rsidR="00921F41" w:rsidRPr="00DA0562">
          <w:rPr>
            <w:rStyle w:val="Hyperlink"/>
            <w:rFonts w:ascii="Times New Roman" w:hAnsi="Times New Roman" w:cs="Times New Roman"/>
            <w:sz w:val="24"/>
            <w:szCs w:val="24"/>
          </w:rPr>
          <w:t>https://aisel.aisnet.org/ukais2020/8/</w:t>
        </w:r>
      </w:hyperlink>
    </w:p>
    <w:p w14:paraId="572633CC" w14:textId="32B00DBD"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IEA (2025). </w:t>
      </w:r>
      <w:r w:rsidRPr="00DA0562">
        <w:rPr>
          <w:rFonts w:ascii="Times New Roman" w:hAnsi="Times New Roman" w:cs="Times New Roman"/>
          <w:i/>
          <w:iCs/>
          <w:sz w:val="24"/>
          <w:szCs w:val="24"/>
        </w:rPr>
        <w:t>Trends in the electric car industry – Global EV Outlook 2025 – Analysis - IEA</w:t>
      </w:r>
      <w:r w:rsidRPr="00DA0562">
        <w:rPr>
          <w:rFonts w:ascii="Times New Roman" w:hAnsi="Times New Roman" w:cs="Times New Roman"/>
          <w:sz w:val="24"/>
          <w:szCs w:val="24"/>
        </w:rPr>
        <w:t xml:space="preserve">. </w:t>
      </w:r>
      <w:hyperlink r:id="rId31" w:history="1">
        <w:r w:rsidR="00921F41" w:rsidRPr="00DA0562">
          <w:rPr>
            <w:rStyle w:val="Hyperlink"/>
            <w:rFonts w:ascii="Times New Roman" w:hAnsi="Times New Roman" w:cs="Times New Roman"/>
            <w:sz w:val="24"/>
            <w:szCs w:val="24"/>
          </w:rPr>
          <w:t>https://www.iea.org/reports/global-ev-outlook-2025/trends-in-the-electric-car-industry-3</w:t>
        </w:r>
      </w:hyperlink>
      <w:r w:rsidRPr="00DA0562">
        <w:rPr>
          <w:rFonts w:ascii="Times New Roman" w:hAnsi="Times New Roman" w:cs="Times New Roman"/>
          <w:sz w:val="24"/>
          <w:szCs w:val="24"/>
        </w:rPr>
        <w:t>.</w:t>
      </w:r>
    </w:p>
    <w:p w14:paraId="6F9DF425" w14:textId="079F55C7"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Ikävalko, H. (2005). </w:t>
      </w:r>
      <w:r w:rsidRPr="00DA0562">
        <w:rPr>
          <w:rFonts w:ascii="Times New Roman" w:hAnsi="Times New Roman" w:cs="Times New Roman"/>
          <w:i/>
          <w:iCs/>
          <w:sz w:val="24"/>
          <w:szCs w:val="24"/>
        </w:rPr>
        <w:t>Strategy process in practice : practices and logics of action of middle managers in strategy implementation</w:t>
      </w:r>
      <w:r w:rsidRPr="00DA0562">
        <w:rPr>
          <w:rFonts w:ascii="Times New Roman" w:hAnsi="Times New Roman" w:cs="Times New Roman"/>
          <w:sz w:val="24"/>
          <w:szCs w:val="24"/>
        </w:rPr>
        <w:t xml:space="preserve">. </w:t>
      </w:r>
      <w:hyperlink r:id="rId32" w:history="1">
        <w:r w:rsidR="00921F41" w:rsidRPr="00DA0562">
          <w:rPr>
            <w:rStyle w:val="Hyperlink"/>
            <w:rFonts w:ascii="Times New Roman" w:hAnsi="Times New Roman" w:cs="Times New Roman"/>
            <w:sz w:val="24"/>
            <w:szCs w:val="24"/>
          </w:rPr>
          <w:t>https://aaltodoc.aalto.fi/items/acbda301-acba-4f28-ad80-dac06b95c700</w:t>
        </w:r>
      </w:hyperlink>
    </w:p>
    <w:p w14:paraId="19AC23E2" w14:textId="74DF8345"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Jarzabkowski, P. (2004). Strategy as Practice: Recursiveness, Adaptation, and Practices-in-Use. </w:t>
      </w:r>
      <w:r w:rsidRPr="00DA0562">
        <w:rPr>
          <w:rFonts w:ascii="Times New Roman" w:hAnsi="Times New Roman" w:cs="Times New Roman"/>
          <w:i/>
          <w:iCs/>
          <w:sz w:val="24"/>
          <w:szCs w:val="24"/>
        </w:rPr>
        <w:t>Organization Studies</w:t>
      </w:r>
      <w:r w:rsidRPr="00DA0562">
        <w:rPr>
          <w:rFonts w:ascii="Times New Roman" w:hAnsi="Times New Roman" w:cs="Times New Roman"/>
          <w:sz w:val="24"/>
          <w:szCs w:val="24"/>
        </w:rPr>
        <w:t>, 25(4), pp.529–560. doi:</w:t>
      </w:r>
      <w:r w:rsidR="00921F41">
        <w:rPr>
          <w:rFonts w:ascii="Times New Roman" w:hAnsi="Times New Roman" w:cs="Times New Roman"/>
          <w:sz w:val="24"/>
          <w:szCs w:val="24"/>
        </w:rPr>
        <w:t xml:space="preserve"> </w:t>
      </w:r>
      <w:hyperlink r:id="rId33" w:history="1">
        <w:r w:rsidR="00921F41" w:rsidRPr="00DA0562">
          <w:rPr>
            <w:rStyle w:val="Hyperlink"/>
            <w:rFonts w:ascii="Times New Roman" w:hAnsi="Times New Roman" w:cs="Times New Roman"/>
            <w:sz w:val="24"/>
            <w:szCs w:val="24"/>
          </w:rPr>
          <w:t>https://doi.org/10.1177/0170840604040675</w:t>
        </w:r>
      </w:hyperlink>
      <w:r w:rsidRPr="00DA0562">
        <w:rPr>
          <w:rFonts w:ascii="Times New Roman" w:hAnsi="Times New Roman" w:cs="Times New Roman"/>
          <w:sz w:val="24"/>
          <w:szCs w:val="24"/>
        </w:rPr>
        <w:t>.</w:t>
      </w:r>
    </w:p>
    <w:p w14:paraId="7BE95310" w14:textId="31F10EB8"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Junior, W.R.G. and Guimarães, M.R.N. (2018). </w:t>
      </w:r>
      <w:r w:rsidR="00921F41" w:rsidRPr="00DA0562">
        <w:rPr>
          <w:rFonts w:ascii="Times New Roman" w:hAnsi="Times New Roman" w:cs="Times New Roman"/>
          <w:sz w:val="24"/>
          <w:szCs w:val="24"/>
        </w:rPr>
        <w:t xml:space="preserve">Competitive </w:t>
      </w:r>
      <w:r w:rsidR="00921F41">
        <w:rPr>
          <w:rFonts w:ascii="Times New Roman" w:hAnsi="Times New Roman" w:cs="Times New Roman"/>
          <w:sz w:val="24"/>
          <w:szCs w:val="24"/>
        </w:rPr>
        <w:t>P</w:t>
      </w:r>
      <w:r w:rsidR="00921F41" w:rsidRPr="00DA0562">
        <w:rPr>
          <w:rFonts w:ascii="Times New Roman" w:hAnsi="Times New Roman" w:cs="Times New Roman"/>
          <w:sz w:val="24"/>
          <w:szCs w:val="24"/>
        </w:rPr>
        <w:t xml:space="preserve">riorities and </w:t>
      </w:r>
      <w:r w:rsidR="00921F41">
        <w:rPr>
          <w:rFonts w:ascii="Times New Roman" w:hAnsi="Times New Roman" w:cs="Times New Roman"/>
          <w:sz w:val="24"/>
          <w:szCs w:val="24"/>
        </w:rPr>
        <w:t>S</w:t>
      </w:r>
      <w:r w:rsidR="00921F41" w:rsidRPr="00DA0562">
        <w:rPr>
          <w:rFonts w:ascii="Times New Roman" w:hAnsi="Times New Roman" w:cs="Times New Roman"/>
          <w:sz w:val="24"/>
          <w:szCs w:val="24"/>
        </w:rPr>
        <w:t xml:space="preserve">trategic </w:t>
      </w:r>
      <w:r w:rsidR="00921F41">
        <w:rPr>
          <w:rFonts w:ascii="Times New Roman" w:hAnsi="Times New Roman" w:cs="Times New Roman"/>
          <w:sz w:val="24"/>
          <w:szCs w:val="24"/>
        </w:rPr>
        <w:t>A</w:t>
      </w:r>
      <w:r w:rsidR="00921F41" w:rsidRPr="00DA0562">
        <w:rPr>
          <w:rFonts w:ascii="Times New Roman" w:hAnsi="Times New Roman" w:cs="Times New Roman"/>
          <w:sz w:val="24"/>
          <w:szCs w:val="24"/>
        </w:rPr>
        <w:t xml:space="preserve">lignment as </w:t>
      </w:r>
      <w:r w:rsidR="00921F41">
        <w:rPr>
          <w:rFonts w:ascii="Times New Roman" w:hAnsi="Times New Roman" w:cs="Times New Roman"/>
          <w:sz w:val="24"/>
          <w:szCs w:val="24"/>
        </w:rPr>
        <w:t>M</w:t>
      </w:r>
      <w:r w:rsidR="00921F41" w:rsidRPr="00DA0562">
        <w:rPr>
          <w:rFonts w:ascii="Times New Roman" w:hAnsi="Times New Roman" w:cs="Times New Roman"/>
          <w:sz w:val="24"/>
          <w:szCs w:val="24"/>
        </w:rPr>
        <w:t xml:space="preserve">ediators in the </w:t>
      </w:r>
      <w:r w:rsidR="00921F41">
        <w:rPr>
          <w:rFonts w:ascii="Times New Roman" w:hAnsi="Times New Roman" w:cs="Times New Roman"/>
          <w:sz w:val="24"/>
          <w:szCs w:val="24"/>
        </w:rPr>
        <w:t>R</w:t>
      </w:r>
      <w:r w:rsidR="00921F41" w:rsidRPr="00DA0562">
        <w:rPr>
          <w:rFonts w:ascii="Times New Roman" w:hAnsi="Times New Roman" w:cs="Times New Roman"/>
          <w:sz w:val="24"/>
          <w:szCs w:val="24"/>
        </w:rPr>
        <w:t xml:space="preserve">elationship </w:t>
      </w:r>
      <w:r w:rsidR="00921F41">
        <w:rPr>
          <w:rFonts w:ascii="Times New Roman" w:hAnsi="Times New Roman" w:cs="Times New Roman"/>
          <w:sz w:val="24"/>
          <w:szCs w:val="24"/>
        </w:rPr>
        <w:t>B</w:t>
      </w:r>
      <w:r w:rsidR="00921F41" w:rsidRPr="00DA0562">
        <w:rPr>
          <w:rFonts w:ascii="Times New Roman" w:hAnsi="Times New Roman" w:cs="Times New Roman"/>
          <w:sz w:val="24"/>
          <w:szCs w:val="24"/>
        </w:rPr>
        <w:t xml:space="preserve">etween </w:t>
      </w:r>
      <w:r w:rsidR="00921F41">
        <w:rPr>
          <w:rFonts w:ascii="Times New Roman" w:hAnsi="Times New Roman" w:cs="Times New Roman"/>
          <w:sz w:val="24"/>
          <w:szCs w:val="24"/>
        </w:rPr>
        <w:t>C</w:t>
      </w:r>
      <w:r w:rsidR="00921F41" w:rsidRPr="00DA0562">
        <w:rPr>
          <w:rFonts w:ascii="Times New Roman" w:hAnsi="Times New Roman" w:cs="Times New Roman"/>
          <w:sz w:val="24"/>
          <w:szCs w:val="24"/>
        </w:rPr>
        <w:t xml:space="preserve">ompanies in the </w:t>
      </w:r>
      <w:r w:rsidR="00921F41">
        <w:rPr>
          <w:rFonts w:ascii="Times New Roman" w:hAnsi="Times New Roman" w:cs="Times New Roman"/>
          <w:sz w:val="24"/>
          <w:szCs w:val="24"/>
        </w:rPr>
        <w:t>B</w:t>
      </w:r>
      <w:r w:rsidR="00921F41" w:rsidRPr="00DA0562">
        <w:rPr>
          <w:rFonts w:ascii="Times New Roman" w:hAnsi="Times New Roman" w:cs="Times New Roman"/>
          <w:sz w:val="24"/>
          <w:szCs w:val="24"/>
        </w:rPr>
        <w:t xml:space="preserve">razilian </w:t>
      </w:r>
      <w:r w:rsidR="00921F41">
        <w:rPr>
          <w:rFonts w:ascii="Times New Roman" w:hAnsi="Times New Roman" w:cs="Times New Roman"/>
          <w:sz w:val="24"/>
          <w:szCs w:val="24"/>
        </w:rPr>
        <w:t>A</w:t>
      </w:r>
      <w:r w:rsidR="00921F41" w:rsidRPr="00DA0562">
        <w:rPr>
          <w:rFonts w:ascii="Times New Roman" w:hAnsi="Times New Roman" w:cs="Times New Roman"/>
          <w:sz w:val="24"/>
          <w:szCs w:val="24"/>
        </w:rPr>
        <w:t xml:space="preserve">utomotive </w:t>
      </w:r>
      <w:r w:rsidR="00921F41">
        <w:rPr>
          <w:rFonts w:ascii="Times New Roman" w:hAnsi="Times New Roman" w:cs="Times New Roman"/>
          <w:sz w:val="24"/>
          <w:szCs w:val="24"/>
        </w:rPr>
        <w:t>S</w:t>
      </w:r>
      <w:r w:rsidR="00921F41" w:rsidRPr="00DA0562">
        <w:rPr>
          <w:rFonts w:ascii="Times New Roman" w:hAnsi="Times New Roman" w:cs="Times New Roman"/>
          <w:sz w:val="24"/>
          <w:szCs w:val="24"/>
        </w:rPr>
        <w:t xml:space="preserve">upply </w:t>
      </w:r>
      <w:r w:rsidR="00921F41">
        <w:rPr>
          <w:rFonts w:ascii="Times New Roman" w:hAnsi="Times New Roman" w:cs="Times New Roman"/>
          <w:sz w:val="24"/>
          <w:szCs w:val="24"/>
        </w:rPr>
        <w:t>C</w:t>
      </w:r>
      <w:r w:rsidR="00921F41" w:rsidRPr="00DA0562">
        <w:rPr>
          <w:rFonts w:ascii="Times New Roman" w:hAnsi="Times New Roman" w:cs="Times New Roman"/>
          <w:sz w:val="24"/>
          <w:szCs w:val="24"/>
        </w:rPr>
        <w:t xml:space="preserve">hain. </w:t>
      </w:r>
      <w:r w:rsidRPr="00DA0562">
        <w:rPr>
          <w:rFonts w:ascii="Times New Roman" w:hAnsi="Times New Roman" w:cs="Times New Roman"/>
          <w:i/>
          <w:iCs/>
          <w:sz w:val="24"/>
          <w:szCs w:val="24"/>
        </w:rPr>
        <w:t>South African Journal of Industrial Engineering</w:t>
      </w:r>
      <w:r w:rsidRPr="00DA0562">
        <w:rPr>
          <w:rFonts w:ascii="Times New Roman" w:hAnsi="Times New Roman" w:cs="Times New Roman"/>
          <w:sz w:val="24"/>
          <w:szCs w:val="24"/>
        </w:rPr>
        <w:t>, 29(1). doi:</w:t>
      </w:r>
      <w:r w:rsidR="00921F41">
        <w:rPr>
          <w:rFonts w:ascii="Times New Roman" w:hAnsi="Times New Roman" w:cs="Times New Roman"/>
          <w:sz w:val="24"/>
          <w:szCs w:val="24"/>
        </w:rPr>
        <w:t xml:space="preserve"> </w:t>
      </w:r>
      <w:hyperlink r:id="rId34" w:history="1">
        <w:r w:rsidR="00921F41" w:rsidRPr="00DA0562">
          <w:rPr>
            <w:rStyle w:val="Hyperlink"/>
            <w:rFonts w:ascii="Times New Roman" w:hAnsi="Times New Roman" w:cs="Times New Roman"/>
            <w:sz w:val="24"/>
            <w:szCs w:val="24"/>
          </w:rPr>
          <w:t>https://doi.org/10.7166/29-1-1791</w:t>
        </w:r>
      </w:hyperlink>
      <w:r w:rsidRPr="00DA0562">
        <w:rPr>
          <w:rFonts w:ascii="Times New Roman" w:hAnsi="Times New Roman" w:cs="Times New Roman"/>
          <w:sz w:val="24"/>
          <w:szCs w:val="24"/>
        </w:rPr>
        <w:t>.</w:t>
      </w:r>
    </w:p>
    <w:p w14:paraId="41249555" w14:textId="1A47C599"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Khaleel, M., Nassar, Y., El-Khozondar, H.J., Elmnifi, M., Rajab, Z., Yaghoubi, E. and Yaghoubi, E. (2024). Electric Vehicles in China, Europe, and the United States: Current Trend and Market Comparison. </w:t>
      </w:r>
      <w:r w:rsidRPr="00DA0562">
        <w:rPr>
          <w:rFonts w:ascii="Times New Roman" w:hAnsi="Times New Roman" w:cs="Times New Roman"/>
          <w:i/>
          <w:iCs/>
          <w:sz w:val="24"/>
          <w:szCs w:val="24"/>
        </w:rPr>
        <w:t>Int. J. Electr. Eng. and Sustain.</w:t>
      </w:r>
      <w:r w:rsidRPr="00DA0562">
        <w:rPr>
          <w:rFonts w:ascii="Times New Roman" w:hAnsi="Times New Roman" w:cs="Times New Roman"/>
          <w:sz w:val="24"/>
          <w:szCs w:val="24"/>
        </w:rPr>
        <w:t xml:space="preserve">, </w:t>
      </w:r>
      <w:hyperlink r:id="rId35" w:history="1">
        <w:r w:rsidR="00921F41" w:rsidRPr="00DA0562">
          <w:rPr>
            <w:rStyle w:val="Hyperlink"/>
            <w:rFonts w:ascii="Times New Roman" w:hAnsi="Times New Roman" w:cs="Times New Roman"/>
            <w:sz w:val="24"/>
            <w:szCs w:val="24"/>
          </w:rPr>
          <w:t>https://ijees.org/index.php/ijees/article/view/70</w:t>
        </w:r>
      </w:hyperlink>
      <w:r w:rsidRPr="00DA0562">
        <w:rPr>
          <w:rFonts w:ascii="Times New Roman" w:hAnsi="Times New Roman" w:cs="Times New Roman"/>
          <w:sz w:val="24"/>
          <w:szCs w:val="24"/>
        </w:rPr>
        <w:t>.</w:t>
      </w:r>
    </w:p>
    <w:p w14:paraId="3381B5EC" w14:textId="31A160E1"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Li, D., Shishank, S., de Ruyter, A., Ali, S., Bailey, D., Hearne, D. and Salh, S. (2019). Brexit and the Auto Industry: Understanding the Issues for Supply Chain Management. </w:t>
      </w:r>
      <w:r w:rsidRPr="00DA0562">
        <w:rPr>
          <w:rFonts w:ascii="Times New Roman" w:hAnsi="Times New Roman" w:cs="Times New Roman"/>
          <w:i/>
          <w:iCs/>
          <w:sz w:val="24"/>
          <w:szCs w:val="24"/>
        </w:rPr>
        <w:t>Brexit Negotiations After Article 50: Assessing Process, Progress and Impact</w:t>
      </w:r>
      <w:r w:rsidRPr="00DA0562">
        <w:rPr>
          <w:rFonts w:ascii="Times New Roman" w:hAnsi="Times New Roman" w:cs="Times New Roman"/>
          <w:sz w:val="24"/>
          <w:szCs w:val="24"/>
        </w:rPr>
        <w:t>, pp.173–191. doi:</w:t>
      </w:r>
      <w:r w:rsidR="00921F41">
        <w:rPr>
          <w:rFonts w:ascii="Times New Roman" w:hAnsi="Times New Roman" w:cs="Times New Roman"/>
          <w:sz w:val="24"/>
          <w:szCs w:val="24"/>
        </w:rPr>
        <w:t xml:space="preserve"> </w:t>
      </w:r>
      <w:hyperlink r:id="rId36" w:history="1">
        <w:r w:rsidR="00921F41" w:rsidRPr="00DA0562">
          <w:rPr>
            <w:rStyle w:val="Hyperlink"/>
            <w:rFonts w:ascii="Times New Roman" w:hAnsi="Times New Roman" w:cs="Times New Roman"/>
            <w:sz w:val="24"/>
            <w:szCs w:val="24"/>
          </w:rPr>
          <w:t>https://doi.org/10.1108/978-1-78769-765-220191010</w:t>
        </w:r>
      </w:hyperlink>
      <w:r w:rsidRPr="00DA0562">
        <w:rPr>
          <w:rFonts w:ascii="Times New Roman" w:hAnsi="Times New Roman" w:cs="Times New Roman"/>
          <w:sz w:val="24"/>
          <w:szCs w:val="24"/>
        </w:rPr>
        <w:t>.</w:t>
      </w:r>
    </w:p>
    <w:p w14:paraId="122CE29F" w14:textId="7C7C902D"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Liu, Y., Shi, Y., Qiang, Z. and Renqiang Xiu (2016). A sequential sampling strategy to improve the global fidelity of metamodels in multi-level system design. </w:t>
      </w:r>
      <w:r w:rsidRPr="00DA0562">
        <w:rPr>
          <w:rFonts w:ascii="Times New Roman" w:hAnsi="Times New Roman" w:cs="Times New Roman"/>
          <w:i/>
          <w:iCs/>
          <w:sz w:val="24"/>
          <w:szCs w:val="24"/>
        </w:rPr>
        <w:t>Structural and Multidisciplinary Optimization</w:t>
      </w:r>
      <w:r w:rsidRPr="00DA0562">
        <w:rPr>
          <w:rFonts w:ascii="Times New Roman" w:hAnsi="Times New Roman" w:cs="Times New Roman"/>
          <w:sz w:val="24"/>
          <w:szCs w:val="24"/>
        </w:rPr>
        <w:t>, 53(6), pp.1295–1313. doi:</w:t>
      </w:r>
      <w:r w:rsidR="00921F41">
        <w:rPr>
          <w:rFonts w:ascii="Times New Roman" w:hAnsi="Times New Roman" w:cs="Times New Roman"/>
          <w:sz w:val="24"/>
          <w:szCs w:val="24"/>
        </w:rPr>
        <w:t xml:space="preserve"> </w:t>
      </w:r>
      <w:hyperlink r:id="rId37" w:history="1">
        <w:r w:rsidR="00921F41" w:rsidRPr="00DA0562">
          <w:rPr>
            <w:rStyle w:val="Hyperlink"/>
            <w:rFonts w:ascii="Times New Roman" w:hAnsi="Times New Roman" w:cs="Times New Roman"/>
            <w:sz w:val="24"/>
            <w:szCs w:val="24"/>
          </w:rPr>
          <w:t>https://doi.org/10.1007/s00158-015-1379-9</w:t>
        </w:r>
      </w:hyperlink>
      <w:r w:rsidRPr="00DA0562">
        <w:rPr>
          <w:rFonts w:ascii="Times New Roman" w:hAnsi="Times New Roman" w:cs="Times New Roman"/>
          <w:sz w:val="24"/>
          <w:szCs w:val="24"/>
        </w:rPr>
        <w:t>.</w:t>
      </w:r>
    </w:p>
    <w:p w14:paraId="5EFEB6F7" w14:textId="72C300DB"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lastRenderedPageBreak/>
        <w:t xml:space="preserve">Lowman, T.A. and Pattnaik, A. (2025). </w:t>
      </w:r>
      <w:r w:rsidRPr="00DA0562">
        <w:rPr>
          <w:rFonts w:ascii="Times New Roman" w:hAnsi="Times New Roman" w:cs="Times New Roman"/>
          <w:i/>
          <w:iCs/>
          <w:sz w:val="24"/>
          <w:szCs w:val="24"/>
        </w:rPr>
        <w:t>A Framework for Implementing Sustainability Key Performance Indicators in Production Logistics of Commercial Vehicle Battery Assembly</w:t>
      </w:r>
      <w:r w:rsidRPr="00DA0562">
        <w:rPr>
          <w:rFonts w:ascii="Times New Roman" w:hAnsi="Times New Roman" w:cs="Times New Roman"/>
          <w:sz w:val="24"/>
          <w:szCs w:val="24"/>
        </w:rPr>
        <w:t xml:space="preserve">. </w:t>
      </w:r>
      <w:hyperlink r:id="rId38" w:history="1">
        <w:r w:rsidR="00921F41" w:rsidRPr="00DA0562">
          <w:rPr>
            <w:rStyle w:val="Hyperlink"/>
            <w:rFonts w:ascii="Times New Roman" w:hAnsi="Times New Roman" w:cs="Times New Roman"/>
            <w:sz w:val="24"/>
            <w:szCs w:val="24"/>
          </w:rPr>
          <w:t>https://www.diva-portal.org/smash/record.jsf?pid=diva2:2008839</w:t>
        </w:r>
      </w:hyperlink>
      <w:r w:rsidRPr="00DA0562">
        <w:rPr>
          <w:rFonts w:ascii="Times New Roman" w:hAnsi="Times New Roman" w:cs="Times New Roman"/>
          <w:sz w:val="24"/>
          <w:szCs w:val="24"/>
        </w:rPr>
        <w:t>.</w:t>
      </w:r>
    </w:p>
    <w:p w14:paraId="6CBE0D53" w14:textId="72B16DEB"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Madsen, D.O. (2025). Balanced Scorecard: History, Implementation, and Impact. 5(1), p.39. doi:</w:t>
      </w:r>
      <w:r w:rsidR="00921F41">
        <w:rPr>
          <w:rFonts w:ascii="Times New Roman" w:hAnsi="Times New Roman" w:cs="Times New Roman"/>
          <w:sz w:val="24"/>
          <w:szCs w:val="24"/>
        </w:rPr>
        <w:t xml:space="preserve"> </w:t>
      </w:r>
      <w:hyperlink r:id="rId39" w:history="1">
        <w:r w:rsidR="00921F41" w:rsidRPr="00DA0562">
          <w:rPr>
            <w:rStyle w:val="Hyperlink"/>
            <w:rFonts w:ascii="Times New Roman" w:hAnsi="Times New Roman" w:cs="Times New Roman"/>
            <w:sz w:val="24"/>
            <w:szCs w:val="24"/>
          </w:rPr>
          <w:t>https://doi.org/10.3390/encyclopedia5010039</w:t>
        </w:r>
      </w:hyperlink>
      <w:r w:rsidRPr="00DA0562">
        <w:rPr>
          <w:rFonts w:ascii="Times New Roman" w:hAnsi="Times New Roman" w:cs="Times New Roman"/>
          <w:sz w:val="24"/>
          <w:szCs w:val="24"/>
        </w:rPr>
        <w:t>.</w:t>
      </w:r>
    </w:p>
    <w:p w14:paraId="5212230F" w14:textId="00BDB5B8"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Matheus, Leite, R.S., Teresinha, S. and Costa, K.C. (2019). Axiology, personal values and ethical rationalities: a proposal for theoretical frameworks integration. 21(55), pp.115–133. doi:</w:t>
      </w:r>
      <w:r w:rsidR="00921F41">
        <w:rPr>
          <w:rFonts w:ascii="Times New Roman" w:hAnsi="Times New Roman" w:cs="Times New Roman"/>
          <w:sz w:val="24"/>
          <w:szCs w:val="24"/>
        </w:rPr>
        <w:t xml:space="preserve"> </w:t>
      </w:r>
      <w:hyperlink r:id="rId40" w:history="1">
        <w:r w:rsidR="00921F41" w:rsidRPr="00DA0562">
          <w:rPr>
            <w:rStyle w:val="Hyperlink"/>
            <w:rFonts w:ascii="Times New Roman" w:hAnsi="Times New Roman" w:cs="Times New Roman"/>
            <w:sz w:val="24"/>
            <w:szCs w:val="24"/>
          </w:rPr>
          <w:t>https://dialnet.unirioja.es/descarga/articulo/7871872.pdf</w:t>
        </w:r>
      </w:hyperlink>
      <w:r w:rsidRPr="00DA0562">
        <w:rPr>
          <w:rFonts w:ascii="Times New Roman" w:hAnsi="Times New Roman" w:cs="Times New Roman"/>
          <w:sz w:val="24"/>
          <w:szCs w:val="24"/>
        </w:rPr>
        <w:t>.</w:t>
      </w:r>
    </w:p>
    <w:p w14:paraId="1CD7E4AC" w14:textId="0E3E73C0"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McAdam, R. and Miller, K. (2019). Towards a contingency theory perspective of quality management in enabling strategic alignment. </w:t>
      </w:r>
      <w:r w:rsidRPr="00DA0562">
        <w:rPr>
          <w:rFonts w:ascii="Times New Roman" w:hAnsi="Times New Roman" w:cs="Times New Roman"/>
          <w:i/>
          <w:iCs/>
          <w:sz w:val="24"/>
          <w:szCs w:val="24"/>
        </w:rPr>
        <w:t>International Journal of Production Economics</w:t>
      </w:r>
      <w:r w:rsidRPr="00DA0562">
        <w:rPr>
          <w:rFonts w:ascii="Times New Roman" w:hAnsi="Times New Roman" w:cs="Times New Roman"/>
          <w:sz w:val="24"/>
          <w:szCs w:val="24"/>
        </w:rPr>
        <w:t xml:space="preserve">, 207(1), pp.195–209. </w:t>
      </w:r>
      <w:hyperlink r:id="rId41" w:history="1">
        <w:r w:rsidR="00921F41" w:rsidRPr="00DA0562">
          <w:rPr>
            <w:rStyle w:val="Hyperlink"/>
            <w:rFonts w:ascii="Times New Roman" w:hAnsi="Times New Roman" w:cs="Times New Roman"/>
            <w:sz w:val="24"/>
            <w:szCs w:val="24"/>
          </w:rPr>
          <w:t>https://www.sciencedirect.com/science/article/abs/pii/S0925527316301396</w:t>
        </w:r>
      </w:hyperlink>
      <w:r w:rsidRPr="00DA0562">
        <w:rPr>
          <w:rFonts w:ascii="Times New Roman" w:hAnsi="Times New Roman" w:cs="Times New Roman"/>
          <w:sz w:val="24"/>
          <w:szCs w:val="24"/>
        </w:rPr>
        <w:t>.</w:t>
      </w:r>
    </w:p>
    <w:p w14:paraId="216C5561" w14:textId="767A83E7"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Modell, S. (2012). The politics of the balanced scorecard. </w:t>
      </w:r>
      <w:r w:rsidRPr="00DA0562">
        <w:rPr>
          <w:rFonts w:ascii="Times New Roman" w:hAnsi="Times New Roman" w:cs="Times New Roman"/>
          <w:i/>
          <w:iCs/>
          <w:sz w:val="24"/>
          <w:szCs w:val="24"/>
        </w:rPr>
        <w:t>Journal of Accounting &amp; Organizational Change</w:t>
      </w:r>
      <w:r w:rsidRPr="00DA0562">
        <w:rPr>
          <w:rFonts w:ascii="Times New Roman" w:hAnsi="Times New Roman" w:cs="Times New Roman"/>
          <w:sz w:val="24"/>
          <w:szCs w:val="24"/>
        </w:rPr>
        <w:t>, 8(4), pp.475–489. doi:</w:t>
      </w:r>
      <w:r w:rsidR="00921F41">
        <w:rPr>
          <w:rFonts w:ascii="Times New Roman" w:hAnsi="Times New Roman" w:cs="Times New Roman"/>
          <w:sz w:val="24"/>
          <w:szCs w:val="24"/>
        </w:rPr>
        <w:t xml:space="preserve"> </w:t>
      </w:r>
      <w:hyperlink r:id="rId42" w:history="1">
        <w:r w:rsidR="00921F41" w:rsidRPr="00DA0562">
          <w:rPr>
            <w:rStyle w:val="Hyperlink"/>
            <w:rFonts w:ascii="Times New Roman" w:hAnsi="Times New Roman" w:cs="Times New Roman"/>
            <w:sz w:val="24"/>
            <w:szCs w:val="24"/>
          </w:rPr>
          <w:t>https://doi.org/10.1108/18325911211273482</w:t>
        </w:r>
      </w:hyperlink>
      <w:r w:rsidRPr="00DA0562">
        <w:rPr>
          <w:rFonts w:ascii="Times New Roman" w:hAnsi="Times New Roman" w:cs="Times New Roman"/>
          <w:sz w:val="24"/>
          <w:szCs w:val="24"/>
        </w:rPr>
        <w:t>.</w:t>
      </w:r>
    </w:p>
    <w:p w14:paraId="54143B3C" w14:textId="2D147608"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Monauni, M. (2017). Closing the strategy execution gap through business simulations. </w:t>
      </w:r>
      <w:r w:rsidRPr="00DA0562">
        <w:rPr>
          <w:rFonts w:ascii="Times New Roman" w:hAnsi="Times New Roman" w:cs="Times New Roman"/>
          <w:i/>
          <w:iCs/>
          <w:sz w:val="24"/>
          <w:szCs w:val="24"/>
        </w:rPr>
        <w:t>Development and Learning in Organizations: An International Journal</w:t>
      </w:r>
      <w:r w:rsidRPr="00DA0562">
        <w:rPr>
          <w:rFonts w:ascii="Times New Roman" w:hAnsi="Times New Roman" w:cs="Times New Roman"/>
          <w:sz w:val="24"/>
          <w:szCs w:val="24"/>
        </w:rPr>
        <w:t>, 31(4), pp.9–12. doi:</w:t>
      </w:r>
      <w:r w:rsidR="00921F41">
        <w:rPr>
          <w:rFonts w:ascii="Times New Roman" w:hAnsi="Times New Roman" w:cs="Times New Roman"/>
          <w:sz w:val="24"/>
          <w:szCs w:val="24"/>
        </w:rPr>
        <w:t xml:space="preserve"> </w:t>
      </w:r>
      <w:hyperlink r:id="rId43" w:history="1">
        <w:r w:rsidR="00921F41" w:rsidRPr="00DA0562">
          <w:rPr>
            <w:rStyle w:val="Hyperlink"/>
            <w:rFonts w:ascii="Times New Roman" w:hAnsi="Times New Roman" w:cs="Times New Roman"/>
            <w:sz w:val="24"/>
            <w:szCs w:val="24"/>
          </w:rPr>
          <w:t>https://doi.org/10.1108/dlo-08-2016-0069</w:t>
        </w:r>
      </w:hyperlink>
      <w:r w:rsidRPr="00DA0562">
        <w:rPr>
          <w:rFonts w:ascii="Times New Roman" w:hAnsi="Times New Roman" w:cs="Times New Roman"/>
          <w:sz w:val="24"/>
          <w:szCs w:val="24"/>
        </w:rPr>
        <w:t>.</w:t>
      </w:r>
    </w:p>
    <w:p w14:paraId="27315433" w14:textId="26F45C6D"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Moradlou, H., Fratocchi, L., Skipworth, H. and Ghadge, A. (2021). Post-Brexit back-shoring strategies: What UK manufacturing companies could learn from the past? </w:t>
      </w:r>
      <w:r w:rsidRPr="00DA0562">
        <w:rPr>
          <w:rFonts w:ascii="Times New Roman" w:hAnsi="Times New Roman" w:cs="Times New Roman"/>
          <w:i/>
          <w:iCs/>
          <w:sz w:val="24"/>
          <w:szCs w:val="24"/>
        </w:rPr>
        <w:t>Production Planning &amp; Control</w:t>
      </w:r>
      <w:r w:rsidRPr="00DA0562">
        <w:rPr>
          <w:rFonts w:ascii="Times New Roman" w:hAnsi="Times New Roman" w:cs="Times New Roman"/>
          <w:sz w:val="24"/>
          <w:szCs w:val="24"/>
        </w:rPr>
        <w:t>, 33(14), pp.1–18. doi:</w:t>
      </w:r>
      <w:r w:rsidR="00921F41">
        <w:rPr>
          <w:rFonts w:ascii="Times New Roman" w:hAnsi="Times New Roman" w:cs="Times New Roman"/>
          <w:sz w:val="24"/>
          <w:szCs w:val="24"/>
        </w:rPr>
        <w:t xml:space="preserve"> </w:t>
      </w:r>
      <w:hyperlink r:id="rId44" w:history="1">
        <w:r w:rsidR="00921F41" w:rsidRPr="00DA0562">
          <w:rPr>
            <w:rStyle w:val="Hyperlink"/>
            <w:rFonts w:ascii="Times New Roman" w:hAnsi="Times New Roman" w:cs="Times New Roman"/>
            <w:sz w:val="24"/>
            <w:szCs w:val="24"/>
          </w:rPr>
          <w:t>https://doi.org/10.1080/09537287.2020.1863500</w:t>
        </w:r>
      </w:hyperlink>
      <w:r w:rsidRPr="00DA0562">
        <w:rPr>
          <w:rFonts w:ascii="Times New Roman" w:hAnsi="Times New Roman" w:cs="Times New Roman"/>
          <w:sz w:val="24"/>
          <w:szCs w:val="24"/>
        </w:rPr>
        <w:t>.</w:t>
      </w:r>
    </w:p>
    <w:p w14:paraId="2A77F57B" w14:textId="618C2EF8"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Mwita, K. (2024). Factors influencing data saturation in qualitative studies. </w:t>
      </w:r>
      <w:r w:rsidRPr="00DA0562">
        <w:rPr>
          <w:rFonts w:ascii="Times New Roman" w:hAnsi="Times New Roman" w:cs="Times New Roman"/>
          <w:i/>
          <w:iCs/>
          <w:sz w:val="24"/>
          <w:szCs w:val="24"/>
        </w:rPr>
        <w:t>SSRN Electronic Journal</w:t>
      </w:r>
      <w:r w:rsidRPr="00DA0562">
        <w:rPr>
          <w:rFonts w:ascii="Times New Roman" w:hAnsi="Times New Roman" w:cs="Times New Roman"/>
          <w:sz w:val="24"/>
          <w:szCs w:val="24"/>
        </w:rPr>
        <w:t>, 11(4). doi:</w:t>
      </w:r>
      <w:r w:rsidR="002F1FD3">
        <w:rPr>
          <w:rFonts w:ascii="Times New Roman" w:hAnsi="Times New Roman" w:cs="Times New Roman"/>
          <w:sz w:val="24"/>
          <w:szCs w:val="24"/>
        </w:rPr>
        <w:t xml:space="preserve"> </w:t>
      </w:r>
      <w:hyperlink r:id="rId45" w:history="1">
        <w:r w:rsidR="002F1FD3" w:rsidRPr="00DA0562">
          <w:rPr>
            <w:rStyle w:val="Hyperlink"/>
            <w:rFonts w:ascii="Times New Roman" w:hAnsi="Times New Roman" w:cs="Times New Roman"/>
            <w:sz w:val="24"/>
            <w:szCs w:val="24"/>
          </w:rPr>
          <w:t>https://doi.org/10.2139/ssrn.4889752</w:t>
        </w:r>
      </w:hyperlink>
      <w:r w:rsidRPr="00DA0562">
        <w:rPr>
          <w:rFonts w:ascii="Times New Roman" w:hAnsi="Times New Roman" w:cs="Times New Roman"/>
          <w:sz w:val="24"/>
          <w:szCs w:val="24"/>
        </w:rPr>
        <w:t>.</w:t>
      </w:r>
    </w:p>
    <w:p w14:paraId="57113810" w14:textId="1F5C8B60"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Naeem, M., Ozuem, W., Howell, K. and Ranfagni, S. (2023). A step-by-step Process of Thematic Analysis to Develop a Conceptual Model in Qualitative Research. </w:t>
      </w:r>
      <w:r w:rsidRPr="00DA0562">
        <w:rPr>
          <w:rFonts w:ascii="Times New Roman" w:hAnsi="Times New Roman" w:cs="Times New Roman"/>
          <w:i/>
          <w:iCs/>
          <w:sz w:val="24"/>
          <w:szCs w:val="24"/>
        </w:rPr>
        <w:t>International Journal of Qualitative Methods</w:t>
      </w:r>
      <w:r w:rsidRPr="00DA0562">
        <w:rPr>
          <w:rFonts w:ascii="Times New Roman" w:hAnsi="Times New Roman" w:cs="Times New Roman"/>
          <w:sz w:val="24"/>
          <w:szCs w:val="24"/>
        </w:rPr>
        <w:t>, 22(1), pp.1–18. doi:</w:t>
      </w:r>
      <w:r w:rsidR="00921F41">
        <w:rPr>
          <w:rFonts w:ascii="Times New Roman" w:hAnsi="Times New Roman" w:cs="Times New Roman"/>
          <w:sz w:val="24"/>
          <w:szCs w:val="24"/>
        </w:rPr>
        <w:t xml:space="preserve"> </w:t>
      </w:r>
      <w:hyperlink r:id="rId46" w:history="1">
        <w:r w:rsidR="00921F41" w:rsidRPr="00DA0562">
          <w:rPr>
            <w:rStyle w:val="Hyperlink"/>
            <w:rFonts w:ascii="Times New Roman" w:hAnsi="Times New Roman" w:cs="Times New Roman"/>
            <w:sz w:val="24"/>
            <w:szCs w:val="24"/>
          </w:rPr>
          <w:t>https://doi.org/10.1177/16094069231205789</w:t>
        </w:r>
      </w:hyperlink>
      <w:r w:rsidRPr="00DA0562">
        <w:rPr>
          <w:rFonts w:ascii="Times New Roman" w:hAnsi="Times New Roman" w:cs="Times New Roman"/>
          <w:sz w:val="24"/>
          <w:szCs w:val="24"/>
        </w:rPr>
        <w:t>.</w:t>
      </w:r>
    </w:p>
    <w:p w14:paraId="4AA0A97C" w14:textId="7DD55FBE"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Pfister, J.A., Peda, P. and Otley, D. (2022). A methodological framework for theoretical explanation in performance management and management control systems research. </w:t>
      </w:r>
      <w:r w:rsidRPr="00DA0562">
        <w:rPr>
          <w:rFonts w:ascii="Times New Roman" w:hAnsi="Times New Roman" w:cs="Times New Roman"/>
          <w:i/>
          <w:iCs/>
          <w:sz w:val="24"/>
          <w:szCs w:val="24"/>
        </w:rPr>
        <w:t>Qualitative Research in Accounting &amp; Management</w:t>
      </w:r>
      <w:r w:rsidRPr="00DA0562">
        <w:rPr>
          <w:rFonts w:ascii="Times New Roman" w:hAnsi="Times New Roman" w:cs="Times New Roman"/>
          <w:sz w:val="24"/>
          <w:szCs w:val="24"/>
        </w:rPr>
        <w:t>, ahead-of-print(ahead-of-print). doi:</w:t>
      </w:r>
      <w:r w:rsidR="00921F41">
        <w:rPr>
          <w:rFonts w:ascii="Times New Roman" w:hAnsi="Times New Roman" w:cs="Times New Roman"/>
          <w:sz w:val="24"/>
          <w:szCs w:val="24"/>
        </w:rPr>
        <w:t xml:space="preserve"> </w:t>
      </w:r>
      <w:hyperlink r:id="rId47" w:history="1">
        <w:r w:rsidR="00921F41" w:rsidRPr="00DA0562">
          <w:rPr>
            <w:rStyle w:val="Hyperlink"/>
            <w:rFonts w:ascii="Times New Roman" w:hAnsi="Times New Roman" w:cs="Times New Roman"/>
            <w:sz w:val="24"/>
            <w:szCs w:val="24"/>
          </w:rPr>
          <w:t>https://doi.org/10.1108/qram-10-2021-0193</w:t>
        </w:r>
      </w:hyperlink>
      <w:r w:rsidRPr="00DA0562">
        <w:rPr>
          <w:rFonts w:ascii="Times New Roman" w:hAnsi="Times New Roman" w:cs="Times New Roman"/>
          <w:sz w:val="24"/>
          <w:szCs w:val="24"/>
        </w:rPr>
        <w:t>.</w:t>
      </w:r>
    </w:p>
    <w:p w14:paraId="1092D490" w14:textId="67E0EAED"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Rehman, A. </w:t>
      </w:r>
      <w:r w:rsidR="00921F41">
        <w:rPr>
          <w:rFonts w:ascii="Times New Roman" w:hAnsi="Times New Roman" w:cs="Times New Roman"/>
          <w:sz w:val="24"/>
          <w:szCs w:val="24"/>
        </w:rPr>
        <w:t>U</w:t>
      </w:r>
      <w:r w:rsidRPr="00DA0562">
        <w:rPr>
          <w:rFonts w:ascii="Times New Roman" w:hAnsi="Times New Roman" w:cs="Times New Roman"/>
          <w:sz w:val="24"/>
          <w:szCs w:val="24"/>
        </w:rPr>
        <w:t xml:space="preserve">r and Shakeel Sadiq Jajja, M. (2025). Strategic adaptation in the electric vehicle supply chain: navigating transformative trends in the automobile industry. </w:t>
      </w:r>
      <w:r w:rsidRPr="00DA0562">
        <w:rPr>
          <w:rFonts w:ascii="Times New Roman" w:hAnsi="Times New Roman" w:cs="Times New Roman"/>
          <w:i/>
          <w:iCs/>
          <w:sz w:val="24"/>
          <w:szCs w:val="24"/>
        </w:rPr>
        <w:lastRenderedPageBreak/>
        <w:t>Journal of Enterprise Information Management</w:t>
      </w:r>
      <w:r w:rsidRPr="00DA0562">
        <w:rPr>
          <w:rFonts w:ascii="Times New Roman" w:hAnsi="Times New Roman" w:cs="Times New Roman"/>
          <w:sz w:val="24"/>
          <w:szCs w:val="24"/>
        </w:rPr>
        <w:t>. doi:</w:t>
      </w:r>
      <w:r w:rsidR="00921F41">
        <w:rPr>
          <w:rFonts w:ascii="Times New Roman" w:hAnsi="Times New Roman" w:cs="Times New Roman"/>
          <w:sz w:val="24"/>
          <w:szCs w:val="24"/>
        </w:rPr>
        <w:t xml:space="preserve"> </w:t>
      </w:r>
      <w:hyperlink r:id="rId48" w:history="1">
        <w:r w:rsidR="00921F41" w:rsidRPr="00DA0562">
          <w:rPr>
            <w:rStyle w:val="Hyperlink"/>
            <w:rFonts w:ascii="Times New Roman" w:hAnsi="Times New Roman" w:cs="Times New Roman"/>
            <w:sz w:val="24"/>
            <w:szCs w:val="24"/>
          </w:rPr>
          <w:t>https://doi.org/10.1108/jeim-10-2024-0554</w:t>
        </w:r>
      </w:hyperlink>
      <w:r w:rsidRPr="00DA0562">
        <w:rPr>
          <w:rFonts w:ascii="Times New Roman" w:hAnsi="Times New Roman" w:cs="Times New Roman"/>
          <w:sz w:val="24"/>
          <w:szCs w:val="24"/>
        </w:rPr>
        <w:t>.</w:t>
      </w:r>
    </w:p>
    <w:p w14:paraId="6BF15BF8" w14:textId="70E5B19C"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Rolfe, G. (2006). Validity, trustworthiness and rigour: quality and the idea of qualitative research. </w:t>
      </w:r>
      <w:r w:rsidRPr="00DA0562">
        <w:rPr>
          <w:rFonts w:ascii="Times New Roman" w:hAnsi="Times New Roman" w:cs="Times New Roman"/>
          <w:i/>
          <w:iCs/>
          <w:sz w:val="24"/>
          <w:szCs w:val="24"/>
        </w:rPr>
        <w:t>Journal of Advanced Nursing</w:t>
      </w:r>
      <w:r w:rsidRPr="00DA0562">
        <w:rPr>
          <w:rFonts w:ascii="Times New Roman" w:hAnsi="Times New Roman" w:cs="Times New Roman"/>
          <w:sz w:val="24"/>
          <w:szCs w:val="24"/>
        </w:rPr>
        <w:t>, 53(3), pp.304–310. doi:</w:t>
      </w:r>
      <w:r w:rsidR="00921F41">
        <w:rPr>
          <w:rFonts w:ascii="Times New Roman" w:hAnsi="Times New Roman" w:cs="Times New Roman"/>
          <w:sz w:val="24"/>
          <w:szCs w:val="24"/>
        </w:rPr>
        <w:t xml:space="preserve"> </w:t>
      </w:r>
      <w:hyperlink r:id="rId49" w:history="1">
        <w:r w:rsidR="00921F41" w:rsidRPr="00DA0562">
          <w:rPr>
            <w:rStyle w:val="Hyperlink"/>
            <w:rFonts w:ascii="Times New Roman" w:hAnsi="Times New Roman" w:cs="Times New Roman"/>
            <w:sz w:val="24"/>
            <w:szCs w:val="24"/>
          </w:rPr>
          <w:t>https://doi.org/10.1111/j.1365-2648.2006.03727.x</w:t>
        </w:r>
      </w:hyperlink>
      <w:r w:rsidRPr="00DA0562">
        <w:rPr>
          <w:rFonts w:ascii="Times New Roman" w:hAnsi="Times New Roman" w:cs="Times New Roman"/>
          <w:sz w:val="24"/>
          <w:szCs w:val="24"/>
        </w:rPr>
        <w:t>.</w:t>
      </w:r>
    </w:p>
    <w:p w14:paraId="4FE33C7C" w14:textId="5B945376" w:rsidR="00B25F1A" w:rsidRPr="00DA0562" w:rsidRDefault="00B25F1A" w:rsidP="00832AB8">
      <w:pPr>
        <w:spacing w:after="0" w:line="360" w:lineRule="auto"/>
        <w:ind w:left="720" w:hanging="720"/>
        <w:rPr>
          <w:rFonts w:ascii="Times New Roman" w:hAnsi="Times New Roman" w:cs="Times New Roman"/>
          <w:sz w:val="24"/>
          <w:szCs w:val="24"/>
        </w:rPr>
      </w:pPr>
      <w:r w:rsidRPr="00BD6DE9">
        <w:rPr>
          <w:rFonts w:ascii="Times New Roman" w:eastAsia="Times New Roman" w:hAnsi="Times New Roman" w:cs="Times New Roman"/>
          <w:sz w:val="24"/>
          <w:szCs w:val="24"/>
          <w:lang w:eastAsia="en-GB"/>
        </w:rPr>
        <w:t>Saunders, Lewis, P., &amp; Thornhill, A. (2019). </w:t>
      </w:r>
      <w:r w:rsidRPr="00BD6DE9">
        <w:rPr>
          <w:rFonts w:ascii="Times New Roman" w:eastAsia="Times New Roman" w:hAnsi="Times New Roman" w:cs="Times New Roman"/>
          <w:i/>
          <w:iCs/>
          <w:sz w:val="24"/>
          <w:szCs w:val="24"/>
          <w:lang w:eastAsia="en-GB"/>
        </w:rPr>
        <w:t>Research methods for business students, 8</w:t>
      </w:r>
      <w:r w:rsidRPr="00BD6DE9">
        <w:rPr>
          <w:rFonts w:ascii="Times New Roman" w:eastAsia="Times New Roman" w:hAnsi="Times New Roman" w:cs="Times New Roman"/>
          <w:i/>
          <w:iCs/>
          <w:sz w:val="24"/>
          <w:szCs w:val="24"/>
          <w:vertAlign w:val="superscript"/>
          <w:lang w:eastAsia="en-GB"/>
        </w:rPr>
        <w:t>th</w:t>
      </w:r>
      <w:r w:rsidRPr="00BD6DE9">
        <w:rPr>
          <w:rFonts w:ascii="Times New Roman" w:eastAsia="Times New Roman" w:hAnsi="Times New Roman" w:cs="Times New Roman"/>
          <w:i/>
          <w:iCs/>
          <w:sz w:val="24"/>
          <w:szCs w:val="24"/>
          <w:lang w:eastAsia="en-GB"/>
        </w:rPr>
        <w:t xml:space="preserve"> edn.</w:t>
      </w:r>
      <w:r w:rsidRPr="00BD6DE9">
        <w:rPr>
          <w:rFonts w:ascii="Times New Roman" w:eastAsia="Times New Roman" w:hAnsi="Times New Roman" w:cs="Times New Roman"/>
          <w:sz w:val="24"/>
          <w:szCs w:val="24"/>
          <w:lang w:eastAsia="en-GB"/>
        </w:rPr>
        <w:t xml:space="preserve"> Pearson.</w:t>
      </w:r>
    </w:p>
    <w:p w14:paraId="25623A1F" w14:textId="354C702A"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Sharma, A. (2009). </w:t>
      </w:r>
      <w:r w:rsidRPr="00DA0562">
        <w:rPr>
          <w:rFonts w:ascii="Times New Roman" w:hAnsi="Times New Roman" w:cs="Times New Roman"/>
          <w:i/>
          <w:iCs/>
          <w:sz w:val="24"/>
          <w:szCs w:val="24"/>
        </w:rPr>
        <w:t>Implementing Balance Scorecard for Performance Measurement</w:t>
      </w:r>
      <w:r w:rsidRPr="00DA0562">
        <w:rPr>
          <w:rFonts w:ascii="Times New Roman" w:hAnsi="Times New Roman" w:cs="Times New Roman"/>
          <w:sz w:val="24"/>
          <w:szCs w:val="24"/>
        </w:rPr>
        <w:t xml:space="preserve">. </w:t>
      </w:r>
      <w:hyperlink r:id="rId50" w:history="1">
        <w:r w:rsidR="00921F41" w:rsidRPr="00DA0562">
          <w:rPr>
            <w:rStyle w:val="Hyperlink"/>
            <w:rFonts w:ascii="Times New Roman" w:hAnsi="Times New Roman" w:cs="Times New Roman"/>
            <w:sz w:val="24"/>
            <w:szCs w:val="24"/>
          </w:rPr>
          <w:t>https://brainmass.com/file/319238/Performance+Measurement.pdf</w:t>
        </w:r>
      </w:hyperlink>
      <w:r w:rsidRPr="00DA0562">
        <w:rPr>
          <w:rFonts w:ascii="Times New Roman" w:hAnsi="Times New Roman" w:cs="Times New Roman"/>
          <w:sz w:val="24"/>
          <w:szCs w:val="24"/>
        </w:rPr>
        <w:t>.</w:t>
      </w:r>
    </w:p>
    <w:p w14:paraId="445C8902" w14:textId="7CF5FB9D" w:rsidR="00DA0562" w:rsidRP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Skoog, M. (2020). Management Control Theory and Practice Integration - Challenges and Possibilities. (1), pp.11–17. doi:</w:t>
      </w:r>
      <w:r w:rsidR="00921F41">
        <w:rPr>
          <w:rFonts w:ascii="Times New Roman" w:hAnsi="Times New Roman" w:cs="Times New Roman"/>
          <w:sz w:val="24"/>
          <w:szCs w:val="24"/>
        </w:rPr>
        <w:t xml:space="preserve"> </w:t>
      </w:r>
      <w:r w:rsidRPr="00DA0562">
        <w:rPr>
          <w:rFonts w:ascii="Times New Roman" w:hAnsi="Times New Roman" w:cs="Times New Roman"/>
          <w:sz w:val="24"/>
          <w:szCs w:val="24"/>
        </w:rPr>
        <w:t>https://doi.org/10.3280/maco2020-001-s1002.</w:t>
      </w:r>
    </w:p>
    <w:p w14:paraId="2D00F216" w14:textId="3007FA0D"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SMMT (2026). </w:t>
      </w:r>
      <w:r w:rsidRPr="00DA0562">
        <w:rPr>
          <w:rFonts w:ascii="Times New Roman" w:hAnsi="Times New Roman" w:cs="Times New Roman"/>
          <w:i/>
          <w:iCs/>
          <w:sz w:val="24"/>
          <w:szCs w:val="24"/>
        </w:rPr>
        <w:t>The Society of Motor Manufacturers and Traders (SMMT) Motor Industry Facts 2026</w:t>
      </w:r>
      <w:r w:rsidRPr="00DA0562">
        <w:rPr>
          <w:rFonts w:ascii="Times New Roman" w:hAnsi="Times New Roman" w:cs="Times New Roman"/>
          <w:sz w:val="24"/>
          <w:szCs w:val="24"/>
        </w:rPr>
        <w:t xml:space="preserve">. </w:t>
      </w:r>
      <w:hyperlink r:id="rId51" w:history="1">
        <w:r w:rsidR="00921F41" w:rsidRPr="00DA0562">
          <w:rPr>
            <w:rStyle w:val="Hyperlink"/>
            <w:rFonts w:ascii="Times New Roman" w:hAnsi="Times New Roman" w:cs="Times New Roman"/>
            <w:sz w:val="24"/>
            <w:szCs w:val="24"/>
          </w:rPr>
          <w:t>https://smmtweb.lon1.cdn.digitaloceanspaces.com/wp-content/uploads/2026/02/SMMT-FACTS-2026-FINAL.pdf</w:t>
        </w:r>
      </w:hyperlink>
      <w:r w:rsidRPr="00DA0562">
        <w:rPr>
          <w:rFonts w:ascii="Times New Roman" w:hAnsi="Times New Roman" w:cs="Times New Roman"/>
          <w:sz w:val="24"/>
          <w:szCs w:val="24"/>
        </w:rPr>
        <w:t>.</w:t>
      </w:r>
    </w:p>
    <w:p w14:paraId="18540019" w14:textId="77777777" w:rsidR="00DA0562" w:rsidRP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Soares, D., da Silva, F.J.G., Ramos, S.C.F., Kirytopoulos, K., Sá, J.C. and Ferreira, L.P. (2022). Identifying Barriers in the Implementation of Agile Methodologies in Automotive Industry. </w:t>
      </w:r>
      <w:r w:rsidRPr="00DA0562">
        <w:rPr>
          <w:rFonts w:ascii="Times New Roman" w:hAnsi="Times New Roman" w:cs="Times New Roman"/>
          <w:i/>
          <w:iCs/>
          <w:sz w:val="24"/>
          <w:szCs w:val="24"/>
        </w:rPr>
        <w:t>Sustainability</w:t>
      </w:r>
      <w:r w:rsidRPr="00DA0562">
        <w:rPr>
          <w:rFonts w:ascii="Times New Roman" w:hAnsi="Times New Roman" w:cs="Times New Roman"/>
          <w:sz w:val="24"/>
          <w:szCs w:val="24"/>
        </w:rPr>
        <w:t>, 14(9), p.5453.</w:t>
      </w:r>
    </w:p>
    <w:p w14:paraId="69948B35" w14:textId="5A1A9940"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Sousa, S. and Aspinwall, E. (2010). Development of a performance measurement framework for SMEs. </w:t>
      </w:r>
      <w:r w:rsidRPr="00DA0562">
        <w:rPr>
          <w:rFonts w:ascii="Times New Roman" w:hAnsi="Times New Roman" w:cs="Times New Roman"/>
          <w:i/>
          <w:iCs/>
          <w:sz w:val="24"/>
          <w:szCs w:val="24"/>
        </w:rPr>
        <w:t>Total Quality Management &amp; Business Excellence</w:t>
      </w:r>
      <w:r w:rsidRPr="00DA0562">
        <w:rPr>
          <w:rFonts w:ascii="Times New Roman" w:hAnsi="Times New Roman" w:cs="Times New Roman"/>
          <w:sz w:val="24"/>
          <w:szCs w:val="24"/>
        </w:rPr>
        <w:t>, 21(5), pp.475–501. doi:</w:t>
      </w:r>
      <w:r w:rsidR="00921F41">
        <w:rPr>
          <w:rFonts w:ascii="Times New Roman" w:hAnsi="Times New Roman" w:cs="Times New Roman"/>
          <w:sz w:val="24"/>
          <w:szCs w:val="24"/>
        </w:rPr>
        <w:t xml:space="preserve"> </w:t>
      </w:r>
      <w:hyperlink r:id="rId52" w:history="1">
        <w:r w:rsidR="00921F41" w:rsidRPr="00DA0562">
          <w:rPr>
            <w:rStyle w:val="Hyperlink"/>
            <w:rFonts w:ascii="Times New Roman" w:hAnsi="Times New Roman" w:cs="Times New Roman"/>
            <w:sz w:val="24"/>
            <w:szCs w:val="24"/>
          </w:rPr>
          <w:t>https://doi.org/10.1080/14783363.2010.481510</w:t>
        </w:r>
      </w:hyperlink>
      <w:r w:rsidRPr="00DA0562">
        <w:rPr>
          <w:rFonts w:ascii="Times New Roman" w:hAnsi="Times New Roman" w:cs="Times New Roman"/>
          <w:sz w:val="24"/>
          <w:szCs w:val="24"/>
        </w:rPr>
        <w:t>.</w:t>
      </w:r>
    </w:p>
    <w:p w14:paraId="02AD5F14" w14:textId="320945FD"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Vaara, E. and Whittington, R. (2012). Strategy-as-Practice: Taking Social Practices Seriously. </w:t>
      </w:r>
      <w:r w:rsidRPr="00DA0562">
        <w:rPr>
          <w:rFonts w:ascii="Times New Roman" w:hAnsi="Times New Roman" w:cs="Times New Roman"/>
          <w:i/>
          <w:iCs/>
          <w:sz w:val="24"/>
          <w:szCs w:val="24"/>
        </w:rPr>
        <w:t>Academy of Management Annals</w:t>
      </w:r>
      <w:r w:rsidRPr="00DA0562">
        <w:rPr>
          <w:rFonts w:ascii="Times New Roman" w:hAnsi="Times New Roman" w:cs="Times New Roman"/>
          <w:sz w:val="24"/>
          <w:szCs w:val="24"/>
        </w:rPr>
        <w:t>, 6(1), pp.285–336. doi:</w:t>
      </w:r>
      <w:r w:rsidR="00921F41">
        <w:rPr>
          <w:rFonts w:ascii="Times New Roman" w:hAnsi="Times New Roman" w:cs="Times New Roman"/>
          <w:sz w:val="24"/>
          <w:szCs w:val="24"/>
        </w:rPr>
        <w:t xml:space="preserve"> </w:t>
      </w:r>
      <w:hyperlink r:id="rId53" w:history="1">
        <w:r w:rsidR="00921F41" w:rsidRPr="00DA0562">
          <w:rPr>
            <w:rStyle w:val="Hyperlink"/>
            <w:rFonts w:ascii="Times New Roman" w:hAnsi="Times New Roman" w:cs="Times New Roman"/>
            <w:sz w:val="24"/>
            <w:szCs w:val="24"/>
          </w:rPr>
          <w:t>https://doi.org/10.5465/19416520.2012.672039</w:t>
        </w:r>
      </w:hyperlink>
      <w:r w:rsidRPr="00DA0562">
        <w:rPr>
          <w:rFonts w:ascii="Times New Roman" w:hAnsi="Times New Roman" w:cs="Times New Roman"/>
          <w:sz w:val="24"/>
          <w:szCs w:val="24"/>
        </w:rPr>
        <w:t>.</w:t>
      </w:r>
    </w:p>
    <w:p w14:paraId="5025282E" w14:textId="77777777" w:rsidR="00DA0562" w:rsidRP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Wells, P. and Nieuwenhuis, P. (2012). Transition failure: Understanding continuity in the automotive industry. </w:t>
      </w:r>
      <w:r w:rsidRPr="00DA0562">
        <w:rPr>
          <w:rFonts w:ascii="Times New Roman" w:hAnsi="Times New Roman" w:cs="Times New Roman"/>
          <w:i/>
          <w:iCs/>
          <w:sz w:val="24"/>
          <w:szCs w:val="24"/>
        </w:rPr>
        <w:t>Technological Forecasting and Social Change</w:t>
      </w:r>
      <w:r w:rsidRPr="00DA0562">
        <w:rPr>
          <w:rFonts w:ascii="Times New Roman" w:hAnsi="Times New Roman" w:cs="Times New Roman"/>
          <w:sz w:val="24"/>
          <w:szCs w:val="24"/>
        </w:rPr>
        <w:t>, 79(9), pp.1681–1692.</w:t>
      </w:r>
    </w:p>
    <w:p w14:paraId="3C83431B" w14:textId="6C0970E5"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Zamawe, F.C. (2015). The Implication of Using NVivo Software in Qualitative Data Analysis: Evidence-Based Reflections. </w:t>
      </w:r>
      <w:r w:rsidRPr="00DA0562">
        <w:rPr>
          <w:rFonts w:ascii="Times New Roman" w:hAnsi="Times New Roman" w:cs="Times New Roman"/>
          <w:i/>
          <w:iCs/>
          <w:sz w:val="24"/>
          <w:szCs w:val="24"/>
        </w:rPr>
        <w:t>Malawi Medical Journal</w:t>
      </w:r>
      <w:r w:rsidRPr="00DA0562">
        <w:rPr>
          <w:rFonts w:ascii="Times New Roman" w:hAnsi="Times New Roman" w:cs="Times New Roman"/>
          <w:sz w:val="24"/>
          <w:szCs w:val="24"/>
        </w:rPr>
        <w:t>,</w:t>
      </w:r>
      <w:r w:rsidR="00921F41">
        <w:rPr>
          <w:rFonts w:ascii="Times New Roman" w:hAnsi="Times New Roman" w:cs="Times New Roman"/>
          <w:sz w:val="24"/>
          <w:szCs w:val="24"/>
        </w:rPr>
        <w:t xml:space="preserve"> </w:t>
      </w:r>
      <w:r w:rsidRPr="00DA0562">
        <w:rPr>
          <w:rFonts w:ascii="Times New Roman" w:hAnsi="Times New Roman" w:cs="Times New Roman"/>
          <w:sz w:val="24"/>
          <w:szCs w:val="24"/>
        </w:rPr>
        <w:t>27(1), pp.13–15. doi:</w:t>
      </w:r>
      <w:r w:rsidR="00921F41">
        <w:rPr>
          <w:rFonts w:ascii="Times New Roman" w:hAnsi="Times New Roman" w:cs="Times New Roman"/>
          <w:sz w:val="24"/>
          <w:szCs w:val="24"/>
        </w:rPr>
        <w:t xml:space="preserve"> </w:t>
      </w:r>
      <w:hyperlink r:id="rId54" w:history="1">
        <w:r w:rsidR="00921F41" w:rsidRPr="00DA0562">
          <w:rPr>
            <w:rStyle w:val="Hyperlink"/>
            <w:rFonts w:ascii="Times New Roman" w:hAnsi="Times New Roman" w:cs="Times New Roman"/>
            <w:sz w:val="24"/>
            <w:szCs w:val="24"/>
          </w:rPr>
          <w:t>https://doi.org/10.4314/mmj.v27i1.4</w:t>
        </w:r>
      </w:hyperlink>
      <w:r w:rsidRPr="00DA0562">
        <w:rPr>
          <w:rFonts w:ascii="Times New Roman" w:hAnsi="Times New Roman" w:cs="Times New Roman"/>
          <w:sz w:val="24"/>
          <w:szCs w:val="24"/>
        </w:rPr>
        <w:t>.</w:t>
      </w:r>
    </w:p>
    <w:p w14:paraId="12B23DD9" w14:textId="605DBDE9"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Zecher (2013). </w:t>
      </w:r>
      <w:r w:rsidRPr="00DA0562">
        <w:rPr>
          <w:rFonts w:ascii="Times New Roman" w:hAnsi="Times New Roman" w:cs="Times New Roman"/>
          <w:i/>
          <w:iCs/>
          <w:sz w:val="24"/>
          <w:szCs w:val="24"/>
        </w:rPr>
        <w:t>Management control systems:</w:t>
      </w:r>
      <w:r w:rsidR="00921F41">
        <w:rPr>
          <w:rFonts w:ascii="Times New Roman" w:hAnsi="Times New Roman" w:cs="Times New Roman"/>
          <w:i/>
          <w:iCs/>
          <w:sz w:val="24"/>
          <w:szCs w:val="24"/>
        </w:rPr>
        <w:t xml:space="preserve"> </w:t>
      </w:r>
      <w:hyperlink r:id="rId55" w:history="1">
        <w:r w:rsidR="00921F41" w:rsidRPr="00DA0562">
          <w:rPr>
            <w:rStyle w:val="Hyperlink"/>
            <w:rFonts w:ascii="Times New Roman" w:hAnsi="Times New Roman" w:cs="Times New Roman"/>
            <w:sz w:val="24"/>
            <w:szCs w:val="24"/>
          </w:rPr>
          <w:t>https://search.proquest.com/openview/3095d0892b6aeaf3d17b97ff34918804/1?pq-origsite=gscholar&amp;cbl=2044286</w:t>
        </w:r>
      </w:hyperlink>
      <w:r w:rsidRPr="00DA0562">
        <w:rPr>
          <w:rFonts w:ascii="Times New Roman" w:hAnsi="Times New Roman" w:cs="Times New Roman"/>
          <w:sz w:val="24"/>
          <w:szCs w:val="24"/>
        </w:rPr>
        <w:t>.</w:t>
      </w:r>
    </w:p>
    <w:p w14:paraId="5AFB7BE8" w14:textId="317F89CF"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Zhu, Q., Crotty, J. and Sarkis, J. (2008). A Cross-Country Empirical Comparison of Environmental Supply Chain Management Practices in the Automotive Industry. </w:t>
      </w:r>
      <w:r w:rsidRPr="00DA0562">
        <w:rPr>
          <w:rFonts w:ascii="Times New Roman" w:hAnsi="Times New Roman" w:cs="Times New Roman"/>
          <w:i/>
          <w:iCs/>
          <w:sz w:val="24"/>
          <w:szCs w:val="24"/>
        </w:rPr>
        <w:lastRenderedPageBreak/>
        <w:t>Asian Business &amp; Management</w:t>
      </w:r>
      <w:r w:rsidRPr="00DA0562">
        <w:rPr>
          <w:rFonts w:ascii="Times New Roman" w:hAnsi="Times New Roman" w:cs="Times New Roman"/>
          <w:sz w:val="24"/>
          <w:szCs w:val="24"/>
        </w:rPr>
        <w:t>, 7(4), pp.467–488. doi:</w:t>
      </w:r>
      <w:r w:rsidR="00921F41">
        <w:rPr>
          <w:rFonts w:ascii="Times New Roman" w:hAnsi="Times New Roman" w:cs="Times New Roman"/>
          <w:sz w:val="24"/>
          <w:szCs w:val="24"/>
        </w:rPr>
        <w:t xml:space="preserve"> </w:t>
      </w:r>
      <w:hyperlink r:id="rId56" w:history="1">
        <w:r w:rsidR="00921F41" w:rsidRPr="00DA0562">
          <w:rPr>
            <w:rStyle w:val="Hyperlink"/>
            <w:rFonts w:ascii="Times New Roman" w:hAnsi="Times New Roman" w:cs="Times New Roman"/>
            <w:sz w:val="24"/>
            <w:szCs w:val="24"/>
          </w:rPr>
          <w:t>https://doi.org/10.1057/abm.2008.20</w:t>
        </w:r>
      </w:hyperlink>
      <w:r w:rsidRPr="00DA0562">
        <w:rPr>
          <w:rFonts w:ascii="Times New Roman" w:hAnsi="Times New Roman" w:cs="Times New Roman"/>
          <w:sz w:val="24"/>
          <w:szCs w:val="24"/>
        </w:rPr>
        <w:t>.</w:t>
      </w:r>
    </w:p>
    <w:p w14:paraId="7CCD5775" w14:textId="69674F33" w:rsidR="00DA0562" w:rsidRDefault="00DA0562" w:rsidP="00832AB8">
      <w:pPr>
        <w:spacing w:after="0" w:line="360" w:lineRule="auto"/>
        <w:ind w:left="720" w:hanging="720"/>
        <w:rPr>
          <w:rFonts w:ascii="Times New Roman" w:hAnsi="Times New Roman" w:cs="Times New Roman"/>
          <w:sz w:val="24"/>
          <w:szCs w:val="24"/>
        </w:rPr>
      </w:pPr>
      <w:r w:rsidRPr="00DA0562">
        <w:rPr>
          <w:rFonts w:ascii="Times New Roman" w:hAnsi="Times New Roman" w:cs="Times New Roman"/>
          <w:sz w:val="24"/>
          <w:szCs w:val="24"/>
        </w:rPr>
        <w:t xml:space="preserve">Ziegler, D.S. and Abdelkafi, N. (2023). Exploring the automotive transition: A technological and business model perspective. </w:t>
      </w:r>
      <w:r w:rsidRPr="00DA0562">
        <w:rPr>
          <w:rFonts w:ascii="Times New Roman" w:hAnsi="Times New Roman" w:cs="Times New Roman"/>
          <w:i/>
          <w:iCs/>
          <w:sz w:val="24"/>
          <w:szCs w:val="24"/>
        </w:rPr>
        <w:t>Journal of Cleaner Production</w:t>
      </w:r>
      <w:r w:rsidRPr="00DA0562">
        <w:rPr>
          <w:rFonts w:ascii="Times New Roman" w:hAnsi="Times New Roman" w:cs="Times New Roman"/>
          <w:sz w:val="24"/>
          <w:szCs w:val="24"/>
        </w:rPr>
        <w:t>, 421, pp.138562–138562. doi:</w:t>
      </w:r>
      <w:r w:rsidR="00921F41">
        <w:rPr>
          <w:rFonts w:ascii="Times New Roman" w:hAnsi="Times New Roman" w:cs="Times New Roman"/>
          <w:sz w:val="24"/>
          <w:szCs w:val="24"/>
        </w:rPr>
        <w:t xml:space="preserve"> </w:t>
      </w:r>
      <w:hyperlink r:id="rId57" w:history="1">
        <w:r w:rsidR="00921F41" w:rsidRPr="00DA0562">
          <w:rPr>
            <w:rStyle w:val="Hyperlink"/>
            <w:rFonts w:ascii="Times New Roman" w:hAnsi="Times New Roman" w:cs="Times New Roman"/>
            <w:sz w:val="24"/>
            <w:szCs w:val="24"/>
          </w:rPr>
          <w:t>https://doi.org/10.1016/j.jclepro.2023.138562</w:t>
        </w:r>
      </w:hyperlink>
      <w:r w:rsidRPr="00DA0562">
        <w:rPr>
          <w:rFonts w:ascii="Times New Roman" w:hAnsi="Times New Roman" w:cs="Times New Roman"/>
          <w:sz w:val="24"/>
          <w:szCs w:val="24"/>
        </w:rPr>
        <w:t>.</w:t>
      </w:r>
    </w:p>
    <w:p w14:paraId="7BE2C705" w14:textId="77777777" w:rsidR="00DA0562" w:rsidRPr="00BD6DE9" w:rsidRDefault="00DA0562" w:rsidP="00BD6DE9">
      <w:pPr>
        <w:spacing w:after="0" w:line="360" w:lineRule="auto"/>
        <w:ind w:firstLine="720"/>
        <w:rPr>
          <w:rFonts w:ascii="Times New Roman" w:hAnsi="Times New Roman" w:cs="Times New Roman"/>
          <w:sz w:val="24"/>
          <w:szCs w:val="24"/>
        </w:rPr>
      </w:pPr>
    </w:p>
    <w:p w14:paraId="00688A3D" w14:textId="77777777" w:rsidR="00706C98" w:rsidRPr="00BD6DE9" w:rsidRDefault="00706C98" w:rsidP="00BD6DE9">
      <w:pPr>
        <w:spacing w:after="0" w:line="360" w:lineRule="auto"/>
        <w:ind w:firstLine="720"/>
        <w:rPr>
          <w:rFonts w:ascii="Times New Roman" w:hAnsi="Times New Roman" w:cs="Times New Roman"/>
          <w:sz w:val="24"/>
          <w:szCs w:val="24"/>
        </w:rPr>
      </w:pPr>
    </w:p>
    <w:p w14:paraId="04D9D703" w14:textId="77777777" w:rsidR="00706C98" w:rsidRPr="00BD6DE9" w:rsidRDefault="00706C98" w:rsidP="00BD6DE9">
      <w:pPr>
        <w:pStyle w:val="Heading1"/>
        <w:spacing w:before="0" w:after="0" w:line="360" w:lineRule="auto"/>
        <w:ind w:firstLine="720"/>
        <w:rPr>
          <w:rFonts w:ascii="Times New Roman" w:hAnsi="Times New Roman" w:cs="Times New Roman"/>
          <w:b/>
          <w:bCs/>
          <w:color w:val="auto"/>
          <w:sz w:val="24"/>
          <w:szCs w:val="24"/>
        </w:rPr>
      </w:pPr>
      <w:bookmarkStart w:id="3" w:name="_Toc215301654"/>
      <w:r w:rsidRPr="00BD6DE9">
        <w:rPr>
          <w:rFonts w:ascii="Times New Roman" w:hAnsi="Times New Roman" w:cs="Times New Roman"/>
          <w:b/>
          <w:bCs/>
          <w:color w:val="auto"/>
          <w:sz w:val="24"/>
          <w:szCs w:val="24"/>
        </w:rPr>
        <w:br w:type="page"/>
      </w:r>
    </w:p>
    <w:p w14:paraId="0E5EFDBA" w14:textId="7D10B417" w:rsidR="00706C98" w:rsidRPr="00BD6DE9" w:rsidRDefault="00706C98" w:rsidP="00921F41">
      <w:pPr>
        <w:pStyle w:val="Heading1"/>
        <w:spacing w:before="0" w:after="0" w:line="360" w:lineRule="auto"/>
        <w:jc w:val="center"/>
        <w:rPr>
          <w:rFonts w:ascii="Times New Roman" w:hAnsi="Times New Roman" w:cs="Times New Roman"/>
          <w:b/>
          <w:bCs/>
          <w:color w:val="auto"/>
          <w:sz w:val="24"/>
          <w:szCs w:val="24"/>
        </w:rPr>
      </w:pPr>
      <w:r w:rsidRPr="00BD6DE9">
        <w:rPr>
          <w:rFonts w:ascii="Times New Roman" w:hAnsi="Times New Roman" w:cs="Times New Roman"/>
          <w:b/>
          <w:bCs/>
          <w:color w:val="auto"/>
          <w:sz w:val="24"/>
          <w:szCs w:val="24"/>
        </w:rPr>
        <w:lastRenderedPageBreak/>
        <w:t>APPENDICES</w:t>
      </w:r>
      <w:bookmarkEnd w:id="3"/>
    </w:p>
    <w:p w14:paraId="6D3882A3" w14:textId="77777777" w:rsidR="00706C98" w:rsidRPr="00921F41" w:rsidRDefault="00706C98" w:rsidP="00921F41">
      <w:pPr>
        <w:pStyle w:val="Heading2"/>
        <w:rPr>
          <w:rFonts w:ascii="Times New Roman" w:hAnsi="Times New Roman" w:cs="Times New Roman"/>
          <w:b/>
          <w:bCs/>
          <w:i/>
          <w:iCs/>
          <w:color w:val="auto"/>
          <w:sz w:val="24"/>
          <w:szCs w:val="24"/>
        </w:rPr>
      </w:pPr>
      <w:bookmarkStart w:id="4" w:name="_Toc214821154"/>
      <w:r w:rsidRPr="00921F41">
        <w:rPr>
          <w:rFonts w:ascii="Times New Roman" w:hAnsi="Times New Roman" w:cs="Times New Roman"/>
          <w:b/>
          <w:bCs/>
          <w:color w:val="auto"/>
          <w:sz w:val="24"/>
          <w:szCs w:val="24"/>
        </w:rPr>
        <w:t xml:space="preserve">Appendix </w:t>
      </w:r>
      <w:r w:rsidRPr="00921F41">
        <w:rPr>
          <w:rFonts w:ascii="Times New Roman" w:hAnsi="Times New Roman" w:cs="Times New Roman"/>
          <w:b/>
          <w:bCs/>
          <w:i/>
          <w:iCs/>
          <w:color w:val="auto"/>
          <w:sz w:val="24"/>
          <w:szCs w:val="24"/>
        </w:rPr>
        <w:fldChar w:fldCharType="begin"/>
      </w:r>
      <w:r w:rsidRPr="00921F41">
        <w:rPr>
          <w:rFonts w:ascii="Times New Roman" w:hAnsi="Times New Roman" w:cs="Times New Roman"/>
          <w:b/>
          <w:bCs/>
          <w:color w:val="auto"/>
          <w:sz w:val="24"/>
          <w:szCs w:val="24"/>
        </w:rPr>
        <w:instrText xml:space="preserve"> SEQ Appendix \* ROMAN </w:instrText>
      </w:r>
      <w:r w:rsidRPr="00921F41">
        <w:rPr>
          <w:rFonts w:ascii="Times New Roman" w:hAnsi="Times New Roman" w:cs="Times New Roman"/>
          <w:b/>
          <w:bCs/>
          <w:i/>
          <w:iCs/>
          <w:color w:val="auto"/>
          <w:sz w:val="24"/>
          <w:szCs w:val="24"/>
        </w:rPr>
        <w:fldChar w:fldCharType="separate"/>
      </w:r>
      <w:r w:rsidRPr="00921F41">
        <w:rPr>
          <w:rFonts w:ascii="Times New Roman" w:hAnsi="Times New Roman" w:cs="Times New Roman"/>
          <w:b/>
          <w:bCs/>
          <w:noProof/>
          <w:color w:val="auto"/>
          <w:sz w:val="24"/>
          <w:szCs w:val="24"/>
        </w:rPr>
        <w:t>I</w:t>
      </w:r>
      <w:r w:rsidRPr="00921F41">
        <w:rPr>
          <w:rFonts w:ascii="Times New Roman" w:hAnsi="Times New Roman" w:cs="Times New Roman"/>
          <w:b/>
          <w:bCs/>
          <w:i/>
          <w:iCs/>
          <w:color w:val="auto"/>
          <w:sz w:val="24"/>
          <w:szCs w:val="24"/>
        </w:rPr>
        <w:fldChar w:fldCharType="end"/>
      </w:r>
      <w:r w:rsidRPr="00921F41">
        <w:rPr>
          <w:rFonts w:ascii="Times New Roman" w:hAnsi="Times New Roman" w:cs="Times New Roman"/>
          <w:b/>
          <w:bCs/>
          <w:color w:val="auto"/>
          <w:sz w:val="24"/>
          <w:szCs w:val="24"/>
        </w:rPr>
        <w:t>: Work Plan</w:t>
      </w:r>
      <w:bookmarkEnd w:id="4"/>
    </w:p>
    <w:tbl>
      <w:tblPr>
        <w:tblStyle w:val="TableGrid"/>
        <w:tblW w:w="9360" w:type="dxa"/>
        <w:tblInd w:w="0" w:type="dxa"/>
        <w:tblLook w:val="04A0" w:firstRow="1" w:lastRow="0" w:firstColumn="1" w:lastColumn="0" w:noHBand="0" w:noVBand="1"/>
      </w:tblPr>
      <w:tblGrid>
        <w:gridCol w:w="2673"/>
        <w:gridCol w:w="1404"/>
        <w:gridCol w:w="171"/>
        <w:gridCol w:w="1433"/>
        <w:gridCol w:w="1918"/>
        <w:gridCol w:w="1761"/>
      </w:tblGrid>
      <w:tr w:rsidR="00B34E60" w:rsidRPr="00921F41" w14:paraId="5CA45A4D" w14:textId="77777777" w:rsidTr="00921F41">
        <w:trPr>
          <w:trHeight w:val="778"/>
        </w:trPr>
        <w:tc>
          <w:tcPr>
            <w:tcW w:w="2673" w:type="dxa"/>
          </w:tcPr>
          <w:p w14:paraId="764D7587" w14:textId="69D2561E" w:rsidR="00B34E60" w:rsidRPr="00921F41" w:rsidRDefault="00B34E60" w:rsidP="00BD6DE9">
            <w:pPr>
              <w:spacing w:line="360" w:lineRule="auto"/>
              <w:ind w:firstLine="720"/>
              <w:rPr>
                <w:rFonts w:ascii="Times New Roman" w:hAnsi="Times New Roman" w:cs="Times New Roman"/>
                <w:b/>
                <w:bCs/>
                <w:sz w:val="24"/>
                <w:szCs w:val="24"/>
              </w:rPr>
            </w:pPr>
            <w:r w:rsidRPr="00921F41">
              <w:rPr>
                <w:rFonts w:ascii="Times New Roman" w:hAnsi="Times New Roman" w:cs="Times New Roman"/>
                <w:b/>
                <w:bCs/>
                <w:sz w:val="24"/>
                <w:szCs w:val="24"/>
              </w:rPr>
              <w:t>Year</w:t>
            </w:r>
          </w:p>
        </w:tc>
        <w:tc>
          <w:tcPr>
            <w:tcW w:w="6687" w:type="dxa"/>
            <w:gridSpan w:val="5"/>
          </w:tcPr>
          <w:p w14:paraId="22377435" w14:textId="0D6EFD6A" w:rsidR="00B34E60" w:rsidRPr="00921F41" w:rsidRDefault="00B34E60" w:rsidP="00921F41">
            <w:pPr>
              <w:spacing w:line="360" w:lineRule="auto"/>
              <w:jc w:val="center"/>
              <w:rPr>
                <w:rFonts w:ascii="Times New Roman" w:hAnsi="Times New Roman" w:cs="Times New Roman"/>
                <w:b/>
                <w:bCs/>
                <w:sz w:val="24"/>
                <w:szCs w:val="24"/>
              </w:rPr>
            </w:pPr>
            <w:r w:rsidRPr="00921F41">
              <w:rPr>
                <w:rFonts w:ascii="Times New Roman" w:hAnsi="Times New Roman" w:cs="Times New Roman"/>
                <w:b/>
                <w:bCs/>
                <w:sz w:val="24"/>
                <w:szCs w:val="24"/>
              </w:rPr>
              <w:t>2026</w:t>
            </w:r>
          </w:p>
        </w:tc>
      </w:tr>
      <w:tr w:rsidR="00B34E60" w:rsidRPr="00921F41" w14:paraId="320663AD" w14:textId="77777777" w:rsidTr="00921F41">
        <w:trPr>
          <w:trHeight w:val="778"/>
        </w:trPr>
        <w:tc>
          <w:tcPr>
            <w:tcW w:w="2673" w:type="dxa"/>
          </w:tcPr>
          <w:p w14:paraId="4EED74F5" w14:textId="77777777" w:rsidR="00B34E60" w:rsidRPr="00921F41" w:rsidRDefault="00B34E60" w:rsidP="00BD6DE9">
            <w:pPr>
              <w:pStyle w:val="Caption"/>
              <w:spacing w:after="0" w:line="360" w:lineRule="auto"/>
              <w:ind w:firstLine="720"/>
              <w:rPr>
                <w:rFonts w:ascii="Times New Roman" w:hAnsi="Times New Roman" w:cs="Times New Roman"/>
                <w:b/>
                <w:bCs/>
                <w:i w:val="0"/>
                <w:iCs w:val="0"/>
                <w:color w:val="auto"/>
                <w:sz w:val="24"/>
                <w:szCs w:val="24"/>
              </w:rPr>
            </w:pPr>
            <w:r w:rsidRPr="00921F41">
              <w:rPr>
                <w:rFonts w:ascii="Times New Roman" w:hAnsi="Times New Roman" w:cs="Times New Roman"/>
                <w:b/>
                <w:bCs/>
                <w:i w:val="0"/>
                <w:iCs w:val="0"/>
                <w:color w:val="auto"/>
                <w:sz w:val="24"/>
                <w:szCs w:val="24"/>
              </w:rPr>
              <w:t xml:space="preserve">                      Month</w:t>
            </w:r>
          </w:p>
          <w:p w14:paraId="06ACBAB1" w14:textId="77777777" w:rsidR="00B34E60" w:rsidRPr="00921F41" w:rsidRDefault="00B34E60" w:rsidP="00BD6DE9">
            <w:pPr>
              <w:spacing w:line="360" w:lineRule="auto"/>
              <w:ind w:firstLine="720"/>
              <w:rPr>
                <w:rFonts w:ascii="Times New Roman" w:hAnsi="Times New Roman" w:cs="Times New Roman"/>
                <w:sz w:val="24"/>
                <w:szCs w:val="24"/>
              </w:rPr>
            </w:pPr>
            <w:r w:rsidRPr="00921F41">
              <w:rPr>
                <w:rFonts w:ascii="Times New Roman" w:hAnsi="Times New Roman" w:cs="Times New Roman"/>
                <w:b/>
                <w:bCs/>
                <w:sz w:val="24"/>
                <w:szCs w:val="24"/>
              </w:rPr>
              <w:t>Activities</w:t>
            </w:r>
          </w:p>
        </w:tc>
        <w:tc>
          <w:tcPr>
            <w:tcW w:w="1575" w:type="dxa"/>
            <w:gridSpan w:val="2"/>
          </w:tcPr>
          <w:p w14:paraId="2B82CA0E" w14:textId="77777777" w:rsidR="00B34E60" w:rsidRPr="00921F41" w:rsidRDefault="00B34E60" w:rsidP="00921F41">
            <w:pPr>
              <w:spacing w:line="360" w:lineRule="auto"/>
              <w:rPr>
                <w:rFonts w:ascii="Times New Roman" w:hAnsi="Times New Roman" w:cs="Times New Roman"/>
                <w:b/>
                <w:bCs/>
                <w:sz w:val="24"/>
                <w:szCs w:val="24"/>
              </w:rPr>
            </w:pPr>
            <w:r w:rsidRPr="00921F41">
              <w:rPr>
                <w:rFonts w:ascii="Times New Roman" w:hAnsi="Times New Roman" w:cs="Times New Roman"/>
                <w:b/>
                <w:bCs/>
                <w:sz w:val="24"/>
                <w:szCs w:val="24"/>
              </w:rPr>
              <w:t>Jan - March</w:t>
            </w:r>
          </w:p>
        </w:tc>
        <w:tc>
          <w:tcPr>
            <w:tcW w:w="1433" w:type="dxa"/>
          </w:tcPr>
          <w:p w14:paraId="538E45F0" w14:textId="77777777" w:rsidR="00B34E60" w:rsidRPr="00921F41" w:rsidRDefault="00B34E60" w:rsidP="00921F41">
            <w:pPr>
              <w:spacing w:line="360" w:lineRule="auto"/>
              <w:rPr>
                <w:rFonts w:ascii="Times New Roman" w:hAnsi="Times New Roman" w:cs="Times New Roman"/>
                <w:b/>
                <w:bCs/>
                <w:sz w:val="24"/>
                <w:szCs w:val="24"/>
              </w:rPr>
            </w:pPr>
            <w:r w:rsidRPr="00921F41">
              <w:rPr>
                <w:rFonts w:ascii="Times New Roman" w:hAnsi="Times New Roman" w:cs="Times New Roman"/>
                <w:b/>
                <w:bCs/>
                <w:sz w:val="24"/>
                <w:szCs w:val="24"/>
              </w:rPr>
              <w:t>April- June</w:t>
            </w:r>
          </w:p>
        </w:tc>
        <w:tc>
          <w:tcPr>
            <w:tcW w:w="1918" w:type="dxa"/>
          </w:tcPr>
          <w:p w14:paraId="141DF3A3" w14:textId="77777777" w:rsidR="00B34E60" w:rsidRPr="00921F41" w:rsidRDefault="00B34E60" w:rsidP="00921F41">
            <w:pPr>
              <w:spacing w:line="360" w:lineRule="auto"/>
              <w:rPr>
                <w:rFonts w:ascii="Times New Roman" w:hAnsi="Times New Roman" w:cs="Times New Roman"/>
                <w:b/>
                <w:bCs/>
                <w:sz w:val="24"/>
                <w:szCs w:val="24"/>
              </w:rPr>
            </w:pPr>
            <w:r w:rsidRPr="00921F41">
              <w:rPr>
                <w:rFonts w:ascii="Times New Roman" w:hAnsi="Times New Roman" w:cs="Times New Roman"/>
                <w:b/>
                <w:bCs/>
                <w:sz w:val="24"/>
                <w:szCs w:val="24"/>
              </w:rPr>
              <w:t>July-Sept</w:t>
            </w:r>
          </w:p>
        </w:tc>
        <w:tc>
          <w:tcPr>
            <w:tcW w:w="1761" w:type="dxa"/>
          </w:tcPr>
          <w:p w14:paraId="5C1879D2" w14:textId="77777777" w:rsidR="00B34E60" w:rsidRPr="00921F41" w:rsidRDefault="00B34E60" w:rsidP="00921F41">
            <w:pPr>
              <w:spacing w:line="360" w:lineRule="auto"/>
              <w:rPr>
                <w:rFonts w:ascii="Times New Roman" w:hAnsi="Times New Roman" w:cs="Times New Roman"/>
                <w:b/>
                <w:bCs/>
                <w:sz w:val="24"/>
                <w:szCs w:val="24"/>
              </w:rPr>
            </w:pPr>
            <w:r w:rsidRPr="00921F41">
              <w:rPr>
                <w:rFonts w:ascii="Times New Roman" w:hAnsi="Times New Roman" w:cs="Times New Roman"/>
                <w:b/>
                <w:bCs/>
                <w:sz w:val="24"/>
                <w:szCs w:val="24"/>
              </w:rPr>
              <w:t>Oct-Dec</w:t>
            </w:r>
          </w:p>
        </w:tc>
      </w:tr>
      <w:tr w:rsidR="00B34E60" w:rsidRPr="00921F41" w14:paraId="4FDB97BD" w14:textId="77777777" w:rsidTr="00921F41">
        <w:trPr>
          <w:trHeight w:val="559"/>
        </w:trPr>
        <w:tc>
          <w:tcPr>
            <w:tcW w:w="2673" w:type="dxa"/>
          </w:tcPr>
          <w:p w14:paraId="28292C38" w14:textId="77777777" w:rsidR="00B34E60" w:rsidRPr="00921F41" w:rsidRDefault="00B34E60" w:rsidP="00BD6DE9">
            <w:pPr>
              <w:spacing w:line="360" w:lineRule="auto"/>
              <w:ind w:firstLine="720"/>
              <w:rPr>
                <w:rFonts w:ascii="Times New Roman" w:hAnsi="Times New Roman" w:cs="Times New Roman"/>
                <w:sz w:val="24"/>
                <w:szCs w:val="24"/>
              </w:rPr>
            </w:pPr>
            <w:r w:rsidRPr="00921F41">
              <w:rPr>
                <w:rFonts w:ascii="Times New Roman" w:hAnsi="Times New Roman" w:cs="Times New Roman"/>
                <w:sz w:val="24"/>
                <w:szCs w:val="24"/>
              </w:rPr>
              <w:t>Concept development</w:t>
            </w:r>
          </w:p>
        </w:tc>
        <w:tc>
          <w:tcPr>
            <w:tcW w:w="1404" w:type="dxa"/>
            <w:shd w:val="clear" w:color="auto" w:fill="000000" w:themeFill="text1"/>
          </w:tcPr>
          <w:p w14:paraId="4E921791" w14:textId="77777777" w:rsidR="00B34E60" w:rsidRPr="00921F41" w:rsidRDefault="00B34E60" w:rsidP="00BD6DE9">
            <w:pPr>
              <w:spacing w:line="360" w:lineRule="auto"/>
              <w:ind w:firstLine="720"/>
              <w:rPr>
                <w:rFonts w:ascii="Times New Roman" w:hAnsi="Times New Roman" w:cs="Times New Roman"/>
                <w:sz w:val="24"/>
                <w:szCs w:val="24"/>
              </w:rPr>
            </w:pPr>
          </w:p>
        </w:tc>
        <w:tc>
          <w:tcPr>
            <w:tcW w:w="1604" w:type="dxa"/>
            <w:gridSpan w:val="2"/>
          </w:tcPr>
          <w:p w14:paraId="559EEA7E" w14:textId="77777777" w:rsidR="00B34E60" w:rsidRPr="00921F41" w:rsidRDefault="00B34E60" w:rsidP="00BD6DE9">
            <w:pPr>
              <w:spacing w:line="360" w:lineRule="auto"/>
              <w:ind w:firstLine="720"/>
              <w:rPr>
                <w:rFonts w:ascii="Times New Roman" w:hAnsi="Times New Roman" w:cs="Times New Roman"/>
                <w:sz w:val="24"/>
                <w:szCs w:val="24"/>
              </w:rPr>
            </w:pPr>
          </w:p>
        </w:tc>
        <w:tc>
          <w:tcPr>
            <w:tcW w:w="1918" w:type="dxa"/>
          </w:tcPr>
          <w:p w14:paraId="4C96D54A" w14:textId="77777777" w:rsidR="00B34E60" w:rsidRPr="00921F41" w:rsidRDefault="00B34E60" w:rsidP="00BD6DE9">
            <w:pPr>
              <w:spacing w:line="360" w:lineRule="auto"/>
              <w:ind w:firstLine="720"/>
              <w:rPr>
                <w:rFonts w:ascii="Times New Roman" w:hAnsi="Times New Roman" w:cs="Times New Roman"/>
                <w:sz w:val="24"/>
                <w:szCs w:val="24"/>
              </w:rPr>
            </w:pPr>
          </w:p>
        </w:tc>
        <w:tc>
          <w:tcPr>
            <w:tcW w:w="1761" w:type="dxa"/>
          </w:tcPr>
          <w:p w14:paraId="518158D7" w14:textId="77777777" w:rsidR="00B34E60" w:rsidRPr="00921F41" w:rsidRDefault="00B34E60" w:rsidP="00BD6DE9">
            <w:pPr>
              <w:spacing w:line="360" w:lineRule="auto"/>
              <w:ind w:firstLine="720"/>
              <w:rPr>
                <w:rFonts w:ascii="Times New Roman" w:hAnsi="Times New Roman" w:cs="Times New Roman"/>
                <w:sz w:val="24"/>
                <w:szCs w:val="24"/>
              </w:rPr>
            </w:pPr>
          </w:p>
        </w:tc>
      </w:tr>
      <w:tr w:rsidR="00B34E60" w:rsidRPr="00921F41" w14:paraId="100CF52D" w14:textId="77777777" w:rsidTr="00921F41">
        <w:trPr>
          <w:trHeight w:val="575"/>
        </w:trPr>
        <w:tc>
          <w:tcPr>
            <w:tcW w:w="2673" w:type="dxa"/>
          </w:tcPr>
          <w:p w14:paraId="36591F7A" w14:textId="77777777" w:rsidR="00B34E60" w:rsidRPr="00921F41" w:rsidRDefault="00B34E60" w:rsidP="00BD6DE9">
            <w:pPr>
              <w:spacing w:line="360" w:lineRule="auto"/>
              <w:ind w:firstLine="720"/>
              <w:rPr>
                <w:rFonts w:ascii="Times New Roman" w:hAnsi="Times New Roman" w:cs="Times New Roman"/>
                <w:sz w:val="24"/>
                <w:szCs w:val="24"/>
              </w:rPr>
            </w:pPr>
            <w:r w:rsidRPr="00921F41">
              <w:rPr>
                <w:rFonts w:ascii="Times New Roman" w:hAnsi="Times New Roman" w:cs="Times New Roman"/>
                <w:sz w:val="24"/>
                <w:szCs w:val="24"/>
              </w:rPr>
              <w:t>Proposal Development</w:t>
            </w:r>
          </w:p>
        </w:tc>
        <w:tc>
          <w:tcPr>
            <w:tcW w:w="1404" w:type="dxa"/>
            <w:shd w:val="clear" w:color="auto" w:fill="000000" w:themeFill="text1"/>
          </w:tcPr>
          <w:p w14:paraId="141961CA" w14:textId="77777777" w:rsidR="00B34E60" w:rsidRPr="00921F41" w:rsidRDefault="00B34E60" w:rsidP="00BD6DE9">
            <w:pPr>
              <w:spacing w:line="360" w:lineRule="auto"/>
              <w:ind w:firstLine="720"/>
              <w:rPr>
                <w:rFonts w:ascii="Times New Roman" w:hAnsi="Times New Roman" w:cs="Times New Roman"/>
                <w:sz w:val="24"/>
                <w:szCs w:val="24"/>
              </w:rPr>
            </w:pPr>
          </w:p>
        </w:tc>
        <w:tc>
          <w:tcPr>
            <w:tcW w:w="1604" w:type="dxa"/>
            <w:gridSpan w:val="2"/>
            <w:shd w:val="clear" w:color="auto" w:fill="FFFFFF" w:themeFill="background1"/>
          </w:tcPr>
          <w:p w14:paraId="2CC94D63" w14:textId="77777777" w:rsidR="00B34E60" w:rsidRPr="00921F41" w:rsidRDefault="00B34E60" w:rsidP="00BD6DE9">
            <w:pPr>
              <w:spacing w:line="360" w:lineRule="auto"/>
              <w:ind w:firstLine="720"/>
              <w:rPr>
                <w:rFonts w:ascii="Times New Roman" w:hAnsi="Times New Roman" w:cs="Times New Roman"/>
                <w:sz w:val="24"/>
                <w:szCs w:val="24"/>
              </w:rPr>
            </w:pPr>
          </w:p>
        </w:tc>
        <w:tc>
          <w:tcPr>
            <w:tcW w:w="1918" w:type="dxa"/>
          </w:tcPr>
          <w:p w14:paraId="41AAA1FC" w14:textId="77777777" w:rsidR="00B34E60" w:rsidRPr="00921F41" w:rsidRDefault="00B34E60" w:rsidP="00BD6DE9">
            <w:pPr>
              <w:spacing w:line="360" w:lineRule="auto"/>
              <w:ind w:firstLine="720"/>
              <w:rPr>
                <w:rFonts w:ascii="Times New Roman" w:hAnsi="Times New Roman" w:cs="Times New Roman"/>
                <w:sz w:val="24"/>
                <w:szCs w:val="24"/>
              </w:rPr>
            </w:pPr>
          </w:p>
        </w:tc>
        <w:tc>
          <w:tcPr>
            <w:tcW w:w="1761" w:type="dxa"/>
          </w:tcPr>
          <w:p w14:paraId="4A152447" w14:textId="77777777" w:rsidR="00B34E60" w:rsidRPr="00921F41" w:rsidRDefault="00B34E60" w:rsidP="00BD6DE9">
            <w:pPr>
              <w:spacing w:line="360" w:lineRule="auto"/>
              <w:ind w:firstLine="720"/>
              <w:rPr>
                <w:rFonts w:ascii="Times New Roman" w:hAnsi="Times New Roman" w:cs="Times New Roman"/>
                <w:sz w:val="24"/>
                <w:szCs w:val="24"/>
              </w:rPr>
            </w:pPr>
          </w:p>
        </w:tc>
      </w:tr>
      <w:tr w:rsidR="00B34E60" w:rsidRPr="00921F41" w14:paraId="56ED6DC5" w14:textId="77777777" w:rsidTr="00921F41">
        <w:trPr>
          <w:trHeight w:val="559"/>
        </w:trPr>
        <w:tc>
          <w:tcPr>
            <w:tcW w:w="2673" w:type="dxa"/>
          </w:tcPr>
          <w:p w14:paraId="5C26724C" w14:textId="77777777" w:rsidR="00B34E60" w:rsidRPr="00921F41" w:rsidRDefault="00B34E60" w:rsidP="00BD6DE9">
            <w:pPr>
              <w:spacing w:line="360" w:lineRule="auto"/>
              <w:ind w:firstLine="720"/>
              <w:rPr>
                <w:rFonts w:ascii="Times New Roman" w:hAnsi="Times New Roman" w:cs="Times New Roman"/>
                <w:sz w:val="24"/>
                <w:szCs w:val="24"/>
              </w:rPr>
            </w:pPr>
            <w:r w:rsidRPr="00921F41">
              <w:rPr>
                <w:rFonts w:ascii="Times New Roman" w:hAnsi="Times New Roman" w:cs="Times New Roman"/>
                <w:sz w:val="24"/>
                <w:szCs w:val="24"/>
              </w:rPr>
              <w:t>Data collection and cleaning.</w:t>
            </w:r>
          </w:p>
        </w:tc>
        <w:tc>
          <w:tcPr>
            <w:tcW w:w="1404" w:type="dxa"/>
          </w:tcPr>
          <w:p w14:paraId="49FBBB3B" w14:textId="77777777" w:rsidR="00B34E60" w:rsidRPr="00921F41" w:rsidRDefault="00B34E60" w:rsidP="00BD6DE9">
            <w:pPr>
              <w:spacing w:line="360" w:lineRule="auto"/>
              <w:ind w:firstLine="720"/>
              <w:rPr>
                <w:rFonts w:ascii="Times New Roman" w:hAnsi="Times New Roman" w:cs="Times New Roman"/>
                <w:sz w:val="24"/>
                <w:szCs w:val="24"/>
              </w:rPr>
            </w:pPr>
          </w:p>
        </w:tc>
        <w:tc>
          <w:tcPr>
            <w:tcW w:w="1604" w:type="dxa"/>
            <w:gridSpan w:val="2"/>
            <w:shd w:val="clear" w:color="auto" w:fill="000000" w:themeFill="text1"/>
          </w:tcPr>
          <w:p w14:paraId="594A964E" w14:textId="77777777" w:rsidR="00B34E60" w:rsidRPr="00921F41" w:rsidRDefault="00B34E60" w:rsidP="00BD6DE9">
            <w:pPr>
              <w:spacing w:line="360" w:lineRule="auto"/>
              <w:ind w:firstLine="720"/>
              <w:rPr>
                <w:rFonts w:ascii="Times New Roman" w:hAnsi="Times New Roman" w:cs="Times New Roman"/>
                <w:sz w:val="24"/>
                <w:szCs w:val="24"/>
              </w:rPr>
            </w:pPr>
          </w:p>
        </w:tc>
        <w:tc>
          <w:tcPr>
            <w:tcW w:w="1918" w:type="dxa"/>
            <w:shd w:val="clear" w:color="auto" w:fill="FFFFFF" w:themeFill="background1"/>
          </w:tcPr>
          <w:p w14:paraId="1D75204E" w14:textId="77777777" w:rsidR="00B34E60" w:rsidRPr="00921F41" w:rsidRDefault="00B34E60" w:rsidP="00BD6DE9">
            <w:pPr>
              <w:spacing w:line="360" w:lineRule="auto"/>
              <w:ind w:firstLine="720"/>
              <w:rPr>
                <w:rFonts w:ascii="Times New Roman" w:hAnsi="Times New Roman" w:cs="Times New Roman"/>
                <w:sz w:val="24"/>
                <w:szCs w:val="24"/>
              </w:rPr>
            </w:pPr>
          </w:p>
        </w:tc>
        <w:tc>
          <w:tcPr>
            <w:tcW w:w="1761" w:type="dxa"/>
          </w:tcPr>
          <w:p w14:paraId="31650E61" w14:textId="77777777" w:rsidR="00B34E60" w:rsidRPr="00921F41" w:rsidRDefault="00B34E60" w:rsidP="00BD6DE9">
            <w:pPr>
              <w:spacing w:line="360" w:lineRule="auto"/>
              <w:ind w:firstLine="720"/>
              <w:rPr>
                <w:rFonts w:ascii="Times New Roman" w:hAnsi="Times New Roman" w:cs="Times New Roman"/>
                <w:sz w:val="24"/>
                <w:szCs w:val="24"/>
              </w:rPr>
            </w:pPr>
          </w:p>
        </w:tc>
      </w:tr>
      <w:tr w:rsidR="00B34E60" w:rsidRPr="00921F41" w14:paraId="5CB45045" w14:textId="77777777" w:rsidTr="00921F41">
        <w:trPr>
          <w:trHeight w:val="856"/>
        </w:trPr>
        <w:tc>
          <w:tcPr>
            <w:tcW w:w="2673" w:type="dxa"/>
          </w:tcPr>
          <w:p w14:paraId="6D98FB40" w14:textId="77777777" w:rsidR="00B34E60" w:rsidRPr="00921F41" w:rsidRDefault="00B34E60" w:rsidP="00BD6DE9">
            <w:pPr>
              <w:spacing w:line="360" w:lineRule="auto"/>
              <w:ind w:firstLine="720"/>
              <w:rPr>
                <w:rFonts w:ascii="Times New Roman" w:hAnsi="Times New Roman" w:cs="Times New Roman"/>
                <w:sz w:val="24"/>
                <w:szCs w:val="24"/>
              </w:rPr>
            </w:pPr>
            <w:r w:rsidRPr="00921F41">
              <w:rPr>
                <w:rFonts w:ascii="Times New Roman" w:hAnsi="Times New Roman" w:cs="Times New Roman"/>
                <w:sz w:val="24"/>
                <w:szCs w:val="24"/>
              </w:rPr>
              <w:t>Data analysis and presentation of the first progress report.</w:t>
            </w:r>
          </w:p>
        </w:tc>
        <w:tc>
          <w:tcPr>
            <w:tcW w:w="1404" w:type="dxa"/>
          </w:tcPr>
          <w:p w14:paraId="20EBBA8A" w14:textId="77777777" w:rsidR="00B34E60" w:rsidRPr="00921F41" w:rsidRDefault="00B34E60" w:rsidP="00BD6DE9">
            <w:pPr>
              <w:spacing w:line="360" w:lineRule="auto"/>
              <w:ind w:firstLine="720"/>
              <w:rPr>
                <w:rFonts w:ascii="Times New Roman" w:hAnsi="Times New Roman" w:cs="Times New Roman"/>
                <w:sz w:val="24"/>
                <w:szCs w:val="24"/>
              </w:rPr>
            </w:pPr>
          </w:p>
        </w:tc>
        <w:tc>
          <w:tcPr>
            <w:tcW w:w="1604" w:type="dxa"/>
            <w:gridSpan w:val="2"/>
          </w:tcPr>
          <w:p w14:paraId="0E601661" w14:textId="77777777" w:rsidR="00B34E60" w:rsidRPr="00921F41" w:rsidRDefault="00B34E60" w:rsidP="00BD6DE9">
            <w:pPr>
              <w:spacing w:line="360" w:lineRule="auto"/>
              <w:ind w:firstLine="720"/>
              <w:rPr>
                <w:rFonts w:ascii="Times New Roman" w:hAnsi="Times New Roman" w:cs="Times New Roman"/>
                <w:sz w:val="24"/>
                <w:szCs w:val="24"/>
              </w:rPr>
            </w:pPr>
          </w:p>
        </w:tc>
        <w:tc>
          <w:tcPr>
            <w:tcW w:w="1918" w:type="dxa"/>
            <w:shd w:val="clear" w:color="auto" w:fill="000000" w:themeFill="text1"/>
          </w:tcPr>
          <w:p w14:paraId="17473D57" w14:textId="77777777" w:rsidR="00B34E60" w:rsidRPr="00921F41" w:rsidRDefault="00B34E60" w:rsidP="00BD6DE9">
            <w:pPr>
              <w:spacing w:line="360" w:lineRule="auto"/>
              <w:ind w:firstLine="720"/>
              <w:rPr>
                <w:rFonts w:ascii="Times New Roman" w:hAnsi="Times New Roman" w:cs="Times New Roman"/>
                <w:sz w:val="24"/>
                <w:szCs w:val="24"/>
              </w:rPr>
            </w:pPr>
          </w:p>
        </w:tc>
        <w:tc>
          <w:tcPr>
            <w:tcW w:w="1761" w:type="dxa"/>
            <w:shd w:val="clear" w:color="auto" w:fill="000000" w:themeFill="text1"/>
          </w:tcPr>
          <w:p w14:paraId="2308EBA1" w14:textId="77777777" w:rsidR="00B34E60" w:rsidRPr="00921F41" w:rsidRDefault="00B34E60" w:rsidP="00BD6DE9">
            <w:pPr>
              <w:spacing w:line="360" w:lineRule="auto"/>
              <w:ind w:firstLine="720"/>
              <w:rPr>
                <w:rFonts w:ascii="Times New Roman" w:hAnsi="Times New Roman" w:cs="Times New Roman"/>
                <w:sz w:val="24"/>
                <w:szCs w:val="24"/>
              </w:rPr>
            </w:pPr>
          </w:p>
        </w:tc>
      </w:tr>
      <w:tr w:rsidR="00B34E60" w:rsidRPr="00921F41" w14:paraId="7D89A9FF" w14:textId="77777777" w:rsidTr="00921F41">
        <w:trPr>
          <w:trHeight w:val="1175"/>
        </w:trPr>
        <w:tc>
          <w:tcPr>
            <w:tcW w:w="2673" w:type="dxa"/>
          </w:tcPr>
          <w:p w14:paraId="0C785105" w14:textId="77777777" w:rsidR="00B34E60" w:rsidRPr="00921F41" w:rsidRDefault="00B34E60" w:rsidP="00BD6DE9">
            <w:pPr>
              <w:spacing w:line="360" w:lineRule="auto"/>
              <w:ind w:firstLine="720"/>
              <w:rPr>
                <w:rFonts w:ascii="Times New Roman" w:hAnsi="Times New Roman" w:cs="Times New Roman"/>
                <w:sz w:val="24"/>
                <w:szCs w:val="24"/>
              </w:rPr>
            </w:pPr>
            <w:r w:rsidRPr="00921F41">
              <w:rPr>
                <w:rFonts w:ascii="Times New Roman" w:hAnsi="Times New Roman" w:cs="Times New Roman"/>
                <w:sz w:val="24"/>
                <w:szCs w:val="24"/>
              </w:rPr>
              <w:t>Manuscript writing and submission, and presentation of the 2nd progress report.</w:t>
            </w:r>
          </w:p>
        </w:tc>
        <w:tc>
          <w:tcPr>
            <w:tcW w:w="1404" w:type="dxa"/>
          </w:tcPr>
          <w:p w14:paraId="7EC8DA25" w14:textId="77777777" w:rsidR="00B34E60" w:rsidRPr="00921F41" w:rsidRDefault="00B34E60" w:rsidP="00BD6DE9">
            <w:pPr>
              <w:spacing w:line="360" w:lineRule="auto"/>
              <w:ind w:firstLine="720"/>
              <w:rPr>
                <w:rFonts w:ascii="Times New Roman" w:hAnsi="Times New Roman" w:cs="Times New Roman"/>
                <w:sz w:val="24"/>
                <w:szCs w:val="24"/>
              </w:rPr>
            </w:pPr>
          </w:p>
        </w:tc>
        <w:tc>
          <w:tcPr>
            <w:tcW w:w="1604" w:type="dxa"/>
            <w:gridSpan w:val="2"/>
          </w:tcPr>
          <w:p w14:paraId="7A65B985" w14:textId="77777777" w:rsidR="00B34E60" w:rsidRPr="00921F41" w:rsidRDefault="00B34E60" w:rsidP="00BD6DE9">
            <w:pPr>
              <w:spacing w:line="360" w:lineRule="auto"/>
              <w:ind w:firstLine="720"/>
              <w:rPr>
                <w:rFonts w:ascii="Times New Roman" w:hAnsi="Times New Roman" w:cs="Times New Roman"/>
                <w:sz w:val="24"/>
                <w:szCs w:val="24"/>
              </w:rPr>
            </w:pPr>
          </w:p>
        </w:tc>
        <w:tc>
          <w:tcPr>
            <w:tcW w:w="1918" w:type="dxa"/>
          </w:tcPr>
          <w:p w14:paraId="2B8B1BBA" w14:textId="77777777" w:rsidR="00B34E60" w:rsidRPr="00921F41" w:rsidRDefault="00B34E60" w:rsidP="00BD6DE9">
            <w:pPr>
              <w:spacing w:line="360" w:lineRule="auto"/>
              <w:ind w:firstLine="720"/>
              <w:rPr>
                <w:rFonts w:ascii="Times New Roman" w:hAnsi="Times New Roman" w:cs="Times New Roman"/>
                <w:sz w:val="24"/>
                <w:szCs w:val="24"/>
              </w:rPr>
            </w:pPr>
          </w:p>
        </w:tc>
        <w:tc>
          <w:tcPr>
            <w:tcW w:w="1761" w:type="dxa"/>
            <w:shd w:val="clear" w:color="auto" w:fill="000000" w:themeFill="text1"/>
          </w:tcPr>
          <w:p w14:paraId="12B38484" w14:textId="77777777" w:rsidR="00B34E60" w:rsidRPr="00921F41" w:rsidRDefault="00B34E60" w:rsidP="00BD6DE9">
            <w:pPr>
              <w:spacing w:line="360" w:lineRule="auto"/>
              <w:ind w:firstLine="720"/>
              <w:rPr>
                <w:rFonts w:ascii="Times New Roman" w:hAnsi="Times New Roman" w:cs="Times New Roman"/>
                <w:sz w:val="24"/>
                <w:szCs w:val="24"/>
              </w:rPr>
            </w:pPr>
          </w:p>
        </w:tc>
      </w:tr>
      <w:tr w:rsidR="00B34E60" w:rsidRPr="00921F41" w14:paraId="2C63BF3A" w14:textId="77777777" w:rsidTr="00921F41">
        <w:trPr>
          <w:trHeight w:val="856"/>
        </w:trPr>
        <w:tc>
          <w:tcPr>
            <w:tcW w:w="2673" w:type="dxa"/>
          </w:tcPr>
          <w:p w14:paraId="254BA31C" w14:textId="77777777" w:rsidR="00B34E60" w:rsidRPr="00921F41" w:rsidRDefault="00B34E60" w:rsidP="00BD6DE9">
            <w:pPr>
              <w:spacing w:line="360" w:lineRule="auto"/>
              <w:ind w:firstLine="720"/>
              <w:rPr>
                <w:rFonts w:ascii="Times New Roman" w:hAnsi="Times New Roman" w:cs="Times New Roman"/>
                <w:sz w:val="24"/>
                <w:szCs w:val="24"/>
              </w:rPr>
            </w:pPr>
            <w:r w:rsidRPr="00921F41">
              <w:rPr>
                <w:rFonts w:ascii="Times New Roman" w:hAnsi="Times New Roman" w:cs="Times New Roman"/>
                <w:sz w:val="24"/>
                <w:szCs w:val="24"/>
              </w:rPr>
              <w:t xml:space="preserve">Thesis writing, submission, and </w:t>
            </w:r>
            <w:proofErr w:type="spellStart"/>
            <w:r w:rsidRPr="00921F41">
              <w:rPr>
                <w:rFonts w:ascii="Times New Roman" w:hAnsi="Times New Roman" w:cs="Times New Roman"/>
                <w:sz w:val="24"/>
                <w:szCs w:val="24"/>
              </w:rPr>
              <w:t>defence</w:t>
            </w:r>
            <w:proofErr w:type="spellEnd"/>
            <w:r w:rsidRPr="00921F41">
              <w:rPr>
                <w:rFonts w:ascii="Times New Roman" w:hAnsi="Times New Roman" w:cs="Times New Roman"/>
                <w:sz w:val="24"/>
                <w:szCs w:val="24"/>
              </w:rPr>
              <w:t>.</w:t>
            </w:r>
          </w:p>
        </w:tc>
        <w:tc>
          <w:tcPr>
            <w:tcW w:w="1404" w:type="dxa"/>
          </w:tcPr>
          <w:p w14:paraId="61BD2C3B" w14:textId="77777777" w:rsidR="00B34E60" w:rsidRPr="00921F41" w:rsidRDefault="00B34E60" w:rsidP="00BD6DE9">
            <w:pPr>
              <w:spacing w:line="360" w:lineRule="auto"/>
              <w:ind w:firstLine="720"/>
              <w:rPr>
                <w:rFonts w:ascii="Times New Roman" w:hAnsi="Times New Roman" w:cs="Times New Roman"/>
                <w:sz w:val="24"/>
                <w:szCs w:val="24"/>
              </w:rPr>
            </w:pPr>
          </w:p>
        </w:tc>
        <w:tc>
          <w:tcPr>
            <w:tcW w:w="1604" w:type="dxa"/>
            <w:gridSpan w:val="2"/>
          </w:tcPr>
          <w:p w14:paraId="3156C314" w14:textId="77777777" w:rsidR="00B34E60" w:rsidRPr="00921F41" w:rsidRDefault="00B34E60" w:rsidP="00BD6DE9">
            <w:pPr>
              <w:spacing w:line="360" w:lineRule="auto"/>
              <w:ind w:firstLine="720"/>
              <w:rPr>
                <w:rFonts w:ascii="Times New Roman" w:hAnsi="Times New Roman" w:cs="Times New Roman"/>
                <w:sz w:val="24"/>
                <w:szCs w:val="24"/>
              </w:rPr>
            </w:pPr>
          </w:p>
        </w:tc>
        <w:tc>
          <w:tcPr>
            <w:tcW w:w="1918" w:type="dxa"/>
            <w:shd w:val="clear" w:color="auto" w:fill="FFFFFF" w:themeFill="background1"/>
          </w:tcPr>
          <w:p w14:paraId="6886A277" w14:textId="77777777" w:rsidR="00B34E60" w:rsidRPr="00921F41" w:rsidRDefault="00B34E60" w:rsidP="00BD6DE9">
            <w:pPr>
              <w:spacing w:line="360" w:lineRule="auto"/>
              <w:ind w:firstLine="720"/>
              <w:rPr>
                <w:rFonts w:ascii="Times New Roman" w:hAnsi="Times New Roman" w:cs="Times New Roman"/>
                <w:sz w:val="24"/>
                <w:szCs w:val="24"/>
              </w:rPr>
            </w:pPr>
          </w:p>
        </w:tc>
        <w:tc>
          <w:tcPr>
            <w:tcW w:w="1761" w:type="dxa"/>
            <w:shd w:val="clear" w:color="auto" w:fill="000000" w:themeFill="text1"/>
          </w:tcPr>
          <w:p w14:paraId="1013A505" w14:textId="77777777" w:rsidR="00B34E60" w:rsidRPr="00921F41" w:rsidRDefault="00B34E60" w:rsidP="00BD6DE9">
            <w:pPr>
              <w:spacing w:line="360" w:lineRule="auto"/>
              <w:ind w:firstLine="720"/>
              <w:rPr>
                <w:rFonts w:ascii="Times New Roman" w:hAnsi="Times New Roman" w:cs="Times New Roman"/>
                <w:sz w:val="24"/>
                <w:szCs w:val="24"/>
              </w:rPr>
            </w:pPr>
          </w:p>
        </w:tc>
      </w:tr>
    </w:tbl>
    <w:p w14:paraId="09ABD496" w14:textId="77777777" w:rsidR="00706C98" w:rsidRPr="00BD6DE9" w:rsidRDefault="00706C98" w:rsidP="00BD6DE9">
      <w:pPr>
        <w:spacing w:after="0" w:line="360" w:lineRule="auto"/>
        <w:ind w:firstLine="720"/>
        <w:rPr>
          <w:rFonts w:ascii="Times New Roman" w:hAnsi="Times New Roman" w:cs="Times New Roman"/>
          <w:sz w:val="24"/>
          <w:szCs w:val="24"/>
        </w:rPr>
      </w:pPr>
    </w:p>
    <w:p w14:paraId="7680E2FD" w14:textId="04E7150D" w:rsidR="00D709F7" w:rsidRPr="00BD6DE9" w:rsidRDefault="00D709F7" w:rsidP="00BD6DE9">
      <w:pPr>
        <w:spacing w:after="0" w:line="360" w:lineRule="auto"/>
        <w:ind w:firstLine="720"/>
        <w:rPr>
          <w:rFonts w:ascii="Times New Roman" w:hAnsi="Times New Roman" w:cs="Times New Roman"/>
          <w:sz w:val="24"/>
          <w:szCs w:val="24"/>
        </w:rPr>
      </w:pPr>
    </w:p>
    <w:sectPr w:rsidR="00D709F7" w:rsidRPr="00BD6DE9">
      <w:head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D3CC0F" w14:textId="77777777" w:rsidR="007348A3" w:rsidRDefault="007348A3" w:rsidP="00071384">
      <w:pPr>
        <w:spacing w:after="0" w:line="240" w:lineRule="auto"/>
      </w:pPr>
      <w:r>
        <w:separator/>
      </w:r>
    </w:p>
  </w:endnote>
  <w:endnote w:type="continuationSeparator" w:id="0">
    <w:p w14:paraId="00D3A9E8" w14:textId="77777777" w:rsidR="007348A3" w:rsidRDefault="007348A3" w:rsidP="00071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DF88DF" w14:textId="77777777" w:rsidR="007348A3" w:rsidRDefault="007348A3" w:rsidP="00071384">
      <w:pPr>
        <w:spacing w:after="0" w:line="240" w:lineRule="auto"/>
      </w:pPr>
      <w:r>
        <w:separator/>
      </w:r>
    </w:p>
  </w:footnote>
  <w:footnote w:type="continuationSeparator" w:id="0">
    <w:p w14:paraId="433A2AB7" w14:textId="77777777" w:rsidR="007348A3" w:rsidRDefault="007348A3" w:rsidP="000713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502200262"/>
      <w:docPartObj>
        <w:docPartGallery w:val="Page Numbers (Top of Page)"/>
        <w:docPartUnique/>
      </w:docPartObj>
    </w:sdtPr>
    <w:sdtEndPr>
      <w:rPr>
        <w:noProof/>
      </w:rPr>
    </w:sdtEndPr>
    <w:sdtContent>
      <w:p w14:paraId="036EAD59" w14:textId="5B2F616F" w:rsidR="00921F41" w:rsidRPr="00921F41" w:rsidRDefault="00921F41">
        <w:pPr>
          <w:pStyle w:val="Header"/>
          <w:jc w:val="right"/>
          <w:rPr>
            <w:rFonts w:ascii="Times New Roman" w:hAnsi="Times New Roman" w:cs="Times New Roman"/>
            <w:sz w:val="24"/>
            <w:szCs w:val="24"/>
          </w:rPr>
        </w:pPr>
        <w:r w:rsidRPr="00921F41">
          <w:rPr>
            <w:rFonts w:ascii="Times New Roman" w:hAnsi="Times New Roman" w:cs="Times New Roman"/>
            <w:sz w:val="24"/>
            <w:szCs w:val="24"/>
          </w:rPr>
          <w:fldChar w:fldCharType="begin"/>
        </w:r>
        <w:r w:rsidRPr="00921F41">
          <w:rPr>
            <w:rFonts w:ascii="Times New Roman" w:hAnsi="Times New Roman" w:cs="Times New Roman"/>
            <w:sz w:val="24"/>
            <w:szCs w:val="24"/>
          </w:rPr>
          <w:instrText xml:space="preserve"> PAGE   \* MERGEFORMAT </w:instrText>
        </w:r>
        <w:r w:rsidRPr="00921F41">
          <w:rPr>
            <w:rFonts w:ascii="Times New Roman" w:hAnsi="Times New Roman" w:cs="Times New Roman"/>
            <w:sz w:val="24"/>
            <w:szCs w:val="24"/>
          </w:rPr>
          <w:fldChar w:fldCharType="separate"/>
        </w:r>
        <w:r w:rsidRPr="00921F41">
          <w:rPr>
            <w:rFonts w:ascii="Times New Roman" w:hAnsi="Times New Roman" w:cs="Times New Roman"/>
            <w:noProof/>
            <w:sz w:val="24"/>
            <w:szCs w:val="24"/>
          </w:rPr>
          <w:t>2</w:t>
        </w:r>
        <w:r w:rsidRPr="00921F41">
          <w:rPr>
            <w:rFonts w:ascii="Times New Roman" w:hAnsi="Times New Roman" w:cs="Times New Roman"/>
            <w:noProof/>
            <w:sz w:val="24"/>
            <w:szCs w:val="24"/>
          </w:rPr>
          <w:fldChar w:fldCharType="end"/>
        </w:r>
      </w:p>
    </w:sdtContent>
  </w:sdt>
  <w:p w14:paraId="71F3572F" w14:textId="77777777" w:rsidR="00921F41" w:rsidRPr="00921F41" w:rsidRDefault="00921F41">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8562B"/>
    <w:multiLevelType w:val="hybridMultilevel"/>
    <w:tmpl w:val="43465CDA"/>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 w15:restartNumberingAfterBreak="0">
    <w:nsid w:val="49045C2E"/>
    <w:multiLevelType w:val="hybridMultilevel"/>
    <w:tmpl w:val="85AEF8EA"/>
    <w:lvl w:ilvl="0" w:tplc="70E8ECE4">
      <w:start w:val="1"/>
      <w:numFmt w:val="decimal"/>
      <w:lvlText w:val="%1."/>
      <w:lvlJc w:val="left"/>
      <w:pPr>
        <w:ind w:left="420" w:hanging="360"/>
      </w:pPr>
      <w:rPr>
        <w:rFonts w:hint="default"/>
      </w:rPr>
    </w:lvl>
    <w:lvl w:ilvl="1" w:tplc="0C000019" w:tentative="1">
      <w:start w:val="1"/>
      <w:numFmt w:val="lowerLetter"/>
      <w:lvlText w:val="%2."/>
      <w:lvlJc w:val="left"/>
      <w:pPr>
        <w:ind w:left="1140" w:hanging="360"/>
      </w:pPr>
    </w:lvl>
    <w:lvl w:ilvl="2" w:tplc="0C00001B" w:tentative="1">
      <w:start w:val="1"/>
      <w:numFmt w:val="lowerRoman"/>
      <w:lvlText w:val="%3."/>
      <w:lvlJc w:val="right"/>
      <w:pPr>
        <w:ind w:left="1860" w:hanging="180"/>
      </w:pPr>
    </w:lvl>
    <w:lvl w:ilvl="3" w:tplc="0C00000F" w:tentative="1">
      <w:start w:val="1"/>
      <w:numFmt w:val="decimal"/>
      <w:lvlText w:val="%4."/>
      <w:lvlJc w:val="left"/>
      <w:pPr>
        <w:ind w:left="2580" w:hanging="360"/>
      </w:pPr>
    </w:lvl>
    <w:lvl w:ilvl="4" w:tplc="0C000019" w:tentative="1">
      <w:start w:val="1"/>
      <w:numFmt w:val="lowerLetter"/>
      <w:lvlText w:val="%5."/>
      <w:lvlJc w:val="left"/>
      <w:pPr>
        <w:ind w:left="3300" w:hanging="360"/>
      </w:pPr>
    </w:lvl>
    <w:lvl w:ilvl="5" w:tplc="0C00001B" w:tentative="1">
      <w:start w:val="1"/>
      <w:numFmt w:val="lowerRoman"/>
      <w:lvlText w:val="%6."/>
      <w:lvlJc w:val="right"/>
      <w:pPr>
        <w:ind w:left="4020" w:hanging="180"/>
      </w:pPr>
    </w:lvl>
    <w:lvl w:ilvl="6" w:tplc="0C00000F" w:tentative="1">
      <w:start w:val="1"/>
      <w:numFmt w:val="decimal"/>
      <w:lvlText w:val="%7."/>
      <w:lvlJc w:val="left"/>
      <w:pPr>
        <w:ind w:left="4740" w:hanging="360"/>
      </w:pPr>
    </w:lvl>
    <w:lvl w:ilvl="7" w:tplc="0C000019" w:tentative="1">
      <w:start w:val="1"/>
      <w:numFmt w:val="lowerLetter"/>
      <w:lvlText w:val="%8."/>
      <w:lvlJc w:val="left"/>
      <w:pPr>
        <w:ind w:left="5460" w:hanging="360"/>
      </w:pPr>
    </w:lvl>
    <w:lvl w:ilvl="8" w:tplc="0C00001B" w:tentative="1">
      <w:start w:val="1"/>
      <w:numFmt w:val="lowerRoman"/>
      <w:lvlText w:val="%9."/>
      <w:lvlJc w:val="right"/>
      <w:pPr>
        <w:ind w:left="6180" w:hanging="180"/>
      </w:pPr>
    </w:lvl>
  </w:abstractNum>
  <w:num w:numId="1" w16cid:durableId="2122411879">
    <w:abstractNumId w:val="0"/>
  </w:num>
  <w:num w:numId="2" w16cid:durableId="784883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46F"/>
    <w:rsid w:val="00023E27"/>
    <w:rsid w:val="00071384"/>
    <w:rsid w:val="000D3022"/>
    <w:rsid w:val="000E74C0"/>
    <w:rsid w:val="001072B2"/>
    <w:rsid w:val="00166222"/>
    <w:rsid w:val="00181EE4"/>
    <w:rsid w:val="001D448A"/>
    <w:rsid w:val="0021604B"/>
    <w:rsid w:val="0024046F"/>
    <w:rsid w:val="002D0243"/>
    <w:rsid w:val="002F1FD3"/>
    <w:rsid w:val="003314C8"/>
    <w:rsid w:val="00355E4C"/>
    <w:rsid w:val="00384A7E"/>
    <w:rsid w:val="003A081C"/>
    <w:rsid w:val="003A2D0F"/>
    <w:rsid w:val="004516C5"/>
    <w:rsid w:val="004734E9"/>
    <w:rsid w:val="005155D9"/>
    <w:rsid w:val="00526DB1"/>
    <w:rsid w:val="005F3306"/>
    <w:rsid w:val="005F35F9"/>
    <w:rsid w:val="0061282C"/>
    <w:rsid w:val="00636801"/>
    <w:rsid w:val="006A7670"/>
    <w:rsid w:val="006B3EE6"/>
    <w:rsid w:val="00706C98"/>
    <w:rsid w:val="007348A3"/>
    <w:rsid w:val="00735358"/>
    <w:rsid w:val="0074035E"/>
    <w:rsid w:val="00832AB8"/>
    <w:rsid w:val="00847EA8"/>
    <w:rsid w:val="008D3A57"/>
    <w:rsid w:val="008E0974"/>
    <w:rsid w:val="00921F41"/>
    <w:rsid w:val="009719AE"/>
    <w:rsid w:val="00993225"/>
    <w:rsid w:val="00A14689"/>
    <w:rsid w:val="00A97E71"/>
    <w:rsid w:val="00AF62B5"/>
    <w:rsid w:val="00B25F1A"/>
    <w:rsid w:val="00B34E60"/>
    <w:rsid w:val="00BD6DE9"/>
    <w:rsid w:val="00C06762"/>
    <w:rsid w:val="00C92C45"/>
    <w:rsid w:val="00CA51D2"/>
    <w:rsid w:val="00CD62F7"/>
    <w:rsid w:val="00D01097"/>
    <w:rsid w:val="00D709F7"/>
    <w:rsid w:val="00D91286"/>
    <w:rsid w:val="00DA0562"/>
    <w:rsid w:val="00EC166E"/>
    <w:rsid w:val="00F82266"/>
    <w:rsid w:val="00FF4BB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EB8A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4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404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404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04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04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04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4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4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4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4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404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04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04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04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04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4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4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46F"/>
    <w:rPr>
      <w:rFonts w:eastAsiaTheme="majorEastAsia" w:cstheme="majorBidi"/>
      <w:color w:val="272727" w:themeColor="text1" w:themeTint="D8"/>
    </w:rPr>
  </w:style>
  <w:style w:type="paragraph" w:styleId="Title">
    <w:name w:val="Title"/>
    <w:basedOn w:val="Normal"/>
    <w:next w:val="Normal"/>
    <w:link w:val="TitleChar"/>
    <w:uiPriority w:val="10"/>
    <w:qFormat/>
    <w:rsid w:val="002404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4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04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4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046F"/>
    <w:pPr>
      <w:spacing w:before="160"/>
      <w:jc w:val="center"/>
    </w:pPr>
    <w:rPr>
      <w:i/>
      <w:iCs/>
      <w:color w:val="404040" w:themeColor="text1" w:themeTint="BF"/>
    </w:rPr>
  </w:style>
  <w:style w:type="character" w:customStyle="1" w:styleId="QuoteChar">
    <w:name w:val="Quote Char"/>
    <w:basedOn w:val="DefaultParagraphFont"/>
    <w:link w:val="Quote"/>
    <w:uiPriority w:val="29"/>
    <w:rsid w:val="0024046F"/>
    <w:rPr>
      <w:i/>
      <w:iCs/>
      <w:color w:val="404040" w:themeColor="text1" w:themeTint="BF"/>
    </w:rPr>
  </w:style>
  <w:style w:type="paragraph" w:styleId="ListParagraph">
    <w:name w:val="List Paragraph"/>
    <w:basedOn w:val="Normal"/>
    <w:uiPriority w:val="34"/>
    <w:qFormat/>
    <w:rsid w:val="0024046F"/>
    <w:pPr>
      <w:ind w:left="720"/>
      <w:contextualSpacing/>
    </w:pPr>
  </w:style>
  <w:style w:type="character" w:styleId="IntenseEmphasis">
    <w:name w:val="Intense Emphasis"/>
    <w:basedOn w:val="DefaultParagraphFont"/>
    <w:uiPriority w:val="21"/>
    <w:qFormat/>
    <w:rsid w:val="0024046F"/>
    <w:rPr>
      <w:i/>
      <w:iCs/>
      <w:color w:val="2F5496" w:themeColor="accent1" w:themeShade="BF"/>
    </w:rPr>
  </w:style>
  <w:style w:type="paragraph" w:styleId="IntenseQuote">
    <w:name w:val="Intense Quote"/>
    <w:basedOn w:val="Normal"/>
    <w:next w:val="Normal"/>
    <w:link w:val="IntenseQuoteChar"/>
    <w:uiPriority w:val="30"/>
    <w:qFormat/>
    <w:rsid w:val="002404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046F"/>
    <w:rPr>
      <w:i/>
      <w:iCs/>
      <w:color w:val="2F5496" w:themeColor="accent1" w:themeShade="BF"/>
    </w:rPr>
  </w:style>
  <w:style w:type="character" w:styleId="IntenseReference">
    <w:name w:val="Intense Reference"/>
    <w:basedOn w:val="DefaultParagraphFont"/>
    <w:uiPriority w:val="32"/>
    <w:qFormat/>
    <w:rsid w:val="0024046F"/>
    <w:rPr>
      <w:b/>
      <w:bCs/>
      <w:smallCaps/>
      <w:color w:val="2F5496" w:themeColor="accent1" w:themeShade="BF"/>
      <w:spacing w:val="5"/>
    </w:rPr>
  </w:style>
  <w:style w:type="paragraph" w:styleId="Caption">
    <w:name w:val="caption"/>
    <w:basedOn w:val="Normal"/>
    <w:next w:val="Normal"/>
    <w:uiPriority w:val="35"/>
    <w:unhideWhenUsed/>
    <w:qFormat/>
    <w:rsid w:val="0021604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713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384"/>
  </w:style>
  <w:style w:type="paragraph" w:styleId="Footer">
    <w:name w:val="footer"/>
    <w:basedOn w:val="Normal"/>
    <w:link w:val="FooterChar"/>
    <w:uiPriority w:val="99"/>
    <w:unhideWhenUsed/>
    <w:rsid w:val="000713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384"/>
  </w:style>
  <w:style w:type="table" w:styleId="PlainTable2">
    <w:name w:val="Plain Table 2"/>
    <w:basedOn w:val="TableNormal"/>
    <w:uiPriority w:val="42"/>
    <w:rsid w:val="00706C98"/>
    <w:pPr>
      <w:spacing w:after="0" w:line="240" w:lineRule="auto"/>
    </w:pPr>
    <w:rPr>
      <w:rFonts w:eastAsiaTheme="minorEastAsia"/>
      <w:lang w:val="en-US" w:eastAsia="zh-CN"/>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706C98"/>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5F1A"/>
    <w:rPr>
      <w:color w:val="0563C1" w:themeColor="hyperlink"/>
      <w:u w:val="single"/>
    </w:rPr>
  </w:style>
  <w:style w:type="character" w:styleId="UnresolvedMention">
    <w:name w:val="Unresolved Mention"/>
    <w:basedOn w:val="DefaultParagraphFont"/>
    <w:uiPriority w:val="99"/>
    <w:semiHidden/>
    <w:unhideWhenUsed/>
    <w:rsid w:val="00B25F1A"/>
    <w:rPr>
      <w:color w:val="605E5C"/>
      <w:shd w:val="clear" w:color="auto" w:fill="E1DFDD"/>
    </w:rPr>
  </w:style>
  <w:style w:type="table" w:customStyle="1" w:styleId="TableGrid1">
    <w:name w:val="Table Grid1"/>
    <w:basedOn w:val="TableNormal"/>
    <w:uiPriority w:val="59"/>
    <w:qFormat/>
    <w:rsid w:val="00B25F1A"/>
    <w:pPr>
      <w:spacing w:after="0" w:line="240" w:lineRule="auto"/>
    </w:pPr>
    <w:rPr>
      <w:rFonts w:ascii="Times New Roman" w:eastAsia="Times New Roman" w:hAnsi="Times New Roman" w:cs="Times New Roman"/>
      <w:sz w:val="20"/>
      <w:szCs w:val="20"/>
      <w:lan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ternationalscholarsjournals.com/articles/strategic-supply-chain-framework-for-the-automotive-industry.pdf" TargetMode="External"/><Relationship Id="rId18" Type="http://schemas.openxmlformats.org/officeDocument/2006/relationships/hyperlink" Target="https://doi.org/10.53346/wjast.2022.2.1.0037" TargetMode="External"/><Relationship Id="rId26" Type="http://schemas.openxmlformats.org/officeDocument/2006/relationships/hyperlink" Target="https://doi.org/10.1111/j.1365-2648.2009.05250.x" TargetMode="External"/><Relationship Id="rId39" Type="http://schemas.openxmlformats.org/officeDocument/2006/relationships/hyperlink" Target="https://doi.org/10.3390/encyclopedia5010039" TargetMode="External"/><Relationship Id="rId21" Type="http://schemas.openxmlformats.org/officeDocument/2006/relationships/hyperlink" Target="https://doi.org/10.3126/nelta.v25i1-2.49731" TargetMode="External"/><Relationship Id="rId34" Type="http://schemas.openxmlformats.org/officeDocument/2006/relationships/hyperlink" Target="https://doi.org/10.7166/29-1-1791" TargetMode="External"/><Relationship Id="rId42" Type="http://schemas.openxmlformats.org/officeDocument/2006/relationships/hyperlink" Target="https://doi.org/10.1108/18325911211273482" TargetMode="External"/><Relationship Id="rId47" Type="http://schemas.openxmlformats.org/officeDocument/2006/relationships/hyperlink" Target="https://doi.org/10.1108/qram-10-2021-0193" TargetMode="External"/><Relationship Id="rId50" Type="http://schemas.openxmlformats.org/officeDocument/2006/relationships/hyperlink" Target="https://brainmass.com/file/319238/Performance+Measurement.pdf" TargetMode="External"/><Relationship Id="rId55" Type="http://schemas.openxmlformats.org/officeDocument/2006/relationships/hyperlink" Target="https://search.proquest.com/openview/3095d0892b6aeaf3d17b97ff34918804/1?pq-origsite=gscholar&amp;cbl=204428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eeol.com/search/article-detail?id=1295895" TargetMode="External"/><Relationship Id="rId29" Type="http://schemas.openxmlformats.org/officeDocument/2006/relationships/hyperlink" Target="https://doi.org/10.1504/ijvcm.2011.043228" TargetMode="External"/><Relationship Id="rId11" Type="http://schemas.openxmlformats.org/officeDocument/2006/relationships/hyperlink" Target="https://doi.org/10.1108/irjms-09-2022-0091" TargetMode="External"/><Relationship Id="rId24" Type="http://schemas.openxmlformats.org/officeDocument/2006/relationships/hyperlink" Target="https://doi.org/10.1287/stsc.2018.0060" TargetMode="External"/><Relationship Id="rId32" Type="http://schemas.openxmlformats.org/officeDocument/2006/relationships/hyperlink" Target="https://aaltodoc.aalto.fi/items/acbda301-acba-4f28-ad80-dac06b95c700" TargetMode="External"/><Relationship Id="rId37" Type="http://schemas.openxmlformats.org/officeDocument/2006/relationships/hyperlink" Target="https://doi.org/10.1007/s00158-015-1379-9" TargetMode="External"/><Relationship Id="rId40" Type="http://schemas.openxmlformats.org/officeDocument/2006/relationships/hyperlink" Target="https://dialnet.unirioja.es/descarga/articulo/7871872.pdf" TargetMode="External"/><Relationship Id="rId45" Type="http://schemas.openxmlformats.org/officeDocument/2006/relationships/hyperlink" Target="https://doi.org/10.2139/ssrn.4889752" TargetMode="External"/><Relationship Id="rId53" Type="http://schemas.openxmlformats.org/officeDocument/2006/relationships/hyperlink" Target="https://doi.org/10.5465/19416520.2012.672039" TargetMode="External"/><Relationship Id="rId58" Type="http://schemas.openxmlformats.org/officeDocument/2006/relationships/header" Target="header1.xml"/><Relationship Id="rId5" Type="http://schemas.openxmlformats.org/officeDocument/2006/relationships/webSettings" Target="webSettings.xml"/><Relationship Id="rId19" Type="http://schemas.openxmlformats.org/officeDocument/2006/relationships/hyperlink" Target="https://doi.org/10.1177/146144560708258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9/IEEM.2011.6118084" TargetMode="External"/><Relationship Id="rId22" Type="http://schemas.openxmlformats.org/officeDocument/2006/relationships/hyperlink" Target="https://dspace.mit.edu/handle/1721.1/156029" TargetMode="External"/><Relationship Id="rId27" Type="http://schemas.openxmlformats.org/officeDocument/2006/relationships/hyperlink" Target="https://www.theknowledgewarehouseke.com/wp-content/uploads/2020/02/Developing-a-Qualitative-Single-Case-Study-in-the-Strategic-Management-Realm.pdf" TargetMode="External"/><Relationship Id="rId30" Type="http://schemas.openxmlformats.org/officeDocument/2006/relationships/hyperlink" Target="https://aisel.aisnet.org/ukais2020/8/" TargetMode="External"/><Relationship Id="rId35" Type="http://schemas.openxmlformats.org/officeDocument/2006/relationships/hyperlink" Target="https://ijees.org/index.php/ijees/article/view/70" TargetMode="External"/><Relationship Id="rId43" Type="http://schemas.openxmlformats.org/officeDocument/2006/relationships/hyperlink" Target="https://doi.org/10.1108/dlo-08-2016-0069" TargetMode="External"/><Relationship Id="rId48" Type="http://schemas.openxmlformats.org/officeDocument/2006/relationships/hyperlink" Target="https://doi.org/10.1108/jeim-10-2024-0554" TargetMode="External"/><Relationship Id="rId56" Type="http://schemas.openxmlformats.org/officeDocument/2006/relationships/hyperlink" Target="https://doi.org/10.1057/abm.2008.20" TargetMode="External"/><Relationship Id="rId8" Type="http://schemas.openxmlformats.org/officeDocument/2006/relationships/image" Target="media/image1.png"/><Relationship Id="rId51" Type="http://schemas.openxmlformats.org/officeDocument/2006/relationships/hyperlink" Target="https://smmtweb.lon1.cdn.digitaloceanspaces.com/wp-content/uploads/2026/02/SMMT-FACTS-2026-FINAL.pdf" TargetMode="External"/><Relationship Id="rId3" Type="http://schemas.openxmlformats.org/officeDocument/2006/relationships/styles" Target="styles.xml"/><Relationship Id="rId12" Type="http://schemas.openxmlformats.org/officeDocument/2006/relationships/hyperlink" Target="https://doi.org/10.58709/niujss.v10i2.1882" TargetMode="External"/><Relationship Id="rId17" Type="http://schemas.openxmlformats.org/officeDocument/2006/relationships/hyperlink" Target="https://www.sciencedirect.com/science/article/pii/S0024630105000634" TargetMode="External"/><Relationship Id="rId25" Type="http://schemas.openxmlformats.org/officeDocument/2006/relationships/hyperlink" Target="https://doi.org/10.1177/0170840611410838" TargetMode="External"/><Relationship Id="rId33" Type="http://schemas.openxmlformats.org/officeDocument/2006/relationships/hyperlink" Target="https://doi.org/10.1177/0170840604040675" TargetMode="External"/><Relationship Id="rId38" Type="http://schemas.openxmlformats.org/officeDocument/2006/relationships/hyperlink" Target="https://www.diva-portal.org/smash/record.jsf?pid=diva2:2008839" TargetMode="External"/><Relationship Id="rId46" Type="http://schemas.openxmlformats.org/officeDocument/2006/relationships/hyperlink" Target="https://doi.org/10.1177/16094069231205789" TargetMode="External"/><Relationship Id="rId59" Type="http://schemas.openxmlformats.org/officeDocument/2006/relationships/fontTable" Target="fontTable.xml"/><Relationship Id="rId20" Type="http://schemas.openxmlformats.org/officeDocument/2006/relationships/hyperlink" Target="https://brill.com/display/book/9789463001120/BP000005.xml" TargetMode="External"/><Relationship Id="rId41" Type="http://schemas.openxmlformats.org/officeDocument/2006/relationships/hyperlink" Target="https://www.sciencedirect.com/science/article/abs/pii/S0925527316301396" TargetMode="External"/><Relationship Id="rId54" Type="http://schemas.openxmlformats.org/officeDocument/2006/relationships/hyperlink" Target="https://doi.org/10.4314/mmj.v27i1.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reenly.earth/en-gb/blog/company-guide/understanding-the-uk-governments-mandatory-net-zero-targets" TargetMode="External"/><Relationship Id="rId23" Type="http://schemas.openxmlformats.org/officeDocument/2006/relationships/hyperlink" Target="https://doi.org/10.1080/00472336.2024.2384704" TargetMode="External"/><Relationship Id="rId28" Type="http://schemas.openxmlformats.org/officeDocument/2006/relationships/hyperlink" Target="https://www.gov.uk/government/publications/industrial-policies-new-evidence-for-the-uk/industrial-policies-new-evidence-for-the-uk" TargetMode="External"/><Relationship Id="rId36" Type="http://schemas.openxmlformats.org/officeDocument/2006/relationships/hyperlink" Target="https://doi.org/10.1108/978-1-78769-765-220191010" TargetMode="External"/><Relationship Id="rId49" Type="http://schemas.openxmlformats.org/officeDocument/2006/relationships/hyperlink" Target="https://doi.org/10.1111/j.1365-2648.2006.03727.x" TargetMode="External"/><Relationship Id="rId57" Type="http://schemas.openxmlformats.org/officeDocument/2006/relationships/hyperlink" Target="https://doi.org/10.1016/j.jclepro.2023.138562" TargetMode="External"/><Relationship Id="rId10" Type="http://schemas.openxmlformats.org/officeDocument/2006/relationships/hyperlink" Target="https://accpjournals.onlinelibrary.wiley.com/doi/abs/10.1002/jac5.1441" TargetMode="External"/><Relationship Id="rId31" Type="http://schemas.openxmlformats.org/officeDocument/2006/relationships/hyperlink" Target="https://www.iea.org/reports/global-ev-outlook-2025/trends-in-the-electric-car-industry-3" TargetMode="External"/><Relationship Id="rId44" Type="http://schemas.openxmlformats.org/officeDocument/2006/relationships/hyperlink" Target="https://doi.org/10.1080/09537287.2020.1863500" TargetMode="External"/><Relationship Id="rId52" Type="http://schemas.openxmlformats.org/officeDocument/2006/relationships/hyperlink" Target="https://doi.org/10.1080/14783363.2010.481510"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A4827-1452-4E04-869F-DFCCB3D3C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7991</Words>
  <Characters>45553</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2026-03-29T13:18:00Z</dcterms:created>
  <dcterms:modified xsi:type="dcterms:W3CDTF">2026-03-29T13:18:00Z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6b3b08cb-eedb-4ee9-b1b6-82aef345a9d0</vt:lpwstr>
  </property>
</Properties>
</file>