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BA088" w14:textId="28197368" w:rsidR="008325AE" w:rsidRPr="008325AE" w:rsidRDefault="008325AE" w:rsidP="008325AE">
      <w:pPr>
        <w:rPr>
          <w:rFonts w:ascii="Arial" w:hAnsi="Arial" w:cs="Arial"/>
          <w:b/>
          <w:bCs/>
          <w:sz w:val="22"/>
          <w:szCs w:val="22"/>
        </w:rPr>
      </w:pPr>
      <w:r w:rsidRPr="008325AE">
        <w:rPr>
          <w:rFonts w:ascii="Arial" w:hAnsi="Arial" w:cs="Arial"/>
          <w:b/>
          <w:bCs/>
          <w:sz w:val="22"/>
          <w:szCs w:val="22"/>
        </w:rPr>
        <w:drawing>
          <wp:anchor distT="0" distB="0" distL="114300" distR="114300" simplePos="0" relativeHeight="251659264" behindDoc="0" locked="0" layoutInCell="1" allowOverlap="1" wp14:anchorId="776FC87F" wp14:editId="4C5FB92F">
            <wp:simplePos x="0" y="0"/>
            <wp:positionH relativeFrom="column">
              <wp:align>left</wp:align>
            </wp:positionH>
            <wp:positionV relativeFrom="paragraph">
              <wp:align>top</wp:align>
            </wp:positionV>
            <wp:extent cx="1809750" cy="723900"/>
            <wp:effectExtent l="0" t="0" r="0" b="0"/>
            <wp:wrapSquare wrapText="bothSides"/>
            <wp:docPr id="1986071399"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8325AE">
        <w:rPr>
          <w:rFonts w:ascii="Arial" w:hAnsi="Arial" w:cs="Arial"/>
          <w:b/>
          <w:bCs/>
          <w:sz w:val="22"/>
          <w:szCs w:val="22"/>
        </w:rPr>
        <w:t xml:space="preserve">   </w:t>
      </w:r>
      <w:r w:rsidRPr="008325AE">
        <w:rPr>
          <w:rFonts w:ascii="Arial" w:hAnsi="Arial" w:cs="Arial"/>
          <w:b/>
          <w:bCs/>
          <w:sz w:val="22"/>
          <w:szCs w:val="22"/>
        </w:rPr>
        <w:br/>
      </w:r>
    </w:p>
    <w:p w14:paraId="39FA4691" w14:textId="77777777" w:rsidR="008325AE" w:rsidRPr="008325AE" w:rsidRDefault="008325AE" w:rsidP="008325AE">
      <w:pPr>
        <w:rPr>
          <w:rFonts w:ascii="Arial" w:hAnsi="Arial" w:cs="Arial"/>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325AE" w:rsidRPr="008325AE" w14:paraId="1BDA8A85"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171F540" w14:textId="31CA2815" w:rsidR="008325AE" w:rsidRPr="008325AE" w:rsidRDefault="008325AE" w:rsidP="008325AE">
            <w:pPr>
              <w:rPr>
                <w:rFonts w:ascii="Arial" w:hAnsi="Arial" w:cs="Arial"/>
                <w:b/>
                <w:bCs/>
                <w:sz w:val="22"/>
                <w:szCs w:val="22"/>
              </w:rPr>
            </w:pPr>
            <w:r w:rsidRPr="008325AE">
              <w:rPr>
                <w:rFonts w:ascii="Arial" w:hAnsi="Arial" w:cs="Arial"/>
                <w:b/>
                <w:bCs/>
                <w:sz w:val="22"/>
                <w:szCs w:val="22"/>
              </w:rPr>
              <w:t xml:space="preserve">LEVEL 4 ASSESSMENT </w:t>
            </w:r>
          </w:p>
        </w:tc>
      </w:tr>
    </w:tbl>
    <w:p w14:paraId="2A00C3DE" w14:textId="77777777" w:rsidR="008325AE" w:rsidRPr="008325AE" w:rsidRDefault="008325AE" w:rsidP="008325AE">
      <w:pPr>
        <w:rPr>
          <w:rFonts w:ascii="Arial" w:hAnsi="Arial" w:cs="Arial"/>
          <w:b/>
          <w:bCs/>
          <w:i/>
          <w:sz w:val="22"/>
          <w:szCs w:val="22"/>
        </w:rPr>
      </w:pPr>
    </w:p>
    <w:tbl>
      <w:tblPr>
        <w:tblW w:w="994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8"/>
        <w:gridCol w:w="3046"/>
        <w:gridCol w:w="2557"/>
        <w:gridCol w:w="2244"/>
      </w:tblGrid>
      <w:tr w:rsidR="008325AE" w:rsidRPr="008325AE" w14:paraId="13C762A1" w14:textId="77777777">
        <w:trPr>
          <w:trHeight w:val="502"/>
        </w:trPr>
        <w:tc>
          <w:tcPr>
            <w:tcW w:w="2093" w:type="dxa"/>
            <w:tcBorders>
              <w:top w:val="single" w:sz="4" w:space="0" w:color="auto"/>
              <w:left w:val="single" w:sz="4" w:space="0" w:color="auto"/>
              <w:bottom w:val="single" w:sz="4" w:space="0" w:color="auto"/>
              <w:right w:val="single" w:sz="4" w:space="0" w:color="auto"/>
            </w:tcBorders>
            <w:hideMark/>
          </w:tcPr>
          <w:p w14:paraId="7A66F449"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Student name:</w:t>
            </w:r>
          </w:p>
        </w:tc>
        <w:tc>
          <w:tcPr>
            <w:tcW w:w="3039" w:type="dxa"/>
            <w:tcBorders>
              <w:top w:val="single" w:sz="4" w:space="0" w:color="auto"/>
              <w:left w:val="single" w:sz="4" w:space="0" w:color="auto"/>
              <w:bottom w:val="single" w:sz="4" w:space="0" w:color="auto"/>
              <w:right w:val="single" w:sz="4" w:space="0" w:color="auto"/>
            </w:tcBorders>
            <w:hideMark/>
          </w:tcPr>
          <w:p w14:paraId="5AB69026" w14:textId="448C98C1" w:rsidR="008325AE" w:rsidRPr="008325AE" w:rsidRDefault="008325AE" w:rsidP="008325AE">
            <w:pPr>
              <w:rPr>
                <w:rFonts w:ascii="Arial" w:hAnsi="Arial" w:cs="Arial"/>
                <w:b/>
                <w:bCs/>
                <w:sz w:val="22"/>
                <w:szCs w:val="22"/>
              </w:rPr>
            </w:pPr>
            <w:r>
              <w:rPr>
                <w:rFonts w:ascii="Arial" w:hAnsi="Arial" w:cs="Arial"/>
                <w:b/>
                <w:bCs/>
                <w:sz w:val="22"/>
                <w:szCs w:val="22"/>
              </w:rPr>
              <w:t>Allison-Louise Hay</w:t>
            </w:r>
          </w:p>
        </w:tc>
        <w:tc>
          <w:tcPr>
            <w:tcW w:w="2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8C4F6EB"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Student ID number:</w:t>
            </w:r>
          </w:p>
        </w:tc>
        <w:tc>
          <w:tcPr>
            <w:tcW w:w="2239" w:type="dxa"/>
            <w:tcBorders>
              <w:top w:val="single" w:sz="4" w:space="0" w:color="auto"/>
              <w:left w:val="single" w:sz="4" w:space="0" w:color="auto"/>
              <w:bottom w:val="single" w:sz="4" w:space="0" w:color="auto"/>
              <w:right w:val="single" w:sz="4" w:space="0" w:color="auto"/>
            </w:tcBorders>
          </w:tcPr>
          <w:p w14:paraId="27416B8A" w14:textId="724F86E2" w:rsidR="008325AE" w:rsidRPr="008325AE" w:rsidRDefault="005E1774" w:rsidP="008325AE">
            <w:pPr>
              <w:rPr>
                <w:rFonts w:ascii="Arial" w:hAnsi="Arial" w:cs="Arial"/>
                <w:b/>
                <w:bCs/>
                <w:sz w:val="22"/>
                <w:szCs w:val="22"/>
              </w:rPr>
            </w:pPr>
            <w:r>
              <w:rPr>
                <w:rFonts w:ascii="Arial" w:hAnsi="Arial" w:cs="Arial"/>
                <w:b/>
                <w:bCs/>
                <w:sz w:val="22"/>
                <w:szCs w:val="22"/>
              </w:rPr>
              <w:t>2507525</w:t>
            </w:r>
          </w:p>
        </w:tc>
      </w:tr>
      <w:tr w:rsidR="008325AE" w:rsidRPr="008325AE" w14:paraId="4D759AB4"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31F77A1"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93D3DB8"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Certificate of Higher Education Skills for the Workplace (Health &amp; Social Care)</w:t>
            </w:r>
          </w:p>
        </w:tc>
      </w:tr>
      <w:tr w:rsidR="008325AE" w:rsidRPr="008325AE" w14:paraId="269FDD9B" w14:textId="77777777">
        <w:tc>
          <w:tcPr>
            <w:tcW w:w="2093" w:type="dxa"/>
            <w:tcBorders>
              <w:top w:val="single" w:sz="4" w:space="0" w:color="auto"/>
              <w:left w:val="single" w:sz="4" w:space="0" w:color="auto"/>
              <w:bottom w:val="single" w:sz="4" w:space="0" w:color="auto"/>
              <w:right w:val="single" w:sz="4" w:space="0" w:color="auto"/>
            </w:tcBorders>
            <w:hideMark/>
          </w:tcPr>
          <w:p w14:paraId="33BCC395"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BA7FCF3"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Introduction to Health and Social Care</w:t>
            </w:r>
          </w:p>
        </w:tc>
      </w:tr>
      <w:tr w:rsidR="008325AE" w:rsidRPr="008325AE" w14:paraId="7D118B4E" w14:textId="77777777" w:rsidTr="00E56C8D">
        <w:tc>
          <w:tcPr>
            <w:tcW w:w="2093" w:type="dxa"/>
            <w:tcBorders>
              <w:top w:val="single" w:sz="4" w:space="0" w:color="auto"/>
              <w:left w:val="single" w:sz="4" w:space="0" w:color="auto"/>
              <w:bottom w:val="single" w:sz="4" w:space="0" w:color="auto"/>
              <w:right w:val="single" w:sz="4" w:space="0" w:color="auto"/>
            </w:tcBorders>
            <w:hideMark/>
          </w:tcPr>
          <w:p w14:paraId="5E05495D"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Module code:</w:t>
            </w:r>
          </w:p>
        </w:tc>
        <w:tc>
          <w:tcPr>
            <w:tcW w:w="3039" w:type="dxa"/>
            <w:tcBorders>
              <w:top w:val="single" w:sz="4" w:space="0" w:color="auto"/>
              <w:left w:val="single" w:sz="4" w:space="0" w:color="auto"/>
              <w:bottom w:val="single" w:sz="4" w:space="0" w:color="auto"/>
              <w:right w:val="single" w:sz="4" w:space="0" w:color="auto"/>
            </w:tcBorders>
            <w:hideMark/>
          </w:tcPr>
          <w:p w14:paraId="0BDC6E9F" w14:textId="77777777" w:rsidR="008325AE" w:rsidRPr="008325AE" w:rsidRDefault="008325AE" w:rsidP="008325AE">
            <w:pPr>
              <w:rPr>
                <w:rFonts w:ascii="Arial" w:hAnsi="Arial" w:cs="Arial"/>
                <w:b/>
                <w:bCs/>
                <w:sz w:val="22"/>
                <w:szCs w:val="22"/>
              </w:rPr>
            </w:pPr>
            <w:r w:rsidRPr="008325AE">
              <w:rPr>
                <w:rFonts w:ascii="Arial" w:hAnsi="Arial" w:cs="Arial"/>
                <w:b/>
                <w:bCs/>
                <w:sz w:val="22"/>
                <w:szCs w:val="22"/>
              </w:rPr>
              <w:t>LCHS4003</w:t>
            </w:r>
          </w:p>
        </w:tc>
        <w:tc>
          <w:tcPr>
            <w:tcW w:w="2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8C8A94" w14:textId="4C6DA96C" w:rsidR="008325AE" w:rsidRPr="008325AE" w:rsidRDefault="00E56C8D" w:rsidP="008325AE">
            <w:pPr>
              <w:rPr>
                <w:rFonts w:ascii="Arial" w:hAnsi="Arial" w:cs="Arial"/>
                <w:b/>
                <w:bCs/>
                <w:sz w:val="22"/>
                <w:szCs w:val="22"/>
              </w:rPr>
            </w:pPr>
            <w:r w:rsidRPr="008325AE">
              <w:rPr>
                <w:rFonts w:ascii="Arial" w:hAnsi="Arial" w:cs="Arial"/>
                <w:b/>
                <w:bCs/>
                <w:sz w:val="22"/>
                <w:szCs w:val="22"/>
              </w:rPr>
              <w:t>Lecturers</w:t>
            </w:r>
          </w:p>
        </w:tc>
        <w:tc>
          <w:tcPr>
            <w:tcW w:w="2239" w:type="dxa"/>
            <w:tcBorders>
              <w:top w:val="single" w:sz="4" w:space="0" w:color="auto"/>
              <w:left w:val="single" w:sz="4" w:space="0" w:color="auto"/>
              <w:bottom w:val="single" w:sz="4" w:space="0" w:color="auto"/>
              <w:right w:val="single" w:sz="4" w:space="0" w:color="auto"/>
            </w:tcBorders>
            <w:hideMark/>
          </w:tcPr>
          <w:p w14:paraId="04AD07D1" w14:textId="5E255C07" w:rsidR="008325AE" w:rsidRPr="008325AE" w:rsidRDefault="00E56C8D" w:rsidP="008325AE">
            <w:pPr>
              <w:rPr>
                <w:rFonts w:ascii="Arial" w:hAnsi="Arial" w:cs="Arial"/>
                <w:b/>
                <w:bCs/>
                <w:sz w:val="22"/>
                <w:szCs w:val="22"/>
              </w:rPr>
            </w:pPr>
            <w:r w:rsidRPr="008325AE">
              <w:rPr>
                <w:rFonts w:ascii="Arial" w:hAnsi="Arial" w:cs="Arial"/>
                <w:b/>
                <w:bCs/>
                <w:sz w:val="22"/>
                <w:szCs w:val="22"/>
              </w:rPr>
              <w:t xml:space="preserve">Dr Helen Parsons </w:t>
            </w:r>
          </w:p>
        </w:tc>
      </w:tr>
      <w:tr w:rsidR="008325AE" w:rsidRPr="008325AE" w14:paraId="2520E2F2" w14:textId="77777777" w:rsidTr="00BE2F42">
        <w:tc>
          <w:tcPr>
            <w:tcW w:w="2093" w:type="dxa"/>
            <w:tcBorders>
              <w:top w:val="single" w:sz="4" w:space="0" w:color="auto"/>
              <w:left w:val="single" w:sz="4" w:space="0" w:color="auto"/>
              <w:bottom w:val="single" w:sz="4" w:space="0" w:color="auto"/>
              <w:right w:val="single" w:sz="4" w:space="0" w:color="auto"/>
            </w:tcBorders>
          </w:tcPr>
          <w:p w14:paraId="251A19E3" w14:textId="3AEDD9E2" w:rsidR="008325AE" w:rsidRPr="008325AE" w:rsidRDefault="008325AE" w:rsidP="008325AE">
            <w:pPr>
              <w:rPr>
                <w:rFonts w:ascii="Arial" w:hAnsi="Arial" w:cs="Arial"/>
                <w:b/>
                <w:bCs/>
                <w:sz w:val="22"/>
                <w:szCs w:val="22"/>
              </w:rPr>
            </w:pPr>
          </w:p>
        </w:tc>
        <w:tc>
          <w:tcPr>
            <w:tcW w:w="3039" w:type="dxa"/>
            <w:tcBorders>
              <w:top w:val="single" w:sz="4" w:space="0" w:color="auto"/>
              <w:left w:val="single" w:sz="4" w:space="0" w:color="auto"/>
              <w:bottom w:val="single" w:sz="4" w:space="0" w:color="auto"/>
              <w:right w:val="single" w:sz="4" w:space="0" w:color="auto"/>
            </w:tcBorders>
          </w:tcPr>
          <w:p w14:paraId="755FD854" w14:textId="30FED2E8" w:rsidR="008325AE" w:rsidRPr="008325AE" w:rsidRDefault="008325AE" w:rsidP="008325AE">
            <w:pPr>
              <w:rPr>
                <w:rFonts w:ascii="Arial" w:hAnsi="Arial" w:cs="Arial"/>
                <w:b/>
                <w:bCs/>
                <w:sz w:val="22"/>
                <w:szCs w:val="22"/>
              </w:rPr>
            </w:pPr>
          </w:p>
        </w:tc>
        <w:tc>
          <w:tcPr>
            <w:tcW w:w="2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FAF790" w14:textId="31DDB3E6" w:rsidR="008325AE" w:rsidRPr="008325AE" w:rsidRDefault="008325AE" w:rsidP="008325AE">
            <w:pPr>
              <w:rPr>
                <w:rFonts w:ascii="Arial" w:hAnsi="Arial" w:cs="Arial"/>
                <w:b/>
                <w:bCs/>
                <w:sz w:val="22"/>
                <w:szCs w:val="22"/>
              </w:rPr>
            </w:pPr>
          </w:p>
        </w:tc>
        <w:tc>
          <w:tcPr>
            <w:tcW w:w="2239" w:type="dxa"/>
            <w:tcBorders>
              <w:top w:val="single" w:sz="4" w:space="0" w:color="auto"/>
              <w:left w:val="single" w:sz="4" w:space="0" w:color="auto"/>
              <w:bottom w:val="single" w:sz="4" w:space="0" w:color="auto"/>
              <w:right w:val="single" w:sz="4" w:space="0" w:color="auto"/>
            </w:tcBorders>
          </w:tcPr>
          <w:p w14:paraId="4EF842A0" w14:textId="3D7F60D6" w:rsidR="008325AE" w:rsidRPr="008325AE" w:rsidRDefault="008325AE" w:rsidP="008325AE">
            <w:pPr>
              <w:rPr>
                <w:rFonts w:ascii="Arial" w:hAnsi="Arial" w:cs="Arial"/>
                <w:b/>
                <w:bCs/>
                <w:sz w:val="22"/>
                <w:szCs w:val="22"/>
              </w:rPr>
            </w:pPr>
          </w:p>
        </w:tc>
      </w:tr>
    </w:tbl>
    <w:p w14:paraId="02541643" w14:textId="77777777" w:rsidR="00DA1186" w:rsidRDefault="00DA1186" w:rsidP="003E3883">
      <w:pPr>
        <w:rPr>
          <w:rFonts w:ascii="Arial" w:hAnsi="Arial" w:cs="Arial"/>
          <w:b/>
          <w:bCs/>
          <w:sz w:val="22"/>
          <w:szCs w:val="22"/>
        </w:rPr>
      </w:pPr>
    </w:p>
    <w:p w14:paraId="29204FB2" w14:textId="2E808418" w:rsidR="003E3883" w:rsidRPr="00076EDD" w:rsidRDefault="003E3883" w:rsidP="003E3883">
      <w:pPr>
        <w:rPr>
          <w:rFonts w:ascii="Arial" w:hAnsi="Arial" w:cs="Arial"/>
          <w:b/>
          <w:bCs/>
          <w:sz w:val="22"/>
          <w:szCs w:val="22"/>
        </w:rPr>
      </w:pPr>
      <w:r w:rsidRPr="00076EDD">
        <w:rPr>
          <w:rFonts w:ascii="Arial" w:hAnsi="Arial" w:cs="Arial"/>
          <w:b/>
          <w:bCs/>
          <w:sz w:val="22"/>
          <w:szCs w:val="22"/>
        </w:rPr>
        <w:t xml:space="preserve">Introduction </w:t>
      </w:r>
    </w:p>
    <w:p w14:paraId="4D8CBDCB" w14:textId="6C5F87D3" w:rsidR="002C183F" w:rsidRPr="00076EDD" w:rsidRDefault="002C183F" w:rsidP="003E3883">
      <w:pPr>
        <w:rPr>
          <w:rFonts w:ascii="Arial" w:hAnsi="Arial" w:cs="Arial"/>
          <w:sz w:val="22"/>
          <w:szCs w:val="22"/>
        </w:rPr>
      </w:pPr>
      <w:r w:rsidRPr="002C183F">
        <w:rPr>
          <w:rFonts w:ascii="Arial" w:hAnsi="Arial" w:cs="Arial"/>
          <w:sz w:val="22"/>
          <w:szCs w:val="22"/>
        </w:rPr>
        <w:t>Older adults living with multiple health conditions often require coordinated health and social care services to maintain their independence, safety, and overall wellbeing. Mrs Thompson, an 84-year-old woman recently discharged from hospital following pneumonia, presents a range of complex care needs due to her mild dementia, reliance on domiciliary care, missed medication, and recent safeguarding concerns. These circumstances demonstrate the importance of delivering person-centred care that promotes her health while minimising the risks associated with memory loss and declining physical health. To achieve positive outcomes, health and social care professionals must communicate effectively, maintain accurate records, and work collaboratively across different services. Effective communication supports informed decision-making and respects Mrs Thompson's rights, while accurate documentation ensures continuity of care and legal compliance. This report examines the significance of communication in relation to the Equality Act 2010 and Argyle's Communication Cycle (Argyle, 1972), before exploring the importance of record keeping under the Data Protection Act 2018 and the role of multidisciplinary working in providing safe, coordinated care.</w:t>
      </w:r>
      <w:r>
        <w:rPr>
          <w:rFonts w:ascii="Arial" w:hAnsi="Arial" w:cs="Arial"/>
          <w:sz w:val="22"/>
          <w:szCs w:val="22"/>
        </w:rPr>
        <w:t>)</w:t>
      </w:r>
    </w:p>
    <w:p w14:paraId="3F4845C6" w14:textId="77777777" w:rsidR="00277E76" w:rsidRPr="00076EDD" w:rsidRDefault="00277E76" w:rsidP="003E3883">
      <w:pPr>
        <w:rPr>
          <w:rFonts w:ascii="Arial" w:hAnsi="Arial" w:cs="Arial"/>
          <w:sz w:val="22"/>
          <w:szCs w:val="22"/>
        </w:rPr>
      </w:pPr>
    </w:p>
    <w:p w14:paraId="1D440E8D" w14:textId="01D22313" w:rsidR="00277E76" w:rsidRPr="00076EDD" w:rsidRDefault="00277E76" w:rsidP="00277E76">
      <w:pPr>
        <w:rPr>
          <w:rFonts w:ascii="Arial" w:hAnsi="Arial" w:cs="Arial"/>
          <w:b/>
          <w:bCs/>
          <w:sz w:val="22"/>
          <w:szCs w:val="22"/>
        </w:rPr>
      </w:pPr>
      <w:r w:rsidRPr="00076EDD">
        <w:rPr>
          <w:rFonts w:ascii="Arial" w:hAnsi="Arial" w:cs="Arial"/>
          <w:b/>
          <w:bCs/>
          <w:sz w:val="22"/>
          <w:szCs w:val="22"/>
        </w:rPr>
        <w:t>1. Effective Communication in Mrs Thompson's Care</w:t>
      </w:r>
    </w:p>
    <w:p w14:paraId="56EEFF4D" w14:textId="77777777" w:rsidR="00277E76" w:rsidRPr="00076EDD" w:rsidRDefault="00277E76" w:rsidP="00277E76">
      <w:pPr>
        <w:rPr>
          <w:rFonts w:ascii="Arial" w:hAnsi="Arial" w:cs="Arial"/>
          <w:sz w:val="22"/>
          <w:szCs w:val="22"/>
        </w:rPr>
      </w:pPr>
      <w:r w:rsidRPr="00076EDD">
        <w:rPr>
          <w:rFonts w:ascii="Arial" w:hAnsi="Arial" w:cs="Arial"/>
          <w:sz w:val="22"/>
          <w:szCs w:val="22"/>
        </w:rPr>
        <w:t>Effective communication is fundamental to providing safe, high-quality, person-centred care for Mrs Thompson. Following her discharge from hospital after pneumonia, she requires ongoing support from domiciliary care staff to manage her medication and maintain her wellbeing. As Mrs Thompson has mild dementia, communication should be adapted to meet her cognitive needs while promoting her dignity, independence, and involvement in decisions about her care. Good communication enables professionals to identify changes in her condition, reduce the risk of medication errors, and ensure that she understands the support available.</w:t>
      </w:r>
    </w:p>
    <w:p w14:paraId="29C52323" w14:textId="77777777" w:rsidR="00277E76" w:rsidRPr="00076EDD" w:rsidRDefault="00277E76" w:rsidP="00277E76">
      <w:pPr>
        <w:rPr>
          <w:rFonts w:ascii="Arial" w:hAnsi="Arial" w:cs="Arial"/>
          <w:sz w:val="22"/>
          <w:szCs w:val="22"/>
        </w:rPr>
      </w:pPr>
      <w:r w:rsidRPr="00076EDD">
        <w:rPr>
          <w:rFonts w:ascii="Arial" w:hAnsi="Arial" w:cs="Arial"/>
          <w:sz w:val="22"/>
          <w:szCs w:val="22"/>
        </w:rPr>
        <w:t>When communicating with Mrs Thompson, professionals should use clear, simple language, speak slowly, maintain eye contact, and allow extra time for her to respond. They should avoid using medical jargon and check her understanding by asking her to repeat important information in her own words. Visual prompts, written reminders, or medication charts may also support her memory. Creating a calm environment with minimal distractions can improve her ability to process information and reduce anxiety.</w:t>
      </w:r>
    </w:p>
    <w:p w14:paraId="0AE1BA5A" w14:textId="77777777" w:rsidR="00277E76" w:rsidRPr="00076EDD" w:rsidRDefault="00277E76" w:rsidP="00277E76">
      <w:pPr>
        <w:rPr>
          <w:rFonts w:ascii="Arial" w:hAnsi="Arial" w:cs="Arial"/>
          <w:sz w:val="22"/>
          <w:szCs w:val="22"/>
        </w:rPr>
      </w:pPr>
      <w:r w:rsidRPr="00076EDD">
        <w:rPr>
          <w:rFonts w:ascii="Arial" w:hAnsi="Arial" w:cs="Arial"/>
          <w:sz w:val="22"/>
          <w:szCs w:val="22"/>
        </w:rPr>
        <w:t>Communication should also involve Mrs Thompson's family members, where appropriate and with her consent. Family members can provide valuable information about her routines, preferences, and changes in behaviour, enabling professionals to deliver more personalised care. They should receive clear updates about medication reviews, care plans, and safeguarding concerns while respecting Mrs Thompson's right to confidentiality. If Mrs Thompson lacks the mental capacity to make a particular decision, professionals should follow the principles of the Mental Capacity Act 2005 and involve family members in best-interest decisions where appropriate.</w:t>
      </w:r>
    </w:p>
    <w:p w14:paraId="10B6D0DC" w14:textId="77777777" w:rsidR="00277E76" w:rsidRPr="00BE2F42" w:rsidRDefault="00277E76" w:rsidP="00277E76">
      <w:pPr>
        <w:rPr>
          <w:rFonts w:ascii="Arial" w:hAnsi="Arial" w:cs="Arial"/>
          <w:sz w:val="22"/>
          <w:szCs w:val="22"/>
        </w:rPr>
      </w:pPr>
      <w:r w:rsidRPr="00BE2F42">
        <w:rPr>
          <w:rFonts w:ascii="Arial" w:hAnsi="Arial" w:cs="Arial"/>
          <w:sz w:val="22"/>
          <w:szCs w:val="22"/>
        </w:rPr>
        <w:t>The Equality Act 2010 underpins effective communication by protecting individuals from discrimination and ensuring equal access to services. Mrs Thompson is protected under the characteristic of age and may also be protected under disability, as dementia can be recognised as a disability when it has a substantial and long-term impact on daily life. Health and social care providers have a legal duty to make reasonable adjustments to meet her communication needs. These adjustments may include using larger print documents, providing information in accessible formats, allowing longer appointments, and adapting communication methods to suit her cognitive abilities. Treating Mrs Thompson with respect, dignity, and fairness ensures she is not disadvantaged because of her age or dementia.</w:t>
      </w:r>
    </w:p>
    <w:p w14:paraId="0B6A8FFF" w14:textId="40C5CA5F" w:rsidR="00277E76" w:rsidRPr="00076EDD" w:rsidRDefault="00277E76" w:rsidP="00277E76">
      <w:pPr>
        <w:rPr>
          <w:rFonts w:ascii="Arial" w:hAnsi="Arial" w:cs="Arial"/>
          <w:sz w:val="22"/>
          <w:szCs w:val="22"/>
        </w:rPr>
      </w:pPr>
      <w:r w:rsidRPr="00BE2F42">
        <w:rPr>
          <w:rFonts w:ascii="Arial" w:hAnsi="Arial" w:cs="Arial"/>
          <w:sz w:val="22"/>
          <w:szCs w:val="22"/>
        </w:rPr>
        <w:t>A useful communication model in Mrs Thompson's care is Argyle's Communication Cycle (1972). The cycle explains communication as a continuous process involving six stages: an idea occurs, the message is coded, transmitted, received, decoded, and feedback is given. For example, a care worker may explain when Mrs Thompson should take her medication using simple language. Mrs Thompson receives and interprets the message before responding by repeating the instructions or asking questions. If the care worker notices confusion, they can adapt the explanation, demonstrating that communication is an ongoing two-way process rather than simply giving information. Using Argyle's model helps professionals check understanding, identify misunderstandings quickly, and adapt communication to Mrs Thompson's changing needs. This supports safer care, strengthens professional relationships, and pr</w:t>
      </w:r>
      <w:r w:rsidRPr="00076EDD">
        <w:rPr>
          <w:rFonts w:ascii="Arial" w:hAnsi="Arial" w:cs="Arial"/>
          <w:sz w:val="22"/>
          <w:szCs w:val="22"/>
        </w:rPr>
        <w:t>omotes positive health outcomes.</w:t>
      </w:r>
    </w:p>
    <w:p w14:paraId="1222CE34" w14:textId="04C22D77" w:rsidR="00277E76" w:rsidRPr="00076EDD" w:rsidRDefault="00277E76" w:rsidP="00277E76">
      <w:pPr>
        <w:rPr>
          <w:rFonts w:ascii="Arial" w:hAnsi="Arial" w:cs="Arial"/>
          <w:b/>
          <w:bCs/>
          <w:sz w:val="22"/>
          <w:szCs w:val="22"/>
        </w:rPr>
      </w:pPr>
      <w:r w:rsidRPr="00076EDD">
        <w:rPr>
          <w:rFonts w:ascii="Arial" w:hAnsi="Arial" w:cs="Arial"/>
          <w:b/>
          <w:bCs/>
          <w:sz w:val="22"/>
          <w:szCs w:val="22"/>
        </w:rPr>
        <w:t xml:space="preserve">2. Administration and Record Keeping in Mrs Thompson's Care </w:t>
      </w:r>
    </w:p>
    <w:p w14:paraId="5C4D6CF1" w14:textId="77777777" w:rsidR="00277E76" w:rsidRPr="00076EDD" w:rsidRDefault="00277E76" w:rsidP="00277E76">
      <w:pPr>
        <w:rPr>
          <w:rFonts w:ascii="Arial" w:hAnsi="Arial" w:cs="Arial"/>
          <w:sz w:val="22"/>
          <w:szCs w:val="22"/>
        </w:rPr>
      </w:pPr>
      <w:r w:rsidRPr="00076EDD">
        <w:rPr>
          <w:rFonts w:ascii="Arial" w:hAnsi="Arial" w:cs="Arial"/>
          <w:sz w:val="22"/>
          <w:szCs w:val="22"/>
        </w:rPr>
        <w:t>Good administrative skills are essential for maintaining safe, effective, and accountable health and social care practice. In Mrs Thompson's case, accurate record keeping is particularly important because she has experienced missed medication, increased confusion, and an incident where she was found outside without suitable clothing. These events highlight the need for clear documentation to support continuity of care, monitor risks, and ensure that appropriate action is taken.</w:t>
      </w:r>
    </w:p>
    <w:p w14:paraId="21594167" w14:textId="77777777" w:rsidR="00277E76" w:rsidRPr="00076EDD" w:rsidRDefault="00277E76" w:rsidP="00277E76">
      <w:pPr>
        <w:rPr>
          <w:rFonts w:ascii="Arial" w:hAnsi="Arial" w:cs="Arial"/>
          <w:sz w:val="22"/>
          <w:szCs w:val="22"/>
        </w:rPr>
      </w:pPr>
      <w:r w:rsidRPr="00076EDD">
        <w:rPr>
          <w:rFonts w:ascii="Arial" w:hAnsi="Arial" w:cs="Arial"/>
          <w:sz w:val="22"/>
          <w:szCs w:val="22"/>
        </w:rPr>
        <w:t>Record keeping involves accurately documenting all aspects of a service user's care, including medication administration, risk assessments, incident reports, care plans, observations, and communication with other professionals. Following Mrs Thompson's missed medication, staff should complete a medication administration record (MAR chart), document the missed doses, record any symptoms such as increased confusion, inform the appropriate healthcare professional, and complete an incident report in accordance with organisational policy. Similarly, the incident involving Mrs Thompson leaving her home inappropriately dressed should be recorded promptly, including the circumstances, actions taken, and referrals made to safeguard her wellbeing.</w:t>
      </w:r>
    </w:p>
    <w:p w14:paraId="782EDCD0" w14:textId="77777777" w:rsidR="00277E76" w:rsidRPr="00076EDD" w:rsidRDefault="00277E76" w:rsidP="00277E76">
      <w:pPr>
        <w:rPr>
          <w:rFonts w:ascii="Arial" w:hAnsi="Arial" w:cs="Arial"/>
          <w:sz w:val="22"/>
          <w:szCs w:val="22"/>
        </w:rPr>
      </w:pPr>
      <w:r w:rsidRPr="00076EDD">
        <w:rPr>
          <w:rFonts w:ascii="Arial" w:hAnsi="Arial" w:cs="Arial"/>
          <w:sz w:val="22"/>
          <w:szCs w:val="22"/>
        </w:rPr>
        <w:t>Accurate records support continuity of care because all professionals involved, including GPs, community nurses, pharmacists, and domiciliary care workers, rely on the same information when making clinical decisions. Complete records also provide legal evidence that appropriate care has been delivered and help organisations identify patterns of risk that may require changes to the care plan. Poor documentation could result in repeated medication errors, delayed treatment, or safeguarding concerns being overlooked.</w:t>
      </w:r>
    </w:p>
    <w:p w14:paraId="38DA13F2" w14:textId="77777777" w:rsidR="00277E76" w:rsidRPr="00BE2F42" w:rsidRDefault="00277E76" w:rsidP="00277E76">
      <w:pPr>
        <w:rPr>
          <w:rFonts w:ascii="Arial" w:hAnsi="Arial" w:cs="Arial"/>
          <w:sz w:val="22"/>
          <w:szCs w:val="22"/>
        </w:rPr>
      </w:pPr>
      <w:r w:rsidRPr="00BE2F42">
        <w:rPr>
          <w:rFonts w:ascii="Arial" w:hAnsi="Arial" w:cs="Arial"/>
          <w:sz w:val="22"/>
          <w:szCs w:val="22"/>
        </w:rPr>
        <w:t>The Data Protection Act 2018, together with the UK General Data Protection Regulation (UK GDPR), sets out the legal requirements for collecting, storing, sharing, and protecting personal information. Mrs Thompson's personal information, including her medical history, dementia diagnosis, medication records, and incident reports, is classified as sensitive personal data and must be handled securely. Information should only be accessed by professionals directly involved in her care and should be stored securely using password-protected electronic systems or locked paper files. Information should not be shared without Mrs Thompson's consent unless there is a legal obligation or safeguarding concern requiring disclosure.</w:t>
      </w:r>
    </w:p>
    <w:p w14:paraId="213BF279" w14:textId="77777777" w:rsidR="00277E76" w:rsidRPr="00BE2F42" w:rsidRDefault="00277E76" w:rsidP="00277E76">
      <w:pPr>
        <w:rPr>
          <w:rFonts w:ascii="Arial" w:hAnsi="Arial" w:cs="Arial"/>
          <w:sz w:val="22"/>
          <w:szCs w:val="22"/>
        </w:rPr>
      </w:pPr>
      <w:r w:rsidRPr="00BE2F42">
        <w:rPr>
          <w:rFonts w:ascii="Arial" w:hAnsi="Arial" w:cs="Arial"/>
          <w:sz w:val="22"/>
          <w:szCs w:val="22"/>
        </w:rPr>
        <w:t>The principles of the Data Protection Act require information to be processed lawfully, fairly, and transparently, collected for specified purposes, kept accurate and up to date, stored only for as long as necessary, and protected against unauthorised access or accidental loss. Staff should ensure records are factual, objective, dated, timed, and signed, avoiding personal opinions or discriminatory language.</w:t>
      </w:r>
    </w:p>
    <w:p w14:paraId="13D1D158" w14:textId="77777777" w:rsidR="00277E76" w:rsidRPr="00BE2F42" w:rsidRDefault="00277E76" w:rsidP="00277E76">
      <w:pPr>
        <w:rPr>
          <w:rFonts w:ascii="Arial" w:hAnsi="Arial" w:cs="Arial"/>
          <w:sz w:val="22"/>
          <w:szCs w:val="22"/>
        </w:rPr>
      </w:pPr>
      <w:r w:rsidRPr="00BE2F42">
        <w:rPr>
          <w:rFonts w:ascii="Arial" w:hAnsi="Arial" w:cs="Arial"/>
          <w:sz w:val="22"/>
          <w:szCs w:val="22"/>
        </w:rPr>
        <w:t>Several policy frameworks support good record keeping. The Health and Social Care Act 2008 (Regulated Activities) Regulations 2014 requires providers to maintain accurate, complete, and contemporaneous records. The Care Quality Commission (CQC) monitors compliance with these standards to ensure safe and effective care. In addition, the Nursing and Midwifery Council (NMC) Code (2018) states that professionals must keep clear and accurate records to protect service users and maintain professional accountability. By following these legal and professional standards, staff can ensure Mrs Thompson receives coordinated, safe, and high-quality care while protecting her privacy and rights.</w:t>
      </w:r>
    </w:p>
    <w:p w14:paraId="7358D816" w14:textId="12EFBDA9" w:rsidR="00277E76" w:rsidRPr="00BE2F42" w:rsidRDefault="00277E76" w:rsidP="00277E76">
      <w:pPr>
        <w:rPr>
          <w:rFonts w:ascii="Arial" w:hAnsi="Arial" w:cs="Arial"/>
          <w:sz w:val="22"/>
          <w:szCs w:val="22"/>
        </w:rPr>
      </w:pPr>
    </w:p>
    <w:p w14:paraId="3266A9E5" w14:textId="4EC06E19" w:rsidR="00277E76" w:rsidRPr="00076EDD" w:rsidRDefault="00277E76" w:rsidP="00277E76">
      <w:pPr>
        <w:rPr>
          <w:rFonts w:ascii="Arial" w:hAnsi="Arial" w:cs="Arial"/>
          <w:b/>
          <w:bCs/>
          <w:sz w:val="22"/>
          <w:szCs w:val="22"/>
        </w:rPr>
      </w:pPr>
      <w:r w:rsidRPr="00076EDD">
        <w:rPr>
          <w:rFonts w:ascii="Arial" w:hAnsi="Arial" w:cs="Arial"/>
          <w:b/>
          <w:bCs/>
          <w:sz w:val="22"/>
          <w:szCs w:val="22"/>
        </w:rPr>
        <w:t xml:space="preserve">3. Collaborative Working in Mrs Thompson's Care </w:t>
      </w:r>
    </w:p>
    <w:p w14:paraId="2790913B" w14:textId="77777777" w:rsidR="00277E76" w:rsidRPr="00EF3CF5" w:rsidRDefault="00277E76" w:rsidP="00277E76">
      <w:pPr>
        <w:rPr>
          <w:rFonts w:ascii="Arial" w:hAnsi="Arial" w:cs="Arial"/>
          <w:sz w:val="22"/>
          <w:szCs w:val="22"/>
        </w:rPr>
      </w:pPr>
      <w:r w:rsidRPr="00EF3CF5">
        <w:rPr>
          <w:rFonts w:ascii="Arial" w:hAnsi="Arial" w:cs="Arial"/>
          <w:sz w:val="22"/>
          <w:szCs w:val="22"/>
        </w:rPr>
        <w:t>Collaborative working is essential in Mrs Thompson's case because her physical health, cognitive impairment, medication management, and safeguarding concerns require support from several health and social care professionals. A multidisciplinary approach ensures that all aspects of her care are coordinated, reducing risks and improving her quality of life.</w:t>
      </w:r>
    </w:p>
    <w:p w14:paraId="70205282" w14:textId="77777777" w:rsidR="00277E76" w:rsidRPr="00EF3CF5" w:rsidRDefault="00277E76" w:rsidP="00277E76">
      <w:pPr>
        <w:rPr>
          <w:rFonts w:ascii="Arial" w:hAnsi="Arial" w:cs="Arial"/>
          <w:sz w:val="22"/>
          <w:szCs w:val="22"/>
        </w:rPr>
      </w:pPr>
      <w:r w:rsidRPr="00EF3CF5">
        <w:rPr>
          <w:rFonts w:ascii="Arial" w:hAnsi="Arial" w:cs="Arial"/>
          <w:sz w:val="22"/>
          <w:szCs w:val="22"/>
        </w:rPr>
        <w:t>Several professionals are involved in Mrs Thompson's care. Her GP is responsible for monitoring her overall health, reviewing her medication, and making referrals to specialist services when required. A community nurse can assess her recovery following pneumonia, monitor her health, provide education about medication, and identify any deterioration in her condition. Domiciliary care workers support her with daily living activities, medication prompts, and observation of changes in her behaviour or wellbeing. The pharmacist may conduct a medication review to reduce the risk of further missed doses, while the local authority safeguarding team investigates concerns about her safety after she was found outside inadequately dressed.</w:t>
      </w:r>
    </w:p>
    <w:p w14:paraId="230A2968" w14:textId="77777777" w:rsidR="00277E76" w:rsidRPr="00EF3CF5" w:rsidRDefault="00277E76" w:rsidP="00277E76">
      <w:pPr>
        <w:rPr>
          <w:rFonts w:ascii="Arial" w:hAnsi="Arial" w:cs="Arial"/>
          <w:sz w:val="22"/>
          <w:szCs w:val="22"/>
        </w:rPr>
      </w:pPr>
      <w:r w:rsidRPr="00EF3CF5">
        <w:rPr>
          <w:rFonts w:ascii="Arial" w:hAnsi="Arial" w:cs="Arial"/>
          <w:sz w:val="22"/>
          <w:szCs w:val="22"/>
        </w:rPr>
        <w:t>Effective collaboration depends on clear communication, shared goals, regular meetings, and accurate information sharing. Professionals should contribute to a person-centred care plan, clearly defining roles and responsibilities while ensuring Mrs Thompson's wishes remain central to decision-making. Secure electronic records and timely referrals enable professionals to access consistent information and avoid duplication of care.</w:t>
      </w:r>
    </w:p>
    <w:p w14:paraId="57E34F13" w14:textId="77777777" w:rsidR="00277E76" w:rsidRPr="00EF3CF5" w:rsidRDefault="00277E76" w:rsidP="00277E76">
      <w:pPr>
        <w:rPr>
          <w:rFonts w:ascii="Arial" w:hAnsi="Arial" w:cs="Arial"/>
          <w:sz w:val="22"/>
          <w:szCs w:val="22"/>
        </w:rPr>
      </w:pPr>
      <w:r w:rsidRPr="00EF3CF5">
        <w:rPr>
          <w:rFonts w:ascii="Arial" w:hAnsi="Arial" w:cs="Arial"/>
          <w:sz w:val="22"/>
          <w:szCs w:val="22"/>
        </w:rPr>
        <w:t>However, multi-agency working can present challenges. Different organisations may use separate record systems, leading to delays in sharing information. Differences in professional roles, communication styles, or priorities can also create misunderstandings. Confidentiality concerns may make professionals hesitant to share information, particularly when consent is unclear.</w:t>
      </w:r>
    </w:p>
    <w:p w14:paraId="68D500C7" w14:textId="0701C0CC" w:rsidR="003E3883" w:rsidRPr="00076EDD" w:rsidRDefault="00277E76" w:rsidP="003E3883">
      <w:pPr>
        <w:rPr>
          <w:rFonts w:ascii="Arial" w:hAnsi="Arial" w:cs="Arial"/>
          <w:sz w:val="22"/>
          <w:szCs w:val="22"/>
        </w:rPr>
      </w:pPr>
      <w:r w:rsidRPr="00EF3CF5">
        <w:rPr>
          <w:rFonts w:ascii="Arial" w:hAnsi="Arial" w:cs="Arial"/>
          <w:sz w:val="22"/>
          <w:szCs w:val="22"/>
        </w:rPr>
        <w:t>These challenges can be addressed through regular multidisciplinary team (MDT) meetings, agreed communication protocols, shared care plans, and ongoing interprofessional training. Staff should understand when information can legally be shared under safeguarding legislation and the Data Protection Act 2018. Open communication, mutual respect, and clearly defined responsibilities promote trust between professionals and improve coordinated care. By working collaboratively, the multidisciplinary team can minimise risks, respond quickly to changes in M</w:t>
      </w:r>
      <w:r w:rsidRPr="00076EDD">
        <w:rPr>
          <w:rFonts w:ascii="Arial" w:hAnsi="Arial" w:cs="Arial"/>
          <w:sz w:val="22"/>
          <w:szCs w:val="22"/>
        </w:rPr>
        <w:t>rs Thompson's condition, and support her to remain safe, independent, and healthy within her own home.</w:t>
      </w:r>
    </w:p>
    <w:p w14:paraId="4E8BCFA6" w14:textId="090B5605" w:rsidR="003E3883" w:rsidRPr="00076EDD" w:rsidRDefault="003E3883" w:rsidP="003E3883">
      <w:pPr>
        <w:rPr>
          <w:rFonts w:ascii="Arial" w:hAnsi="Arial" w:cs="Arial"/>
          <w:b/>
          <w:bCs/>
          <w:sz w:val="22"/>
          <w:szCs w:val="22"/>
        </w:rPr>
      </w:pPr>
      <w:r w:rsidRPr="00076EDD">
        <w:rPr>
          <w:rFonts w:ascii="Arial" w:hAnsi="Arial" w:cs="Arial"/>
          <w:b/>
          <w:bCs/>
          <w:sz w:val="22"/>
          <w:szCs w:val="22"/>
        </w:rPr>
        <w:t>Conclusion</w:t>
      </w:r>
    </w:p>
    <w:p w14:paraId="25FFC8CF" w14:textId="1746689C" w:rsidR="008646BC" w:rsidRPr="008646BC" w:rsidRDefault="008646BC" w:rsidP="008646BC">
      <w:pPr>
        <w:rPr>
          <w:rFonts w:ascii="Arial" w:hAnsi="Arial" w:cs="Arial"/>
          <w:sz w:val="22"/>
          <w:szCs w:val="22"/>
        </w:rPr>
      </w:pPr>
      <w:r w:rsidRPr="008646BC">
        <w:rPr>
          <w:rFonts w:ascii="Arial" w:hAnsi="Arial" w:cs="Arial"/>
          <w:sz w:val="22"/>
          <w:szCs w:val="22"/>
        </w:rPr>
        <w:t>In summary, Mrs Thompson's case illustrates the importance of adopting a person-centred approach to meet the complex needs of older adults living with physical and cognitive health conditions. Effective communication allows professionals to build trusting relationships, involve Mrs Thompson and her family in care planning, and ensure her rights are upheld in line with the principles of the Equality Act 2010. Maintaining accurate, timely, and confidential records in accordance with the Data Protection Act 2018 supports continuity of care, informed decision-making, and professional accountability. Equally important is effective multidisciplinary working, which enables health and social care professionals to share relevant information, coordinate interventions, and respond promptly to changes in Mrs Thompson's condition. Through collaborative practice, ongoing risk assessment, and person-centred support, professionals can improve Mrs Thompson's safety, independence, and overall quality of life. These key principles contribute to the delivery of high-quality care that promotes positive outcomes for vulnerable individuals (NICE, 2022).</w:t>
      </w:r>
    </w:p>
    <w:p w14:paraId="475CBFA4" w14:textId="60C764B6" w:rsidR="008646BC" w:rsidRPr="00076EDD" w:rsidRDefault="008646BC" w:rsidP="003E3883">
      <w:pPr>
        <w:rPr>
          <w:rFonts w:ascii="Arial" w:hAnsi="Arial" w:cs="Arial"/>
          <w:sz w:val="22"/>
          <w:szCs w:val="22"/>
        </w:rPr>
      </w:pPr>
    </w:p>
    <w:p w14:paraId="6551DDBE" w14:textId="131D4F06" w:rsidR="003E3883" w:rsidRPr="00076EDD" w:rsidRDefault="003E3883" w:rsidP="003E3883">
      <w:pPr>
        <w:rPr>
          <w:rFonts w:ascii="Arial" w:hAnsi="Arial" w:cs="Arial"/>
          <w:sz w:val="22"/>
          <w:szCs w:val="22"/>
        </w:rPr>
      </w:pPr>
    </w:p>
    <w:p w14:paraId="10B4A861" w14:textId="3AEE75C7" w:rsidR="003E3883" w:rsidRPr="00076EDD" w:rsidRDefault="003E3883" w:rsidP="003E3883">
      <w:pPr>
        <w:rPr>
          <w:rFonts w:ascii="Arial" w:hAnsi="Arial" w:cs="Arial"/>
          <w:b/>
          <w:bCs/>
          <w:sz w:val="22"/>
          <w:szCs w:val="22"/>
        </w:rPr>
      </w:pPr>
      <w:r w:rsidRPr="00076EDD">
        <w:rPr>
          <w:rFonts w:ascii="Arial" w:hAnsi="Arial" w:cs="Arial"/>
          <w:b/>
          <w:bCs/>
          <w:sz w:val="22"/>
          <w:szCs w:val="22"/>
        </w:rPr>
        <w:t>Reference List</w:t>
      </w:r>
    </w:p>
    <w:p w14:paraId="7DAC495B"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Care Quality Commission (CQC) (2023) </w:t>
      </w:r>
      <w:r w:rsidRPr="00076EDD">
        <w:rPr>
          <w:rFonts w:ascii="Arial" w:hAnsi="Arial" w:cs="Arial"/>
          <w:i/>
          <w:iCs/>
          <w:sz w:val="22"/>
          <w:szCs w:val="22"/>
        </w:rPr>
        <w:t>Guidance for providers on meeting the regulations</w:t>
      </w:r>
      <w:r w:rsidRPr="00076EDD">
        <w:rPr>
          <w:rFonts w:ascii="Arial" w:hAnsi="Arial" w:cs="Arial"/>
          <w:sz w:val="22"/>
          <w:szCs w:val="22"/>
        </w:rPr>
        <w:t xml:space="preserve">. Available at: </w:t>
      </w:r>
      <w:hyperlink r:id="rId7" w:history="1">
        <w:r w:rsidRPr="00076EDD">
          <w:rPr>
            <w:rStyle w:val="Hyperlink"/>
            <w:rFonts w:ascii="Arial" w:hAnsi="Arial" w:cs="Arial"/>
            <w:sz w:val="22"/>
            <w:szCs w:val="22"/>
          </w:rPr>
          <w:t>https://www.cqc.org.uk</w:t>
        </w:r>
      </w:hyperlink>
      <w:r w:rsidRPr="00076EDD">
        <w:rPr>
          <w:rFonts w:ascii="Arial" w:hAnsi="Arial" w:cs="Arial"/>
          <w:sz w:val="22"/>
          <w:szCs w:val="22"/>
        </w:rPr>
        <w:t xml:space="preserve"> (Accessed: 23 July 2026).</w:t>
      </w:r>
    </w:p>
    <w:p w14:paraId="55872A22"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Department of Health and Social Care (2018) </w:t>
      </w:r>
      <w:r w:rsidRPr="00076EDD">
        <w:rPr>
          <w:rFonts w:ascii="Arial" w:hAnsi="Arial" w:cs="Arial"/>
          <w:i/>
          <w:iCs/>
          <w:sz w:val="22"/>
          <w:szCs w:val="22"/>
        </w:rPr>
        <w:t>Health and Social Care Act 2008 (Regulated Activities) Regulations 2014</w:t>
      </w:r>
      <w:r w:rsidRPr="00076EDD">
        <w:rPr>
          <w:rFonts w:ascii="Arial" w:hAnsi="Arial" w:cs="Arial"/>
          <w:sz w:val="22"/>
          <w:szCs w:val="22"/>
        </w:rPr>
        <w:t>. London: DHSC.</w:t>
      </w:r>
    </w:p>
    <w:p w14:paraId="3D6840C7"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Equality Act 2010. London: The Stationery Office. Available at: </w:t>
      </w:r>
      <w:hyperlink r:id="rId8" w:history="1">
        <w:r w:rsidRPr="00076EDD">
          <w:rPr>
            <w:rStyle w:val="Hyperlink"/>
            <w:rFonts w:ascii="Arial" w:hAnsi="Arial" w:cs="Arial"/>
            <w:sz w:val="22"/>
            <w:szCs w:val="22"/>
          </w:rPr>
          <w:t>https://www.legislation.gov.uk/ukpga/2010/15/contents</w:t>
        </w:r>
      </w:hyperlink>
      <w:r w:rsidRPr="00076EDD">
        <w:rPr>
          <w:rFonts w:ascii="Arial" w:hAnsi="Arial" w:cs="Arial"/>
          <w:sz w:val="22"/>
          <w:szCs w:val="22"/>
        </w:rPr>
        <w:t xml:space="preserve"> (Accessed: 23 July 2026).</w:t>
      </w:r>
    </w:p>
    <w:p w14:paraId="6389F7BE"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General Data Protection Regulation (UK GDPR). Available at: </w:t>
      </w:r>
      <w:hyperlink r:id="rId9" w:history="1">
        <w:r w:rsidRPr="00076EDD">
          <w:rPr>
            <w:rStyle w:val="Hyperlink"/>
            <w:rFonts w:ascii="Arial" w:hAnsi="Arial" w:cs="Arial"/>
            <w:sz w:val="22"/>
            <w:szCs w:val="22"/>
          </w:rPr>
          <w:t>https://ico.org.uk</w:t>
        </w:r>
      </w:hyperlink>
      <w:r w:rsidRPr="00076EDD">
        <w:rPr>
          <w:rFonts w:ascii="Arial" w:hAnsi="Arial" w:cs="Arial"/>
          <w:sz w:val="22"/>
          <w:szCs w:val="22"/>
        </w:rPr>
        <w:t xml:space="preserve"> (Accessed: 23 July 2026).</w:t>
      </w:r>
    </w:p>
    <w:p w14:paraId="3EF231FA"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Information Commissioner's Office (ICO) (2024) </w:t>
      </w:r>
      <w:r w:rsidRPr="00076EDD">
        <w:rPr>
          <w:rFonts w:ascii="Arial" w:hAnsi="Arial" w:cs="Arial"/>
          <w:i/>
          <w:iCs/>
          <w:sz w:val="22"/>
          <w:szCs w:val="22"/>
        </w:rPr>
        <w:t>Guide to Data Protection</w:t>
      </w:r>
      <w:r w:rsidRPr="00076EDD">
        <w:rPr>
          <w:rFonts w:ascii="Arial" w:hAnsi="Arial" w:cs="Arial"/>
          <w:sz w:val="22"/>
          <w:szCs w:val="22"/>
        </w:rPr>
        <w:t xml:space="preserve">. Available at: </w:t>
      </w:r>
      <w:hyperlink r:id="rId10" w:history="1">
        <w:r w:rsidRPr="00076EDD">
          <w:rPr>
            <w:rStyle w:val="Hyperlink"/>
            <w:rFonts w:ascii="Arial" w:hAnsi="Arial" w:cs="Arial"/>
            <w:sz w:val="22"/>
            <w:szCs w:val="22"/>
          </w:rPr>
          <w:t>https://ico.org.uk</w:t>
        </w:r>
      </w:hyperlink>
      <w:r w:rsidRPr="00076EDD">
        <w:rPr>
          <w:rFonts w:ascii="Arial" w:hAnsi="Arial" w:cs="Arial"/>
          <w:sz w:val="22"/>
          <w:szCs w:val="22"/>
        </w:rPr>
        <w:t xml:space="preserve"> (Accessed: 23 July 2026).</w:t>
      </w:r>
    </w:p>
    <w:p w14:paraId="6C742A9F"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NICE (2022) </w:t>
      </w:r>
      <w:r w:rsidRPr="00076EDD">
        <w:rPr>
          <w:rFonts w:ascii="Arial" w:hAnsi="Arial" w:cs="Arial"/>
          <w:i/>
          <w:iCs/>
          <w:sz w:val="22"/>
          <w:szCs w:val="22"/>
        </w:rPr>
        <w:t>Dementia: assessment, management and support for people living with dementia and their carers (NG97).</w:t>
      </w:r>
      <w:r w:rsidRPr="00076EDD">
        <w:rPr>
          <w:rFonts w:ascii="Arial" w:hAnsi="Arial" w:cs="Arial"/>
          <w:sz w:val="22"/>
          <w:szCs w:val="22"/>
        </w:rPr>
        <w:t xml:space="preserve"> Available at: </w:t>
      </w:r>
      <w:hyperlink r:id="rId11" w:history="1">
        <w:r w:rsidRPr="00076EDD">
          <w:rPr>
            <w:rStyle w:val="Hyperlink"/>
            <w:rFonts w:ascii="Arial" w:hAnsi="Arial" w:cs="Arial"/>
            <w:sz w:val="22"/>
            <w:szCs w:val="22"/>
          </w:rPr>
          <w:t>https://www.nice.org.uk/guidance/ng97</w:t>
        </w:r>
      </w:hyperlink>
      <w:r w:rsidRPr="00076EDD">
        <w:rPr>
          <w:rFonts w:ascii="Arial" w:hAnsi="Arial" w:cs="Arial"/>
          <w:sz w:val="22"/>
          <w:szCs w:val="22"/>
        </w:rPr>
        <w:t xml:space="preserve"> (Accessed: 23 July 2026).</w:t>
      </w:r>
    </w:p>
    <w:p w14:paraId="3F93F7B1"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NICE (2023) </w:t>
      </w:r>
      <w:r w:rsidRPr="00076EDD">
        <w:rPr>
          <w:rFonts w:ascii="Arial" w:hAnsi="Arial" w:cs="Arial"/>
          <w:i/>
          <w:iCs/>
          <w:sz w:val="22"/>
          <w:szCs w:val="22"/>
        </w:rPr>
        <w:t>Medicines optimisation: the safe and effective use of medicines</w:t>
      </w:r>
      <w:r w:rsidRPr="00076EDD">
        <w:rPr>
          <w:rFonts w:ascii="Arial" w:hAnsi="Arial" w:cs="Arial"/>
          <w:sz w:val="22"/>
          <w:szCs w:val="22"/>
        </w:rPr>
        <w:t xml:space="preserve">. Available at: </w:t>
      </w:r>
      <w:hyperlink r:id="rId12" w:history="1">
        <w:r w:rsidRPr="00076EDD">
          <w:rPr>
            <w:rStyle w:val="Hyperlink"/>
            <w:rFonts w:ascii="Arial" w:hAnsi="Arial" w:cs="Arial"/>
            <w:sz w:val="22"/>
            <w:szCs w:val="22"/>
          </w:rPr>
          <w:t>https://www.nice.org.uk</w:t>
        </w:r>
      </w:hyperlink>
      <w:r w:rsidRPr="00076EDD">
        <w:rPr>
          <w:rFonts w:ascii="Arial" w:hAnsi="Arial" w:cs="Arial"/>
          <w:sz w:val="22"/>
          <w:szCs w:val="22"/>
        </w:rPr>
        <w:t xml:space="preserve"> (Accessed: 23 July 2026).</w:t>
      </w:r>
    </w:p>
    <w:p w14:paraId="2A922ABA"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Nursing and Midwifery Council (NMC) (2018) </w:t>
      </w:r>
      <w:r w:rsidRPr="00076EDD">
        <w:rPr>
          <w:rFonts w:ascii="Arial" w:hAnsi="Arial" w:cs="Arial"/>
          <w:i/>
          <w:iCs/>
          <w:sz w:val="22"/>
          <w:szCs w:val="22"/>
        </w:rPr>
        <w:t>The Code: Professional standards of practice and behaviour for nurses, midwives and nursing associates</w:t>
      </w:r>
      <w:r w:rsidRPr="00076EDD">
        <w:rPr>
          <w:rFonts w:ascii="Arial" w:hAnsi="Arial" w:cs="Arial"/>
          <w:sz w:val="22"/>
          <w:szCs w:val="22"/>
        </w:rPr>
        <w:t>. London: NMC.</w:t>
      </w:r>
    </w:p>
    <w:p w14:paraId="447DEADA"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Skills for Care (2023) </w:t>
      </w:r>
      <w:r w:rsidRPr="00076EDD">
        <w:rPr>
          <w:rFonts w:ascii="Arial" w:hAnsi="Arial" w:cs="Arial"/>
          <w:i/>
          <w:iCs/>
          <w:sz w:val="22"/>
          <w:szCs w:val="22"/>
        </w:rPr>
        <w:t>Record keeping in adult social care</w:t>
      </w:r>
      <w:r w:rsidRPr="00076EDD">
        <w:rPr>
          <w:rFonts w:ascii="Arial" w:hAnsi="Arial" w:cs="Arial"/>
          <w:sz w:val="22"/>
          <w:szCs w:val="22"/>
        </w:rPr>
        <w:t xml:space="preserve">. Available at: </w:t>
      </w:r>
      <w:hyperlink r:id="rId13" w:history="1">
        <w:r w:rsidRPr="00076EDD">
          <w:rPr>
            <w:rStyle w:val="Hyperlink"/>
            <w:rFonts w:ascii="Arial" w:hAnsi="Arial" w:cs="Arial"/>
            <w:sz w:val="22"/>
            <w:szCs w:val="22"/>
          </w:rPr>
          <w:t>https://www.skillsforcare.org.uk</w:t>
        </w:r>
      </w:hyperlink>
      <w:r w:rsidRPr="00076EDD">
        <w:rPr>
          <w:rFonts w:ascii="Arial" w:hAnsi="Arial" w:cs="Arial"/>
          <w:sz w:val="22"/>
          <w:szCs w:val="22"/>
        </w:rPr>
        <w:t xml:space="preserve"> (Accessed: 23 July 2026).</w:t>
      </w:r>
    </w:p>
    <w:p w14:paraId="2DA77966"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Tuckman, B.W. (1965) 'Developmental sequence in small groups', </w:t>
      </w:r>
      <w:r w:rsidRPr="00076EDD">
        <w:rPr>
          <w:rFonts w:ascii="Arial" w:hAnsi="Arial" w:cs="Arial"/>
          <w:i/>
          <w:iCs/>
          <w:sz w:val="22"/>
          <w:szCs w:val="22"/>
        </w:rPr>
        <w:t>Psychological Bulletin</w:t>
      </w:r>
      <w:r w:rsidRPr="00076EDD">
        <w:rPr>
          <w:rFonts w:ascii="Arial" w:hAnsi="Arial" w:cs="Arial"/>
          <w:sz w:val="22"/>
          <w:szCs w:val="22"/>
        </w:rPr>
        <w:t>, 63(6), pp. 384–399.</w:t>
      </w:r>
    </w:p>
    <w:p w14:paraId="0CE90D7B"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UK Government (2018) </w:t>
      </w:r>
      <w:r w:rsidRPr="00076EDD">
        <w:rPr>
          <w:rFonts w:ascii="Arial" w:hAnsi="Arial" w:cs="Arial"/>
          <w:i/>
          <w:iCs/>
          <w:sz w:val="22"/>
          <w:szCs w:val="22"/>
        </w:rPr>
        <w:t>Data Protection Act 2018</w:t>
      </w:r>
      <w:r w:rsidRPr="00076EDD">
        <w:rPr>
          <w:rFonts w:ascii="Arial" w:hAnsi="Arial" w:cs="Arial"/>
          <w:sz w:val="22"/>
          <w:szCs w:val="22"/>
        </w:rPr>
        <w:t xml:space="preserve">. Available at: </w:t>
      </w:r>
      <w:hyperlink r:id="rId14" w:history="1">
        <w:r w:rsidRPr="00076EDD">
          <w:rPr>
            <w:rStyle w:val="Hyperlink"/>
            <w:rFonts w:ascii="Arial" w:hAnsi="Arial" w:cs="Arial"/>
            <w:sz w:val="22"/>
            <w:szCs w:val="22"/>
          </w:rPr>
          <w:t>https://www.legislation.gov.uk/ukpga/2018/12/contents</w:t>
        </w:r>
      </w:hyperlink>
      <w:r w:rsidRPr="00076EDD">
        <w:rPr>
          <w:rFonts w:ascii="Arial" w:hAnsi="Arial" w:cs="Arial"/>
          <w:sz w:val="22"/>
          <w:szCs w:val="22"/>
        </w:rPr>
        <w:t xml:space="preserve"> (Accessed: 23 July 2026).</w:t>
      </w:r>
    </w:p>
    <w:p w14:paraId="63B6EFD6" w14:textId="77777777" w:rsidR="003E3883" w:rsidRPr="00076EDD" w:rsidRDefault="003E3883" w:rsidP="003E3883">
      <w:pPr>
        <w:rPr>
          <w:rFonts w:ascii="Arial" w:hAnsi="Arial" w:cs="Arial"/>
          <w:sz w:val="22"/>
          <w:szCs w:val="22"/>
        </w:rPr>
      </w:pPr>
      <w:r w:rsidRPr="00076EDD">
        <w:rPr>
          <w:rFonts w:ascii="Arial" w:hAnsi="Arial" w:cs="Arial"/>
          <w:sz w:val="22"/>
          <w:szCs w:val="22"/>
        </w:rPr>
        <w:t xml:space="preserve">World Health Organization (2023) </w:t>
      </w:r>
      <w:r w:rsidRPr="00076EDD">
        <w:rPr>
          <w:rFonts w:ascii="Arial" w:hAnsi="Arial" w:cs="Arial"/>
          <w:i/>
          <w:iCs/>
          <w:sz w:val="22"/>
          <w:szCs w:val="22"/>
        </w:rPr>
        <w:t>Integrated care for older people</w:t>
      </w:r>
      <w:r w:rsidRPr="00076EDD">
        <w:rPr>
          <w:rFonts w:ascii="Arial" w:hAnsi="Arial" w:cs="Arial"/>
          <w:sz w:val="22"/>
          <w:szCs w:val="22"/>
        </w:rPr>
        <w:t xml:space="preserve">. Available at: </w:t>
      </w:r>
      <w:hyperlink r:id="rId15" w:history="1">
        <w:r w:rsidRPr="00076EDD">
          <w:rPr>
            <w:rStyle w:val="Hyperlink"/>
            <w:rFonts w:ascii="Arial" w:hAnsi="Arial" w:cs="Arial"/>
            <w:sz w:val="22"/>
            <w:szCs w:val="22"/>
          </w:rPr>
          <w:t>https://www.who.int</w:t>
        </w:r>
      </w:hyperlink>
      <w:r w:rsidRPr="00076EDD">
        <w:rPr>
          <w:rFonts w:ascii="Arial" w:hAnsi="Arial" w:cs="Arial"/>
          <w:sz w:val="22"/>
          <w:szCs w:val="22"/>
        </w:rPr>
        <w:t xml:space="preserve"> (Accessed: 23 July 2026).</w:t>
      </w:r>
    </w:p>
    <w:p w14:paraId="7AE3A1B3" w14:textId="5D7E7538" w:rsidR="00FC206F" w:rsidRPr="00076EDD" w:rsidRDefault="00FC206F">
      <w:pPr>
        <w:rPr>
          <w:rFonts w:ascii="Arial" w:hAnsi="Arial" w:cs="Arial"/>
          <w:sz w:val="22"/>
          <w:szCs w:val="22"/>
        </w:rPr>
      </w:pPr>
    </w:p>
    <w:sectPr w:rsidR="00FC206F" w:rsidRPr="00076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8495B"/>
    <w:multiLevelType w:val="multilevel"/>
    <w:tmpl w:val="CD38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0277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883"/>
    <w:rsid w:val="00042011"/>
    <w:rsid w:val="00076EDD"/>
    <w:rsid w:val="00126766"/>
    <w:rsid w:val="00277E76"/>
    <w:rsid w:val="002C183F"/>
    <w:rsid w:val="003E3883"/>
    <w:rsid w:val="004F2A51"/>
    <w:rsid w:val="005E1774"/>
    <w:rsid w:val="0065309D"/>
    <w:rsid w:val="008325AE"/>
    <w:rsid w:val="008646BC"/>
    <w:rsid w:val="00BE2F42"/>
    <w:rsid w:val="00C8484E"/>
    <w:rsid w:val="00CF6679"/>
    <w:rsid w:val="00DA1186"/>
    <w:rsid w:val="00E56C8D"/>
    <w:rsid w:val="00EF3CF5"/>
    <w:rsid w:val="00F14330"/>
    <w:rsid w:val="00FC2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49C6F"/>
  <w15:chartTrackingRefBased/>
  <w15:docId w15:val="{1BA7FFB5-7BDC-4F2B-9D51-FF9AEBB63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8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8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8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8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8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8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8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8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8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8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8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8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8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8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8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8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8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883"/>
    <w:rPr>
      <w:rFonts w:eastAsiaTheme="majorEastAsia" w:cstheme="majorBidi"/>
      <w:color w:val="272727" w:themeColor="text1" w:themeTint="D8"/>
    </w:rPr>
  </w:style>
  <w:style w:type="paragraph" w:styleId="Title">
    <w:name w:val="Title"/>
    <w:basedOn w:val="Normal"/>
    <w:next w:val="Normal"/>
    <w:link w:val="TitleChar"/>
    <w:uiPriority w:val="10"/>
    <w:qFormat/>
    <w:rsid w:val="003E38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8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8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8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883"/>
    <w:pPr>
      <w:spacing w:before="160"/>
      <w:jc w:val="center"/>
    </w:pPr>
    <w:rPr>
      <w:i/>
      <w:iCs/>
      <w:color w:val="404040" w:themeColor="text1" w:themeTint="BF"/>
    </w:rPr>
  </w:style>
  <w:style w:type="character" w:customStyle="1" w:styleId="QuoteChar">
    <w:name w:val="Quote Char"/>
    <w:basedOn w:val="DefaultParagraphFont"/>
    <w:link w:val="Quote"/>
    <w:uiPriority w:val="29"/>
    <w:rsid w:val="003E3883"/>
    <w:rPr>
      <w:i/>
      <w:iCs/>
      <w:color w:val="404040" w:themeColor="text1" w:themeTint="BF"/>
    </w:rPr>
  </w:style>
  <w:style w:type="paragraph" w:styleId="ListParagraph">
    <w:name w:val="List Paragraph"/>
    <w:basedOn w:val="Normal"/>
    <w:uiPriority w:val="34"/>
    <w:qFormat/>
    <w:rsid w:val="003E3883"/>
    <w:pPr>
      <w:ind w:left="720"/>
      <w:contextualSpacing/>
    </w:pPr>
  </w:style>
  <w:style w:type="character" w:styleId="IntenseEmphasis">
    <w:name w:val="Intense Emphasis"/>
    <w:basedOn w:val="DefaultParagraphFont"/>
    <w:uiPriority w:val="21"/>
    <w:qFormat/>
    <w:rsid w:val="003E3883"/>
    <w:rPr>
      <w:i/>
      <w:iCs/>
      <w:color w:val="0F4761" w:themeColor="accent1" w:themeShade="BF"/>
    </w:rPr>
  </w:style>
  <w:style w:type="paragraph" w:styleId="IntenseQuote">
    <w:name w:val="Intense Quote"/>
    <w:basedOn w:val="Normal"/>
    <w:next w:val="Normal"/>
    <w:link w:val="IntenseQuoteChar"/>
    <w:uiPriority w:val="30"/>
    <w:qFormat/>
    <w:rsid w:val="003E38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883"/>
    <w:rPr>
      <w:i/>
      <w:iCs/>
      <w:color w:val="0F4761" w:themeColor="accent1" w:themeShade="BF"/>
    </w:rPr>
  </w:style>
  <w:style w:type="character" w:styleId="IntenseReference">
    <w:name w:val="Intense Reference"/>
    <w:basedOn w:val="DefaultParagraphFont"/>
    <w:uiPriority w:val="32"/>
    <w:qFormat/>
    <w:rsid w:val="003E3883"/>
    <w:rPr>
      <w:b/>
      <w:bCs/>
      <w:smallCaps/>
      <w:color w:val="0F4761" w:themeColor="accent1" w:themeShade="BF"/>
      <w:spacing w:val="5"/>
    </w:rPr>
  </w:style>
  <w:style w:type="character" w:styleId="Hyperlink">
    <w:name w:val="Hyperlink"/>
    <w:basedOn w:val="DefaultParagraphFont"/>
    <w:uiPriority w:val="99"/>
    <w:unhideWhenUsed/>
    <w:rsid w:val="003E3883"/>
    <w:rPr>
      <w:color w:val="467886" w:themeColor="hyperlink"/>
      <w:u w:val="single"/>
    </w:rPr>
  </w:style>
  <w:style w:type="character" w:styleId="UnresolvedMention">
    <w:name w:val="Unresolved Mention"/>
    <w:basedOn w:val="DefaultParagraphFont"/>
    <w:uiPriority w:val="99"/>
    <w:semiHidden/>
    <w:unhideWhenUsed/>
    <w:rsid w:val="003E3883"/>
    <w:rPr>
      <w:color w:val="605E5C"/>
      <w:shd w:val="clear" w:color="auto" w:fill="E1DFDD"/>
    </w:rPr>
  </w:style>
  <w:style w:type="paragraph" w:styleId="NormalWeb">
    <w:name w:val="Normal (Web)"/>
    <w:basedOn w:val="Normal"/>
    <w:uiPriority w:val="99"/>
    <w:semiHidden/>
    <w:unhideWhenUsed/>
    <w:rsid w:val="008646B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nice.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ice.org.uk/guidance/ng97" TargetMode="External"/><Relationship Id="rId5" Type="http://schemas.openxmlformats.org/officeDocument/2006/relationships/image" Target="media/image1.png"/><Relationship Id="rId15" Type="http://schemas.openxmlformats.org/officeDocument/2006/relationships/hyperlink" Target="https://www.who.int/" TargetMode="External"/><Relationship Id="rId10" Type="http://schemas.openxmlformats.org/officeDocument/2006/relationships/hyperlink" Target="https://ico.org.uk/" TargetMode="External"/><Relationship Id="rId4" Type="http://schemas.openxmlformats.org/officeDocument/2006/relationships/webSettings" Target="webSettings.xml"/><Relationship Id="rId9" Type="http://schemas.openxmlformats.org/officeDocument/2006/relationships/hyperlink" Target="https://ico.org.uk/" TargetMode="External"/><Relationship Id="rId14"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2181</Words>
  <Characters>12438</Characters>
  <Application>Microsoft Office Word</Application>
  <DocSecurity>0</DocSecurity>
  <Lines>103</Lines>
  <Paragraphs>29</Paragraphs>
  <ScaleCrop>false</ScaleCrop>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Allison-Louise Hay (2507525)</dc:creator>
  <cp:keywords/>
  <dc:description/>
  <cp:lastModifiedBy>Allison-Louise Hay (2507525)</cp:lastModifiedBy>
  <cp:revision>16</cp:revision>
  <dcterms:created xsi:type="dcterms:W3CDTF">2026-07-23T13:35:00Z</dcterms:created>
  <dcterms:modified xsi:type="dcterms:W3CDTF">2026-07-23T13:49:00Z</dcterms:modified>
</cp:coreProperties>
</file>