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5E13AC" w14:textId="3C1CAAB9" w:rsidR="004179B9" w:rsidRPr="00355168" w:rsidRDefault="00355168" w:rsidP="00355168">
      <w:pPr>
        <w:jc w:val="center"/>
        <w:rPr>
          <w:b/>
          <w:bCs/>
          <w:sz w:val="28"/>
          <w:szCs w:val="28"/>
        </w:rPr>
      </w:pPr>
      <w:bookmarkStart w:id="0" w:name="_GoBack"/>
      <w:bookmarkEnd w:id="0"/>
      <w:r w:rsidRPr="00355168">
        <w:rPr>
          <w:b/>
          <w:bCs/>
          <w:sz w:val="28"/>
          <w:szCs w:val="28"/>
        </w:rPr>
        <w:t>Printed Primary Source Exercise</w:t>
      </w:r>
    </w:p>
    <w:p w14:paraId="32CE5905" w14:textId="7293C71E" w:rsidR="00355168" w:rsidRPr="00355168" w:rsidRDefault="00355168" w:rsidP="00355168">
      <w:pPr>
        <w:jc w:val="center"/>
        <w:rPr>
          <w:b/>
          <w:bCs/>
          <w:sz w:val="28"/>
          <w:szCs w:val="28"/>
        </w:rPr>
      </w:pPr>
      <w:r w:rsidRPr="00355168">
        <w:rPr>
          <w:b/>
          <w:bCs/>
          <w:sz w:val="28"/>
          <w:szCs w:val="28"/>
        </w:rPr>
        <w:t xml:space="preserve">Topic: </w:t>
      </w:r>
      <w:proofErr w:type="spellStart"/>
      <w:r w:rsidRPr="00355168">
        <w:rPr>
          <w:b/>
          <w:bCs/>
          <w:sz w:val="28"/>
          <w:szCs w:val="28"/>
        </w:rPr>
        <w:t>Aethelflead</w:t>
      </w:r>
      <w:proofErr w:type="spellEnd"/>
      <w:r w:rsidRPr="00355168">
        <w:rPr>
          <w:b/>
          <w:bCs/>
          <w:sz w:val="28"/>
          <w:szCs w:val="28"/>
        </w:rPr>
        <w:t>: Lady of the Mercians</w:t>
      </w:r>
    </w:p>
    <w:p w14:paraId="2A4ACCE0" w14:textId="77777777" w:rsidR="00355168" w:rsidRDefault="00355168" w:rsidP="00355168">
      <w:pPr>
        <w:jc w:val="center"/>
        <w:rPr>
          <w:b/>
          <w:bCs/>
          <w:sz w:val="32"/>
          <w:szCs w:val="32"/>
        </w:rPr>
      </w:pPr>
    </w:p>
    <w:p w14:paraId="051C03ED" w14:textId="77777777" w:rsidR="002C5361" w:rsidRDefault="0055531D" w:rsidP="00355168">
      <w:pPr>
        <w:rPr>
          <w:b/>
          <w:bCs/>
        </w:rPr>
      </w:pPr>
      <w:r w:rsidRPr="002C5361">
        <w:rPr>
          <w:b/>
          <w:bCs/>
        </w:rPr>
        <w:t>Introduction</w:t>
      </w:r>
    </w:p>
    <w:p w14:paraId="68A27984" w14:textId="1FF1BD56" w:rsidR="00355168" w:rsidRDefault="00355168" w:rsidP="00355168">
      <w:r>
        <w:t>The sources</w:t>
      </w:r>
      <w:r w:rsidR="00D24FD4">
        <w:t xml:space="preserve"> </w:t>
      </w:r>
      <w:r w:rsidR="00D56008">
        <w:t xml:space="preserve">relating to </w:t>
      </w:r>
      <w:proofErr w:type="spellStart"/>
      <w:r w:rsidR="00D56008">
        <w:t>Aethelflaed</w:t>
      </w:r>
      <w:proofErr w:type="spellEnd"/>
      <w:r w:rsidR="00D56008">
        <w:t xml:space="preserve"> </w:t>
      </w:r>
      <w:r>
        <w:t>are less straightforward that those relating to her father</w:t>
      </w:r>
      <w:r w:rsidR="00D56008">
        <w:t>, Alfred</w:t>
      </w:r>
      <w:r w:rsidR="008206D5">
        <w:t xml:space="preserve"> the Great</w:t>
      </w:r>
      <w:r>
        <w:t xml:space="preserve">. In order to gain an understanding of her life it is necessary to cast a wide net through the available source material, each source offering something </w:t>
      </w:r>
      <w:r w:rsidR="00A61A02">
        <w:t>to add to the overall picture of her life.</w:t>
      </w:r>
    </w:p>
    <w:p w14:paraId="5DC4BA3E" w14:textId="2E8C0AC7" w:rsidR="00A61A02" w:rsidRDefault="00A61A02" w:rsidP="00355168">
      <w:pPr>
        <w:rPr>
          <w:b/>
          <w:bCs/>
        </w:rPr>
      </w:pPr>
      <w:r>
        <w:rPr>
          <w:b/>
          <w:bCs/>
        </w:rPr>
        <w:t>Primary Sources</w:t>
      </w:r>
    </w:p>
    <w:p w14:paraId="02EC3512" w14:textId="0E8D00D2" w:rsidR="00F232E7" w:rsidRDefault="00C9204B" w:rsidP="00F232E7">
      <w:pPr>
        <w:pStyle w:val="ListParagraph"/>
        <w:numPr>
          <w:ilvl w:val="0"/>
          <w:numId w:val="1"/>
        </w:numPr>
        <w:rPr>
          <w:b/>
          <w:bCs/>
        </w:rPr>
      </w:pPr>
      <w:r>
        <w:rPr>
          <w:b/>
          <w:bCs/>
        </w:rPr>
        <w:t>Fragmentary Annals of Ireland, ed &amp; trans Joan Radner (Dublin</w:t>
      </w:r>
      <w:r w:rsidR="00FE2BE1">
        <w:rPr>
          <w:b/>
          <w:bCs/>
        </w:rPr>
        <w:t>: Dublin Institute for Advanced Stud</w:t>
      </w:r>
      <w:r w:rsidR="00732F20">
        <w:rPr>
          <w:b/>
          <w:bCs/>
        </w:rPr>
        <w:t>ies,</w:t>
      </w:r>
      <w:r>
        <w:rPr>
          <w:b/>
          <w:bCs/>
        </w:rPr>
        <w:t xml:space="preserve"> 1978) </w:t>
      </w:r>
      <w:r w:rsidR="001E3104">
        <w:rPr>
          <w:b/>
          <w:bCs/>
        </w:rPr>
        <w:t xml:space="preserve">accessed via </w:t>
      </w:r>
      <w:r>
        <w:rPr>
          <w:b/>
          <w:bCs/>
        </w:rPr>
        <w:t xml:space="preserve">CELT: </w:t>
      </w:r>
      <w:r w:rsidR="007529E5">
        <w:rPr>
          <w:b/>
          <w:bCs/>
        </w:rPr>
        <w:t xml:space="preserve">  </w:t>
      </w:r>
      <w:r>
        <w:rPr>
          <w:b/>
          <w:bCs/>
        </w:rPr>
        <w:t xml:space="preserve">Corpus of Electronic Texts Edition, University College Cork, 2004, 2008 </w:t>
      </w:r>
      <w:r w:rsidR="001E3104">
        <w:rPr>
          <w:b/>
          <w:bCs/>
        </w:rPr>
        <w:t xml:space="preserve"> </w:t>
      </w:r>
      <w:hyperlink r:id="rId8" w:history="1">
        <w:r w:rsidR="001E3104" w:rsidRPr="00CE1817">
          <w:rPr>
            <w:rStyle w:val="Hyperlink"/>
            <w:b/>
            <w:bCs/>
          </w:rPr>
          <w:t>http://www.ucc.ie/celt</w:t>
        </w:r>
      </w:hyperlink>
    </w:p>
    <w:p w14:paraId="2CB646F6" w14:textId="275658FD" w:rsidR="001E3104" w:rsidRDefault="001E3104" w:rsidP="001E3104">
      <w:pPr>
        <w:ind w:left="720"/>
      </w:pPr>
      <w:r>
        <w:t xml:space="preserve">Evidence is found in the Irish Annals to supplement the history provided by the Anglo-Saxon Chronicle (discussed below) and these annals are therefore useful in expanding on the available English material. </w:t>
      </w:r>
      <w:r w:rsidR="008D35D7">
        <w:t>They</w:t>
      </w:r>
      <w:r>
        <w:t xml:space="preserve"> </w:t>
      </w:r>
      <w:r w:rsidR="00CD0913">
        <w:t>describe</w:t>
      </w:r>
      <w:r>
        <w:t xml:space="preserve"> </w:t>
      </w:r>
      <w:proofErr w:type="spellStart"/>
      <w:r>
        <w:t>Aethelflaed</w:t>
      </w:r>
      <w:proofErr w:type="spellEnd"/>
      <w:r>
        <w:t xml:space="preserve"> </w:t>
      </w:r>
      <w:r w:rsidR="008D35D7">
        <w:t>‘</w:t>
      </w:r>
      <w:r>
        <w:t>through her own cleverness</w:t>
      </w:r>
      <w:r w:rsidR="008D35D7">
        <w:t>’</w:t>
      </w:r>
      <w:r>
        <w:t xml:space="preserve"> making peace with the men of Alba and the Britons in 914AD and says that </w:t>
      </w:r>
      <w:r w:rsidR="008D35D7">
        <w:t>‘</w:t>
      </w:r>
      <w:r>
        <w:t>her fame spread in all directions</w:t>
      </w:r>
      <w:r w:rsidR="008D35D7">
        <w:t>’</w:t>
      </w:r>
      <w:r>
        <w:t>.</w:t>
      </w:r>
      <w:r w:rsidR="008D35D7">
        <w:rPr>
          <w:rStyle w:val="FootnoteReference"/>
        </w:rPr>
        <w:footnoteReference w:id="2"/>
      </w:r>
      <w:r>
        <w:t xml:space="preserve"> This is evidence of her successful strategy of negotiation and alliance, fulfilling the female role of peace-weaver as well as leader of men.</w:t>
      </w:r>
    </w:p>
    <w:p w14:paraId="78E3C2FA" w14:textId="5D5176AE" w:rsidR="001948F6" w:rsidRDefault="00277D2E" w:rsidP="00277D2E">
      <w:pPr>
        <w:pStyle w:val="ListParagraph"/>
        <w:numPr>
          <w:ilvl w:val="0"/>
          <w:numId w:val="1"/>
        </w:numPr>
        <w:rPr>
          <w:b/>
          <w:bCs/>
        </w:rPr>
      </w:pPr>
      <w:r>
        <w:rPr>
          <w:b/>
          <w:bCs/>
        </w:rPr>
        <w:t>The Anglo-Saxon Chronicle: New Edition, ed &amp; trans. Michael Swanton (London</w:t>
      </w:r>
      <w:r w:rsidR="00DC474D">
        <w:rPr>
          <w:b/>
          <w:bCs/>
        </w:rPr>
        <w:t xml:space="preserve">: </w:t>
      </w:r>
      <w:r>
        <w:rPr>
          <w:b/>
          <w:bCs/>
        </w:rPr>
        <w:t>Phoenix Press</w:t>
      </w:r>
      <w:r w:rsidR="004F0C3C">
        <w:rPr>
          <w:b/>
          <w:bCs/>
        </w:rPr>
        <w:t>,</w:t>
      </w:r>
      <w:r>
        <w:rPr>
          <w:b/>
          <w:bCs/>
        </w:rPr>
        <w:t xml:space="preserve"> 2000)</w:t>
      </w:r>
    </w:p>
    <w:p w14:paraId="537FEF03" w14:textId="6E01319C" w:rsidR="00277D2E" w:rsidRDefault="00277D2E" w:rsidP="00277D2E">
      <w:pPr>
        <w:pStyle w:val="ListParagraph"/>
        <w:rPr>
          <w:b/>
          <w:bCs/>
        </w:rPr>
      </w:pPr>
    </w:p>
    <w:p w14:paraId="0C329793" w14:textId="3D135485" w:rsidR="001E3104" w:rsidRDefault="00277D2E" w:rsidP="00427485">
      <w:pPr>
        <w:pStyle w:val="ListParagraph"/>
      </w:pPr>
      <w:r>
        <w:t>The Anglo-Saxon Chronicles are the main historical source for this period. The original manuscript was created in the late 9</w:t>
      </w:r>
      <w:r w:rsidRPr="00277D2E">
        <w:rPr>
          <w:vertAlign w:val="superscript"/>
        </w:rPr>
        <w:t>th</w:t>
      </w:r>
      <w:r>
        <w:t xml:space="preserve"> Century during the reign of Alfred the Great and was updated thereafter. There are nine surviving </w:t>
      </w:r>
      <w:proofErr w:type="gramStart"/>
      <w:r>
        <w:t>manuscripts</w:t>
      </w:r>
      <w:proofErr w:type="gramEnd"/>
      <w:r>
        <w:t xml:space="preserve"> but none is the original. It generally has a West Saxon bias resulting from its original authorship. Most of the information relating to </w:t>
      </w:r>
      <w:proofErr w:type="spellStart"/>
      <w:r>
        <w:t>Aethelflaed</w:t>
      </w:r>
      <w:proofErr w:type="spellEnd"/>
      <w:r>
        <w:t xml:space="preserve"> is found in a version known as the Mercian Register, which is a collection of annals from 902-924AD with a focus on Mercia that appears </w:t>
      </w:r>
      <w:r w:rsidR="00A60C65">
        <w:t xml:space="preserve">as a discrete identifiable unit </w:t>
      </w:r>
      <w:r>
        <w:t>in the C version</w:t>
      </w:r>
      <w:r w:rsidR="009130CC">
        <w:t>, then copied in part into the D text</w:t>
      </w:r>
      <w:r w:rsidR="0058193C">
        <w:t xml:space="preserve"> </w:t>
      </w:r>
      <w:r>
        <w:t>. It was written in the mid 11</w:t>
      </w:r>
      <w:r w:rsidRPr="00277D2E">
        <w:rPr>
          <w:vertAlign w:val="superscript"/>
        </w:rPr>
        <w:t>th</w:t>
      </w:r>
      <w:r>
        <w:t xml:space="preserve"> Century. It gives us key, if brief due to its narrative style, information on </w:t>
      </w:r>
      <w:proofErr w:type="spellStart"/>
      <w:r>
        <w:t>Aethelflaed’s</w:t>
      </w:r>
      <w:proofErr w:type="spellEnd"/>
      <w:r>
        <w:t xml:space="preserve"> life.</w:t>
      </w:r>
      <w:r w:rsidR="00427485">
        <w:t xml:space="preserve"> </w:t>
      </w:r>
      <w:r w:rsidR="001448C9">
        <w:t>We see in th</w:t>
      </w:r>
      <w:r w:rsidR="006D6D07">
        <w:t>e Chronicle</w:t>
      </w:r>
      <w:r w:rsidR="001448C9">
        <w:t xml:space="preserve"> account evidence of her negotiating strategy, a less ‘trigger-happy’ and more peaceful, negotiation-led form of politics.</w:t>
      </w:r>
    </w:p>
    <w:p w14:paraId="6D58BA91" w14:textId="77777777" w:rsidR="0055531D" w:rsidRDefault="0055531D" w:rsidP="0055531D">
      <w:pPr>
        <w:pStyle w:val="ListParagraph"/>
      </w:pPr>
    </w:p>
    <w:p w14:paraId="37506B3E" w14:textId="54A1E55D" w:rsidR="001E3104" w:rsidRPr="001E3104" w:rsidRDefault="001E3104" w:rsidP="001E3104">
      <w:pPr>
        <w:pStyle w:val="ListParagraph"/>
        <w:numPr>
          <w:ilvl w:val="0"/>
          <w:numId w:val="1"/>
        </w:numPr>
      </w:pPr>
      <w:r>
        <w:rPr>
          <w:b/>
          <w:bCs/>
        </w:rPr>
        <w:t>The Chronicle of Henry of Huntingdon, trans. Thomas Forester (London</w:t>
      </w:r>
      <w:r w:rsidR="00B54CEB">
        <w:rPr>
          <w:b/>
          <w:bCs/>
        </w:rPr>
        <w:t>:</w:t>
      </w:r>
      <w:r>
        <w:rPr>
          <w:b/>
          <w:bCs/>
        </w:rPr>
        <w:t xml:space="preserve"> </w:t>
      </w:r>
      <w:r w:rsidR="00DC1E2C">
        <w:rPr>
          <w:b/>
          <w:bCs/>
        </w:rPr>
        <w:t>Bohn</w:t>
      </w:r>
      <w:r w:rsidR="00B54CEB">
        <w:rPr>
          <w:b/>
          <w:bCs/>
        </w:rPr>
        <w:t xml:space="preserve">, </w:t>
      </w:r>
      <w:r>
        <w:rPr>
          <w:b/>
          <w:bCs/>
        </w:rPr>
        <w:t>1853)</w:t>
      </w:r>
    </w:p>
    <w:p w14:paraId="452B9FB8" w14:textId="0693281D" w:rsidR="008D35D7" w:rsidRDefault="001E3104" w:rsidP="004F0C3C">
      <w:pPr>
        <w:ind w:left="720"/>
      </w:pPr>
      <w:r>
        <w:t>Henry, writing in the 12</w:t>
      </w:r>
      <w:r w:rsidRPr="001E3104">
        <w:rPr>
          <w:vertAlign w:val="superscript"/>
        </w:rPr>
        <w:t>th</w:t>
      </w:r>
      <w:r>
        <w:t xml:space="preserve"> Century, was enamoured, as were the other historians of his period, with the example of </w:t>
      </w:r>
      <w:proofErr w:type="spellStart"/>
      <w:r>
        <w:t>Aethelfaled</w:t>
      </w:r>
      <w:proofErr w:type="spellEnd"/>
      <w:r>
        <w:t xml:space="preserve">. His poem in his Chronicle </w:t>
      </w:r>
      <w:r w:rsidR="0060380D">
        <w:t>(p168 of the above edition) refers to</w:t>
      </w:r>
      <w:r w:rsidR="004F0C3C">
        <w:t xml:space="preserve"> ‘</w:t>
      </w:r>
      <w:r w:rsidR="0060380D">
        <w:t xml:space="preserve">Heroic </w:t>
      </w:r>
      <w:proofErr w:type="spellStart"/>
      <w:r w:rsidR="0060380D">
        <w:t>Elflede</w:t>
      </w:r>
      <w:proofErr w:type="spellEnd"/>
      <w:r w:rsidR="0060380D">
        <w:t>! great in martial fame, A man in valour, woman though in name</w:t>
      </w:r>
      <w:r w:rsidR="004F0C3C">
        <w:t>’</w:t>
      </w:r>
      <w:r w:rsidR="0060380D">
        <w:t xml:space="preserve">. He ends the poem with </w:t>
      </w:r>
      <w:r w:rsidR="004F0C3C">
        <w:t>‘</w:t>
      </w:r>
      <w:r w:rsidR="0060380D">
        <w:t xml:space="preserve">A queen by title, but in deeds a king. Heroes before the Mercian heroine </w:t>
      </w:r>
      <w:proofErr w:type="spellStart"/>
      <w:r w:rsidR="0060380D">
        <w:t>quail’d</w:t>
      </w:r>
      <w:proofErr w:type="spellEnd"/>
      <w:r w:rsidR="0060380D">
        <w:t xml:space="preserve">: Caesar himself to win such glory </w:t>
      </w:r>
      <w:proofErr w:type="spellStart"/>
      <w:r w:rsidR="0060380D">
        <w:t>fail’d</w:t>
      </w:r>
      <w:proofErr w:type="spellEnd"/>
      <w:r w:rsidR="004F0C3C">
        <w:t>’</w:t>
      </w:r>
      <w:r w:rsidR="0060380D">
        <w:t>.</w:t>
      </w:r>
      <w:r w:rsidR="0076043D">
        <w:rPr>
          <w:rStyle w:val="FootnoteReference"/>
        </w:rPr>
        <w:footnoteReference w:id="3"/>
      </w:r>
    </w:p>
    <w:p w14:paraId="0E09BFBD" w14:textId="7FFA44EF" w:rsidR="0060380D" w:rsidRDefault="0060380D" w:rsidP="001E3104">
      <w:pPr>
        <w:ind w:left="720"/>
      </w:pPr>
      <w:proofErr w:type="spellStart"/>
      <w:r>
        <w:lastRenderedPageBreak/>
        <w:t>Aethelflaed’s</w:t>
      </w:r>
      <w:proofErr w:type="spellEnd"/>
      <w:r>
        <w:t xml:space="preserve"> life and legend rose in popularity in the centuries following her death, with the theme of a sexually pure woman operating in a man’s world.</w:t>
      </w:r>
    </w:p>
    <w:p w14:paraId="4725A54B" w14:textId="62812921" w:rsidR="0060380D" w:rsidRDefault="0060380D" w:rsidP="0060380D">
      <w:pPr>
        <w:pStyle w:val="ListParagraph"/>
        <w:numPr>
          <w:ilvl w:val="0"/>
          <w:numId w:val="1"/>
        </w:numPr>
        <w:rPr>
          <w:b/>
          <w:bCs/>
        </w:rPr>
      </w:pPr>
      <w:r>
        <w:rPr>
          <w:b/>
          <w:bCs/>
        </w:rPr>
        <w:t xml:space="preserve">The Chronicle of </w:t>
      </w:r>
      <w:proofErr w:type="spellStart"/>
      <w:r>
        <w:rPr>
          <w:b/>
          <w:bCs/>
        </w:rPr>
        <w:t>Aethelweard</w:t>
      </w:r>
      <w:proofErr w:type="spellEnd"/>
      <w:r>
        <w:rPr>
          <w:b/>
          <w:bCs/>
        </w:rPr>
        <w:t>, ed A Campbell (</w:t>
      </w:r>
      <w:r w:rsidR="00DC474D">
        <w:rPr>
          <w:b/>
          <w:bCs/>
        </w:rPr>
        <w:t xml:space="preserve">London: </w:t>
      </w:r>
      <w:r>
        <w:rPr>
          <w:b/>
          <w:bCs/>
        </w:rPr>
        <w:t>Thomas Nelson &amp; sons, 1962)</w:t>
      </w:r>
    </w:p>
    <w:p w14:paraId="4E3D2E43" w14:textId="1C24A4E5" w:rsidR="0060380D" w:rsidRDefault="0060380D" w:rsidP="0060380D">
      <w:pPr>
        <w:pStyle w:val="ListParagraph"/>
        <w:rPr>
          <w:b/>
          <w:bCs/>
        </w:rPr>
      </w:pPr>
    </w:p>
    <w:p w14:paraId="44D6B5E4" w14:textId="5911B200" w:rsidR="0060380D" w:rsidRDefault="0060380D" w:rsidP="0060380D">
      <w:pPr>
        <w:pStyle w:val="ListParagraph"/>
      </w:pPr>
      <w:proofErr w:type="spellStart"/>
      <w:r w:rsidRPr="0060380D">
        <w:t>Aethelweard</w:t>
      </w:r>
      <w:proofErr w:type="spellEnd"/>
      <w:r>
        <w:rPr>
          <w:b/>
          <w:bCs/>
        </w:rPr>
        <w:t xml:space="preserve"> </w:t>
      </w:r>
      <w:r>
        <w:t>was a near contemporary Chronicler (he died c998AD) and based his Latin chronicle on the Anglo-Saxon Chronicle up until 894AD. Thereafter it is an independent authority. H</w:t>
      </w:r>
      <w:r w:rsidR="00674D78">
        <w:t xml:space="preserve">is narrative </w:t>
      </w:r>
      <w:r w:rsidR="001948F6">
        <w:t xml:space="preserve">helps us to build up a picture of the overall position at the time and the chain of fortifications that </w:t>
      </w:r>
      <w:proofErr w:type="spellStart"/>
      <w:r w:rsidR="001948F6">
        <w:t>Aethelflaed</w:t>
      </w:r>
      <w:proofErr w:type="spellEnd"/>
      <w:r w:rsidR="001948F6">
        <w:t xml:space="preserve"> was building, following the example of her father and in line with her brother Edward.</w:t>
      </w:r>
    </w:p>
    <w:p w14:paraId="4B3A2FEA" w14:textId="124CEEDD" w:rsidR="001948F6" w:rsidRDefault="001948F6" w:rsidP="0060380D">
      <w:pPr>
        <w:pStyle w:val="ListParagraph"/>
      </w:pPr>
    </w:p>
    <w:p w14:paraId="2C74595F" w14:textId="385D3223" w:rsidR="001948F6" w:rsidRDefault="001948F6" w:rsidP="001948F6">
      <w:pPr>
        <w:pStyle w:val="ListParagraph"/>
        <w:numPr>
          <w:ilvl w:val="0"/>
          <w:numId w:val="1"/>
        </w:numPr>
        <w:rPr>
          <w:b/>
          <w:bCs/>
        </w:rPr>
      </w:pPr>
      <w:r>
        <w:rPr>
          <w:b/>
          <w:bCs/>
        </w:rPr>
        <w:t>The Chronicle of John of Worcester, Volume II: The Annals 450-1066AD ed &amp; trans Michael Swanton (</w:t>
      </w:r>
      <w:r w:rsidR="00DC474D">
        <w:rPr>
          <w:b/>
          <w:bCs/>
        </w:rPr>
        <w:t xml:space="preserve">London: </w:t>
      </w:r>
      <w:r>
        <w:rPr>
          <w:b/>
          <w:bCs/>
        </w:rPr>
        <w:t>Phoenix Press</w:t>
      </w:r>
      <w:r w:rsidR="004F0C3C">
        <w:rPr>
          <w:b/>
          <w:bCs/>
        </w:rPr>
        <w:t>,</w:t>
      </w:r>
      <w:r>
        <w:rPr>
          <w:b/>
          <w:bCs/>
        </w:rPr>
        <w:t xml:space="preserve"> 2000)</w:t>
      </w:r>
    </w:p>
    <w:p w14:paraId="721E0303" w14:textId="3F337332" w:rsidR="001948F6" w:rsidRDefault="001948F6" w:rsidP="001948F6">
      <w:pPr>
        <w:ind w:left="720"/>
      </w:pPr>
      <w:r>
        <w:t xml:space="preserve">John was a monk writing his Chronicle from Worcester in the years prior to his death in 1140AD. He seems to have used a version of the Anglo-Saxon Chronicle that is now lost but may have been shared by William of </w:t>
      </w:r>
      <w:proofErr w:type="spellStart"/>
      <w:r>
        <w:t>Malmesbury</w:t>
      </w:r>
      <w:proofErr w:type="spellEnd"/>
      <w:r>
        <w:t xml:space="preserve">, as well as using other contemporary sources. His location encouraged him to write with a Mercian perspective, promoting the role of the Mercian royal family and describing </w:t>
      </w:r>
      <w:proofErr w:type="spellStart"/>
      <w:r>
        <w:t>Aethelflaed</w:t>
      </w:r>
      <w:proofErr w:type="spellEnd"/>
      <w:r>
        <w:t xml:space="preserve"> as vigorous, praising her “prudence and justice” and virtue.</w:t>
      </w:r>
      <w:r w:rsidR="002C2228">
        <w:rPr>
          <w:rStyle w:val="FootnoteReference"/>
        </w:rPr>
        <w:footnoteReference w:id="4"/>
      </w:r>
    </w:p>
    <w:p w14:paraId="71E3E0E2" w14:textId="28ED156B" w:rsidR="001448C9" w:rsidRDefault="001448C9" w:rsidP="001448C9">
      <w:pPr>
        <w:pStyle w:val="ListParagraph"/>
        <w:numPr>
          <w:ilvl w:val="0"/>
          <w:numId w:val="1"/>
        </w:numPr>
        <w:rPr>
          <w:b/>
          <w:bCs/>
        </w:rPr>
      </w:pPr>
      <w:r>
        <w:rPr>
          <w:b/>
          <w:bCs/>
        </w:rPr>
        <w:t>The Nowell Codex, ed. Malone, Kemp (British Museum Cotton Vitellius A XV Second MS, in Early English Manuscripts in Facsimile, 12</w:t>
      </w:r>
      <w:r w:rsidR="004F0C3C">
        <w:rPr>
          <w:b/>
          <w:bCs/>
        </w:rPr>
        <w:t>)</w:t>
      </w:r>
      <w:r>
        <w:rPr>
          <w:b/>
          <w:bCs/>
        </w:rPr>
        <w:t xml:space="preserve"> (</w:t>
      </w:r>
      <w:r w:rsidR="00DC474D">
        <w:rPr>
          <w:b/>
          <w:bCs/>
        </w:rPr>
        <w:t xml:space="preserve">Copenhagen: </w:t>
      </w:r>
      <w:proofErr w:type="spellStart"/>
      <w:r>
        <w:rPr>
          <w:b/>
          <w:bCs/>
        </w:rPr>
        <w:t>Rosenkilde</w:t>
      </w:r>
      <w:proofErr w:type="spellEnd"/>
      <w:r>
        <w:rPr>
          <w:b/>
          <w:bCs/>
        </w:rPr>
        <w:t xml:space="preserve"> and Bagger, 1963)</w:t>
      </w:r>
    </w:p>
    <w:p w14:paraId="70CB36FA" w14:textId="1431DBDD" w:rsidR="001448C9" w:rsidRPr="001448C9" w:rsidRDefault="001448C9" w:rsidP="001448C9">
      <w:pPr>
        <w:ind w:left="720"/>
      </w:pPr>
      <w:r>
        <w:t>The Old English, incomplete, poem of Judith found in the Nowell Codex i</w:t>
      </w:r>
      <w:r w:rsidR="00E34981">
        <w:t>s</w:t>
      </w:r>
      <w:r>
        <w:t xml:space="preserve"> based on the book of Judith in The Apocrypha (for example, King James Version, World Bible </w:t>
      </w:r>
      <w:proofErr w:type="gramStart"/>
      <w:r>
        <w:t>Publishers</w:t>
      </w:r>
      <w:r w:rsidR="004F0C3C">
        <w:t>,</w:t>
      </w:r>
      <w:r w:rsidR="00994B0E">
        <w:t xml:space="preserve"> </w:t>
      </w:r>
      <w:r>
        <w:t xml:space="preserve"> Iowa</w:t>
      </w:r>
      <w:proofErr w:type="gramEnd"/>
      <w:r>
        <w:t xml:space="preserve"> 1996).</w:t>
      </w:r>
      <w:r w:rsidR="007F2429">
        <w:t xml:space="preserve"> </w:t>
      </w:r>
      <w:proofErr w:type="spellStart"/>
      <w:r w:rsidR="007F2429">
        <w:t>Aethelflaed</w:t>
      </w:r>
      <w:proofErr w:type="spellEnd"/>
      <w:r w:rsidR="007F2429">
        <w:t xml:space="preserve"> may even have been involved in the composition of the 10</w:t>
      </w:r>
      <w:r w:rsidR="007F2429" w:rsidRPr="007F2429">
        <w:rPr>
          <w:vertAlign w:val="superscript"/>
        </w:rPr>
        <w:t>th</w:t>
      </w:r>
      <w:r w:rsidR="007F2429">
        <w:t xml:space="preserve"> century poem, the parallels are obvious and the audience would have been familiar with the story.</w:t>
      </w:r>
      <w:r w:rsidR="00AA1919">
        <w:rPr>
          <w:rStyle w:val="FootnoteReference"/>
        </w:rPr>
        <w:footnoteReference w:id="5"/>
      </w:r>
      <w:r w:rsidR="007F2429">
        <w:t xml:space="preserve"> Both Judith and </w:t>
      </w:r>
      <w:proofErr w:type="spellStart"/>
      <w:r w:rsidR="007F2429">
        <w:t>Aethelflaed</w:t>
      </w:r>
      <w:proofErr w:type="spellEnd"/>
      <w:r w:rsidR="007F2429">
        <w:t xml:space="preserve"> were living in a time of upheaval, against pagan foes, where a pious, strong, warrior woman is rewarded by placing her faith in God. Sponsoring such a poem may have been </w:t>
      </w:r>
      <w:r w:rsidR="00AA1919">
        <w:t>‘</w:t>
      </w:r>
      <w:r w:rsidR="007F2429">
        <w:t>an attempt by the Lady of the Mercians and her supporters to create and promote her legend</w:t>
      </w:r>
      <w:r w:rsidR="00AA1919">
        <w:t>’</w:t>
      </w:r>
      <w:r w:rsidR="007F2429">
        <w:t>.</w:t>
      </w:r>
      <w:r w:rsidR="00AA1919">
        <w:rPr>
          <w:rStyle w:val="FootnoteReference"/>
        </w:rPr>
        <w:footnoteReference w:id="6"/>
      </w:r>
    </w:p>
    <w:p w14:paraId="673E2752" w14:textId="4718D7CA" w:rsidR="001948F6" w:rsidRDefault="001948F6" w:rsidP="001948F6">
      <w:pPr>
        <w:pStyle w:val="ListParagraph"/>
        <w:numPr>
          <w:ilvl w:val="0"/>
          <w:numId w:val="1"/>
        </w:numPr>
        <w:rPr>
          <w:b/>
          <w:bCs/>
        </w:rPr>
      </w:pPr>
      <w:r>
        <w:rPr>
          <w:b/>
          <w:bCs/>
        </w:rPr>
        <w:t xml:space="preserve">William of </w:t>
      </w:r>
      <w:proofErr w:type="spellStart"/>
      <w:r>
        <w:rPr>
          <w:b/>
          <w:bCs/>
        </w:rPr>
        <w:t>Malmesbury</w:t>
      </w:r>
      <w:proofErr w:type="spellEnd"/>
      <w:r w:rsidR="007F2429">
        <w:rPr>
          <w:b/>
          <w:bCs/>
        </w:rPr>
        <w:t xml:space="preserve">, </w:t>
      </w:r>
      <w:proofErr w:type="spellStart"/>
      <w:r w:rsidR="007F2429">
        <w:rPr>
          <w:b/>
          <w:bCs/>
        </w:rPr>
        <w:t>Gesta</w:t>
      </w:r>
      <w:proofErr w:type="spellEnd"/>
      <w:r w:rsidR="007F2429">
        <w:rPr>
          <w:b/>
          <w:bCs/>
        </w:rPr>
        <w:t xml:space="preserve"> </w:t>
      </w:r>
      <w:proofErr w:type="spellStart"/>
      <w:r w:rsidR="007F2429">
        <w:rPr>
          <w:b/>
          <w:bCs/>
        </w:rPr>
        <w:t>Regum</w:t>
      </w:r>
      <w:proofErr w:type="spellEnd"/>
      <w:r w:rsidR="007F2429">
        <w:rPr>
          <w:b/>
          <w:bCs/>
        </w:rPr>
        <w:t xml:space="preserve"> </w:t>
      </w:r>
      <w:proofErr w:type="spellStart"/>
      <w:r w:rsidR="007F2429">
        <w:rPr>
          <w:b/>
          <w:bCs/>
        </w:rPr>
        <w:t>Angolorum</w:t>
      </w:r>
      <w:proofErr w:type="spellEnd"/>
      <w:r w:rsidR="007F2429">
        <w:rPr>
          <w:b/>
          <w:bCs/>
        </w:rPr>
        <w:t xml:space="preserve">: The History of the English Kings, Vol I ed and trans RA. B. </w:t>
      </w:r>
      <w:proofErr w:type="spellStart"/>
      <w:r w:rsidR="007F2429">
        <w:rPr>
          <w:b/>
          <w:bCs/>
        </w:rPr>
        <w:t>Mynors</w:t>
      </w:r>
      <w:proofErr w:type="spellEnd"/>
      <w:r w:rsidR="007F2429">
        <w:rPr>
          <w:b/>
          <w:bCs/>
        </w:rPr>
        <w:t>, RM Thomson and M Winterbottom (</w:t>
      </w:r>
      <w:r w:rsidR="00183F91">
        <w:rPr>
          <w:b/>
          <w:bCs/>
        </w:rPr>
        <w:t xml:space="preserve">Oxford: </w:t>
      </w:r>
      <w:r w:rsidR="007F2429">
        <w:rPr>
          <w:b/>
          <w:bCs/>
        </w:rPr>
        <w:t>Clarendon Press, 1998)</w:t>
      </w:r>
    </w:p>
    <w:p w14:paraId="17C2429B" w14:textId="7209020A" w:rsidR="008C635F" w:rsidRDefault="007F2429" w:rsidP="007F2429">
      <w:pPr>
        <w:ind w:left="720"/>
      </w:pPr>
      <w:r>
        <w:t>William was a 12</w:t>
      </w:r>
      <w:r w:rsidRPr="007F2429">
        <w:rPr>
          <w:vertAlign w:val="superscript"/>
        </w:rPr>
        <w:t>th</w:t>
      </w:r>
      <w:r>
        <w:t xml:space="preserve"> Century historian, living from c1095-c1143AD. He spent his life as a monk at </w:t>
      </w:r>
      <w:proofErr w:type="spellStart"/>
      <w:r>
        <w:t>Malmesbury</w:t>
      </w:r>
      <w:proofErr w:type="spellEnd"/>
      <w:r>
        <w:t xml:space="preserve"> Abbey. </w:t>
      </w:r>
      <w:proofErr w:type="spellStart"/>
      <w:r>
        <w:t>Gesta</w:t>
      </w:r>
      <w:proofErr w:type="spellEnd"/>
      <w:r>
        <w:t xml:space="preserve"> covers English history from 449-1127AD and William wrote it for Matilda, wife of Henry I, who traced her descent back to the kings of Wessex, thereby reuniting the royal lines of the Saxons and the Normans. He described </w:t>
      </w:r>
      <w:proofErr w:type="spellStart"/>
      <w:r>
        <w:t>Aethelflaed</w:t>
      </w:r>
      <w:proofErr w:type="spellEnd"/>
      <w:r>
        <w:t xml:space="preserve"> as a woman of great determination</w:t>
      </w:r>
      <w:r w:rsidR="008C635F">
        <w:t>, describing her as ‘virago’, which can describe not only a virgin but also a woman behaving as a man.</w:t>
      </w:r>
      <w:r w:rsidR="00AA1919">
        <w:rPr>
          <w:rStyle w:val="FootnoteReference"/>
        </w:rPr>
        <w:footnoteReference w:id="7"/>
      </w:r>
      <w:r w:rsidR="008C635F">
        <w:t xml:space="preserve"> </w:t>
      </w:r>
      <w:r w:rsidR="00AB0A00">
        <w:t>William tells us that Matilda’s daughter Matilda, in her conflict with her cousin Stephen, took the title ‘Lady of the English</w:t>
      </w:r>
      <w:r w:rsidR="0055531D">
        <w:t xml:space="preserve">’, which </w:t>
      </w:r>
      <w:r w:rsidR="0055531D">
        <w:lastRenderedPageBreak/>
        <w:t xml:space="preserve">seems to be directly referring back to </w:t>
      </w:r>
      <w:proofErr w:type="spellStart"/>
      <w:r w:rsidR="0055531D">
        <w:t>Aethelflaed’s</w:t>
      </w:r>
      <w:proofErr w:type="spellEnd"/>
      <w:r w:rsidR="0055531D">
        <w:t xml:space="preserve"> example.</w:t>
      </w:r>
      <w:r w:rsidR="0055531D">
        <w:rPr>
          <w:rStyle w:val="FootnoteReference"/>
        </w:rPr>
        <w:footnoteReference w:id="8"/>
      </w:r>
      <w:r w:rsidR="0055531D">
        <w:t xml:space="preserve"> </w:t>
      </w:r>
      <w:r w:rsidR="008C635F">
        <w:t xml:space="preserve">The book demonstrates the continuing importance of </w:t>
      </w:r>
      <w:proofErr w:type="spellStart"/>
      <w:r w:rsidR="008C635F">
        <w:t>Aethelflaed</w:t>
      </w:r>
      <w:proofErr w:type="spellEnd"/>
      <w:r w:rsidR="008C635F">
        <w:t xml:space="preserve"> through this period.</w:t>
      </w:r>
    </w:p>
    <w:p w14:paraId="1BABC6F2" w14:textId="76B752A3" w:rsidR="008C635F" w:rsidRDefault="008C635F" w:rsidP="008C635F">
      <w:pPr>
        <w:pStyle w:val="ListParagraph"/>
        <w:numPr>
          <w:ilvl w:val="0"/>
          <w:numId w:val="1"/>
        </w:numPr>
        <w:rPr>
          <w:b/>
          <w:bCs/>
        </w:rPr>
      </w:pPr>
      <w:r>
        <w:rPr>
          <w:b/>
          <w:bCs/>
        </w:rPr>
        <w:t xml:space="preserve">William of </w:t>
      </w:r>
      <w:proofErr w:type="spellStart"/>
      <w:r>
        <w:rPr>
          <w:b/>
          <w:bCs/>
        </w:rPr>
        <w:t>Malmesbury</w:t>
      </w:r>
      <w:proofErr w:type="spellEnd"/>
      <w:r>
        <w:rPr>
          <w:b/>
          <w:bCs/>
        </w:rPr>
        <w:t>, The Historia Novella trans. K. R. Potter (</w:t>
      </w:r>
      <w:r w:rsidR="001A7047">
        <w:rPr>
          <w:b/>
          <w:bCs/>
        </w:rPr>
        <w:t xml:space="preserve">London: </w:t>
      </w:r>
      <w:r>
        <w:rPr>
          <w:b/>
          <w:bCs/>
        </w:rPr>
        <w:t>Thomas Nelson &amp; Sons</w:t>
      </w:r>
      <w:r w:rsidR="004F0C3C">
        <w:rPr>
          <w:b/>
          <w:bCs/>
        </w:rPr>
        <w:t>,</w:t>
      </w:r>
      <w:r>
        <w:rPr>
          <w:b/>
          <w:bCs/>
        </w:rPr>
        <w:t xml:space="preserve"> 1955)</w:t>
      </w:r>
    </w:p>
    <w:p w14:paraId="4205A1A8" w14:textId="5611E931" w:rsidR="008C635F" w:rsidRDefault="008C635F" w:rsidP="008C635F">
      <w:pPr>
        <w:ind w:left="720"/>
      </w:pPr>
      <w:r>
        <w:t xml:space="preserve">This was written 15 years after the </w:t>
      </w:r>
      <w:proofErr w:type="spellStart"/>
      <w:r>
        <w:t>Gesta</w:t>
      </w:r>
      <w:proofErr w:type="spellEnd"/>
      <w:r>
        <w:t xml:space="preserve">, during the time of the war between </w:t>
      </w:r>
      <w:proofErr w:type="spellStart"/>
      <w:r>
        <w:t>Matlida</w:t>
      </w:r>
      <w:proofErr w:type="spellEnd"/>
      <w:r>
        <w:t xml:space="preserve"> (daughter of Henry and Matilda above) and Stephen. There are again parallels to be drawn between Matilda and </w:t>
      </w:r>
      <w:proofErr w:type="spellStart"/>
      <w:r>
        <w:t>Aethelflaed</w:t>
      </w:r>
      <w:proofErr w:type="spellEnd"/>
      <w:r>
        <w:t xml:space="preserve">, her descent from the West Saxon line </w:t>
      </w:r>
      <w:r w:rsidR="0055531D">
        <w:t xml:space="preserve">continued to be </w:t>
      </w:r>
      <w:r>
        <w:t>used to bolster her claim to the throne.</w:t>
      </w:r>
    </w:p>
    <w:p w14:paraId="4D995F5C" w14:textId="4F188816" w:rsidR="008C635F" w:rsidRDefault="008C635F" w:rsidP="008C635F">
      <w:pPr>
        <w:pStyle w:val="ListParagraph"/>
        <w:numPr>
          <w:ilvl w:val="0"/>
          <w:numId w:val="1"/>
        </w:numPr>
        <w:rPr>
          <w:b/>
          <w:bCs/>
        </w:rPr>
      </w:pPr>
      <w:r>
        <w:rPr>
          <w:b/>
          <w:bCs/>
        </w:rPr>
        <w:t xml:space="preserve">Anglo-Saxon Charters: An Annotated List and </w:t>
      </w:r>
      <w:proofErr w:type="spellStart"/>
      <w:r>
        <w:rPr>
          <w:b/>
          <w:bCs/>
        </w:rPr>
        <w:t>Bibiography</w:t>
      </w:r>
      <w:proofErr w:type="spellEnd"/>
      <w:r>
        <w:rPr>
          <w:b/>
          <w:bCs/>
        </w:rPr>
        <w:t>, Peter Sawyer (</w:t>
      </w:r>
      <w:r w:rsidR="005D3D9F">
        <w:rPr>
          <w:b/>
          <w:bCs/>
        </w:rPr>
        <w:t xml:space="preserve">London: </w:t>
      </w:r>
      <w:r>
        <w:rPr>
          <w:b/>
          <w:bCs/>
        </w:rPr>
        <w:t>Royal Historical Society</w:t>
      </w:r>
      <w:r w:rsidR="004F0C3C">
        <w:rPr>
          <w:b/>
          <w:bCs/>
        </w:rPr>
        <w:t>,</w:t>
      </w:r>
      <w:r>
        <w:rPr>
          <w:b/>
          <w:bCs/>
        </w:rPr>
        <w:t xml:space="preserve"> 1968)</w:t>
      </w:r>
    </w:p>
    <w:p w14:paraId="27EAE6A4" w14:textId="799EEF33" w:rsidR="008C635F" w:rsidRDefault="008C635F" w:rsidP="008C635F">
      <w:pPr>
        <w:pStyle w:val="ListParagraph"/>
        <w:rPr>
          <w:b/>
          <w:bCs/>
        </w:rPr>
      </w:pPr>
    </w:p>
    <w:p w14:paraId="17C97310" w14:textId="7CDA13C4" w:rsidR="008C635F" w:rsidRDefault="008C635F" w:rsidP="008C635F">
      <w:pPr>
        <w:pStyle w:val="ListParagraph"/>
      </w:pPr>
      <w:r>
        <w:t xml:space="preserve">Charter S221 from 901AD provides evidence of the practice of honouring local saints, recording a grant of land by </w:t>
      </w:r>
      <w:proofErr w:type="spellStart"/>
      <w:r>
        <w:t>Aethelfaled</w:t>
      </w:r>
      <w:proofErr w:type="spellEnd"/>
      <w:r>
        <w:t xml:space="preserve"> and her husband to a now unknown church in Much Wenlock and a gift of a chalice in honour of St </w:t>
      </w:r>
      <w:proofErr w:type="spellStart"/>
      <w:r>
        <w:t>Mildburg</w:t>
      </w:r>
      <w:proofErr w:type="spellEnd"/>
      <w:r w:rsidR="00FB786E">
        <w:t>, a royal saint having been the daughter of a local Mercian sub-king. The idea may have been to provide additional protection to this fortified settlement.</w:t>
      </w:r>
    </w:p>
    <w:p w14:paraId="128C278C" w14:textId="25D5D896" w:rsidR="00FB786E" w:rsidRDefault="00FB786E" w:rsidP="008C635F">
      <w:pPr>
        <w:pStyle w:val="ListParagraph"/>
      </w:pPr>
    </w:p>
    <w:p w14:paraId="17E2CB36" w14:textId="624A058B" w:rsidR="00FB786E" w:rsidRDefault="00FB786E" w:rsidP="008C635F">
      <w:pPr>
        <w:pStyle w:val="ListParagraph"/>
      </w:pPr>
      <w:r>
        <w:t xml:space="preserve">Charter S224 describes </w:t>
      </w:r>
      <w:proofErr w:type="spellStart"/>
      <w:r>
        <w:t>Aethelfaled’s</w:t>
      </w:r>
      <w:proofErr w:type="spellEnd"/>
      <w:r>
        <w:t xml:space="preserve"> gift in 914AD of 2 hides of land in Stanton, in Derbyshire, to </w:t>
      </w:r>
      <w:proofErr w:type="spellStart"/>
      <w:r>
        <w:t>Eadlhelm</w:t>
      </w:r>
      <w:proofErr w:type="spellEnd"/>
      <w:r>
        <w:t>. The land was very close to the border with the Danelaw. The Charter gives evidence of her tactic of stealthily encroaching on Danish territory rather than fighting.</w:t>
      </w:r>
    </w:p>
    <w:p w14:paraId="2B8B8C14" w14:textId="5B5D6C21" w:rsidR="00FB786E" w:rsidRPr="0055531D" w:rsidRDefault="0055531D" w:rsidP="007529E5">
      <w:pPr>
        <w:rPr>
          <w:b/>
          <w:bCs/>
        </w:rPr>
      </w:pPr>
      <w:r>
        <w:rPr>
          <w:b/>
          <w:bCs/>
        </w:rPr>
        <w:t>Conclusion</w:t>
      </w:r>
    </w:p>
    <w:p w14:paraId="29DA71AB" w14:textId="23AE2AD4" w:rsidR="00FB786E" w:rsidRPr="008C635F" w:rsidRDefault="00FB786E" w:rsidP="00FB786E">
      <w:proofErr w:type="spellStart"/>
      <w:r>
        <w:t>Aethelflaed</w:t>
      </w:r>
      <w:proofErr w:type="spellEnd"/>
      <w:r>
        <w:t xml:space="preserve"> has not received the same amount of attention as other rulers of the period in the Anglo-Saxon Chronicle, p</w:t>
      </w:r>
      <w:r w:rsidR="00274405">
        <w:t xml:space="preserve">artly </w:t>
      </w:r>
      <w:r>
        <w:t xml:space="preserve">due to her gender </w:t>
      </w:r>
      <w:proofErr w:type="gramStart"/>
      <w:r>
        <w:t>and also</w:t>
      </w:r>
      <w:proofErr w:type="gramEnd"/>
      <w:r>
        <w:t xml:space="preserve"> </w:t>
      </w:r>
      <w:r w:rsidR="0055531D">
        <w:t>for</w:t>
      </w:r>
      <w:r>
        <w:t xml:space="preserve"> reasons of political bias.</w:t>
      </w:r>
      <w:r w:rsidR="00953EB5">
        <w:t xml:space="preserve"> </w:t>
      </w:r>
      <w:r>
        <w:t>If we loo</w:t>
      </w:r>
      <w:r w:rsidR="00A23BC5">
        <w:t>k to all the</w:t>
      </w:r>
      <w:r>
        <w:t xml:space="preserve"> contemporary sources from the medieval period, however, a picture of </w:t>
      </w:r>
      <w:proofErr w:type="spellStart"/>
      <w:r>
        <w:t>Aethelfl</w:t>
      </w:r>
      <w:r w:rsidR="001C554E">
        <w:t>a</w:t>
      </w:r>
      <w:r>
        <w:t>ed</w:t>
      </w:r>
      <w:proofErr w:type="spellEnd"/>
      <w:r>
        <w:t xml:space="preserve"> does emerge from the shadows.</w:t>
      </w:r>
    </w:p>
    <w:sectPr w:rsidR="00FB786E" w:rsidRPr="008C635F">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E3DA96" w14:textId="77777777" w:rsidR="00501FA2" w:rsidRDefault="00501FA2" w:rsidP="008D35D7">
      <w:pPr>
        <w:spacing w:after="0" w:line="240" w:lineRule="auto"/>
      </w:pPr>
      <w:r>
        <w:separator/>
      </w:r>
    </w:p>
  </w:endnote>
  <w:endnote w:type="continuationSeparator" w:id="0">
    <w:p w14:paraId="18225256" w14:textId="77777777" w:rsidR="00501FA2" w:rsidRDefault="00501FA2" w:rsidP="008D35D7">
      <w:pPr>
        <w:spacing w:after="0" w:line="240" w:lineRule="auto"/>
      </w:pPr>
      <w:r>
        <w:continuationSeparator/>
      </w:r>
    </w:p>
  </w:endnote>
  <w:endnote w:type="continuationNotice" w:id="1">
    <w:p w14:paraId="3A170348" w14:textId="77777777" w:rsidR="00501FA2" w:rsidRDefault="00501FA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3A0108" w14:textId="77777777" w:rsidR="00501FA2" w:rsidRDefault="00501FA2" w:rsidP="008D35D7">
      <w:pPr>
        <w:spacing w:after="0" w:line="240" w:lineRule="auto"/>
      </w:pPr>
      <w:r>
        <w:separator/>
      </w:r>
    </w:p>
  </w:footnote>
  <w:footnote w:type="continuationSeparator" w:id="0">
    <w:p w14:paraId="4CFD2E6E" w14:textId="77777777" w:rsidR="00501FA2" w:rsidRDefault="00501FA2" w:rsidP="008D35D7">
      <w:pPr>
        <w:spacing w:after="0" w:line="240" w:lineRule="auto"/>
      </w:pPr>
      <w:r>
        <w:continuationSeparator/>
      </w:r>
    </w:p>
  </w:footnote>
  <w:footnote w:type="continuationNotice" w:id="1">
    <w:p w14:paraId="7D30E029" w14:textId="77777777" w:rsidR="00501FA2" w:rsidRDefault="00501FA2">
      <w:pPr>
        <w:spacing w:after="0" w:line="240" w:lineRule="auto"/>
      </w:pPr>
    </w:p>
  </w:footnote>
  <w:footnote w:id="2">
    <w:p w14:paraId="3A841675" w14:textId="4B1C0816" w:rsidR="008D35D7" w:rsidRDefault="008D35D7">
      <w:pPr>
        <w:pStyle w:val="FootnoteText"/>
      </w:pPr>
      <w:r>
        <w:rPr>
          <w:rStyle w:val="FootnoteReference"/>
        </w:rPr>
        <w:footnoteRef/>
      </w:r>
      <w:r>
        <w:t xml:space="preserve"> Fragmentary Annals </w:t>
      </w:r>
      <w:proofErr w:type="gramStart"/>
      <w:r w:rsidR="004933E8">
        <w:t>O</w:t>
      </w:r>
      <w:r>
        <w:t>f</w:t>
      </w:r>
      <w:proofErr w:type="gramEnd"/>
      <w:r>
        <w:t xml:space="preserve"> Ireland, Annal 409</w:t>
      </w:r>
      <w:r w:rsidR="00524D46">
        <w:t xml:space="preserve"> (CELT www.ucc.ie/celt)</w:t>
      </w:r>
    </w:p>
  </w:footnote>
  <w:footnote w:id="3">
    <w:p w14:paraId="79BA2265" w14:textId="132D2E43" w:rsidR="0076043D" w:rsidRDefault="0076043D">
      <w:pPr>
        <w:pStyle w:val="FootnoteText"/>
      </w:pPr>
      <w:r>
        <w:rPr>
          <w:rStyle w:val="FootnoteReference"/>
        </w:rPr>
        <w:footnoteRef/>
      </w:r>
      <w:r>
        <w:t xml:space="preserve"> The Chronicle </w:t>
      </w:r>
      <w:proofErr w:type="gramStart"/>
      <w:r w:rsidR="004933E8">
        <w:t>O</w:t>
      </w:r>
      <w:r>
        <w:t>f</w:t>
      </w:r>
      <w:proofErr w:type="gramEnd"/>
      <w:r>
        <w:t xml:space="preserve"> Henry </w:t>
      </w:r>
      <w:r w:rsidR="004933E8">
        <w:t>O</w:t>
      </w:r>
      <w:r>
        <w:t>f Huntingdon, trans T Forester (</w:t>
      </w:r>
      <w:r w:rsidR="00DC66C1">
        <w:t>Bohn</w:t>
      </w:r>
      <w:r w:rsidR="002A1DA3">
        <w:t>’s Antiquarian Library</w:t>
      </w:r>
      <w:r w:rsidR="004F0C3C">
        <w:t>,</w:t>
      </w:r>
      <w:r>
        <w:t xml:space="preserve"> 1853) p168</w:t>
      </w:r>
    </w:p>
  </w:footnote>
  <w:footnote w:id="4">
    <w:p w14:paraId="691EDBA1" w14:textId="3F439BD1" w:rsidR="002C2228" w:rsidRDefault="002C2228">
      <w:pPr>
        <w:pStyle w:val="FootnoteText"/>
      </w:pPr>
      <w:r>
        <w:rPr>
          <w:rStyle w:val="FootnoteReference"/>
        </w:rPr>
        <w:footnoteRef/>
      </w:r>
      <w:r>
        <w:t xml:space="preserve"> The Chronicle </w:t>
      </w:r>
      <w:r w:rsidR="004933E8">
        <w:t>O</w:t>
      </w:r>
      <w:r>
        <w:t xml:space="preserve">f John </w:t>
      </w:r>
      <w:r w:rsidR="004933E8">
        <w:t>O</w:t>
      </w:r>
      <w:r>
        <w:t xml:space="preserve">f Worcester, Vol II, ed &amp; trans M </w:t>
      </w:r>
      <w:proofErr w:type="gramStart"/>
      <w:r>
        <w:t>Swanton</w:t>
      </w:r>
      <w:r w:rsidR="00AA1919">
        <w:t xml:space="preserve"> </w:t>
      </w:r>
      <w:r>
        <w:t xml:space="preserve"> (</w:t>
      </w:r>
      <w:proofErr w:type="gramEnd"/>
      <w:r w:rsidR="00141448">
        <w:t>London</w:t>
      </w:r>
      <w:r w:rsidR="00B35CBD">
        <w:t>:</w:t>
      </w:r>
      <w:r w:rsidR="00F012E5">
        <w:t xml:space="preserve"> </w:t>
      </w:r>
      <w:r>
        <w:t>Phoenix Pres</w:t>
      </w:r>
      <w:r w:rsidR="00F012E5">
        <w:t>s</w:t>
      </w:r>
      <w:r w:rsidR="004F0C3C">
        <w:t>,</w:t>
      </w:r>
      <w:r>
        <w:t xml:space="preserve"> 2000) p 381</w:t>
      </w:r>
    </w:p>
  </w:footnote>
  <w:footnote w:id="5">
    <w:p w14:paraId="4040426E" w14:textId="2B62E47E" w:rsidR="00AA1919" w:rsidRPr="00AA1919" w:rsidRDefault="00AA1919">
      <w:pPr>
        <w:pStyle w:val="FootnoteText"/>
      </w:pPr>
      <w:r>
        <w:rPr>
          <w:rStyle w:val="FootnoteReference"/>
        </w:rPr>
        <w:footnoteRef/>
      </w:r>
      <w:r>
        <w:t xml:space="preserve"> P. Stafford, </w:t>
      </w:r>
      <w:r>
        <w:rPr>
          <w:i/>
          <w:iCs/>
        </w:rPr>
        <w:t xml:space="preserve">Queens, Concubines </w:t>
      </w:r>
      <w:proofErr w:type="gramStart"/>
      <w:r w:rsidR="00076BC2">
        <w:rPr>
          <w:i/>
          <w:iCs/>
        </w:rPr>
        <w:t>A</w:t>
      </w:r>
      <w:r>
        <w:rPr>
          <w:i/>
          <w:iCs/>
        </w:rPr>
        <w:t>nd</w:t>
      </w:r>
      <w:proofErr w:type="gramEnd"/>
      <w:r>
        <w:rPr>
          <w:i/>
          <w:iCs/>
        </w:rPr>
        <w:t xml:space="preserve"> Dowagers: The King’s Wife </w:t>
      </w:r>
      <w:r w:rsidR="00076BC2">
        <w:rPr>
          <w:i/>
          <w:iCs/>
        </w:rPr>
        <w:t>I</w:t>
      </w:r>
      <w:r>
        <w:rPr>
          <w:i/>
          <w:iCs/>
        </w:rPr>
        <w:t xml:space="preserve">n </w:t>
      </w:r>
      <w:r w:rsidR="00076BC2">
        <w:rPr>
          <w:i/>
          <w:iCs/>
        </w:rPr>
        <w:t>T</w:t>
      </w:r>
      <w:r>
        <w:rPr>
          <w:i/>
          <w:iCs/>
        </w:rPr>
        <w:t xml:space="preserve">he Early Middle Ages </w:t>
      </w:r>
      <w:r>
        <w:t>(London</w:t>
      </w:r>
      <w:r w:rsidR="00DA75C4">
        <w:t>:</w:t>
      </w:r>
      <w:r w:rsidR="004B501C">
        <w:t xml:space="preserve"> </w:t>
      </w:r>
      <w:r w:rsidR="000F6CA3">
        <w:t>Leicester University Press</w:t>
      </w:r>
      <w:r w:rsidR="00351D1F">
        <w:t>,</w:t>
      </w:r>
      <w:r>
        <w:t xml:space="preserve"> 1998) p.26</w:t>
      </w:r>
    </w:p>
  </w:footnote>
  <w:footnote w:id="6">
    <w:p w14:paraId="03C36272" w14:textId="580D86BC" w:rsidR="00AA1919" w:rsidRPr="00AA1919" w:rsidRDefault="00AA1919">
      <w:pPr>
        <w:pStyle w:val="FootnoteText"/>
      </w:pPr>
      <w:r>
        <w:rPr>
          <w:rStyle w:val="FootnoteReference"/>
        </w:rPr>
        <w:footnoteRef/>
      </w:r>
      <w:r>
        <w:t xml:space="preserve"> J. Arman, </w:t>
      </w:r>
      <w:r>
        <w:rPr>
          <w:i/>
          <w:iCs/>
        </w:rPr>
        <w:t xml:space="preserve">The Warrior Queen </w:t>
      </w:r>
      <w:r>
        <w:t>(</w:t>
      </w:r>
      <w:r w:rsidR="00027819">
        <w:t>Stroud</w:t>
      </w:r>
      <w:r w:rsidR="00DA75C4">
        <w:t>:</w:t>
      </w:r>
      <w:r w:rsidR="00F050A1">
        <w:t xml:space="preserve"> </w:t>
      </w:r>
      <w:r w:rsidR="00AB0A00">
        <w:t>Amberley Publishing,</w:t>
      </w:r>
      <w:r>
        <w:t xml:space="preserve"> 2017)</w:t>
      </w:r>
      <w:r w:rsidR="00AB0A00">
        <w:t xml:space="preserve"> p. 182</w:t>
      </w:r>
    </w:p>
  </w:footnote>
  <w:footnote w:id="7">
    <w:p w14:paraId="2B507C03" w14:textId="5B17DEB9" w:rsidR="00AA1919" w:rsidRPr="00AB0A00" w:rsidRDefault="00AA1919">
      <w:pPr>
        <w:pStyle w:val="FootnoteText"/>
      </w:pPr>
      <w:r>
        <w:rPr>
          <w:rStyle w:val="FootnoteReference"/>
        </w:rPr>
        <w:footnoteRef/>
      </w:r>
      <w:r>
        <w:t xml:space="preserve"> William of </w:t>
      </w:r>
      <w:proofErr w:type="spellStart"/>
      <w:r>
        <w:t>Malmesbury</w:t>
      </w:r>
      <w:proofErr w:type="spellEnd"/>
      <w:r>
        <w:t xml:space="preserve">, </w:t>
      </w:r>
      <w:proofErr w:type="spellStart"/>
      <w:r>
        <w:rPr>
          <w:i/>
          <w:iCs/>
        </w:rPr>
        <w:t>Gesta</w:t>
      </w:r>
      <w:proofErr w:type="spellEnd"/>
      <w:r>
        <w:rPr>
          <w:i/>
          <w:iCs/>
        </w:rPr>
        <w:t xml:space="preserve"> </w:t>
      </w:r>
      <w:proofErr w:type="spellStart"/>
      <w:r>
        <w:rPr>
          <w:i/>
          <w:iCs/>
        </w:rPr>
        <w:t>Regum</w:t>
      </w:r>
      <w:proofErr w:type="spellEnd"/>
      <w:r>
        <w:rPr>
          <w:i/>
          <w:iCs/>
        </w:rPr>
        <w:t xml:space="preserve"> </w:t>
      </w:r>
      <w:proofErr w:type="spellStart"/>
      <w:r>
        <w:rPr>
          <w:i/>
          <w:iCs/>
        </w:rPr>
        <w:t>Angolorum</w:t>
      </w:r>
      <w:proofErr w:type="spellEnd"/>
      <w:r>
        <w:rPr>
          <w:i/>
          <w:iCs/>
        </w:rPr>
        <w:t>:</w:t>
      </w:r>
      <w:r w:rsidR="00AB0A00">
        <w:rPr>
          <w:i/>
          <w:iCs/>
        </w:rPr>
        <w:t xml:space="preserve"> The History </w:t>
      </w:r>
      <w:proofErr w:type="gramStart"/>
      <w:r w:rsidR="00076BC2">
        <w:rPr>
          <w:i/>
          <w:iCs/>
        </w:rPr>
        <w:t>O</w:t>
      </w:r>
      <w:r w:rsidR="00AB0A00">
        <w:rPr>
          <w:i/>
          <w:iCs/>
        </w:rPr>
        <w:t>f</w:t>
      </w:r>
      <w:proofErr w:type="gramEnd"/>
      <w:r w:rsidR="00AB0A00">
        <w:rPr>
          <w:i/>
          <w:iCs/>
        </w:rPr>
        <w:t xml:space="preserve"> </w:t>
      </w:r>
      <w:r w:rsidR="00076BC2">
        <w:rPr>
          <w:i/>
          <w:iCs/>
        </w:rPr>
        <w:t>T</w:t>
      </w:r>
      <w:r w:rsidR="00AB0A00">
        <w:rPr>
          <w:i/>
          <w:iCs/>
        </w:rPr>
        <w:t xml:space="preserve">he English Kings Vol 1 </w:t>
      </w:r>
      <w:r w:rsidR="00AB0A00">
        <w:t xml:space="preserve">ed &amp; trans RA. B </w:t>
      </w:r>
      <w:proofErr w:type="spellStart"/>
      <w:r w:rsidR="00AB0A00">
        <w:t>Mynors</w:t>
      </w:r>
      <w:proofErr w:type="spellEnd"/>
      <w:r w:rsidR="00AB0A00">
        <w:t>, RM Thomson and M Winterbottom (</w:t>
      </w:r>
      <w:r w:rsidR="00261E69">
        <w:t xml:space="preserve">Oxford: </w:t>
      </w:r>
      <w:r w:rsidR="00AB0A00">
        <w:t>Clarendon Press, 1998) p.199</w:t>
      </w:r>
    </w:p>
  </w:footnote>
  <w:footnote w:id="8">
    <w:p w14:paraId="192BB155" w14:textId="6260519F" w:rsidR="0055531D" w:rsidRDefault="0055531D">
      <w:pPr>
        <w:pStyle w:val="FootnoteText"/>
      </w:pPr>
      <w:r>
        <w:rPr>
          <w:rStyle w:val="FootnoteReference"/>
        </w:rPr>
        <w:footnoteRef/>
      </w:r>
      <w:r>
        <w:t xml:space="preserve"> Ibid, p. 54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F02D13" w14:textId="1D6238B6" w:rsidR="00853216" w:rsidRPr="00853216" w:rsidRDefault="00853216">
    <w:pPr>
      <w:pStyle w:val="Header"/>
      <w:rPr>
        <w:lang w:val="en-US"/>
      </w:rPr>
    </w:pPr>
    <w:r>
      <w:rPr>
        <w:lang w:val="en-US"/>
      </w:rPr>
      <w:t>Joanna Dunlop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ED4150"/>
    <w:multiLevelType w:val="hybridMultilevel"/>
    <w:tmpl w:val="F0382B30"/>
    <w:lvl w:ilvl="0" w:tplc="5F84E980">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3830F2"/>
    <w:multiLevelType w:val="hybridMultilevel"/>
    <w:tmpl w:val="3CC6DCD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168"/>
    <w:rsid w:val="00003E50"/>
    <w:rsid w:val="00027819"/>
    <w:rsid w:val="00027A42"/>
    <w:rsid w:val="00076BC2"/>
    <w:rsid w:val="00091C9F"/>
    <w:rsid w:val="000929F0"/>
    <w:rsid w:val="000F6CA3"/>
    <w:rsid w:val="00141448"/>
    <w:rsid w:val="0014255C"/>
    <w:rsid w:val="001448C9"/>
    <w:rsid w:val="00152164"/>
    <w:rsid w:val="0016128C"/>
    <w:rsid w:val="00183F91"/>
    <w:rsid w:val="001948F6"/>
    <w:rsid w:val="001A7047"/>
    <w:rsid w:val="001C554E"/>
    <w:rsid w:val="001E3104"/>
    <w:rsid w:val="0021350E"/>
    <w:rsid w:val="00217200"/>
    <w:rsid w:val="00261E69"/>
    <w:rsid w:val="00274405"/>
    <w:rsid w:val="00277D2E"/>
    <w:rsid w:val="002A1DA3"/>
    <w:rsid w:val="002A7A1F"/>
    <w:rsid w:val="002C2228"/>
    <w:rsid w:val="002C5361"/>
    <w:rsid w:val="002D2280"/>
    <w:rsid w:val="002F51F5"/>
    <w:rsid w:val="002F7142"/>
    <w:rsid w:val="0030092B"/>
    <w:rsid w:val="003011F2"/>
    <w:rsid w:val="00334B96"/>
    <w:rsid w:val="00351D1F"/>
    <w:rsid w:val="003550C3"/>
    <w:rsid w:val="00355168"/>
    <w:rsid w:val="003A2908"/>
    <w:rsid w:val="003A7BC9"/>
    <w:rsid w:val="0041154D"/>
    <w:rsid w:val="00427485"/>
    <w:rsid w:val="004933E8"/>
    <w:rsid w:val="004A359A"/>
    <w:rsid w:val="004A46A0"/>
    <w:rsid w:val="004B501C"/>
    <w:rsid w:val="004F0C3C"/>
    <w:rsid w:val="00500029"/>
    <w:rsid w:val="00501FA2"/>
    <w:rsid w:val="00523D2F"/>
    <w:rsid w:val="00524D46"/>
    <w:rsid w:val="005462D5"/>
    <w:rsid w:val="0055531D"/>
    <w:rsid w:val="0058193C"/>
    <w:rsid w:val="005D3D9F"/>
    <w:rsid w:val="0060380D"/>
    <w:rsid w:val="00633BE6"/>
    <w:rsid w:val="00655058"/>
    <w:rsid w:val="00674D78"/>
    <w:rsid w:val="006A3561"/>
    <w:rsid w:val="006B7F6F"/>
    <w:rsid w:val="006D6D07"/>
    <w:rsid w:val="006E0C2E"/>
    <w:rsid w:val="00732F20"/>
    <w:rsid w:val="007529E5"/>
    <w:rsid w:val="0076043D"/>
    <w:rsid w:val="00794B0E"/>
    <w:rsid w:val="007C68FC"/>
    <w:rsid w:val="007F2429"/>
    <w:rsid w:val="008206D5"/>
    <w:rsid w:val="00853216"/>
    <w:rsid w:val="008C635F"/>
    <w:rsid w:val="008C6578"/>
    <w:rsid w:val="008D35D7"/>
    <w:rsid w:val="008F033C"/>
    <w:rsid w:val="00912A2E"/>
    <w:rsid w:val="009130CC"/>
    <w:rsid w:val="00940392"/>
    <w:rsid w:val="00953EB5"/>
    <w:rsid w:val="00994B0E"/>
    <w:rsid w:val="009D2564"/>
    <w:rsid w:val="009D7E34"/>
    <w:rsid w:val="00A23BC5"/>
    <w:rsid w:val="00A60C65"/>
    <w:rsid w:val="00A61A02"/>
    <w:rsid w:val="00AA1919"/>
    <w:rsid w:val="00AB0A00"/>
    <w:rsid w:val="00AC3134"/>
    <w:rsid w:val="00AF2103"/>
    <w:rsid w:val="00B35CBD"/>
    <w:rsid w:val="00B50284"/>
    <w:rsid w:val="00B54CEB"/>
    <w:rsid w:val="00B57AB2"/>
    <w:rsid w:val="00BE5B37"/>
    <w:rsid w:val="00C749FD"/>
    <w:rsid w:val="00C75977"/>
    <w:rsid w:val="00C9204B"/>
    <w:rsid w:val="00CB41BE"/>
    <w:rsid w:val="00CD0913"/>
    <w:rsid w:val="00D24FD4"/>
    <w:rsid w:val="00D56008"/>
    <w:rsid w:val="00D612C3"/>
    <w:rsid w:val="00D90E75"/>
    <w:rsid w:val="00DA5257"/>
    <w:rsid w:val="00DA75C4"/>
    <w:rsid w:val="00DC1E2C"/>
    <w:rsid w:val="00DC474D"/>
    <w:rsid w:val="00DC66C1"/>
    <w:rsid w:val="00E217A6"/>
    <w:rsid w:val="00E317DB"/>
    <w:rsid w:val="00E34981"/>
    <w:rsid w:val="00E75234"/>
    <w:rsid w:val="00F012E5"/>
    <w:rsid w:val="00F050A1"/>
    <w:rsid w:val="00F232E7"/>
    <w:rsid w:val="00F50FC1"/>
    <w:rsid w:val="00F850C4"/>
    <w:rsid w:val="00FB786E"/>
    <w:rsid w:val="00FE2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1554A"/>
  <w15:chartTrackingRefBased/>
  <w15:docId w15:val="{FAB9367E-0245-4E68-8194-C34A45450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1A02"/>
    <w:pPr>
      <w:ind w:left="720"/>
      <w:contextualSpacing/>
    </w:pPr>
  </w:style>
  <w:style w:type="character" w:styleId="Hyperlink">
    <w:name w:val="Hyperlink"/>
    <w:basedOn w:val="DefaultParagraphFont"/>
    <w:uiPriority w:val="99"/>
    <w:unhideWhenUsed/>
    <w:rsid w:val="001E3104"/>
    <w:rPr>
      <w:color w:val="0563C1" w:themeColor="hyperlink"/>
      <w:u w:val="single"/>
    </w:rPr>
  </w:style>
  <w:style w:type="character" w:styleId="UnresolvedMention">
    <w:name w:val="Unresolved Mention"/>
    <w:basedOn w:val="DefaultParagraphFont"/>
    <w:uiPriority w:val="99"/>
    <w:semiHidden/>
    <w:unhideWhenUsed/>
    <w:rsid w:val="001E3104"/>
    <w:rPr>
      <w:color w:val="605E5C"/>
      <w:shd w:val="clear" w:color="auto" w:fill="E1DFDD"/>
    </w:rPr>
  </w:style>
  <w:style w:type="paragraph" w:styleId="FootnoteText">
    <w:name w:val="footnote text"/>
    <w:basedOn w:val="Normal"/>
    <w:link w:val="FootnoteTextChar"/>
    <w:uiPriority w:val="99"/>
    <w:semiHidden/>
    <w:unhideWhenUsed/>
    <w:rsid w:val="008D35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D35D7"/>
    <w:rPr>
      <w:sz w:val="20"/>
      <w:szCs w:val="20"/>
    </w:rPr>
  </w:style>
  <w:style w:type="character" w:styleId="FootnoteReference">
    <w:name w:val="footnote reference"/>
    <w:basedOn w:val="DefaultParagraphFont"/>
    <w:uiPriority w:val="99"/>
    <w:semiHidden/>
    <w:unhideWhenUsed/>
    <w:rsid w:val="008D35D7"/>
    <w:rPr>
      <w:vertAlign w:val="superscript"/>
    </w:rPr>
  </w:style>
  <w:style w:type="paragraph" w:styleId="Header">
    <w:name w:val="header"/>
    <w:basedOn w:val="Normal"/>
    <w:link w:val="HeaderChar"/>
    <w:uiPriority w:val="99"/>
    <w:unhideWhenUsed/>
    <w:rsid w:val="00633B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3BE6"/>
  </w:style>
  <w:style w:type="paragraph" w:styleId="Footer">
    <w:name w:val="footer"/>
    <w:basedOn w:val="Normal"/>
    <w:link w:val="FooterChar"/>
    <w:uiPriority w:val="99"/>
    <w:unhideWhenUsed/>
    <w:rsid w:val="00633B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3B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cc.ie/cel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E0183-163E-4B67-8F1C-AB0AD8742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1072</Words>
  <Characters>6114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Dunlop</dc:creator>
  <cp:keywords/>
  <dc:description/>
  <cp:lastModifiedBy>Joanna Dunlop</cp:lastModifiedBy>
  <cp:revision>2</cp:revision>
  <dcterms:created xsi:type="dcterms:W3CDTF">2020-01-19T13:13:00Z</dcterms:created>
  <dcterms:modified xsi:type="dcterms:W3CDTF">2020-01-19T13:13:00Z</dcterms:modified>
</cp:coreProperties>
</file>