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BB4CA" w14:textId="589A90B7" w:rsidR="002F1333" w:rsidRDefault="00D2141E" w:rsidP="00E97A79">
      <w:pPr>
        <w:jc w:val="center"/>
        <w:rPr>
          <w:rFonts w:ascii="Arial" w:hAnsi="Arial" w:cs="Arial"/>
          <w:b/>
          <w:bCs/>
          <w:u w:val="single"/>
        </w:rPr>
      </w:pPr>
      <w:r>
        <w:rPr>
          <w:rFonts w:ascii="Arial" w:hAnsi="Arial" w:cs="Arial"/>
          <w:b/>
          <w:bCs/>
          <w:u w:val="single"/>
        </w:rPr>
        <w:t>A New Approved Document for Net Zero</w:t>
      </w:r>
    </w:p>
    <w:p w14:paraId="385B8276" w14:textId="77777777" w:rsidR="002F1333" w:rsidRDefault="002F1333">
      <w:pPr>
        <w:rPr>
          <w:rFonts w:ascii="Arial" w:hAnsi="Arial" w:cs="Arial"/>
          <w:b/>
          <w:bCs/>
          <w:u w:val="single"/>
        </w:rPr>
      </w:pPr>
      <w:r>
        <w:rPr>
          <w:rFonts w:ascii="Arial" w:hAnsi="Arial" w:cs="Arial"/>
          <w:b/>
          <w:bCs/>
          <w:u w:val="single"/>
        </w:rPr>
        <w:t>Contents</w:t>
      </w:r>
    </w:p>
    <w:p w14:paraId="468DD61A" w14:textId="236EEC32" w:rsidR="002F1333" w:rsidRDefault="002F1333" w:rsidP="002F1333">
      <w:pPr>
        <w:pStyle w:val="ListParagraph"/>
        <w:numPr>
          <w:ilvl w:val="0"/>
          <w:numId w:val="23"/>
        </w:numPr>
        <w:rPr>
          <w:rFonts w:ascii="Arial" w:hAnsi="Arial" w:cs="Arial"/>
          <w:b/>
          <w:bCs/>
        </w:rPr>
      </w:pPr>
      <w:r>
        <w:rPr>
          <w:rFonts w:ascii="Arial" w:hAnsi="Arial" w:cs="Arial"/>
          <w:b/>
          <w:bCs/>
        </w:rPr>
        <w:t>Introduction</w:t>
      </w:r>
    </w:p>
    <w:p w14:paraId="73A8F8DF" w14:textId="4DA94D95" w:rsidR="002F1333" w:rsidRPr="002F1333" w:rsidRDefault="002F1333" w:rsidP="002F1333">
      <w:pPr>
        <w:pStyle w:val="ListParagraph"/>
        <w:numPr>
          <w:ilvl w:val="0"/>
          <w:numId w:val="23"/>
        </w:numPr>
        <w:rPr>
          <w:rFonts w:ascii="Arial" w:hAnsi="Arial" w:cs="Arial"/>
          <w:b/>
          <w:bCs/>
        </w:rPr>
      </w:pPr>
      <w:r w:rsidRPr="002F1333">
        <w:rPr>
          <w:rFonts w:ascii="Arial" w:hAnsi="Arial" w:cs="Arial"/>
          <w:b/>
          <w:bCs/>
        </w:rPr>
        <w:t>Current Limitations of UK Building Regulations</w:t>
      </w:r>
    </w:p>
    <w:p w14:paraId="1D87893F" w14:textId="28C2DE59" w:rsidR="002F1333" w:rsidRDefault="002F1333" w:rsidP="002F1333">
      <w:pPr>
        <w:pStyle w:val="ListParagraph"/>
        <w:numPr>
          <w:ilvl w:val="0"/>
          <w:numId w:val="23"/>
        </w:numPr>
        <w:rPr>
          <w:rFonts w:ascii="Arial" w:hAnsi="Arial" w:cs="Arial"/>
          <w:b/>
          <w:bCs/>
        </w:rPr>
      </w:pPr>
      <w:r w:rsidRPr="002F1333">
        <w:rPr>
          <w:rFonts w:ascii="Arial" w:hAnsi="Arial" w:cs="Arial"/>
          <w:b/>
          <w:bCs/>
        </w:rPr>
        <w:t>Review of Existing UK Sustainability Frameworks</w:t>
      </w:r>
    </w:p>
    <w:p w14:paraId="5628D15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UK Green Building Council (UKGBC) Net Zero Carbon Framework (2019) </w:t>
      </w:r>
    </w:p>
    <w:p w14:paraId="76F339D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LETI Climate Emergency Design Guide (2020)</w:t>
      </w:r>
    </w:p>
    <w:p w14:paraId="6BFEBB0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Passivhaus Standard </w:t>
      </w:r>
    </w:p>
    <w:p w14:paraId="2659F82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AECB Building Standard</w:t>
      </w:r>
    </w:p>
    <w:p w14:paraId="6491A65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BREEAM </w:t>
      </w:r>
    </w:p>
    <w:p w14:paraId="42A73DF5"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RIBA 2030 Climate Challenge</w:t>
      </w:r>
    </w:p>
    <w:p w14:paraId="564CD6C9" w14:textId="2500BE7E" w:rsidR="002F1333" w:rsidRPr="00E97A79" w:rsidRDefault="002F1333" w:rsidP="002F1333">
      <w:pPr>
        <w:pStyle w:val="ListParagraph"/>
        <w:numPr>
          <w:ilvl w:val="1"/>
          <w:numId w:val="23"/>
        </w:numPr>
        <w:rPr>
          <w:rFonts w:ascii="Arial" w:hAnsi="Arial" w:cs="Arial"/>
        </w:rPr>
      </w:pPr>
      <w:r w:rsidRPr="00E97A79">
        <w:rPr>
          <w:rFonts w:ascii="Arial" w:hAnsi="Arial" w:cs="Arial"/>
        </w:rPr>
        <w:t>Net Zero Carbon Buildings Standard</w:t>
      </w:r>
    </w:p>
    <w:p w14:paraId="0C48DF9D" w14:textId="5A5DC7FE" w:rsidR="002F1333" w:rsidRDefault="002F1333" w:rsidP="002F1333">
      <w:pPr>
        <w:pStyle w:val="ListParagraph"/>
        <w:numPr>
          <w:ilvl w:val="0"/>
          <w:numId w:val="23"/>
        </w:numPr>
        <w:rPr>
          <w:rFonts w:ascii="Arial" w:hAnsi="Arial" w:cs="Arial"/>
          <w:b/>
          <w:bCs/>
        </w:rPr>
      </w:pPr>
      <w:r w:rsidRPr="002F1333">
        <w:rPr>
          <w:rFonts w:ascii="Arial" w:hAnsi="Arial" w:cs="Arial"/>
          <w:b/>
          <w:bCs/>
        </w:rPr>
        <w:t>Defining Net Zero for Regulatory Purposes</w:t>
      </w:r>
    </w:p>
    <w:p w14:paraId="5D1498F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Net Zero Operational Carbon </w:t>
      </w:r>
    </w:p>
    <w:p w14:paraId="7A3D1C0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Net Zero Embodied Carbon </w:t>
      </w:r>
    </w:p>
    <w:p w14:paraId="06D87E5A"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Whole-Life Carbon Boundaries</w:t>
      </w:r>
    </w:p>
    <w:p w14:paraId="21F8BC3A" w14:textId="77777777" w:rsidR="002F1333" w:rsidRDefault="002F1333" w:rsidP="002F1333">
      <w:pPr>
        <w:pStyle w:val="ListParagraph"/>
        <w:numPr>
          <w:ilvl w:val="0"/>
          <w:numId w:val="23"/>
        </w:numPr>
        <w:rPr>
          <w:rFonts w:ascii="Arial" w:hAnsi="Arial" w:cs="Arial"/>
          <w:b/>
          <w:bCs/>
        </w:rPr>
      </w:pPr>
      <w:r w:rsidRPr="002F1333">
        <w:rPr>
          <w:rFonts w:ascii="Arial" w:hAnsi="Arial" w:cs="Arial"/>
          <w:b/>
          <w:bCs/>
        </w:rPr>
        <w:t>Proposed Net Zero Approved Document</w:t>
      </w:r>
    </w:p>
    <w:p w14:paraId="7DAEF0EE"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Management</w:t>
      </w:r>
    </w:p>
    <w:p w14:paraId="3B5DD2A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Energy</w:t>
      </w:r>
    </w:p>
    <w:p w14:paraId="1966EB45"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Materials and Embodied Carbon</w:t>
      </w:r>
    </w:p>
    <w:p w14:paraId="1C5C7C0D"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Water</w:t>
      </w:r>
    </w:p>
    <w:p w14:paraId="230FCB3A"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Transport</w:t>
      </w:r>
    </w:p>
    <w:p w14:paraId="2FF43501"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Health and Wellbeing</w:t>
      </w:r>
    </w:p>
    <w:p w14:paraId="46A2456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Resilience and Adaptation</w:t>
      </w:r>
    </w:p>
    <w:p w14:paraId="5A4D3252"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Land Use and Ecology</w:t>
      </w:r>
    </w:p>
    <w:p w14:paraId="5E904C94"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Waste</w:t>
      </w:r>
    </w:p>
    <w:p w14:paraId="00D1476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Innovation</w:t>
      </w:r>
    </w:p>
    <w:p w14:paraId="6E6BE8E6" w14:textId="77777777" w:rsidR="00E97A79" w:rsidRDefault="002F1333" w:rsidP="002F1333">
      <w:pPr>
        <w:pStyle w:val="ListParagraph"/>
        <w:numPr>
          <w:ilvl w:val="0"/>
          <w:numId w:val="23"/>
        </w:numPr>
        <w:rPr>
          <w:rFonts w:ascii="Arial" w:hAnsi="Arial" w:cs="Arial"/>
          <w:b/>
          <w:bCs/>
        </w:rPr>
      </w:pPr>
      <w:r w:rsidRPr="002F1333">
        <w:rPr>
          <w:rFonts w:ascii="Arial" w:hAnsi="Arial" w:cs="Arial"/>
          <w:b/>
          <w:bCs/>
        </w:rPr>
        <w:t>Compliance, Verification and Transitional Arrangements</w:t>
      </w:r>
    </w:p>
    <w:p w14:paraId="7B879272"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Prescriptive Route</w:t>
      </w:r>
    </w:p>
    <w:p w14:paraId="1B0A0F6F"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Performance-Based Route</w:t>
      </w:r>
    </w:p>
    <w:p w14:paraId="6BFEDE14"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Verification</w:t>
      </w:r>
    </w:p>
    <w:p w14:paraId="586BF4F6"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Transitional Arrangements</w:t>
      </w:r>
    </w:p>
    <w:p w14:paraId="138F2873" w14:textId="77777777" w:rsidR="00E97A79" w:rsidRDefault="00E97A79" w:rsidP="00E97A79">
      <w:pPr>
        <w:pStyle w:val="ListParagraph"/>
        <w:numPr>
          <w:ilvl w:val="0"/>
          <w:numId w:val="23"/>
        </w:numPr>
        <w:rPr>
          <w:rFonts w:ascii="Arial" w:hAnsi="Arial" w:cs="Arial"/>
          <w:b/>
          <w:bCs/>
        </w:rPr>
      </w:pPr>
      <w:r>
        <w:rPr>
          <w:rFonts w:ascii="Arial" w:hAnsi="Arial" w:cs="Arial"/>
          <w:b/>
          <w:bCs/>
        </w:rPr>
        <w:t>Conclusion</w:t>
      </w:r>
    </w:p>
    <w:p w14:paraId="35E393AC" w14:textId="4B1CF479" w:rsidR="002F1333" w:rsidRPr="00E97A79" w:rsidRDefault="00E97A79" w:rsidP="00E97A79">
      <w:pPr>
        <w:pStyle w:val="ListParagraph"/>
        <w:numPr>
          <w:ilvl w:val="0"/>
          <w:numId w:val="23"/>
        </w:numPr>
        <w:rPr>
          <w:rFonts w:ascii="Arial" w:hAnsi="Arial" w:cs="Arial"/>
          <w:b/>
          <w:bCs/>
        </w:rPr>
      </w:pPr>
      <w:r>
        <w:rPr>
          <w:rFonts w:ascii="Arial" w:hAnsi="Arial" w:cs="Arial"/>
          <w:b/>
          <w:bCs/>
        </w:rPr>
        <w:t>References</w:t>
      </w:r>
      <w:r w:rsidR="002F1333" w:rsidRPr="00E97A79">
        <w:rPr>
          <w:rFonts w:ascii="Arial" w:hAnsi="Arial" w:cs="Arial"/>
          <w:b/>
          <w:bCs/>
        </w:rPr>
        <w:br/>
      </w:r>
    </w:p>
    <w:p w14:paraId="58AB1812" w14:textId="5962A4DC" w:rsidR="002F1333" w:rsidRDefault="002F1333">
      <w:pPr>
        <w:rPr>
          <w:rFonts w:ascii="Arial" w:hAnsi="Arial" w:cs="Arial"/>
          <w:b/>
          <w:bCs/>
          <w:u w:val="single"/>
        </w:rPr>
      </w:pPr>
      <w:r>
        <w:rPr>
          <w:rFonts w:ascii="Arial" w:hAnsi="Arial" w:cs="Arial"/>
          <w:b/>
          <w:bCs/>
          <w:u w:val="single"/>
        </w:rPr>
        <w:br w:type="page"/>
      </w:r>
    </w:p>
    <w:p w14:paraId="0B3E9B0F" w14:textId="77777777" w:rsidR="0079303A" w:rsidRPr="00D62838" w:rsidRDefault="0079303A" w:rsidP="0079303A">
      <w:pPr>
        <w:jc w:val="center"/>
        <w:rPr>
          <w:rFonts w:ascii="Arial" w:hAnsi="Arial" w:cs="Arial"/>
          <w:b/>
          <w:bCs/>
          <w:u w:val="single"/>
        </w:rPr>
      </w:pPr>
    </w:p>
    <w:p w14:paraId="0F097F54" w14:textId="39304943" w:rsidR="0079303A" w:rsidRPr="00D62838" w:rsidRDefault="0079303A" w:rsidP="0079303A">
      <w:pPr>
        <w:rPr>
          <w:rFonts w:ascii="Arial" w:hAnsi="Arial" w:cs="Arial"/>
          <w:b/>
          <w:bCs/>
          <w:u w:val="single"/>
        </w:rPr>
      </w:pPr>
      <w:r w:rsidRPr="00D62838">
        <w:rPr>
          <w:rFonts w:ascii="Arial" w:hAnsi="Arial" w:cs="Arial"/>
          <w:b/>
          <w:bCs/>
          <w:u w:val="single"/>
        </w:rPr>
        <w:t>1. Introduction</w:t>
      </w:r>
    </w:p>
    <w:p w14:paraId="5299E7CA" w14:textId="1F02E427" w:rsidR="00951D29" w:rsidRPr="00D62838" w:rsidRDefault="00951D29" w:rsidP="0079303A">
      <w:pPr>
        <w:rPr>
          <w:rFonts w:ascii="Arial" w:hAnsi="Arial" w:cs="Arial"/>
        </w:rPr>
      </w:pPr>
      <w:r w:rsidRPr="00D62838">
        <w:rPr>
          <w:rFonts w:ascii="Arial" w:hAnsi="Arial" w:cs="Arial"/>
        </w:rPr>
        <w:t>One of the most urgent demands of the 21</w:t>
      </w:r>
      <w:r w:rsidRPr="00D62838">
        <w:rPr>
          <w:rFonts w:ascii="Arial" w:hAnsi="Arial" w:cs="Arial"/>
          <w:vertAlign w:val="superscript"/>
        </w:rPr>
        <w:t>st</w:t>
      </w:r>
      <w:r w:rsidRPr="00D62838">
        <w:rPr>
          <w:rFonts w:ascii="Arial" w:hAnsi="Arial" w:cs="Arial"/>
        </w:rPr>
        <w:t xml:space="preserve"> century is that the built environment reach</w:t>
      </w:r>
      <w:r w:rsidR="00F93F77" w:rsidRPr="00D62838">
        <w:rPr>
          <w:rFonts w:ascii="Arial" w:hAnsi="Arial" w:cs="Arial"/>
        </w:rPr>
        <w:t>es</w:t>
      </w:r>
      <w:r w:rsidRPr="00D62838">
        <w:rPr>
          <w:rFonts w:ascii="Arial" w:hAnsi="Arial" w:cs="Arial"/>
        </w:rPr>
        <w:t xml:space="preserve"> net zero carbon emissions. Terri Wills, the former CEO of the World Green Building Council, articulated this urgency when she advocated for "a dramatic and ambitious transformation from a world of thousands of net zero buildings, to one of billions" to prevent the worst effects of climate change.</w:t>
      </w:r>
      <w:r w:rsidR="00D40AB4">
        <w:rPr>
          <w:rFonts w:ascii="Arial" w:hAnsi="Arial" w:cs="Arial"/>
        </w:rPr>
        <w:t xml:space="preserve"> </w:t>
      </w:r>
      <w:r w:rsidRPr="00D62838">
        <w:rPr>
          <w:rFonts w:ascii="Arial" w:hAnsi="Arial" w:cs="Arial"/>
        </w:rPr>
        <w:t xml:space="preserve">In addition to highlighting the need for drastic change on a worldwide scale, her statement crucially identifies </w:t>
      </w:r>
      <w:r w:rsidR="009F1A64">
        <w:rPr>
          <w:rFonts w:ascii="Arial" w:hAnsi="Arial" w:cs="Arial"/>
        </w:rPr>
        <w:t xml:space="preserve">governments and organisations </w:t>
      </w:r>
      <w:r w:rsidRPr="00D62838">
        <w:rPr>
          <w:rFonts w:ascii="Arial" w:hAnsi="Arial" w:cs="Arial"/>
        </w:rPr>
        <w:t>as the key players in bringing about this change. Building-related emissions</w:t>
      </w:r>
      <w:r w:rsidR="00E1004C" w:rsidRPr="00D62838">
        <w:rPr>
          <w:rFonts w:ascii="Arial" w:hAnsi="Arial" w:cs="Arial"/>
        </w:rPr>
        <w:t xml:space="preserve">, </w:t>
      </w:r>
      <w:r w:rsidRPr="00D62838">
        <w:rPr>
          <w:rFonts w:ascii="Arial" w:hAnsi="Arial" w:cs="Arial"/>
        </w:rPr>
        <w:t>both operational and embodied</w:t>
      </w:r>
      <w:r w:rsidR="00E1004C" w:rsidRPr="00D62838">
        <w:rPr>
          <w:rFonts w:ascii="Arial" w:hAnsi="Arial" w:cs="Arial"/>
        </w:rPr>
        <w:t xml:space="preserve">, </w:t>
      </w:r>
      <w:r w:rsidRPr="00D62838">
        <w:rPr>
          <w:rFonts w:ascii="Arial" w:hAnsi="Arial" w:cs="Arial"/>
        </w:rPr>
        <w:t xml:space="preserve">represent a considerable fraction of overall UK greenhouse gas emissions, and without regulatory intervention, </w:t>
      </w:r>
      <w:r w:rsidR="00605922">
        <w:rPr>
          <w:rFonts w:ascii="Arial" w:hAnsi="Arial" w:cs="Arial"/>
        </w:rPr>
        <w:t xml:space="preserve">a net zero future will not be possible. </w:t>
      </w:r>
      <w:r w:rsidRPr="00D62838">
        <w:rPr>
          <w:rFonts w:ascii="Arial" w:hAnsi="Arial" w:cs="Arial"/>
        </w:rPr>
        <w:t>(UKGBC, 2019; LETI, 2020)</w:t>
      </w:r>
    </w:p>
    <w:p w14:paraId="5E534B60" w14:textId="5CCAFF65" w:rsidR="004E0501" w:rsidRPr="00D62838" w:rsidRDefault="004E0501" w:rsidP="0079303A">
      <w:pPr>
        <w:rPr>
          <w:rFonts w:ascii="Arial" w:hAnsi="Arial" w:cs="Arial"/>
        </w:rPr>
      </w:pPr>
      <w:r w:rsidRPr="00D62838">
        <w:rPr>
          <w:rFonts w:ascii="Arial" w:hAnsi="Arial" w:cs="Arial"/>
        </w:rPr>
        <w:t xml:space="preserve">UK Building Regulations offer the statutory framework that </w:t>
      </w:r>
      <w:r w:rsidR="00297C2A">
        <w:rPr>
          <w:rFonts w:ascii="Arial" w:hAnsi="Arial" w:cs="Arial"/>
        </w:rPr>
        <w:t>controls</w:t>
      </w:r>
      <w:r w:rsidRPr="00D62838">
        <w:rPr>
          <w:rFonts w:ascii="Arial" w:hAnsi="Arial" w:cs="Arial"/>
        </w:rPr>
        <w:t xml:space="preserve"> the design, construction, and alteration of buildings </w:t>
      </w:r>
      <w:r w:rsidR="000842DD">
        <w:rPr>
          <w:rFonts w:ascii="Arial" w:hAnsi="Arial" w:cs="Arial"/>
        </w:rPr>
        <w:t xml:space="preserve">across the country. </w:t>
      </w:r>
      <w:r w:rsidRPr="00D62838">
        <w:rPr>
          <w:rFonts w:ascii="Arial" w:hAnsi="Arial" w:cs="Arial"/>
        </w:rPr>
        <w:t xml:space="preserve">They ensure critical characteristics </w:t>
      </w:r>
      <w:r w:rsidR="000842DD">
        <w:rPr>
          <w:rFonts w:ascii="Arial" w:hAnsi="Arial" w:cs="Arial"/>
        </w:rPr>
        <w:t xml:space="preserve">of a building </w:t>
      </w:r>
      <w:r w:rsidRPr="00D62838">
        <w:rPr>
          <w:rFonts w:ascii="Arial" w:hAnsi="Arial" w:cs="Arial"/>
        </w:rPr>
        <w:t>such as structural integrity, fire safety, health, energy efficiency and accessibility.</w:t>
      </w:r>
      <w:r w:rsidR="00806F2E">
        <w:rPr>
          <w:rFonts w:ascii="Arial" w:hAnsi="Arial" w:cs="Arial"/>
        </w:rPr>
        <w:t xml:space="preserve"> </w:t>
      </w:r>
      <w:r w:rsidRPr="00D62838">
        <w:rPr>
          <w:rFonts w:ascii="Arial" w:hAnsi="Arial" w:cs="Arial"/>
        </w:rPr>
        <w:t xml:space="preserve">However, while they have </w:t>
      </w:r>
      <w:r w:rsidR="009C1B10">
        <w:rPr>
          <w:rFonts w:ascii="Arial" w:hAnsi="Arial" w:cs="Arial"/>
        </w:rPr>
        <w:t>improved the quality of</w:t>
      </w:r>
      <w:r w:rsidRPr="00D62838">
        <w:rPr>
          <w:rFonts w:ascii="Arial" w:hAnsi="Arial" w:cs="Arial"/>
        </w:rPr>
        <w:t xml:space="preserve"> energy performance, they </w:t>
      </w:r>
      <w:r w:rsidR="009C1B10">
        <w:rPr>
          <w:rFonts w:ascii="Arial" w:hAnsi="Arial" w:cs="Arial"/>
        </w:rPr>
        <w:t xml:space="preserve">currently </w:t>
      </w:r>
      <w:r w:rsidRPr="00D62838">
        <w:rPr>
          <w:rFonts w:ascii="Arial" w:hAnsi="Arial" w:cs="Arial"/>
        </w:rPr>
        <w:t>do not</w:t>
      </w:r>
      <w:r w:rsidR="009C1B10">
        <w:rPr>
          <w:rFonts w:ascii="Arial" w:hAnsi="Arial" w:cs="Arial"/>
        </w:rPr>
        <w:t xml:space="preserve"> </w:t>
      </w:r>
      <w:r w:rsidRPr="00D62838">
        <w:rPr>
          <w:rFonts w:ascii="Arial" w:hAnsi="Arial" w:cs="Arial"/>
        </w:rPr>
        <w:t xml:space="preserve">provide a pathway to net zero </w:t>
      </w:r>
      <w:r w:rsidR="000B1BF9">
        <w:rPr>
          <w:rFonts w:ascii="Arial" w:hAnsi="Arial" w:cs="Arial"/>
        </w:rPr>
        <w:t>in the UK</w:t>
      </w:r>
      <w:r w:rsidRPr="00D62838">
        <w:rPr>
          <w:rFonts w:ascii="Arial" w:hAnsi="Arial" w:cs="Arial"/>
        </w:rPr>
        <w:t xml:space="preserve">. The current </w:t>
      </w:r>
      <w:r w:rsidR="000B1BF9">
        <w:rPr>
          <w:rFonts w:ascii="Arial" w:hAnsi="Arial" w:cs="Arial"/>
        </w:rPr>
        <w:t>regulations</w:t>
      </w:r>
      <w:r w:rsidRPr="00D62838">
        <w:rPr>
          <w:rFonts w:ascii="Arial" w:hAnsi="Arial" w:cs="Arial"/>
        </w:rPr>
        <w:t xml:space="preserve"> fall short of establishing whole-life carbon requirements</w:t>
      </w:r>
      <w:r w:rsidR="0000639D">
        <w:rPr>
          <w:rFonts w:ascii="Arial" w:hAnsi="Arial" w:cs="Arial"/>
        </w:rPr>
        <w:t xml:space="preserve"> </w:t>
      </w:r>
      <w:r w:rsidRPr="00D62838">
        <w:rPr>
          <w:rFonts w:ascii="Arial" w:hAnsi="Arial" w:cs="Arial"/>
        </w:rPr>
        <w:t>or large-scale mandates for low-carbon energy systems. As a result, there is a big policy gap between what is needed to achieve the UK's legally enforceable net zero aim by 2050 and what is required for basic compliance. (LETI, 2020; UKGBC, 2019) (DLUHC, 2021)  (CCC, 2020; LETI, 2020) (UKGBC, 2019; NZCBS, 2023)</w:t>
      </w:r>
    </w:p>
    <w:p w14:paraId="7586502F" w14:textId="5C0B2F81" w:rsidR="00DC1F30" w:rsidRDefault="00D02D8D" w:rsidP="0079303A">
      <w:pPr>
        <w:rPr>
          <w:rFonts w:ascii="Arial" w:hAnsi="Arial" w:cs="Arial"/>
        </w:rPr>
      </w:pPr>
      <w:r>
        <w:rPr>
          <w:rFonts w:ascii="Arial" w:hAnsi="Arial" w:cs="Arial"/>
        </w:rPr>
        <w:t>A</w:t>
      </w:r>
      <w:r w:rsidR="00DC1F30" w:rsidRPr="00DC1F30">
        <w:rPr>
          <w:rFonts w:ascii="Arial" w:hAnsi="Arial" w:cs="Arial"/>
        </w:rPr>
        <w:t xml:space="preserve"> range of </w:t>
      </w:r>
      <w:r w:rsidR="007109E2">
        <w:rPr>
          <w:rFonts w:ascii="Arial" w:hAnsi="Arial" w:cs="Arial"/>
        </w:rPr>
        <w:t>industry standards in the UK</w:t>
      </w:r>
      <w:r w:rsidR="006629BE">
        <w:rPr>
          <w:rFonts w:ascii="Arial" w:hAnsi="Arial" w:cs="Arial"/>
        </w:rPr>
        <w:t xml:space="preserve">, that </w:t>
      </w:r>
      <w:r w:rsidR="00272D73">
        <w:rPr>
          <w:rFonts w:ascii="Arial" w:hAnsi="Arial" w:cs="Arial"/>
        </w:rPr>
        <w:t>will be reviewed in this assignment</w:t>
      </w:r>
      <w:r w:rsidR="006629BE">
        <w:rPr>
          <w:rFonts w:ascii="Arial" w:hAnsi="Arial" w:cs="Arial"/>
        </w:rPr>
        <w:t>,</w:t>
      </w:r>
      <w:r w:rsidR="007109E2">
        <w:rPr>
          <w:rFonts w:ascii="Arial" w:hAnsi="Arial" w:cs="Arial"/>
        </w:rPr>
        <w:t xml:space="preserve"> </w:t>
      </w:r>
      <w:r w:rsidR="00DC1F30" w:rsidRPr="00DC1F30">
        <w:rPr>
          <w:rFonts w:ascii="Arial" w:hAnsi="Arial" w:cs="Arial"/>
        </w:rPr>
        <w:t>have already established scientifically aligned methodologies and carbon performance metrics. In order to connect buildings with climate science, these frameworks provide explicit targets for energy use, embodied carbon, and whole-life carbon. However,</w:t>
      </w:r>
      <w:r w:rsidR="00AD4F6C">
        <w:rPr>
          <w:rFonts w:ascii="Arial" w:hAnsi="Arial" w:cs="Arial"/>
        </w:rPr>
        <w:t xml:space="preserve"> improvement in the industry</w:t>
      </w:r>
      <w:r w:rsidR="00DC1F30" w:rsidRPr="00DC1F30">
        <w:rPr>
          <w:rFonts w:ascii="Arial" w:hAnsi="Arial" w:cs="Arial"/>
        </w:rPr>
        <w:t xml:space="preserve"> is still </w:t>
      </w:r>
      <w:r w:rsidR="00AD4F6C">
        <w:rPr>
          <w:rFonts w:ascii="Arial" w:hAnsi="Arial" w:cs="Arial"/>
        </w:rPr>
        <w:t>inconsistent</w:t>
      </w:r>
      <w:r w:rsidR="00DC1F30" w:rsidRPr="00DC1F30">
        <w:rPr>
          <w:rFonts w:ascii="Arial" w:hAnsi="Arial" w:cs="Arial"/>
        </w:rPr>
        <w:t xml:space="preserve"> since these frameworks are not </w:t>
      </w:r>
      <w:r w:rsidR="00AD4F6C">
        <w:rPr>
          <w:rFonts w:ascii="Arial" w:hAnsi="Arial" w:cs="Arial"/>
        </w:rPr>
        <w:t>mandatory</w:t>
      </w:r>
      <w:r w:rsidR="00DC1F30" w:rsidRPr="00DC1F30">
        <w:rPr>
          <w:rFonts w:ascii="Arial" w:hAnsi="Arial" w:cs="Arial"/>
        </w:rPr>
        <w:t>. (CCC, 2020; LETI, 2020) (Passivhaus Trust, 2021) (BREEAM, 2022) (AECB, 2020) (UKGBC, 2019; NZCBS, 2023)</w:t>
      </w:r>
    </w:p>
    <w:p w14:paraId="4A21A504" w14:textId="42CE0AEF" w:rsidR="00361482" w:rsidRPr="00D62838" w:rsidRDefault="00361482" w:rsidP="0079303A">
      <w:pPr>
        <w:rPr>
          <w:rFonts w:ascii="Arial" w:hAnsi="Arial" w:cs="Arial"/>
        </w:rPr>
      </w:pPr>
      <w:r w:rsidRPr="00D62838">
        <w:rPr>
          <w:rFonts w:ascii="Arial" w:hAnsi="Arial" w:cs="Arial"/>
        </w:rPr>
        <w:t xml:space="preserve">This assignment </w:t>
      </w:r>
      <w:r w:rsidR="00FF256D" w:rsidRPr="00D62838">
        <w:rPr>
          <w:rFonts w:ascii="Arial" w:hAnsi="Arial" w:cs="Arial"/>
        </w:rPr>
        <w:t xml:space="preserve">will </w:t>
      </w:r>
      <w:r w:rsidRPr="00D62838">
        <w:rPr>
          <w:rFonts w:ascii="Arial" w:hAnsi="Arial" w:cs="Arial"/>
        </w:rPr>
        <w:t xml:space="preserve">propose a new Net Zero Building Regulations Approved Document to bridge the gap between statutory regulation and volunteer best practices. In order to provide a legal standard that can direct future advancements towards net zero, the proposed document </w:t>
      </w:r>
      <w:r w:rsidR="00EF04E0" w:rsidRPr="00D62838">
        <w:rPr>
          <w:rFonts w:ascii="Arial" w:hAnsi="Arial" w:cs="Arial"/>
        </w:rPr>
        <w:t xml:space="preserve">will </w:t>
      </w:r>
      <w:r w:rsidRPr="00D62838">
        <w:rPr>
          <w:rFonts w:ascii="Arial" w:hAnsi="Arial" w:cs="Arial"/>
        </w:rPr>
        <w:t>incorporate important concepts</w:t>
      </w:r>
      <w:r w:rsidR="003F2C50" w:rsidRPr="00D62838">
        <w:rPr>
          <w:rFonts w:ascii="Arial" w:hAnsi="Arial" w:cs="Arial"/>
        </w:rPr>
        <w:t xml:space="preserve"> </w:t>
      </w:r>
      <w:r w:rsidRPr="00D62838">
        <w:rPr>
          <w:rFonts w:ascii="Arial" w:hAnsi="Arial" w:cs="Arial"/>
        </w:rPr>
        <w:t xml:space="preserve">and performance thresholds from </w:t>
      </w:r>
      <w:r w:rsidR="00EF04E0" w:rsidRPr="00D62838">
        <w:rPr>
          <w:rFonts w:ascii="Arial" w:hAnsi="Arial" w:cs="Arial"/>
        </w:rPr>
        <w:t xml:space="preserve">existing and </w:t>
      </w:r>
      <w:r w:rsidRPr="00D62838">
        <w:rPr>
          <w:rFonts w:ascii="Arial" w:hAnsi="Arial" w:cs="Arial"/>
        </w:rPr>
        <w:t xml:space="preserve">well-established UK sustainability frameworks. The sections </w:t>
      </w:r>
      <w:r w:rsidR="00F60703" w:rsidRPr="00D62838">
        <w:rPr>
          <w:rFonts w:ascii="Arial" w:hAnsi="Arial" w:cs="Arial"/>
        </w:rPr>
        <w:t xml:space="preserve">will </w:t>
      </w:r>
      <w:r w:rsidRPr="00D62838">
        <w:rPr>
          <w:rFonts w:ascii="Arial" w:hAnsi="Arial" w:cs="Arial"/>
        </w:rPr>
        <w:t>evaluate the shortcomings of existing rules</w:t>
      </w:r>
      <w:r w:rsidR="00282AE5" w:rsidRPr="00D62838">
        <w:rPr>
          <w:rFonts w:ascii="Arial" w:hAnsi="Arial" w:cs="Arial"/>
        </w:rPr>
        <w:t xml:space="preserve"> </w:t>
      </w:r>
      <w:r w:rsidRPr="00D62838">
        <w:rPr>
          <w:rFonts w:ascii="Arial" w:hAnsi="Arial" w:cs="Arial"/>
        </w:rPr>
        <w:t>and offer a thorough proposal for an Approved Document that lays out the requirements for buildings to attain both operational and embodied net zero performance. (LETI, 2020; UKGBC, 2019) (DLUHC, 2021)</w:t>
      </w:r>
    </w:p>
    <w:p w14:paraId="39F276C1" w14:textId="4DDB3FDC" w:rsidR="0079303A" w:rsidRPr="00D62838" w:rsidRDefault="0079303A" w:rsidP="0079303A">
      <w:pPr>
        <w:rPr>
          <w:rFonts w:ascii="Arial" w:hAnsi="Arial" w:cs="Arial"/>
          <w:b/>
          <w:bCs/>
          <w:u w:val="single"/>
        </w:rPr>
      </w:pPr>
      <w:r w:rsidRPr="00D62838">
        <w:rPr>
          <w:rFonts w:ascii="Arial" w:hAnsi="Arial" w:cs="Arial"/>
          <w:b/>
          <w:bCs/>
          <w:u w:val="single"/>
        </w:rPr>
        <w:t>2. Current Limitations of UK Building Regulations</w:t>
      </w:r>
    </w:p>
    <w:p w14:paraId="369A1F01" w14:textId="36B7F540" w:rsidR="0079303A" w:rsidRPr="00D62838" w:rsidRDefault="00453D70" w:rsidP="0079303A">
      <w:pPr>
        <w:rPr>
          <w:rFonts w:ascii="Arial" w:hAnsi="Arial" w:cs="Arial"/>
        </w:rPr>
      </w:pPr>
      <w:r w:rsidRPr="00D62838">
        <w:rPr>
          <w:rFonts w:ascii="Arial" w:hAnsi="Arial" w:cs="Arial"/>
        </w:rPr>
        <w:t>UK Building Regulations ensur</w:t>
      </w:r>
      <w:r w:rsidR="00645C16" w:rsidRPr="00D62838">
        <w:rPr>
          <w:rFonts w:ascii="Arial" w:hAnsi="Arial" w:cs="Arial"/>
        </w:rPr>
        <w:t>e</w:t>
      </w:r>
      <w:r w:rsidRPr="00D62838">
        <w:rPr>
          <w:rFonts w:ascii="Arial" w:hAnsi="Arial" w:cs="Arial"/>
        </w:rPr>
        <w:t xml:space="preserve"> that structures are safe, habitable, and efficient. Historically, the main method for enhancing energy performance has been </w:t>
      </w:r>
      <w:r w:rsidR="00071AFD" w:rsidRPr="00D62838">
        <w:rPr>
          <w:rFonts w:ascii="Arial" w:hAnsi="Arial" w:cs="Arial"/>
        </w:rPr>
        <w:t xml:space="preserve">through </w:t>
      </w:r>
      <w:r w:rsidRPr="00D62838">
        <w:rPr>
          <w:rFonts w:ascii="Arial" w:hAnsi="Arial" w:cs="Arial"/>
        </w:rPr>
        <w:t>Part L</w:t>
      </w:r>
      <w:r w:rsidR="00071AFD" w:rsidRPr="00D62838">
        <w:rPr>
          <w:rFonts w:ascii="Arial" w:hAnsi="Arial" w:cs="Arial"/>
        </w:rPr>
        <w:t xml:space="preserve"> of the UK Building Regulations</w:t>
      </w:r>
      <w:r w:rsidRPr="00D62838">
        <w:rPr>
          <w:rFonts w:ascii="Arial" w:hAnsi="Arial" w:cs="Arial"/>
        </w:rPr>
        <w:t>, which deals with fuel and power conservation. The 2021 upgrade to Part L includes more severe fabric criteria, enhanced airtightness testing requirements, and efforts to reduce carbon emissions by about 31% compared with existing norms for new residences. However, even with these advancements, Part L is still unable to provide a real route to net zero</w:t>
      </w:r>
      <w:r w:rsidR="00D75627">
        <w:rPr>
          <w:rFonts w:ascii="Arial" w:hAnsi="Arial" w:cs="Arial"/>
        </w:rPr>
        <w:t xml:space="preserve"> in the UK</w:t>
      </w:r>
      <w:r w:rsidRPr="00D62838">
        <w:rPr>
          <w:rFonts w:ascii="Arial" w:hAnsi="Arial" w:cs="Arial"/>
        </w:rPr>
        <w:t>. (LETI, 2020; UKGBC, 2019) (DLUHC, 2021)</w:t>
      </w:r>
    </w:p>
    <w:p w14:paraId="7D8E2B30" w14:textId="4A8C6171" w:rsidR="00B64233" w:rsidRDefault="00CB61EA" w:rsidP="0079303A">
      <w:pPr>
        <w:rPr>
          <w:rFonts w:ascii="Arial" w:hAnsi="Arial" w:cs="Arial"/>
        </w:rPr>
      </w:pPr>
      <w:r>
        <w:rPr>
          <w:rFonts w:ascii="Arial" w:hAnsi="Arial" w:cs="Arial"/>
        </w:rPr>
        <w:t>A flaw with</w:t>
      </w:r>
      <w:r w:rsidR="00B64233" w:rsidRPr="00B64233">
        <w:rPr>
          <w:rFonts w:ascii="Arial" w:hAnsi="Arial" w:cs="Arial"/>
        </w:rPr>
        <w:t xml:space="preserve"> Part </w:t>
      </w:r>
      <w:r>
        <w:rPr>
          <w:rFonts w:ascii="Arial" w:hAnsi="Arial" w:cs="Arial"/>
        </w:rPr>
        <w:t>L is that its</w:t>
      </w:r>
      <w:r w:rsidR="00B64233" w:rsidRPr="00B64233">
        <w:rPr>
          <w:rFonts w:ascii="Arial" w:hAnsi="Arial" w:cs="Arial"/>
        </w:rPr>
        <w:t xml:space="preserve"> compliance technique is predicated on a comparison with a "notional building" rather than an absolute operating energy objective</w:t>
      </w:r>
      <w:r>
        <w:rPr>
          <w:rFonts w:ascii="Arial" w:hAnsi="Arial" w:cs="Arial"/>
        </w:rPr>
        <w:t xml:space="preserve">. </w:t>
      </w:r>
      <w:r w:rsidR="00B64233" w:rsidRPr="00B64233">
        <w:rPr>
          <w:rFonts w:ascii="Arial" w:hAnsi="Arial" w:cs="Arial"/>
        </w:rPr>
        <w:t>As long as th</w:t>
      </w:r>
      <w:r w:rsidR="009B391A">
        <w:rPr>
          <w:rFonts w:ascii="Arial" w:hAnsi="Arial" w:cs="Arial"/>
        </w:rPr>
        <w:t>e</w:t>
      </w:r>
      <w:r w:rsidR="00233C67">
        <w:rPr>
          <w:rFonts w:ascii="Arial" w:hAnsi="Arial" w:cs="Arial"/>
        </w:rPr>
        <w:t xml:space="preserve"> </w:t>
      </w:r>
      <w:r w:rsidR="00B64233" w:rsidRPr="00B64233">
        <w:rPr>
          <w:rFonts w:ascii="Arial" w:hAnsi="Arial" w:cs="Arial"/>
        </w:rPr>
        <w:t xml:space="preserve">expected performance is just slightly </w:t>
      </w:r>
      <w:r w:rsidR="004F38F2">
        <w:rPr>
          <w:rFonts w:ascii="Arial" w:hAnsi="Arial" w:cs="Arial"/>
        </w:rPr>
        <w:t>higher</w:t>
      </w:r>
      <w:r w:rsidR="00B64233" w:rsidRPr="00B64233">
        <w:rPr>
          <w:rFonts w:ascii="Arial" w:hAnsi="Arial" w:cs="Arial"/>
        </w:rPr>
        <w:t xml:space="preserve"> than the hypothetical model, buildings with </w:t>
      </w:r>
      <w:r w:rsidR="00B64233" w:rsidRPr="00B64233">
        <w:rPr>
          <w:rFonts w:ascii="Arial" w:hAnsi="Arial" w:cs="Arial"/>
        </w:rPr>
        <w:lastRenderedPageBreak/>
        <w:t>larger floor areas or higher plug loads can comply. Such a strategy does not promote significant savings in energy use. Instead, it promotes minimal and insufficient progress in the study of climate change. Furthermore, Part L only regulates regulated energy loads (heating, lighting, and fixed building services), excluding uncontrolled energy usage, despite the fact that inhabitants and appliances account for a sizable amount of operating emissions.  Riba (2021) and UKGBC (2019)</w:t>
      </w:r>
    </w:p>
    <w:p w14:paraId="181C2154" w14:textId="06491966" w:rsidR="00E8629F" w:rsidRPr="00D62838" w:rsidRDefault="00E8629F" w:rsidP="0079303A">
      <w:pPr>
        <w:rPr>
          <w:rFonts w:ascii="Arial" w:hAnsi="Arial" w:cs="Arial"/>
        </w:rPr>
      </w:pPr>
      <w:r w:rsidRPr="00D62838">
        <w:rPr>
          <w:rFonts w:ascii="Arial" w:hAnsi="Arial" w:cs="Arial"/>
        </w:rPr>
        <w:t>Another big discrepancy lies in the consideration of embodied carbon. Embodied carbon related to the production, transportation, installation, maintenance, and end-of-life processing of building materials is not required to be measured or limited under the existing Building Regulations. As operational carbon decreases as a result of grid decarbonisation, this omission becomes more important. According to the Climate Change Committee (CCC), unless specific regulations are put in place to control it, embedded carbon may account for the bulk of emissions in new construction by the 2030s. (DLUHC, 2021)  (LETI, 2020; CCC, 2020)</w:t>
      </w:r>
    </w:p>
    <w:p w14:paraId="5FA616B3" w14:textId="70CDE31B" w:rsidR="009C38A3" w:rsidRPr="00D62838" w:rsidRDefault="009C38A3" w:rsidP="0079303A">
      <w:pPr>
        <w:rPr>
          <w:rFonts w:ascii="Arial" w:hAnsi="Arial" w:cs="Arial"/>
        </w:rPr>
      </w:pPr>
      <w:r w:rsidRPr="00D62838">
        <w:rPr>
          <w:rFonts w:ascii="Arial" w:hAnsi="Arial" w:cs="Arial"/>
        </w:rPr>
        <w:t xml:space="preserve">Additionally, Part O's methodology does not completely incorporate passive design principles employed in frameworks like Passivhaus and LETI, despite the fact that its </w:t>
      </w:r>
      <w:r w:rsidR="00077971">
        <w:rPr>
          <w:rFonts w:ascii="Arial" w:hAnsi="Arial" w:cs="Arial"/>
        </w:rPr>
        <w:t>introduction</w:t>
      </w:r>
      <w:r w:rsidRPr="00D62838">
        <w:rPr>
          <w:rFonts w:ascii="Arial" w:hAnsi="Arial" w:cs="Arial"/>
        </w:rPr>
        <w:t xml:space="preserve"> in 2022 imposed required obligations to manage overheating risk</w:t>
      </w:r>
      <w:r w:rsidR="00D15B59">
        <w:rPr>
          <w:rFonts w:ascii="Arial" w:hAnsi="Arial" w:cs="Arial"/>
        </w:rPr>
        <w:t>s</w:t>
      </w:r>
      <w:r w:rsidRPr="00D62838">
        <w:rPr>
          <w:rFonts w:ascii="Arial" w:hAnsi="Arial" w:cs="Arial"/>
        </w:rPr>
        <w:t xml:space="preserve"> in new residential structures. Ventilation rules in Part F also lack integration with net zero design, sometimes resulting in air-tight, highly insulated buildings being ventilated improperly, consequently weakening indoor air quality. (UKGBC, 2019; LETI, 2020) (Passivhaus Trust, 2021) (DLUHC, 2021)</w:t>
      </w:r>
    </w:p>
    <w:p w14:paraId="6B320302" w14:textId="3B49531C" w:rsidR="007665CA" w:rsidRPr="00D62838" w:rsidRDefault="007665CA" w:rsidP="0079303A">
      <w:pPr>
        <w:rPr>
          <w:rFonts w:ascii="Arial" w:hAnsi="Arial" w:cs="Arial"/>
        </w:rPr>
      </w:pPr>
      <w:r w:rsidRPr="00D62838">
        <w:rPr>
          <w:rFonts w:ascii="Arial" w:hAnsi="Arial" w:cs="Arial"/>
        </w:rPr>
        <w:t xml:space="preserve">Lastly, rather </w:t>
      </w:r>
      <w:r w:rsidR="00062188">
        <w:rPr>
          <w:rFonts w:ascii="Arial" w:hAnsi="Arial" w:cs="Arial"/>
        </w:rPr>
        <w:t>than</w:t>
      </w:r>
      <w:r w:rsidRPr="00D62838">
        <w:rPr>
          <w:rFonts w:ascii="Arial" w:hAnsi="Arial" w:cs="Arial"/>
        </w:rPr>
        <w:t xml:space="preserve"> treating buildings as parts of larger energy and transportation systems, the current regulatory framework view them as separate entities. Demand-side response methods, battery storage, and on-site renewable energy generation are not required by law. </w:t>
      </w:r>
      <w:r w:rsidR="008D390D" w:rsidRPr="00D62838">
        <w:rPr>
          <w:rFonts w:ascii="Arial" w:hAnsi="Arial" w:cs="Arial"/>
        </w:rPr>
        <w:t>Also, there is no</w:t>
      </w:r>
      <w:r w:rsidRPr="00D62838">
        <w:rPr>
          <w:rFonts w:ascii="Arial" w:hAnsi="Arial" w:cs="Arial"/>
        </w:rPr>
        <w:t xml:space="preserve"> duty to evaluate transport-related carbon emissions, despite their relevance in calculating the total impact of new initiatives.</w:t>
      </w:r>
    </w:p>
    <w:p w14:paraId="4081A7DA" w14:textId="2F92D317" w:rsidR="001F452D" w:rsidRPr="00D62838" w:rsidRDefault="00EA392E" w:rsidP="0079303A">
      <w:pPr>
        <w:rPr>
          <w:rFonts w:ascii="Arial" w:hAnsi="Arial" w:cs="Arial"/>
        </w:rPr>
      </w:pPr>
      <w:r>
        <w:rPr>
          <w:rFonts w:ascii="Arial" w:hAnsi="Arial" w:cs="Arial"/>
        </w:rPr>
        <w:t>Overall</w:t>
      </w:r>
      <w:r w:rsidR="001F452D" w:rsidRPr="00D62838">
        <w:rPr>
          <w:rFonts w:ascii="Arial" w:hAnsi="Arial" w:cs="Arial"/>
        </w:rPr>
        <w:t>, these restrictions show that the UK Building Regulations are still based on a minimum standard framework rather than performance criteria that are climate-aligned. In order to achieve net zero, regulations must be completely rethought, incorporating systemic thinking</w:t>
      </w:r>
      <w:r w:rsidR="00D1714F">
        <w:rPr>
          <w:rFonts w:ascii="Arial" w:hAnsi="Arial" w:cs="Arial"/>
        </w:rPr>
        <w:t xml:space="preserve"> and </w:t>
      </w:r>
      <w:r w:rsidR="001F452D" w:rsidRPr="00D62838">
        <w:rPr>
          <w:rFonts w:ascii="Arial" w:hAnsi="Arial" w:cs="Arial"/>
        </w:rPr>
        <w:t>whole-life carbon measures.  (UKGBC, 2019; NZCBS, 2023) (DLUHC, 2021) (LETI, 2020)</w:t>
      </w:r>
    </w:p>
    <w:p w14:paraId="7FCFA350" w14:textId="63EE1AA9" w:rsidR="0079303A" w:rsidRPr="00D62838" w:rsidRDefault="0079303A" w:rsidP="0079303A">
      <w:pPr>
        <w:rPr>
          <w:rFonts w:ascii="Arial" w:hAnsi="Arial" w:cs="Arial"/>
          <w:b/>
          <w:bCs/>
          <w:u w:val="single"/>
        </w:rPr>
      </w:pPr>
      <w:r w:rsidRPr="00D62838">
        <w:rPr>
          <w:rFonts w:ascii="Arial" w:hAnsi="Arial" w:cs="Arial"/>
          <w:b/>
          <w:bCs/>
          <w:u w:val="single"/>
        </w:rPr>
        <w:t xml:space="preserve">3. </w:t>
      </w:r>
      <w:bookmarkStart w:id="0" w:name="_Hlk216194888"/>
      <w:r w:rsidRPr="00D62838">
        <w:rPr>
          <w:rFonts w:ascii="Arial" w:hAnsi="Arial" w:cs="Arial"/>
          <w:b/>
          <w:bCs/>
          <w:u w:val="single"/>
        </w:rPr>
        <w:t>Review of Existing UK Sustainability Frameworks</w:t>
      </w:r>
    </w:p>
    <w:bookmarkEnd w:id="0"/>
    <w:p w14:paraId="456CA2A5" w14:textId="38613712" w:rsidR="00163E40" w:rsidRPr="00D62838" w:rsidRDefault="00163E40" w:rsidP="0079303A">
      <w:pPr>
        <w:rPr>
          <w:rFonts w:ascii="Arial" w:hAnsi="Arial" w:cs="Arial"/>
        </w:rPr>
      </w:pPr>
      <w:r w:rsidRPr="00D62838">
        <w:rPr>
          <w:rFonts w:ascii="Arial" w:hAnsi="Arial" w:cs="Arial"/>
        </w:rPr>
        <w:t>A number of UK sustainability frameworks currently provide thorough guidelines on how to design and construct buildings that fit with net zero carbon aspirations. These frameworks serve as the foundation for proof when creating a new legally approved document.  (UKGBC, 2019; LETI, 2020)</w:t>
      </w:r>
    </w:p>
    <w:p w14:paraId="635EDD73" w14:textId="53E64EDF" w:rsidR="0079303A" w:rsidRPr="00D62838" w:rsidRDefault="0079303A" w:rsidP="0079303A">
      <w:pPr>
        <w:rPr>
          <w:rFonts w:ascii="Arial" w:hAnsi="Arial" w:cs="Arial"/>
          <w:b/>
          <w:bCs/>
        </w:rPr>
      </w:pPr>
      <w:r w:rsidRPr="00D62838">
        <w:rPr>
          <w:rFonts w:ascii="Arial" w:hAnsi="Arial" w:cs="Arial"/>
          <w:b/>
          <w:bCs/>
        </w:rPr>
        <w:t xml:space="preserve">UK Green Building Council (UKGBC) Net Zero Carbon Framework (2019) </w:t>
      </w:r>
    </w:p>
    <w:p w14:paraId="2B92BEFC" w14:textId="00EB2F51" w:rsidR="00996888" w:rsidRDefault="00996888" w:rsidP="0079303A">
      <w:pPr>
        <w:rPr>
          <w:rFonts w:ascii="Arial" w:hAnsi="Arial" w:cs="Arial"/>
        </w:rPr>
      </w:pPr>
      <w:r w:rsidRPr="00996888">
        <w:rPr>
          <w:rFonts w:ascii="Arial" w:hAnsi="Arial" w:cs="Arial"/>
        </w:rPr>
        <w:t>Net zero carbon in both construction and operation is defined under the UKGBC framework.  It highlights a three-step hierarchy: lower energy use, provide renewable energy to buildings, and, if needed, use verifiable carbon reductions to offset leftover emissions. It covers offsetting principles, reporting standards, and whole-life carbon assessment approaches. Its focus on lifespan boundaries and operational energy intensity offers a framework that might be converted into legislation. (UKGBC, 2019; LETI, 2020)  (UKGBC, 2019; RIBA, 2021; NZCBS, 2023)</w:t>
      </w:r>
    </w:p>
    <w:p w14:paraId="1270784D" w14:textId="77777777" w:rsidR="00A34CF7" w:rsidRDefault="00A34CF7" w:rsidP="0079303A">
      <w:pPr>
        <w:rPr>
          <w:rFonts w:ascii="Arial" w:hAnsi="Arial" w:cs="Arial"/>
        </w:rPr>
      </w:pPr>
    </w:p>
    <w:p w14:paraId="3E70EFAC" w14:textId="53DDA9E1" w:rsidR="0079303A" w:rsidRPr="00D62838" w:rsidRDefault="0079303A" w:rsidP="0079303A">
      <w:pPr>
        <w:rPr>
          <w:rFonts w:ascii="Arial" w:hAnsi="Arial" w:cs="Arial"/>
          <w:b/>
          <w:bCs/>
        </w:rPr>
      </w:pPr>
      <w:r w:rsidRPr="00D62838">
        <w:rPr>
          <w:rFonts w:ascii="Arial" w:hAnsi="Arial" w:cs="Arial"/>
          <w:b/>
          <w:bCs/>
        </w:rPr>
        <w:lastRenderedPageBreak/>
        <w:t xml:space="preserve">LETI Climate Emergency Design Guide </w:t>
      </w:r>
      <w:r w:rsidR="00A91436">
        <w:rPr>
          <w:rFonts w:ascii="Arial" w:hAnsi="Arial" w:cs="Arial"/>
          <w:b/>
          <w:bCs/>
        </w:rPr>
        <w:t>(2020)</w:t>
      </w:r>
    </w:p>
    <w:p w14:paraId="21FF571D" w14:textId="24008E6B" w:rsidR="008D4D59" w:rsidRDefault="008D4D59" w:rsidP="0079303A">
      <w:pPr>
        <w:rPr>
          <w:rFonts w:ascii="Arial" w:hAnsi="Arial" w:cs="Arial"/>
        </w:rPr>
      </w:pPr>
      <w:r w:rsidRPr="008D4D59">
        <w:rPr>
          <w:rFonts w:ascii="Arial" w:hAnsi="Arial" w:cs="Arial"/>
        </w:rPr>
        <w:t>The development of science-based performance indicators for new buildings has been greatly aided by LETI. The guide establishes clear goals for space-heating demand operational energy usage, and embodied carbon</w:t>
      </w:r>
      <w:r w:rsidR="00B64DDF">
        <w:rPr>
          <w:rFonts w:ascii="Arial" w:hAnsi="Arial" w:cs="Arial"/>
        </w:rPr>
        <w:t xml:space="preserve">. </w:t>
      </w:r>
      <w:r w:rsidRPr="008D4D59">
        <w:rPr>
          <w:rFonts w:ascii="Arial" w:hAnsi="Arial" w:cs="Arial"/>
        </w:rPr>
        <w:t>Additionally, LETI describes specific design techniques for attaining low energy consumption, such as fabric-first methods, the removal of thermal bridges, and optimum mechanical ventilation with heat recovery (MVHR).  The UK's carbon budgets closely match LETI's measurements, making them a suitable foundation for regulations. (RIBA, 2021; UKGBC, 2019) (CCC, 2020; LETI, 2020)</w:t>
      </w:r>
    </w:p>
    <w:p w14:paraId="002FE625" w14:textId="30E0252F" w:rsidR="0079303A" w:rsidRPr="00D62838" w:rsidRDefault="0079303A" w:rsidP="0079303A">
      <w:pPr>
        <w:rPr>
          <w:rFonts w:ascii="Arial" w:hAnsi="Arial" w:cs="Arial"/>
          <w:b/>
          <w:bCs/>
        </w:rPr>
      </w:pPr>
      <w:r w:rsidRPr="00D62838">
        <w:rPr>
          <w:rFonts w:ascii="Arial" w:hAnsi="Arial" w:cs="Arial"/>
          <w:b/>
          <w:bCs/>
        </w:rPr>
        <w:t xml:space="preserve">Passivhaus Standard </w:t>
      </w:r>
    </w:p>
    <w:p w14:paraId="6B577C4A" w14:textId="5F43959A" w:rsidR="00CF2AC9" w:rsidRDefault="00CF2AC9" w:rsidP="0079303A">
      <w:pPr>
        <w:rPr>
          <w:rFonts w:ascii="Arial" w:hAnsi="Arial" w:cs="Arial"/>
        </w:rPr>
      </w:pPr>
      <w:r w:rsidRPr="00CF2AC9">
        <w:rPr>
          <w:rFonts w:ascii="Arial" w:hAnsi="Arial" w:cs="Arial"/>
        </w:rPr>
        <w:t>Passivhaus is acknowledged as one of the most dependable and validated low-energy building standards. It focusses on reducing energy consumption by using mechanical ventilation with heat recovery, remarkable airtightness, and extremely high levels of insulation. Buildings must go through extensive testing to make sure that real-world performance matches design, even though the PHPP modelling tool makes accurate performance predictions. The Passivhaus technique is a model for future regulatory compliance since it successfully closes the performance gap.  (Passivhaus Trust, 2021)</w:t>
      </w:r>
    </w:p>
    <w:p w14:paraId="6FEF6FFC" w14:textId="3532724B" w:rsidR="0079303A" w:rsidRPr="00D62838" w:rsidRDefault="0079303A" w:rsidP="0079303A">
      <w:pPr>
        <w:rPr>
          <w:rFonts w:ascii="Arial" w:hAnsi="Arial" w:cs="Arial"/>
          <w:b/>
          <w:bCs/>
        </w:rPr>
      </w:pPr>
      <w:r w:rsidRPr="00D62838">
        <w:rPr>
          <w:rFonts w:ascii="Arial" w:hAnsi="Arial" w:cs="Arial"/>
          <w:b/>
          <w:bCs/>
        </w:rPr>
        <w:t>AECB Building Standard</w:t>
      </w:r>
    </w:p>
    <w:p w14:paraId="0678F132" w14:textId="2371F806" w:rsidR="000D01CF" w:rsidRDefault="000D01CF" w:rsidP="0079303A">
      <w:pPr>
        <w:rPr>
          <w:rFonts w:ascii="Arial" w:hAnsi="Arial" w:cs="Arial"/>
        </w:rPr>
      </w:pPr>
      <w:r w:rsidRPr="000D01CF">
        <w:rPr>
          <w:rFonts w:ascii="Arial" w:hAnsi="Arial" w:cs="Arial"/>
        </w:rPr>
        <w:t>For the UK market, the Association for Environment Conscious Building (AECB) provides a condensed form of Passivhaus principles. It places a strong emphasis on low energy consumption, moisture safety, and fabric performance. It offers useful advice appropriate for inclusion in an Approved Document and is a more adaptable substitute for Passivhaus.  (Passivhaus Trust, 2021)  (AECB, 2020)</w:t>
      </w:r>
    </w:p>
    <w:p w14:paraId="738A3931" w14:textId="5993643A" w:rsidR="0079303A" w:rsidRPr="00D62838" w:rsidRDefault="0079303A" w:rsidP="0079303A">
      <w:pPr>
        <w:rPr>
          <w:rFonts w:ascii="Arial" w:hAnsi="Arial" w:cs="Arial"/>
          <w:b/>
          <w:bCs/>
        </w:rPr>
      </w:pPr>
      <w:r w:rsidRPr="00D62838">
        <w:rPr>
          <w:rFonts w:ascii="Arial" w:hAnsi="Arial" w:cs="Arial"/>
          <w:b/>
          <w:bCs/>
        </w:rPr>
        <w:t xml:space="preserve">BREEAM </w:t>
      </w:r>
    </w:p>
    <w:p w14:paraId="002F8F9F" w14:textId="08A167F7" w:rsidR="000E558A" w:rsidRDefault="000E558A" w:rsidP="0079303A">
      <w:pPr>
        <w:rPr>
          <w:rFonts w:ascii="Arial" w:hAnsi="Arial" w:cs="Arial"/>
        </w:rPr>
      </w:pPr>
      <w:r w:rsidRPr="000E558A">
        <w:rPr>
          <w:rFonts w:ascii="Arial" w:hAnsi="Arial" w:cs="Arial"/>
        </w:rPr>
        <w:t xml:space="preserve">The most used sustainability evaluation technique in the UK is BREEAM. It offers a comprehensive rating system that takes into account energy, water, materials, waste, ecology, health, and management. </w:t>
      </w:r>
      <w:r w:rsidR="004C0DB1">
        <w:rPr>
          <w:rFonts w:ascii="Arial" w:hAnsi="Arial" w:cs="Arial"/>
        </w:rPr>
        <w:t>A</w:t>
      </w:r>
      <w:r w:rsidRPr="000E558A">
        <w:rPr>
          <w:rFonts w:ascii="Arial" w:hAnsi="Arial" w:cs="Arial"/>
        </w:rPr>
        <w:t>dditionally, it promotes the use of environmental product declarations (EPDs) and lifecycle assessments. A helpful framework for organising net zero regulatory requirements across several sustainability criteria is provided by BREEAM categories.  (UKGBC, 2019; LETI, 2020)  (BREEAM, 2022)</w:t>
      </w:r>
    </w:p>
    <w:p w14:paraId="00A42CA0" w14:textId="5A0B57AE" w:rsidR="0079303A" w:rsidRPr="00D62838" w:rsidRDefault="0079303A" w:rsidP="0079303A">
      <w:pPr>
        <w:rPr>
          <w:rFonts w:ascii="Arial" w:hAnsi="Arial" w:cs="Arial"/>
          <w:b/>
          <w:bCs/>
        </w:rPr>
      </w:pPr>
      <w:r w:rsidRPr="00D62838">
        <w:rPr>
          <w:rFonts w:ascii="Arial" w:hAnsi="Arial" w:cs="Arial"/>
          <w:b/>
          <w:bCs/>
        </w:rPr>
        <w:t>RIBA 2030 Climate Challenge</w:t>
      </w:r>
    </w:p>
    <w:p w14:paraId="120AAE98" w14:textId="331E1698" w:rsidR="000E558A" w:rsidRDefault="000E558A" w:rsidP="0079303A">
      <w:pPr>
        <w:rPr>
          <w:rFonts w:ascii="Arial" w:hAnsi="Arial" w:cs="Arial"/>
          <w:b/>
          <w:bCs/>
        </w:rPr>
      </w:pPr>
      <w:r w:rsidRPr="000E558A">
        <w:rPr>
          <w:rFonts w:ascii="Arial" w:hAnsi="Arial" w:cs="Arial"/>
        </w:rPr>
        <w:t xml:space="preserve">The RIBA challenge provides architects with performance goals that align with net-zero trajectories. By 2030, residential structures must have operational energy intensities of 35 kWh/m²/year, and new construction must meet embodied carbon standards of 300–350 </w:t>
      </w:r>
      <w:proofErr w:type="spellStart"/>
      <w:r w:rsidRPr="000E558A">
        <w:rPr>
          <w:rFonts w:ascii="Arial" w:hAnsi="Arial" w:cs="Arial"/>
        </w:rPr>
        <w:t>kgCO</w:t>
      </w:r>
      <w:r w:rsidRPr="000E558A">
        <w:rPr>
          <w:rFonts w:ascii="Cambria Math" w:hAnsi="Cambria Math" w:cs="Cambria Math"/>
        </w:rPr>
        <w:t>₂</w:t>
      </w:r>
      <w:r w:rsidRPr="000E558A">
        <w:rPr>
          <w:rFonts w:ascii="Arial" w:hAnsi="Arial" w:cs="Arial"/>
        </w:rPr>
        <w:t>e</w:t>
      </w:r>
      <w:proofErr w:type="spellEnd"/>
      <w:r w:rsidRPr="000E558A">
        <w:rPr>
          <w:rFonts w:ascii="Arial" w:hAnsi="Arial" w:cs="Arial"/>
        </w:rPr>
        <w:t>/m². These principles support the growing industry consensus by being in line with LETI and UKGBC. (LETI, 2020; CCC, 2020)  (UKGBC, 2019; Riba, 2021)</w:t>
      </w:r>
    </w:p>
    <w:p w14:paraId="332DF324" w14:textId="58E987C6" w:rsidR="0079303A" w:rsidRPr="00D62838" w:rsidRDefault="0079303A" w:rsidP="0079303A">
      <w:pPr>
        <w:rPr>
          <w:rFonts w:ascii="Arial" w:hAnsi="Arial" w:cs="Arial"/>
          <w:b/>
          <w:bCs/>
        </w:rPr>
      </w:pPr>
      <w:r w:rsidRPr="00D62838">
        <w:rPr>
          <w:rFonts w:ascii="Arial" w:hAnsi="Arial" w:cs="Arial"/>
          <w:b/>
          <w:bCs/>
        </w:rPr>
        <w:t xml:space="preserve">Net Zero Carbon Buildings Standard </w:t>
      </w:r>
    </w:p>
    <w:p w14:paraId="2939EA78" w14:textId="739C931F" w:rsidR="000D285F" w:rsidRDefault="000D285F" w:rsidP="0079303A">
      <w:pPr>
        <w:rPr>
          <w:rFonts w:ascii="Arial" w:hAnsi="Arial" w:cs="Arial"/>
        </w:rPr>
      </w:pPr>
      <w:r w:rsidRPr="000D285F">
        <w:rPr>
          <w:rFonts w:ascii="Arial" w:hAnsi="Arial" w:cs="Arial"/>
        </w:rPr>
        <w:t>The goal of the NZCBS, a cooperative industry project, is to create a consistent</w:t>
      </w:r>
      <w:r w:rsidR="003D0343">
        <w:rPr>
          <w:rFonts w:ascii="Arial" w:hAnsi="Arial" w:cs="Arial"/>
        </w:rPr>
        <w:t xml:space="preserve"> and </w:t>
      </w:r>
      <w:r w:rsidRPr="000D285F">
        <w:rPr>
          <w:rFonts w:ascii="Arial" w:hAnsi="Arial" w:cs="Arial"/>
        </w:rPr>
        <w:t>quantifiable definition of net zero buildings. It provides methods for confirming net-zero performance and lays out sector-specific energy use and embodied carbon targets.  (UKGBC, 2019; LETI, 2020)  (LETI, 2020; CCC, 2020)</w:t>
      </w:r>
    </w:p>
    <w:p w14:paraId="4072D11A" w14:textId="77777777" w:rsidR="004B49A7" w:rsidRDefault="004B49A7" w:rsidP="0079303A">
      <w:pPr>
        <w:rPr>
          <w:rFonts w:ascii="Arial" w:hAnsi="Arial" w:cs="Arial"/>
        </w:rPr>
      </w:pPr>
    </w:p>
    <w:p w14:paraId="4C9C4052" w14:textId="77777777" w:rsidR="000B0F2B" w:rsidRDefault="000B0F2B" w:rsidP="0079303A">
      <w:pPr>
        <w:rPr>
          <w:rFonts w:ascii="Arial" w:hAnsi="Arial" w:cs="Arial"/>
        </w:rPr>
      </w:pPr>
    </w:p>
    <w:p w14:paraId="3B5FDA85" w14:textId="704F31E4" w:rsidR="0079303A" w:rsidRPr="00D62838" w:rsidRDefault="0079303A" w:rsidP="0079303A">
      <w:pPr>
        <w:rPr>
          <w:rFonts w:ascii="Arial" w:hAnsi="Arial" w:cs="Arial"/>
          <w:b/>
          <w:bCs/>
          <w:u w:val="single"/>
        </w:rPr>
      </w:pPr>
      <w:r w:rsidRPr="00D62838">
        <w:rPr>
          <w:rFonts w:ascii="Arial" w:hAnsi="Arial" w:cs="Arial"/>
          <w:b/>
          <w:bCs/>
          <w:u w:val="single"/>
        </w:rPr>
        <w:lastRenderedPageBreak/>
        <w:t xml:space="preserve">4. Defining Net Zero for Regulatory Purposes </w:t>
      </w:r>
    </w:p>
    <w:p w14:paraId="6E8A9A91" w14:textId="692D4297" w:rsidR="000D285F" w:rsidRDefault="000D285F" w:rsidP="0079303A">
      <w:pPr>
        <w:rPr>
          <w:rFonts w:ascii="Arial" w:hAnsi="Arial" w:cs="Arial"/>
        </w:rPr>
      </w:pPr>
      <w:r w:rsidRPr="000D285F">
        <w:rPr>
          <w:rFonts w:ascii="Arial" w:hAnsi="Arial" w:cs="Arial"/>
        </w:rPr>
        <w:t>The word "net zero" needs to be defined carefully in order to produce a cohesive and legally binding Approved Document. The following definitions are put forth based on the frameworks discussed above:  (UKGBC, 2019; LETI, 2020)</w:t>
      </w:r>
    </w:p>
    <w:p w14:paraId="3918C126" w14:textId="2C2DA7C9" w:rsidR="0079303A" w:rsidRPr="00D62838" w:rsidRDefault="0079303A" w:rsidP="0079303A">
      <w:pPr>
        <w:rPr>
          <w:rFonts w:ascii="Arial" w:hAnsi="Arial" w:cs="Arial"/>
          <w:b/>
          <w:bCs/>
        </w:rPr>
      </w:pPr>
      <w:r w:rsidRPr="00D62838">
        <w:rPr>
          <w:rFonts w:ascii="Arial" w:hAnsi="Arial" w:cs="Arial"/>
          <w:b/>
          <w:bCs/>
        </w:rPr>
        <w:t xml:space="preserve">Net Zero Operational Carbon </w:t>
      </w:r>
    </w:p>
    <w:p w14:paraId="6990B502" w14:textId="77777777" w:rsidR="00DA4744" w:rsidRDefault="00DA4744" w:rsidP="0079303A">
      <w:pPr>
        <w:rPr>
          <w:rFonts w:ascii="Arial" w:hAnsi="Arial" w:cs="Arial"/>
        </w:rPr>
      </w:pPr>
      <w:r w:rsidRPr="00DA4744">
        <w:rPr>
          <w:rFonts w:ascii="Arial" w:hAnsi="Arial" w:cs="Arial"/>
        </w:rPr>
        <w:t>When a building's total yearly operational energy demand, both regulated and unregulated, is low enough to be satisfied solely by on-site renewable energy generation or by a combination of on-site and certified off-site renewable energy, it is said to have achieved net zero operational carbon.  (UKGBC, 2019; LETI, 2020)  (UKGBC, 2019; Riba, 2021)</w:t>
      </w:r>
    </w:p>
    <w:p w14:paraId="221F0BE9" w14:textId="2CE508D6" w:rsidR="0079303A" w:rsidRPr="00D62838" w:rsidRDefault="0079303A" w:rsidP="0079303A">
      <w:pPr>
        <w:rPr>
          <w:rFonts w:ascii="Arial" w:hAnsi="Arial" w:cs="Arial"/>
          <w:b/>
          <w:bCs/>
        </w:rPr>
      </w:pPr>
      <w:r w:rsidRPr="00D62838">
        <w:rPr>
          <w:rFonts w:ascii="Arial" w:hAnsi="Arial" w:cs="Arial"/>
          <w:b/>
          <w:bCs/>
        </w:rPr>
        <w:t xml:space="preserve">Net Zero Embodied Carbon </w:t>
      </w:r>
    </w:p>
    <w:p w14:paraId="0B568F7A" w14:textId="18FA9BA5" w:rsidR="00DA4744" w:rsidRDefault="00DA4744" w:rsidP="0079303A">
      <w:pPr>
        <w:rPr>
          <w:rFonts w:ascii="Arial" w:hAnsi="Arial" w:cs="Arial"/>
        </w:rPr>
      </w:pPr>
      <w:r w:rsidRPr="00DA4744">
        <w:rPr>
          <w:rFonts w:ascii="Arial" w:hAnsi="Arial" w:cs="Arial"/>
        </w:rPr>
        <w:t>When the emissions related to materials (A1–A5) and lifespan stages (B, C, and D) are fully quantified, minimised, and balanced with verifiable carbon removals or comparable in-setting procedures, a building reaches net zero embodied carbon. (UKGBC, 2019; LETI, 2020)  (LETI, 2020; CCC, 2020)</w:t>
      </w:r>
    </w:p>
    <w:p w14:paraId="2D420565" w14:textId="717407A7" w:rsidR="0079303A" w:rsidRPr="00D62838" w:rsidRDefault="0079303A" w:rsidP="0079303A">
      <w:pPr>
        <w:rPr>
          <w:rFonts w:ascii="Arial" w:hAnsi="Arial" w:cs="Arial"/>
          <w:b/>
          <w:bCs/>
        </w:rPr>
      </w:pPr>
      <w:r w:rsidRPr="00D62838">
        <w:rPr>
          <w:rFonts w:ascii="Arial" w:hAnsi="Arial" w:cs="Arial"/>
          <w:b/>
          <w:bCs/>
        </w:rPr>
        <w:t xml:space="preserve">Whole-Life Carbon Boundaries </w:t>
      </w:r>
    </w:p>
    <w:p w14:paraId="5F169746" w14:textId="11F86CF5" w:rsidR="00680601" w:rsidRDefault="00680601" w:rsidP="0079303A">
      <w:pPr>
        <w:rPr>
          <w:rFonts w:ascii="Arial" w:hAnsi="Arial" w:cs="Arial"/>
        </w:rPr>
      </w:pPr>
      <w:r w:rsidRPr="00680601">
        <w:rPr>
          <w:rFonts w:ascii="Arial" w:hAnsi="Arial" w:cs="Arial"/>
        </w:rPr>
        <w:t>Every project must use a recognised technique, like BS EN 15978, to compute lifecycle carbon across phases A–D. This guarantees that increases in embodied carbon do not negate operational improvements.  (LETI, 2020; CCC, 2020)</w:t>
      </w:r>
    </w:p>
    <w:p w14:paraId="4898A6DE" w14:textId="6D6F3A25" w:rsidR="0079303A" w:rsidRPr="00D62838" w:rsidRDefault="0079303A" w:rsidP="0079303A">
      <w:pPr>
        <w:rPr>
          <w:rFonts w:ascii="Arial" w:hAnsi="Arial" w:cs="Arial"/>
          <w:b/>
          <w:bCs/>
          <w:u w:val="single"/>
        </w:rPr>
      </w:pPr>
      <w:r w:rsidRPr="00D62838">
        <w:rPr>
          <w:rFonts w:ascii="Arial" w:hAnsi="Arial" w:cs="Arial"/>
          <w:b/>
          <w:bCs/>
          <w:u w:val="single"/>
        </w:rPr>
        <w:t>5. Proposed Net Zero Approved Document</w:t>
      </w:r>
    </w:p>
    <w:p w14:paraId="66D8849F" w14:textId="4BEAE14B" w:rsidR="008F2015" w:rsidRDefault="008F2015" w:rsidP="0079303A">
      <w:pPr>
        <w:rPr>
          <w:rFonts w:ascii="Arial" w:hAnsi="Arial" w:cs="Arial"/>
        </w:rPr>
      </w:pPr>
      <w:r w:rsidRPr="008F2015">
        <w:rPr>
          <w:rFonts w:ascii="Arial" w:hAnsi="Arial" w:cs="Arial"/>
        </w:rPr>
        <w:t xml:space="preserve">The proposed content of a new Approved Document Z: Net Zero Buildings, organised around important sustainability areas, </w:t>
      </w:r>
      <w:r w:rsidR="00013941">
        <w:rPr>
          <w:rFonts w:ascii="Arial" w:hAnsi="Arial" w:cs="Arial"/>
        </w:rPr>
        <w:t>will be</w:t>
      </w:r>
      <w:r w:rsidRPr="008F2015">
        <w:rPr>
          <w:rFonts w:ascii="Arial" w:hAnsi="Arial" w:cs="Arial"/>
        </w:rPr>
        <w:t xml:space="preserve"> presented </w:t>
      </w:r>
      <w:r w:rsidR="00C47704">
        <w:rPr>
          <w:rFonts w:ascii="Arial" w:hAnsi="Arial" w:cs="Arial"/>
        </w:rPr>
        <w:t xml:space="preserve">as </w:t>
      </w:r>
      <w:r w:rsidRPr="008F2015">
        <w:rPr>
          <w:rFonts w:ascii="Arial" w:hAnsi="Arial" w:cs="Arial"/>
        </w:rPr>
        <w:t>follows</w:t>
      </w:r>
      <w:r w:rsidR="00C47704">
        <w:rPr>
          <w:rFonts w:ascii="Arial" w:hAnsi="Arial" w:cs="Arial"/>
        </w:rPr>
        <w:t>:</w:t>
      </w:r>
    </w:p>
    <w:p w14:paraId="24A75122" w14:textId="67276AD8" w:rsidR="0079303A" w:rsidRPr="00D62838" w:rsidRDefault="0079303A" w:rsidP="0079303A">
      <w:pPr>
        <w:rPr>
          <w:rFonts w:ascii="Arial" w:hAnsi="Arial" w:cs="Arial"/>
          <w:b/>
          <w:bCs/>
        </w:rPr>
      </w:pPr>
      <w:r w:rsidRPr="00D62838">
        <w:rPr>
          <w:rFonts w:ascii="Arial" w:hAnsi="Arial" w:cs="Arial"/>
          <w:b/>
          <w:bCs/>
        </w:rPr>
        <w:t>Management</w:t>
      </w:r>
    </w:p>
    <w:p w14:paraId="1D465805" w14:textId="12A99B24" w:rsidR="008F2015" w:rsidRPr="008F2015" w:rsidRDefault="008F2015" w:rsidP="008F2015">
      <w:pPr>
        <w:pStyle w:val="ListParagraph"/>
        <w:numPr>
          <w:ilvl w:val="0"/>
          <w:numId w:val="10"/>
        </w:numPr>
        <w:rPr>
          <w:rFonts w:ascii="Arial" w:hAnsi="Arial" w:cs="Arial"/>
        </w:rPr>
      </w:pPr>
      <w:r w:rsidRPr="008F2015">
        <w:rPr>
          <w:rFonts w:ascii="Arial" w:hAnsi="Arial" w:cs="Arial"/>
        </w:rPr>
        <w:t>Whole-life carbon assessments are required during the planning, detailed design, and handover phases. (2019 UKGBC; 2023 NZCBS)</w:t>
      </w:r>
    </w:p>
    <w:p w14:paraId="2EAB7A5B" w14:textId="1771F693" w:rsidR="008F2015" w:rsidRPr="008F2015" w:rsidRDefault="008F2015" w:rsidP="008F2015">
      <w:pPr>
        <w:pStyle w:val="ListParagraph"/>
        <w:numPr>
          <w:ilvl w:val="0"/>
          <w:numId w:val="10"/>
        </w:numPr>
        <w:rPr>
          <w:rFonts w:ascii="Arial" w:hAnsi="Arial" w:cs="Arial"/>
        </w:rPr>
      </w:pPr>
      <w:r w:rsidRPr="008F2015">
        <w:rPr>
          <w:rFonts w:ascii="Arial" w:hAnsi="Arial" w:cs="Arial"/>
        </w:rPr>
        <w:t>Throughout the design process, carbon budgets were set at RIBA Stage 2.</w:t>
      </w:r>
    </w:p>
    <w:p w14:paraId="21E04DC9" w14:textId="0350332D" w:rsidR="008F2015" w:rsidRPr="008F2015" w:rsidRDefault="008F2015" w:rsidP="008F2015">
      <w:pPr>
        <w:pStyle w:val="ListParagraph"/>
        <w:numPr>
          <w:ilvl w:val="0"/>
          <w:numId w:val="10"/>
        </w:numPr>
        <w:rPr>
          <w:rFonts w:ascii="Arial" w:hAnsi="Arial" w:cs="Arial"/>
        </w:rPr>
      </w:pPr>
      <w:r w:rsidRPr="008F2015">
        <w:rPr>
          <w:rFonts w:ascii="Arial" w:hAnsi="Arial" w:cs="Arial"/>
        </w:rPr>
        <w:t>After one and three years, a Post-Occupancy Evaluation (POE) is necessary.</w:t>
      </w:r>
    </w:p>
    <w:p w14:paraId="6F0691DE" w14:textId="185155AB" w:rsidR="008F2015" w:rsidRPr="008F2015" w:rsidRDefault="008F2015" w:rsidP="008F2015">
      <w:pPr>
        <w:pStyle w:val="ListParagraph"/>
        <w:numPr>
          <w:ilvl w:val="0"/>
          <w:numId w:val="10"/>
        </w:numPr>
        <w:rPr>
          <w:rFonts w:ascii="Arial" w:hAnsi="Arial" w:cs="Arial"/>
        </w:rPr>
      </w:pPr>
      <w:r w:rsidRPr="008F2015">
        <w:rPr>
          <w:rFonts w:ascii="Arial" w:hAnsi="Arial" w:cs="Arial"/>
        </w:rPr>
        <w:t>Digital building logbooks that record performance information, material passports, and system specifications.</w:t>
      </w:r>
    </w:p>
    <w:p w14:paraId="6F593A0A" w14:textId="25BAF576" w:rsidR="0079303A" w:rsidRPr="00D62838" w:rsidRDefault="0079303A" w:rsidP="008F2015">
      <w:pPr>
        <w:rPr>
          <w:rFonts w:ascii="Arial" w:hAnsi="Arial" w:cs="Arial"/>
          <w:b/>
          <w:bCs/>
        </w:rPr>
      </w:pPr>
      <w:r w:rsidRPr="00D62838">
        <w:rPr>
          <w:rFonts w:ascii="Arial" w:hAnsi="Arial" w:cs="Arial"/>
          <w:b/>
          <w:bCs/>
        </w:rPr>
        <w:t>Energy</w:t>
      </w:r>
    </w:p>
    <w:p w14:paraId="69C29865" w14:textId="77777777" w:rsidR="00EA27D3" w:rsidRDefault="00EA27D3" w:rsidP="00EA27D3">
      <w:pPr>
        <w:rPr>
          <w:rFonts w:ascii="Arial" w:hAnsi="Arial" w:cs="Arial"/>
        </w:rPr>
      </w:pPr>
      <w:r w:rsidRPr="00EA27D3">
        <w:rPr>
          <w:rFonts w:ascii="Arial" w:hAnsi="Arial" w:cs="Arial"/>
        </w:rPr>
        <w:t>To lower energy consumption, a fabric-first strategy is essential:</w:t>
      </w:r>
    </w:p>
    <w:p w14:paraId="4EC795D3" w14:textId="3F30FA0B" w:rsidR="008C0582" w:rsidRPr="008C7C4C" w:rsidRDefault="008C0582" w:rsidP="008C7C4C">
      <w:pPr>
        <w:pStyle w:val="ListParagraph"/>
        <w:numPr>
          <w:ilvl w:val="0"/>
          <w:numId w:val="12"/>
        </w:numPr>
        <w:rPr>
          <w:rFonts w:ascii="Arial" w:hAnsi="Arial" w:cs="Arial"/>
        </w:rPr>
      </w:pPr>
      <w:r w:rsidRPr="008C7C4C">
        <w:rPr>
          <w:rFonts w:ascii="Arial" w:hAnsi="Arial" w:cs="Arial"/>
        </w:rPr>
        <w:t>The annual space-heating demand is ≤15 kWh/m² (in line with Passivhaus and LETI).  (Passivhaus Trust, 2021)</w:t>
      </w:r>
    </w:p>
    <w:p w14:paraId="59CB997D" w14:textId="58CB2812" w:rsidR="008C0582" w:rsidRPr="008C7C4C" w:rsidRDefault="008C0582" w:rsidP="008C7C4C">
      <w:pPr>
        <w:pStyle w:val="ListParagraph"/>
        <w:numPr>
          <w:ilvl w:val="0"/>
          <w:numId w:val="12"/>
        </w:numPr>
        <w:rPr>
          <w:rFonts w:ascii="Arial" w:hAnsi="Arial" w:cs="Arial"/>
        </w:rPr>
      </w:pPr>
      <w:r w:rsidRPr="008C7C4C">
        <w:rPr>
          <w:rFonts w:ascii="Arial" w:hAnsi="Arial" w:cs="Arial"/>
        </w:rPr>
        <w:t>For residential buildings, the annual total operational energy is less than 55 kWh/m².  (UKGBC, 2019; Riba, 2021)</w:t>
      </w:r>
    </w:p>
    <w:p w14:paraId="72CC4871" w14:textId="42D1A59D" w:rsidR="008C0582" w:rsidRPr="008C7C4C" w:rsidRDefault="008C0582" w:rsidP="008C7C4C">
      <w:pPr>
        <w:pStyle w:val="ListParagraph"/>
        <w:numPr>
          <w:ilvl w:val="0"/>
          <w:numId w:val="12"/>
        </w:numPr>
        <w:rPr>
          <w:rFonts w:ascii="Arial" w:hAnsi="Arial" w:cs="Arial"/>
        </w:rPr>
      </w:pPr>
      <w:r w:rsidRPr="008C7C4C">
        <w:rPr>
          <w:rFonts w:ascii="Arial" w:hAnsi="Arial" w:cs="Arial"/>
        </w:rPr>
        <w:t>The minimum airtightness is ≤1.0 m³/h/m² at 50 Pa; the ideal value is ≤0.6.</w:t>
      </w:r>
    </w:p>
    <w:p w14:paraId="220416CE" w14:textId="084BFC2A" w:rsidR="008C0582" w:rsidRPr="008C7C4C" w:rsidRDefault="008C0582" w:rsidP="008C7C4C">
      <w:pPr>
        <w:pStyle w:val="ListParagraph"/>
        <w:numPr>
          <w:ilvl w:val="0"/>
          <w:numId w:val="12"/>
        </w:numPr>
        <w:rPr>
          <w:rFonts w:ascii="Arial" w:hAnsi="Arial" w:cs="Arial"/>
        </w:rPr>
      </w:pPr>
      <w:r w:rsidRPr="008C7C4C">
        <w:rPr>
          <w:rFonts w:ascii="Arial" w:hAnsi="Arial" w:cs="Arial"/>
        </w:rPr>
        <w:t>MVHR systems that have a minimum heat recovery efficiency of 85%.</w:t>
      </w:r>
    </w:p>
    <w:p w14:paraId="11EBAB24" w14:textId="3533595D" w:rsidR="008C0582" w:rsidRPr="008C7C4C" w:rsidRDefault="008C0582" w:rsidP="008C7C4C">
      <w:pPr>
        <w:pStyle w:val="ListParagraph"/>
        <w:numPr>
          <w:ilvl w:val="0"/>
          <w:numId w:val="12"/>
        </w:numPr>
        <w:rPr>
          <w:rFonts w:ascii="Arial" w:hAnsi="Arial" w:cs="Arial"/>
        </w:rPr>
      </w:pPr>
      <w:r w:rsidRPr="008C7C4C">
        <w:rPr>
          <w:rFonts w:ascii="Arial" w:hAnsi="Arial" w:cs="Arial"/>
        </w:rPr>
        <w:t>Low-carbon heating methods, such as heat pumps, must be used in all new construction.</w:t>
      </w:r>
    </w:p>
    <w:p w14:paraId="19113070" w14:textId="53FAF91B" w:rsidR="008C0582" w:rsidRPr="008C7C4C" w:rsidRDefault="008C0582" w:rsidP="008C7C4C">
      <w:pPr>
        <w:pStyle w:val="ListParagraph"/>
        <w:numPr>
          <w:ilvl w:val="0"/>
          <w:numId w:val="12"/>
        </w:numPr>
        <w:rPr>
          <w:rFonts w:ascii="Arial" w:hAnsi="Arial" w:cs="Arial"/>
        </w:rPr>
      </w:pPr>
      <w:r w:rsidRPr="008C7C4C">
        <w:rPr>
          <w:rFonts w:ascii="Arial" w:hAnsi="Arial" w:cs="Arial"/>
        </w:rPr>
        <w:t>Starting in 2026, no new fossil fuel boilers will be allowed.</w:t>
      </w:r>
    </w:p>
    <w:p w14:paraId="7AF49127" w14:textId="3AA8FDCA" w:rsidR="008C0582" w:rsidRDefault="008C0582" w:rsidP="008C7C4C">
      <w:pPr>
        <w:pStyle w:val="ListParagraph"/>
        <w:numPr>
          <w:ilvl w:val="0"/>
          <w:numId w:val="12"/>
        </w:numPr>
        <w:rPr>
          <w:rFonts w:ascii="Arial" w:hAnsi="Arial" w:cs="Arial"/>
        </w:rPr>
      </w:pPr>
      <w:r w:rsidRPr="008C7C4C">
        <w:rPr>
          <w:rFonts w:ascii="Arial" w:hAnsi="Arial" w:cs="Arial"/>
        </w:rPr>
        <w:t>Smart energy technology that allow for grid flexibility and demand response.</w:t>
      </w:r>
    </w:p>
    <w:p w14:paraId="20AC8777" w14:textId="77777777" w:rsidR="004F5626" w:rsidRPr="008C7C4C" w:rsidRDefault="004F5626" w:rsidP="004F5626">
      <w:pPr>
        <w:pStyle w:val="ListParagraph"/>
        <w:rPr>
          <w:rFonts w:ascii="Arial" w:hAnsi="Arial" w:cs="Arial"/>
        </w:rPr>
      </w:pPr>
    </w:p>
    <w:p w14:paraId="56248153" w14:textId="2D28FED0" w:rsidR="0079303A" w:rsidRPr="00D62838" w:rsidRDefault="0079303A" w:rsidP="008C0582">
      <w:pPr>
        <w:rPr>
          <w:rFonts w:ascii="Arial" w:hAnsi="Arial" w:cs="Arial"/>
          <w:b/>
          <w:bCs/>
        </w:rPr>
      </w:pPr>
      <w:r w:rsidRPr="00D62838">
        <w:rPr>
          <w:rFonts w:ascii="Arial" w:hAnsi="Arial" w:cs="Arial"/>
          <w:b/>
          <w:bCs/>
        </w:rPr>
        <w:lastRenderedPageBreak/>
        <w:t>Materials and Embodied Carbon</w:t>
      </w:r>
    </w:p>
    <w:p w14:paraId="4F54467C" w14:textId="5B6E16BA" w:rsidR="0076111D" w:rsidRPr="0076111D" w:rsidRDefault="0076111D" w:rsidP="0076111D">
      <w:pPr>
        <w:pStyle w:val="ListParagraph"/>
        <w:numPr>
          <w:ilvl w:val="0"/>
          <w:numId w:val="13"/>
        </w:numPr>
        <w:rPr>
          <w:rFonts w:ascii="Arial" w:hAnsi="Arial" w:cs="Arial"/>
        </w:rPr>
      </w:pPr>
      <w:r w:rsidRPr="0076111D">
        <w:rPr>
          <w:rFonts w:ascii="Arial" w:hAnsi="Arial" w:cs="Arial"/>
        </w:rPr>
        <w:t>New residential structures must have an embodied carbon limit of ≤300–400 kgCO2e/m². (LETI, 2020; CCC, 2020)</w:t>
      </w:r>
    </w:p>
    <w:p w14:paraId="6F20E0A1" w14:textId="277D5692" w:rsidR="0076111D" w:rsidRPr="0076111D" w:rsidRDefault="0076111D" w:rsidP="0076111D">
      <w:pPr>
        <w:pStyle w:val="ListParagraph"/>
        <w:numPr>
          <w:ilvl w:val="0"/>
          <w:numId w:val="13"/>
        </w:numPr>
        <w:rPr>
          <w:rFonts w:ascii="Arial" w:hAnsi="Arial" w:cs="Arial"/>
        </w:rPr>
      </w:pPr>
      <w:r w:rsidRPr="0076111D">
        <w:rPr>
          <w:rFonts w:ascii="Arial" w:hAnsi="Arial" w:cs="Arial"/>
        </w:rPr>
        <w:t>Required lifecycle evaluations with authorised instruments</w:t>
      </w:r>
    </w:p>
    <w:p w14:paraId="1FD340A4" w14:textId="131D8DC8" w:rsidR="0076111D" w:rsidRPr="0076111D" w:rsidRDefault="0076111D" w:rsidP="0076111D">
      <w:pPr>
        <w:pStyle w:val="ListParagraph"/>
        <w:numPr>
          <w:ilvl w:val="0"/>
          <w:numId w:val="13"/>
        </w:numPr>
        <w:rPr>
          <w:rFonts w:ascii="Arial" w:hAnsi="Arial" w:cs="Arial"/>
        </w:rPr>
      </w:pPr>
      <w:r w:rsidRPr="0076111D">
        <w:rPr>
          <w:rFonts w:ascii="Arial" w:hAnsi="Arial" w:cs="Arial"/>
        </w:rPr>
        <w:t>When possible, existing structures must be reused.</w:t>
      </w:r>
    </w:p>
    <w:p w14:paraId="06638E2D" w14:textId="2A394ECA" w:rsidR="0076111D" w:rsidRPr="0076111D" w:rsidRDefault="0076111D" w:rsidP="0076111D">
      <w:pPr>
        <w:pStyle w:val="ListParagraph"/>
        <w:numPr>
          <w:ilvl w:val="0"/>
          <w:numId w:val="13"/>
        </w:numPr>
        <w:rPr>
          <w:rFonts w:ascii="Arial" w:hAnsi="Arial" w:cs="Arial"/>
        </w:rPr>
      </w:pPr>
      <w:r w:rsidRPr="0076111D">
        <w:rPr>
          <w:rFonts w:ascii="Arial" w:hAnsi="Arial" w:cs="Arial"/>
        </w:rPr>
        <w:t>Reuse goals for important building components.</w:t>
      </w:r>
    </w:p>
    <w:p w14:paraId="34520979" w14:textId="3FE95365" w:rsidR="0076111D" w:rsidRPr="0076111D" w:rsidRDefault="0076111D" w:rsidP="0076111D">
      <w:pPr>
        <w:pStyle w:val="ListParagraph"/>
        <w:numPr>
          <w:ilvl w:val="0"/>
          <w:numId w:val="13"/>
        </w:numPr>
        <w:rPr>
          <w:rFonts w:ascii="Arial" w:hAnsi="Arial" w:cs="Arial"/>
        </w:rPr>
      </w:pPr>
      <w:r w:rsidRPr="0076111D">
        <w:rPr>
          <w:rFonts w:ascii="Arial" w:hAnsi="Arial" w:cs="Arial"/>
        </w:rPr>
        <w:t>Giving low-carbon concrete, recyclable steel, and wood from sustainable sources first priority.</w:t>
      </w:r>
    </w:p>
    <w:p w14:paraId="12839BCF" w14:textId="063C8378" w:rsidR="0076111D" w:rsidRPr="0076111D" w:rsidRDefault="0076111D" w:rsidP="0076111D">
      <w:pPr>
        <w:pStyle w:val="ListParagraph"/>
        <w:numPr>
          <w:ilvl w:val="0"/>
          <w:numId w:val="13"/>
        </w:numPr>
        <w:rPr>
          <w:rFonts w:ascii="Arial" w:hAnsi="Arial" w:cs="Arial"/>
        </w:rPr>
      </w:pPr>
      <w:r w:rsidRPr="0076111D">
        <w:rPr>
          <w:rFonts w:ascii="Arial" w:hAnsi="Arial" w:cs="Arial"/>
        </w:rPr>
        <w:t>To allow for future reuse, design for disassembly.</w:t>
      </w:r>
    </w:p>
    <w:p w14:paraId="21DFB416" w14:textId="0E19D242" w:rsidR="0079303A" w:rsidRPr="00D62838" w:rsidRDefault="0079303A" w:rsidP="0076111D">
      <w:pPr>
        <w:rPr>
          <w:rFonts w:ascii="Arial" w:hAnsi="Arial" w:cs="Arial"/>
          <w:b/>
          <w:bCs/>
        </w:rPr>
      </w:pPr>
      <w:r w:rsidRPr="00D62838">
        <w:rPr>
          <w:rFonts w:ascii="Arial" w:hAnsi="Arial" w:cs="Arial"/>
          <w:b/>
          <w:bCs/>
        </w:rPr>
        <w:t>Water</w:t>
      </w:r>
    </w:p>
    <w:p w14:paraId="52AAE9D8" w14:textId="07C9B202" w:rsidR="00275ACF" w:rsidRPr="00275ACF" w:rsidRDefault="00275ACF" w:rsidP="00275ACF">
      <w:pPr>
        <w:pStyle w:val="ListParagraph"/>
        <w:numPr>
          <w:ilvl w:val="0"/>
          <w:numId w:val="14"/>
        </w:numPr>
        <w:rPr>
          <w:rFonts w:ascii="Arial" w:hAnsi="Arial" w:cs="Arial"/>
        </w:rPr>
      </w:pPr>
      <w:r w:rsidRPr="00275ACF">
        <w:rPr>
          <w:rFonts w:ascii="Arial" w:hAnsi="Arial" w:cs="Arial"/>
        </w:rPr>
        <w:t>A maximum of 110 litres of potable water per person per day.</w:t>
      </w:r>
    </w:p>
    <w:p w14:paraId="01D9E016" w14:textId="025A76A7" w:rsidR="00275ACF" w:rsidRPr="00275ACF" w:rsidRDefault="00275ACF" w:rsidP="00275ACF">
      <w:pPr>
        <w:pStyle w:val="ListParagraph"/>
        <w:numPr>
          <w:ilvl w:val="0"/>
          <w:numId w:val="14"/>
        </w:numPr>
        <w:rPr>
          <w:rFonts w:ascii="Arial" w:hAnsi="Arial" w:cs="Arial"/>
        </w:rPr>
      </w:pPr>
      <w:r w:rsidRPr="00275ACF">
        <w:rPr>
          <w:rFonts w:ascii="Arial" w:hAnsi="Arial" w:cs="Arial"/>
        </w:rPr>
        <w:t>Shower and tap fittings with low flow.</w:t>
      </w:r>
    </w:p>
    <w:p w14:paraId="1E764C97" w14:textId="134B4BA7" w:rsidR="00275ACF" w:rsidRPr="00275ACF" w:rsidRDefault="00275ACF" w:rsidP="00275ACF">
      <w:pPr>
        <w:pStyle w:val="ListParagraph"/>
        <w:numPr>
          <w:ilvl w:val="0"/>
          <w:numId w:val="14"/>
        </w:numPr>
        <w:rPr>
          <w:rFonts w:ascii="Arial" w:hAnsi="Arial" w:cs="Arial"/>
        </w:rPr>
      </w:pPr>
      <w:r w:rsidRPr="00275ACF">
        <w:rPr>
          <w:rFonts w:ascii="Arial" w:hAnsi="Arial" w:cs="Arial"/>
        </w:rPr>
        <w:t>Rainwater collection for non-potable usage and irrigation.</w:t>
      </w:r>
    </w:p>
    <w:p w14:paraId="0772F89A" w14:textId="30E8BAB7" w:rsidR="00275ACF" w:rsidRPr="00275ACF" w:rsidRDefault="00275ACF" w:rsidP="00275ACF">
      <w:pPr>
        <w:pStyle w:val="ListParagraph"/>
        <w:numPr>
          <w:ilvl w:val="0"/>
          <w:numId w:val="14"/>
        </w:numPr>
        <w:rPr>
          <w:rFonts w:ascii="Arial" w:hAnsi="Arial" w:cs="Arial"/>
        </w:rPr>
      </w:pPr>
      <w:r w:rsidRPr="00275ACF">
        <w:rPr>
          <w:rFonts w:ascii="Arial" w:hAnsi="Arial" w:cs="Arial"/>
        </w:rPr>
        <w:t>In multi-residential complexes, recycling greywater is encouraged.</w:t>
      </w:r>
    </w:p>
    <w:p w14:paraId="2840B048" w14:textId="08EBADD9" w:rsidR="0079303A" w:rsidRPr="00D62838" w:rsidRDefault="0079303A" w:rsidP="00275ACF">
      <w:pPr>
        <w:rPr>
          <w:rFonts w:ascii="Arial" w:hAnsi="Arial" w:cs="Arial"/>
          <w:b/>
          <w:bCs/>
        </w:rPr>
      </w:pPr>
      <w:r w:rsidRPr="00D62838">
        <w:rPr>
          <w:rFonts w:ascii="Arial" w:hAnsi="Arial" w:cs="Arial"/>
          <w:b/>
          <w:bCs/>
        </w:rPr>
        <w:t>Transport</w:t>
      </w:r>
    </w:p>
    <w:p w14:paraId="427DDAB4" w14:textId="24F48DEC" w:rsidR="00B362D8" w:rsidRPr="00B362D8" w:rsidRDefault="00B362D8" w:rsidP="00B362D8">
      <w:pPr>
        <w:pStyle w:val="ListParagraph"/>
        <w:numPr>
          <w:ilvl w:val="0"/>
          <w:numId w:val="15"/>
        </w:numPr>
        <w:rPr>
          <w:rFonts w:ascii="Arial" w:hAnsi="Arial" w:cs="Arial"/>
        </w:rPr>
      </w:pPr>
      <w:r w:rsidRPr="00B362D8">
        <w:rPr>
          <w:rFonts w:ascii="Arial" w:hAnsi="Arial" w:cs="Arial"/>
        </w:rPr>
        <w:t>Infrastructure for EV charging in every home.</w:t>
      </w:r>
    </w:p>
    <w:p w14:paraId="713C0467" w14:textId="3B754FD0" w:rsidR="00B362D8" w:rsidRPr="00B362D8" w:rsidRDefault="00B362D8" w:rsidP="00B362D8">
      <w:pPr>
        <w:pStyle w:val="ListParagraph"/>
        <w:numPr>
          <w:ilvl w:val="0"/>
          <w:numId w:val="15"/>
        </w:numPr>
        <w:rPr>
          <w:rFonts w:ascii="Arial" w:hAnsi="Arial" w:cs="Arial"/>
        </w:rPr>
      </w:pPr>
      <w:r w:rsidRPr="00B362D8">
        <w:rPr>
          <w:rFonts w:ascii="Arial" w:hAnsi="Arial" w:cs="Arial"/>
        </w:rPr>
        <w:t>Every residential unit has secure cycling storage.</w:t>
      </w:r>
    </w:p>
    <w:p w14:paraId="48B3A4FF" w14:textId="24BFD658" w:rsidR="00B362D8" w:rsidRPr="00B362D8" w:rsidRDefault="00B362D8" w:rsidP="00B362D8">
      <w:pPr>
        <w:pStyle w:val="ListParagraph"/>
        <w:numPr>
          <w:ilvl w:val="0"/>
          <w:numId w:val="15"/>
        </w:numPr>
        <w:rPr>
          <w:rFonts w:ascii="Arial" w:hAnsi="Arial" w:cs="Arial"/>
        </w:rPr>
      </w:pPr>
      <w:r w:rsidRPr="00B362D8">
        <w:rPr>
          <w:rFonts w:ascii="Arial" w:hAnsi="Arial" w:cs="Arial"/>
        </w:rPr>
        <w:t>Travel itineraries that show access to public transport and active pathways.</w:t>
      </w:r>
    </w:p>
    <w:p w14:paraId="42691EB3" w14:textId="2BC35361" w:rsidR="0079303A" w:rsidRPr="00D62838" w:rsidRDefault="0079303A" w:rsidP="00B362D8">
      <w:pPr>
        <w:rPr>
          <w:rFonts w:ascii="Arial" w:hAnsi="Arial" w:cs="Arial"/>
          <w:b/>
          <w:bCs/>
        </w:rPr>
      </w:pPr>
      <w:r w:rsidRPr="00D62838">
        <w:rPr>
          <w:rFonts w:ascii="Arial" w:hAnsi="Arial" w:cs="Arial"/>
          <w:b/>
          <w:bCs/>
        </w:rPr>
        <w:t>Health and Wellbeing</w:t>
      </w:r>
    </w:p>
    <w:p w14:paraId="058957C2" w14:textId="5770A51B" w:rsidR="00586F0A" w:rsidRPr="00586F0A" w:rsidRDefault="00586F0A" w:rsidP="00586F0A">
      <w:pPr>
        <w:pStyle w:val="ListParagraph"/>
        <w:numPr>
          <w:ilvl w:val="0"/>
          <w:numId w:val="16"/>
        </w:numPr>
        <w:rPr>
          <w:rFonts w:ascii="Arial" w:hAnsi="Arial" w:cs="Arial"/>
        </w:rPr>
      </w:pPr>
      <w:r w:rsidRPr="00586F0A">
        <w:rPr>
          <w:rFonts w:ascii="Arial" w:hAnsi="Arial" w:cs="Arial"/>
        </w:rPr>
        <w:t>Assessment of overheating using future weather files (high emissions scenario for 2050).  (DLUHC, 2021)</w:t>
      </w:r>
    </w:p>
    <w:p w14:paraId="00F86F0B" w14:textId="38726FE5" w:rsidR="00586F0A" w:rsidRPr="00586F0A" w:rsidRDefault="00586F0A" w:rsidP="00586F0A">
      <w:pPr>
        <w:pStyle w:val="ListParagraph"/>
        <w:numPr>
          <w:ilvl w:val="0"/>
          <w:numId w:val="16"/>
        </w:numPr>
        <w:rPr>
          <w:rFonts w:ascii="Arial" w:hAnsi="Arial" w:cs="Arial"/>
        </w:rPr>
      </w:pPr>
      <w:r w:rsidRPr="00586F0A">
        <w:rPr>
          <w:rFonts w:ascii="Arial" w:hAnsi="Arial" w:cs="Arial"/>
        </w:rPr>
        <w:t xml:space="preserve">The minimal amount of daylight required for </w:t>
      </w:r>
      <w:r w:rsidR="001865C4" w:rsidRPr="00586F0A">
        <w:rPr>
          <w:rFonts w:ascii="Arial" w:hAnsi="Arial" w:cs="Arial"/>
        </w:rPr>
        <w:t>liveable</w:t>
      </w:r>
      <w:r w:rsidRPr="00586F0A">
        <w:rPr>
          <w:rFonts w:ascii="Arial" w:hAnsi="Arial" w:cs="Arial"/>
        </w:rPr>
        <w:t xml:space="preserve"> areas.</w:t>
      </w:r>
    </w:p>
    <w:p w14:paraId="55C8AA00" w14:textId="05A3B719" w:rsidR="00586F0A" w:rsidRPr="00586F0A" w:rsidRDefault="00586F0A" w:rsidP="00586F0A">
      <w:pPr>
        <w:pStyle w:val="ListParagraph"/>
        <w:numPr>
          <w:ilvl w:val="0"/>
          <w:numId w:val="16"/>
        </w:numPr>
        <w:rPr>
          <w:rFonts w:ascii="Arial" w:hAnsi="Arial" w:cs="Arial"/>
        </w:rPr>
      </w:pPr>
      <w:r w:rsidRPr="00586F0A">
        <w:rPr>
          <w:rFonts w:ascii="Arial" w:hAnsi="Arial" w:cs="Arial"/>
        </w:rPr>
        <w:t>Requirements for ventilation that guarantee indoor air quality without excessive heat loss.</w:t>
      </w:r>
    </w:p>
    <w:p w14:paraId="297E614E" w14:textId="755694D0" w:rsidR="00586F0A" w:rsidRPr="00586F0A" w:rsidRDefault="00586F0A" w:rsidP="00586F0A">
      <w:pPr>
        <w:pStyle w:val="ListParagraph"/>
        <w:numPr>
          <w:ilvl w:val="0"/>
          <w:numId w:val="16"/>
        </w:numPr>
        <w:rPr>
          <w:rFonts w:ascii="Arial" w:hAnsi="Arial" w:cs="Arial"/>
        </w:rPr>
      </w:pPr>
      <w:r w:rsidRPr="00586F0A">
        <w:rPr>
          <w:rFonts w:ascii="Arial" w:hAnsi="Arial" w:cs="Arial"/>
        </w:rPr>
        <w:t>Restrictions on pollutants and VOCs in building supplies.</w:t>
      </w:r>
    </w:p>
    <w:p w14:paraId="4A632213" w14:textId="79FAA31C" w:rsidR="0079303A" w:rsidRPr="00D62838" w:rsidRDefault="0079303A" w:rsidP="00586F0A">
      <w:pPr>
        <w:rPr>
          <w:rFonts w:ascii="Arial" w:hAnsi="Arial" w:cs="Arial"/>
          <w:b/>
          <w:bCs/>
        </w:rPr>
      </w:pPr>
      <w:r w:rsidRPr="00D62838">
        <w:rPr>
          <w:rFonts w:ascii="Arial" w:hAnsi="Arial" w:cs="Arial"/>
          <w:b/>
          <w:bCs/>
        </w:rPr>
        <w:t>Resilience and Adaptation</w:t>
      </w:r>
    </w:p>
    <w:p w14:paraId="3EE794B0" w14:textId="560E9788" w:rsidR="009833AC" w:rsidRPr="009833AC" w:rsidRDefault="009833AC" w:rsidP="009833AC">
      <w:pPr>
        <w:pStyle w:val="ListParagraph"/>
        <w:numPr>
          <w:ilvl w:val="0"/>
          <w:numId w:val="17"/>
        </w:numPr>
        <w:rPr>
          <w:rFonts w:ascii="Arial" w:hAnsi="Arial" w:cs="Arial"/>
        </w:rPr>
      </w:pPr>
      <w:r w:rsidRPr="009833AC">
        <w:rPr>
          <w:rFonts w:ascii="Arial" w:hAnsi="Arial" w:cs="Arial"/>
        </w:rPr>
        <w:t>Flood resilience strategies based on recommendations from the Environment Agency.</w:t>
      </w:r>
    </w:p>
    <w:p w14:paraId="553FF289" w14:textId="0E06D1C9" w:rsidR="009833AC" w:rsidRPr="009833AC" w:rsidRDefault="009833AC" w:rsidP="009833AC">
      <w:pPr>
        <w:pStyle w:val="ListParagraph"/>
        <w:numPr>
          <w:ilvl w:val="0"/>
          <w:numId w:val="17"/>
        </w:numPr>
        <w:rPr>
          <w:rFonts w:ascii="Arial" w:hAnsi="Arial" w:cs="Arial"/>
        </w:rPr>
      </w:pPr>
      <w:r w:rsidRPr="009833AC">
        <w:rPr>
          <w:rFonts w:ascii="Arial" w:hAnsi="Arial" w:cs="Arial"/>
        </w:rPr>
        <w:t>Passive cooling techniques including cross-ventilation, thermal mass, and external shading.</w:t>
      </w:r>
    </w:p>
    <w:p w14:paraId="5ED11543" w14:textId="6D1939BA" w:rsidR="009833AC" w:rsidRPr="009833AC" w:rsidRDefault="009833AC" w:rsidP="009833AC">
      <w:pPr>
        <w:pStyle w:val="ListParagraph"/>
        <w:numPr>
          <w:ilvl w:val="0"/>
          <w:numId w:val="17"/>
        </w:numPr>
        <w:rPr>
          <w:rFonts w:ascii="Arial" w:hAnsi="Arial" w:cs="Arial"/>
        </w:rPr>
      </w:pPr>
      <w:r w:rsidRPr="009833AC">
        <w:rPr>
          <w:rFonts w:ascii="Arial" w:hAnsi="Arial" w:cs="Arial"/>
        </w:rPr>
        <w:t>Analysis of climate adaptability for forecasts from 2050 to 2080.</w:t>
      </w:r>
    </w:p>
    <w:p w14:paraId="33496686" w14:textId="7DC1C934" w:rsidR="0079303A" w:rsidRPr="00D62838" w:rsidRDefault="0079303A" w:rsidP="009833AC">
      <w:pPr>
        <w:rPr>
          <w:rFonts w:ascii="Arial" w:hAnsi="Arial" w:cs="Arial"/>
          <w:b/>
          <w:bCs/>
        </w:rPr>
      </w:pPr>
      <w:r w:rsidRPr="00D62838">
        <w:rPr>
          <w:rFonts w:ascii="Arial" w:hAnsi="Arial" w:cs="Arial"/>
          <w:b/>
          <w:bCs/>
        </w:rPr>
        <w:t>Land Use and Ecology</w:t>
      </w:r>
    </w:p>
    <w:p w14:paraId="2650F4BB" w14:textId="01BD54D6" w:rsidR="00CA1987" w:rsidRPr="00CA1987" w:rsidRDefault="00CA1987" w:rsidP="00CA1987">
      <w:pPr>
        <w:pStyle w:val="ListParagraph"/>
        <w:numPr>
          <w:ilvl w:val="0"/>
          <w:numId w:val="18"/>
        </w:numPr>
        <w:rPr>
          <w:rFonts w:ascii="Arial" w:hAnsi="Arial" w:cs="Arial"/>
        </w:rPr>
      </w:pPr>
      <w:r w:rsidRPr="00CA1987">
        <w:rPr>
          <w:rFonts w:ascii="Arial" w:hAnsi="Arial" w:cs="Arial"/>
        </w:rPr>
        <w:t>A minimum 10% increase in biodiversity.</w:t>
      </w:r>
    </w:p>
    <w:p w14:paraId="0AC976E3" w14:textId="6D5E983D" w:rsidR="00CA1987" w:rsidRPr="00CA1987" w:rsidRDefault="00CA1987" w:rsidP="00CA1987">
      <w:pPr>
        <w:pStyle w:val="ListParagraph"/>
        <w:numPr>
          <w:ilvl w:val="0"/>
          <w:numId w:val="18"/>
        </w:numPr>
        <w:rPr>
          <w:rFonts w:ascii="Arial" w:hAnsi="Arial" w:cs="Arial"/>
        </w:rPr>
      </w:pPr>
      <w:r w:rsidRPr="00CA1987">
        <w:rPr>
          <w:rFonts w:ascii="Arial" w:hAnsi="Arial" w:cs="Arial"/>
        </w:rPr>
        <w:t>Green roofs must be installed on flat roof areas larger than 100 m².</w:t>
      </w:r>
    </w:p>
    <w:p w14:paraId="1D3D9F31" w14:textId="1FFDAFC9" w:rsidR="00CA1987" w:rsidRPr="00CA1987" w:rsidRDefault="00CA1987" w:rsidP="00CA1987">
      <w:pPr>
        <w:pStyle w:val="ListParagraph"/>
        <w:numPr>
          <w:ilvl w:val="0"/>
          <w:numId w:val="18"/>
        </w:numPr>
        <w:rPr>
          <w:rFonts w:ascii="Arial" w:hAnsi="Arial" w:cs="Arial"/>
        </w:rPr>
      </w:pPr>
      <w:r w:rsidRPr="00CA1987">
        <w:rPr>
          <w:rFonts w:ascii="Arial" w:hAnsi="Arial" w:cs="Arial"/>
        </w:rPr>
        <w:t>Plans for ecological improvement for every significant development.</w:t>
      </w:r>
    </w:p>
    <w:p w14:paraId="7D91B7F7" w14:textId="25DD4467" w:rsidR="0079303A" w:rsidRPr="00D62838" w:rsidRDefault="0079303A" w:rsidP="00CA1987">
      <w:pPr>
        <w:rPr>
          <w:rFonts w:ascii="Arial" w:hAnsi="Arial" w:cs="Arial"/>
          <w:b/>
          <w:bCs/>
        </w:rPr>
      </w:pPr>
      <w:r w:rsidRPr="00D62838">
        <w:rPr>
          <w:rFonts w:ascii="Arial" w:hAnsi="Arial" w:cs="Arial"/>
          <w:b/>
          <w:bCs/>
        </w:rPr>
        <w:t>Waste</w:t>
      </w:r>
    </w:p>
    <w:p w14:paraId="19A56350" w14:textId="410D8E6B" w:rsidR="00381533" w:rsidRPr="00381533" w:rsidRDefault="00381533" w:rsidP="00381533">
      <w:pPr>
        <w:pStyle w:val="ListParagraph"/>
        <w:numPr>
          <w:ilvl w:val="0"/>
          <w:numId w:val="19"/>
        </w:numPr>
        <w:rPr>
          <w:rFonts w:ascii="Arial" w:hAnsi="Arial" w:cs="Arial"/>
        </w:rPr>
      </w:pPr>
      <w:r w:rsidRPr="00381533">
        <w:rPr>
          <w:rFonts w:ascii="Arial" w:hAnsi="Arial" w:cs="Arial"/>
        </w:rPr>
        <w:t>Plans for reducing construction waste that divert at least 90% from landfills.</w:t>
      </w:r>
    </w:p>
    <w:p w14:paraId="78DFB46C" w14:textId="555FA543" w:rsidR="00381533" w:rsidRPr="00381533" w:rsidRDefault="00381533" w:rsidP="00381533">
      <w:pPr>
        <w:pStyle w:val="ListParagraph"/>
        <w:numPr>
          <w:ilvl w:val="0"/>
          <w:numId w:val="19"/>
        </w:numPr>
        <w:rPr>
          <w:rFonts w:ascii="Arial" w:hAnsi="Arial" w:cs="Arial"/>
        </w:rPr>
      </w:pPr>
      <w:r w:rsidRPr="00381533">
        <w:rPr>
          <w:rFonts w:ascii="Arial" w:hAnsi="Arial" w:cs="Arial"/>
        </w:rPr>
        <w:t>Material passports that record important parts for later use.</w:t>
      </w:r>
    </w:p>
    <w:p w14:paraId="27513651" w14:textId="45784C7C" w:rsidR="00381533" w:rsidRDefault="00381533" w:rsidP="00381533">
      <w:pPr>
        <w:pStyle w:val="ListParagraph"/>
        <w:numPr>
          <w:ilvl w:val="0"/>
          <w:numId w:val="19"/>
        </w:numPr>
        <w:rPr>
          <w:rFonts w:ascii="Arial" w:hAnsi="Arial" w:cs="Arial"/>
        </w:rPr>
      </w:pPr>
      <w:r w:rsidRPr="00381533">
        <w:rPr>
          <w:rFonts w:ascii="Arial" w:hAnsi="Arial" w:cs="Arial"/>
        </w:rPr>
        <w:t>Site Waste Management Plans (SWMPs) are now required.</w:t>
      </w:r>
    </w:p>
    <w:p w14:paraId="4275A00A" w14:textId="77777777" w:rsidR="004F5626" w:rsidRPr="004F5626" w:rsidRDefault="004F5626" w:rsidP="004F5626">
      <w:pPr>
        <w:rPr>
          <w:rFonts w:ascii="Arial" w:hAnsi="Arial" w:cs="Arial"/>
        </w:rPr>
      </w:pPr>
    </w:p>
    <w:p w14:paraId="49010F9D" w14:textId="391AF901" w:rsidR="0079303A" w:rsidRPr="00D62838" w:rsidRDefault="0079303A" w:rsidP="00381533">
      <w:pPr>
        <w:rPr>
          <w:rFonts w:ascii="Arial" w:hAnsi="Arial" w:cs="Arial"/>
          <w:b/>
          <w:bCs/>
        </w:rPr>
      </w:pPr>
      <w:r w:rsidRPr="00D62838">
        <w:rPr>
          <w:rFonts w:ascii="Arial" w:hAnsi="Arial" w:cs="Arial"/>
          <w:b/>
          <w:bCs/>
        </w:rPr>
        <w:lastRenderedPageBreak/>
        <w:t>Innovation</w:t>
      </w:r>
    </w:p>
    <w:p w14:paraId="28A32449" w14:textId="0DFE24D2" w:rsidR="00381533" w:rsidRPr="00381533" w:rsidRDefault="00381533" w:rsidP="00381533">
      <w:pPr>
        <w:pStyle w:val="ListParagraph"/>
        <w:numPr>
          <w:ilvl w:val="0"/>
          <w:numId w:val="20"/>
        </w:numPr>
        <w:rPr>
          <w:rFonts w:ascii="Arial" w:hAnsi="Arial" w:cs="Arial"/>
        </w:rPr>
      </w:pPr>
      <w:r w:rsidRPr="00381533">
        <w:rPr>
          <w:rFonts w:ascii="Arial" w:hAnsi="Arial" w:cs="Arial"/>
        </w:rPr>
        <w:t>Adaptability to different approaches that achieve or surpass performance goals.</w:t>
      </w:r>
    </w:p>
    <w:p w14:paraId="62B3FFB5" w14:textId="6E1AF24D" w:rsidR="00381533" w:rsidRPr="00381533" w:rsidRDefault="00381533" w:rsidP="00381533">
      <w:pPr>
        <w:pStyle w:val="ListParagraph"/>
        <w:numPr>
          <w:ilvl w:val="0"/>
          <w:numId w:val="20"/>
        </w:numPr>
        <w:rPr>
          <w:rFonts w:ascii="Arial" w:hAnsi="Arial" w:cs="Arial"/>
        </w:rPr>
      </w:pPr>
      <w:r w:rsidRPr="00381533">
        <w:rPr>
          <w:rFonts w:ascii="Arial" w:hAnsi="Arial" w:cs="Arial"/>
        </w:rPr>
        <w:t>MMC, digital twins, and sophisticated modelling methods are supported.</w:t>
      </w:r>
    </w:p>
    <w:p w14:paraId="1D1B6E5D" w14:textId="2A42E0BA" w:rsidR="0079303A" w:rsidRPr="00D62838" w:rsidRDefault="0079303A" w:rsidP="00381533">
      <w:pPr>
        <w:rPr>
          <w:rFonts w:ascii="Arial" w:hAnsi="Arial" w:cs="Arial"/>
          <w:b/>
          <w:bCs/>
          <w:u w:val="single"/>
        </w:rPr>
      </w:pPr>
      <w:r w:rsidRPr="00D62838">
        <w:rPr>
          <w:rFonts w:ascii="Arial" w:hAnsi="Arial" w:cs="Arial"/>
          <w:b/>
          <w:bCs/>
          <w:u w:val="single"/>
        </w:rPr>
        <w:t>6. Compliance, Verification and Transitional Arrangements</w:t>
      </w:r>
    </w:p>
    <w:p w14:paraId="412F20CF" w14:textId="4A1711FC" w:rsidR="00494B5A" w:rsidRDefault="00494B5A" w:rsidP="0079303A">
      <w:pPr>
        <w:rPr>
          <w:rFonts w:ascii="Arial" w:hAnsi="Arial" w:cs="Arial"/>
        </w:rPr>
      </w:pPr>
      <w:r w:rsidRPr="00494B5A">
        <w:rPr>
          <w:rFonts w:ascii="Arial" w:hAnsi="Arial" w:cs="Arial"/>
        </w:rPr>
        <w:t>Compliance must be transparent, enforceable, and unambiguous in order to guarantee the efficacy of the Approved Document. There are two suggested routes:</w:t>
      </w:r>
    </w:p>
    <w:p w14:paraId="3F9BBDBE" w14:textId="49118BDB" w:rsidR="0079303A" w:rsidRPr="00D62838" w:rsidRDefault="0079303A" w:rsidP="0079303A">
      <w:pPr>
        <w:rPr>
          <w:rFonts w:ascii="Arial" w:hAnsi="Arial" w:cs="Arial"/>
          <w:b/>
          <w:bCs/>
        </w:rPr>
      </w:pPr>
      <w:r w:rsidRPr="00D62838">
        <w:rPr>
          <w:rFonts w:ascii="Arial" w:hAnsi="Arial" w:cs="Arial"/>
          <w:b/>
          <w:bCs/>
        </w:rPr>
        <w:t>Prescriptive Route</w:t>
      </w:r>
    </w:p>
    <w:p w14:paraId="58679A9C" w14:textId="77777777" w:rsidR="00654C34" w:rsidRDefault="00654C34" w:rsidP="0079303A">
      <w:pPr>
        <w:rPr>
          <w:rFonts w:ascii="Arial" w:hAnsi="Arial" w:cs="Arial"/>
        </w:rPr>
      </w:pPr>
      <w:r w:rsidRPr="00654C34">
        <w:rPr>
          <w:rFonts w:ascii="Arial" w:hAnsi="Arial" w:cs="Arial"/>
        </w:rPr>
        <w:t>U-values, airtightness, embodied carbon restrictions, and renewable energy standards are among the predetermined performance benchmarks that projects adhere to.  (LETI, 2020; CCC, 2020)</w:t>
      </w:r>
    </w:p>
    <w:p w14:paraId="01F80E26" w14:textId="5EF0D6A7" w:rsidR="0079303A" w:rsidRPr="00D62838" w:rsidRDefault="0079303A" w:rsidP="0079303A">
      <w:pPr>
        <w:rPr>
          <w:rFonts w:ascii="Arial" w:hAnsi="Arial" w:cs="Arial"/>
          <w:b/>
          <w:bCs/>
        </w:rPr>
      </w:pPr>
      <w:r w:rsidRPr="00D62838">
        <w:rPr>
          <w:rFonts w:ascii="Arial" w:hAnsi="Arial" w:cs="Arial"/>
          <w:b/>
          <w:bCs/>
        </w:rPr>
        <w:t>Performance-Based Route</w:t>
      </w:r>
    </w:p>
    <w:p w14:paraId="1ADCC0E7" w14:textId="3EEC083C" w:rsidR="00654C34" w:rsidRDefault="00654C34" w:rsidP="0079303A">
      <w:pPr>
        <w:rPr>
          <w:rFonts w:ascii="Arial" w:hAnsi="Arial" w:cs="Arial"/>
        </w:rPr>
      </w:pPr>
      <w:r w:rsidRPr="00654C34">
        <w:rPr>
          <w:rFonts w:ascii="Arial" w:hAnsi="Arial" w:cs="Arial"/>
        </w:rPr>
        <w:t>Projects must use lifecycle assessment and dynamic modelling to show compliance. The outcomes must demonstrate that the embodied and operational carbon limits are either reached or surpassed.  (LETI, 2020; CCC, 2020)</w:t>
      </w:r>
    </w:p>
    <w:p w14:paraId="70B087FD" w14:textId="09303E90" w:rsidR="0079303A" w:rsidRPr="00D62838" w:rsidRDefault="0079303A" w:rsidP="0079303A">
      <w:pPr>
        <w:rPr>
          <w:rFonts w:ascii="Arial" w:hAnsi="Arial" w:cs="Arial"/>
          <w:b/>
          <w:bCs/>
        </w:rPr>
      </w:pPr>
      <w:r w:rsidRPr="00D62838">
        <w:rPr>
          <w:rFonts w:ascii="Arial" w:hAnsi="Arial" w:cs="Arial"/>
          <w:b/>
          <w:bCs/>
        </w:rPr>
        <w:t>Verification</w:t>
      </w:r>
    </w:p>
    <w:p w14:paraId="6E16BB09" w14:textId="77777777" w:rsidR="001D7C88" w:rsidRPr="001D7C88" w:rsidRDefault="001D7C88" w:rsidP="001D7C88">
      <w:pPr>
        <w:pStyle w:val="ListParagraph"/>
        <w:numPr>
          <w:ilvl w:val="0"/>
          <w:numId w:val="21"/>
        </w:numPr>
        <w:rPr>
          <w:rFonts w:ascii="Arial" w:hAnsi="Arial" w:cs="Arial"/>
        </w:rPr>
      </w:pPr>
      <w:r w:rsidRPr="001D7C88">
        <w:rPr>
          <w:rFonts w:ascii="Arial" w:hAnsi="Arial" w:cs="Arial"/>
        </w:rPr>
        <w:t>Every building is tested for airtightness.</w:t>
      </w:r>
    </w:p>
    <w:p w14:paraId="5048DEF0" w14:textId="16DE6D60" w:rsidR="001D7C88" w:rsidRPr="001D7C88" w:rsidRDefault="001D7C88" w:rsidP="001D7C88">
      <w:pPr>
        <w:pStyle w:val="ListParagraph"/>
        <w:numPr>
          <w:ilvl w:val="0"/>
          <w:numId w:val="21"/>
        </w:numPr>
        <w:rPr>
          <w:rFonts w:ascii="Arial" w:hAnsi="Arial" w:cs="Arial"/>
        </w:rPr>
      </w:pPr>
      <w:r w:rsidRPr="001D7C88">
        <w:rPr>
          <w:rFonts w:ascii="Arial" w:hAnsi="Arial" w:cs="Arial"/>
        </w:rPr>
        <w:t>MVHR commissioning reports.</w:t>
      </w:r>
    </w:p>
    <w:p w14:paraId="169D7827" w14:textId="2A70E6C2" w:rsidR="001D7C88" w:rsidRPr="001D7C88" w:rsidRDefault="001D7C88" w:rsidP="001D7C88">
      <w:pPr>
        <w:pStyle w:val="ListParagraph"/>
        <w:numPr>
          <w:ilvl w:val="0"/>
          <w:numId w:val="21"/>
        </w:numPr>
        <w:rPr>
          <w:rFonts w:ascii="Arial" w:hAnsi="Arial" w:cs="Arial"/>
        </w:rPr>
      </w:pPr>
      <w:r w:rsidRPr="001D7C88">
        <w:rPr>
          <w:rFonts w:ascii="Arial" w:hAnsi="Arial" w:cs="Arial"/>
        </w:rPr>
        <w:t>Verification of renewable energy generation on-site.</w:t>
      </w:r>
    </w:p>
    <w:p w14:paraId="32173747" w14:textId="4851681C" w:rsidR="001D7C88" w:rsidRPr="001D7C88" w:rsidRDefault="001D7C88" w:rsidP="001D7C88">
      <w:pPr>
        <w:pStyle w:val="ListParagraph"/>
        <w:numPr>
          <w:ilvl w:val="0"/>
          <w:numId w:val="21"/>
        </w:numPr>
        <w:rPr>
          <w:rFonts w:ascii="Arial" w:hAnsi="Arial" w:cs="Arial"/>
        </w:rPr>
      </w:pPr>
      <w:r w:rsidRPr="001D7C88">
        <w:rPr>
          <w:rFonts w:ascii="Arial" w:hAnsi="Arial" w:cs="Arial"/>
        </w:rPr>
        <w:t>Post-Occupancy Assessment in the first and third years.</w:t>
      </w:r>
    </w:p>
    <w:p w14:paraId="307AD38A" w14:textId="62A6C60F" w:rsidR="001D7C88" w:rsidRPr="001D7C88" w:rsidRDefault="001D7C88" w:rsidP="001D7C88">
      <w:pPr>
        <w:pStyle w:val="ListParagraph"/>
        <w:numPr>
          <w:ilvl w:val="0"/>
          <w:numId w:val="21"/>
        </w:numPr>
        <w:rPr>
          <w:rFonts w:ascii="Arial" w:hAnsi="Arial" w:cs="Arial"/>
        </w:rPr>
      </w:pPr>
      <w:r w:rsidRPr="001D7C88">
        <w:rPr>
          <w:rFonts w:ascii="Arial" w:hAnsi="Arial" w:cs="Arial"/>
        </w:rPr>
        <w:t>Independent auditing of large-scale projects.</w:t>
      </w:r>
    </w:p>
    <w:p w14:paraId="11D2CEF6" w14:textId="77777777" w:rsidR="00815313" w:rsidRDefault="0079303A" w:rsidP="00815313">
      <w:pPr>
        <w:rPr>
          <w:rFonts w:ascii="Arial" w:hAnsi="Arial" w:cs="Arial"/>
          <w:b/>
          <w:bCs/>
        </w:rPr>
      </w:pPr>
      <w:r w:rsidRPr="00D62838">
        <w:rPr>
          <w:rFonts w:ascii="Arial" w:hAnsi="Arial" w:cs="Arial"/>
          <w:b/>
          <w:bCs/>
        </w:rPr>
        <w:t>Transitional Arrangements</w:t>
      </w:r>
    </w:p>
    <w:p w14:paraId="166FA5F1" w14:textId="228CE250" w:rsidR="00815313" w:rsidRPr="00815313" w:rsidRDefault="00815313" w:rsidP="00815313">
      <w:pPr>
        <w:pStyle w:val="ListParagraph"/>
        <w:numPr>
          <w:ilvl w:val="0"/>
          <w:numId w:val="22"/>
        </w:numPr>
        <w:rPr>
          <w:rFonts w:ascii="Arial" w:hAnsi="Arial" w:cs="Arial"/>
          <w:b/>
          <w:bCs/>
        </w:rPr>
      </w:pPr>
      <w:r w:rsidRPr="00815313">
        <w:rPr>
          <w:rFonts w:ascii="Arial" w:hAnsi="Arial" w:cs="Arial"/>
        </w:rPr>
        <w:t>A two-year adjustment time for strengthening industry capacity.</w:t>
      </w:r>
    </w:p>
    <w:p w14:paraId="543DBBA8" w14:textId="07DB7C43" w:rsidR="00815313" w:rsidRPr="00815313" w:rsidRDefault="00815313" w:rsidP="00815313">
      <w:pPr>
        <w:pStyle w:val="ListParagraph"/>
        <w:numPr>
          <w:ilvl w:val="0"/>
          <w:numId w:val="22"/>
        </w:numPr>
        <w:rPr>
          <w:rFonts w:ascii="Arial" w:hAnsi="Arial" w:cs="Arial"/>
        </w:rPr>
      </w:pPr>
      <w:r w:rsidRPr="00815313">
        <w:rPr>
          <w:rFonts w:ascii="Arial" w:hAnsi="Arial" w:cs="Arial"/>
        </w:rPr>
        <w:t>In the first year, reporting of embodied carbon is required; in the third year, restrictions are required.  (LETI, 2020; CCC, 2020)</w:t>
      </w:r>
    </w:p>
    <w:p w14:paraId="082FB664" w14:textId="3D7338D6" w:rsidR="00815313" w:rsidRPr="00815313" w:rsidRDefault="00815313" w:rsidP="00815313">
      <w:pPr>
        <w:pStyle w:val="ListParagraph"/>
        <w:numPr>
          <w:ilvl w:val="0"/>
          <w:numId w:val="22"/>
        </w:numPr>
        <w:rPr>
          <w:rFonts w:ascii="Arial" w:hAnsi="Arial" w:cs="Arial"/>
        </w:rPr>
      </w:pPr>
      <w:r w:rsidRPr="00815313">
        <w:rPr>
          <w:rFonts w:ascii="Arial" w:hAnsi="Arial" w:cs="Arial"/>
        </w:rPr>
        <w:t>Targets will be gradually tightened in accordance with carbon budgets.</w:t>
      </w:r>
    </w:p>
    <w:p w14:paraId="36441AED" w14:textId="173FDDE1" w:rsidR="0079303A" w:rsidRPr="00D62838" w:rsidRDefault="0079303A" w:rsidP="00815313">
      <w:pPr>
        <w:rPr>
          <w:rFonts w:ascii="Arial" w:hAnsi="Arial" w:cs="Arial"/>
          <w:b/>
          <w:bCs/>
          <w:u w:val="single"/>
        </w:rPr>
      </w:pPr>
      <w:r w:rsidRPr="00D62838">
        <w:rPr>
          <w:rFonts w:ascii="Arial" w:hAnsi="Arial" w:cs="Arial"/>
          <w:b/>
          <w:bCs/>
          <w:u w:val="single"/>
        </w:rPr>
        <w:t xml:space="preserve">7. </w:t>
      </w:r>
      <w:r w:rsidR="00CA3236">
        <w:rPr>
          <w:rFonts w:ascii="Arial" w:hAnsi="Arial" w:cs="Arial"/>
          <w:b/>
          <w:bCs/>
          <w:u w:val="single"/>
        </w:rPr>
        <w:t>Conclusion</w:t>
      </w:r>
    </w:p>
    <w:p w14:paraId="6B6B9B48" w14:textId="6E894C67" w:rsidR="00D45E1D" w:rsidRDefault="00D45E1D">
      <w:pPr>
        <w:rPr>
          <w:rFonts w:ascii="Arial" w:hAnsi="Arial" w:cs="Arial"/>
        </w:rPr>
      </w:pPr>
      <w:r w:rsidRPr="00D45E1D">
        <w:rPr>
          <w:rFonts w:ascii="Arial" w:hAnsi="Arial" w:cs="Arial"/>
        </w:rPr>
        <w:t>Implementing a Net Zero Approved Document has several advantages, such as lower emissions, better occupant comfort, and adherence to national climate pledges. The framework's scientific validity is ensured by its alignment with well-established plans like the UK's Net Zero Strategy and the CCC's carbon budgets.</w:t>
      </w:r>
      <w:r w:rsidR="00946FF8">
        <w:rPr>
          <w:rFonts w:ascii="Arial" w:hAnsi="Arial" w:cs="Arial"/>
        </w:rPr>
        <w:t xml:space="preserve"> On the other hand, obstacles include h</w:t>
      </w:r>
      <w:r w:rsidRPr="00D45E1D">
        <w:rPr>
          <w:rFonts w:ascii="Arial" w:hAnsi="Arial" w:cs="Arial"/>
        </w:rPr>
        <w:t>igher upfront expenditures, supply chain constraints, and a lack of qualified experts capable of producing high-performance structures.</w:t>
      </w:r>
      <w:r w:rsidR="00946FF8">
        <w:rPr>
          <w:rFonts w:ascii="Arial" w:hAnsi="Arial" w:cs="Arial"/>
        </w:rPr>
        <w:t xml:space="preserve"> </w:t>
      </w:r>
      <w:r w:rsidRPr="00D45E1D">
        <w:rPr>
          <w:rFonts w:ascii="Arial" w:hAnsi="Arial" w:cs="Arial"/>
        </w:rPr>
        <w:t>Complex lifespan assessments may be too difficult for local governments and building control organisations to enforce. Strict regulations run the potential of raising housing costs unless they are backed by financial incentives.  Coordinated government action through training initiatives, financial aid, and long-term policy clarity is needed to address these issues.  (UKGBC, 2019; LETI, 2020)</w:t>
      </w:r>
    </w:p>
    <w:p w14:paraId="0B5675CC" w14:textId="62BFD85B" w:rsidR="004A28FF" w:rsidRDefault="001D4584" w:rsidP="0079303A">
      <w:pPr>
        <w:rPr>
          <w:rFonts w:ascii="Arial" w:hAnsi="Arial" w:cs="Arial"/>
        </w:rPr>
      </w:pPr>
      <w:r w:rsidRPr="001D4584">
        <w:rPr>
          <w:rFonts w:ascii="Arial" w:hAnsi="Arial" w:cs="Arial"/>
        </w:rPr>
        <w:t xml:space="preserve">One of the biggest changes in the history of the built environment is the shift to net zero.  The level of performance needed to meet climate targets is not in line with the current UK Building Regulations, despite the fact that they are effective for guaranteeing safety and basic energy efficiency. The proposed Approved Document Z: Net Zero Buildings offers a clear and practical framework for designing and building net zero developments by combining the tested approaches and performance indicators of UKGBC, LETI, Passivhaus, </w:t>
      </w:r>
      <w:r w:rsidRPr="001D4584">
        <w:rPr>
          <w:rFonts w:ascii="Arial" w:hAnsi="Arial" w:cs="Arial"/>
        </w:rPr>
        <w:lastRenderedPageBreak/>
        <w:t>BREEAM, AECB, and the RIBA 2030 Challenge.</w:t>
      </w:r>
      <w:r>
        <w:rPr>
          <w:rFonts w:ascii="Arial" w:hAnsi="Arial" w:cs="Arial"/>
        </w:rPr>
        <w:t xml:space="preserve"> </w:t>
      </w:r>
      <w:r w:rsidR="004A28FF" w:rsidRPr="004A28FF">
        <w:rPr>
          <w:rFonts w:ascii="Arial" w:hAnsi="Arial" w:cs="Arial"/>
        </w:rPr>
        <w:t>The proposed paper provides a practical yet ambitious route for coordinating the built environment with the UK's net zero future through criteria for systemic sustainability, low-carbon heating, renewable energy integration, mandatory whole-life carbon assessment, and strict fabric standards. These requirements are both attainable and necessary for developing a built environment that is resilient, sustainable, and climate responsible with the right transition planning and industry support.  (DLUHC, 2021; UKGBC, 2019; LETI, 2020) (Passivhaus Trust, 2021)  (UKGBC, 2019; NZCBS, 2023) (AECB, 2020) (BREEAM, 2022)</w:t>
      </w:r>
    </w:p>
    <w:p w14:paraId="0D45811B" w14:textId="1DAA4AE5" w:rsidR="0079303A" w:rsidRPr="00D62838" w:rsidRDefault="001E4018" w:rsidP="0079303A">
      <w:pPr>
        <w:rPr>
          <w:rFonts w:ascii="Arial" w:hAnsi="Arial" w:cs="Arial"/>
          <w:b/>
          <w:bCs/>
          <w:u w:val="single"/>
        </w:rPr>
      </w:pPr>
      <w:r>
        <w:rPr>
          <w:rFonts w:ascii="Arial" w:hAnsi="Arial" w:cs="Arial"/>
          <w:b/>
          <w:bCs/>
          <w:u w:val="single"/>
        </w:rPr>
        <w:t xml:space="preserve">8. </w:t>
      </w:r>
      <w:r w:rsidR="0079303A" w:rsidRPr="00D62838">
        <w:rPr>
          <w:rFonts w:ascii="Arial" w:hAnsi="Arial" w:cs="Arial"/>
          <w:b/>
          <w:bCs/>
          <w:u w:val="single"/>
        </w:rPr>
        <w:t>References</w:t>
      </w:r>
    </w:p>
    <w:p w14:paraId="6A028F69"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AECB (2020) AECB Building Standard. Association for Environment Conscious Building. (AECB, 2020)</w:t>
      </w:r>
    </w:p>
    <w:p w14:paraId="05B4E14A"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BREEAM (2022) BREEAM New Construction Technical Manual. Building Research Establishment. (BREEAM, 2022)</w:t>
      </w:r>
    </w:p>
    <w:p w14:paraId="5DA6340F"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CCC (2020) The Sixth Carbon Budget: Buildings. Climate Change Committee.</w:t>
      </w:r>
    </w:p>
    <w:p w14:paraId="3890EA8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DLUHC (2021) Approved Document L: Conservation of Fuel and Power. Department for Levelling Up, Housing and Communities.</w:t>
      </w:r>
    </w:p>
    <w:p w14:paraId="30DB9B48"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DLUHC (2021) Approved Document O: Overheating. Department for Levelling Up, Housing and Communities. (DLUHC, 2021)</w:t>
      </w:r>
    </w:p>
    <w:p w14:paraId="1752B843"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Environment Agency (2021) Flood Risk and Coastal Change Guidance.</w:t>
      </w:r>
    </w:p>
    <w:p w14:paraId="7BDFC94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LETI (2020) Climate Emergency Design Guide. London Energy Transformation Initiative.</w:t>
      </w:r>
    </w:p>
    <w:p w14:paraId="3D022975"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Passivhaus Trust (2021) Passivhaus Standard Overview. (Passivhaus Trust, 2021)</w:t>
      </w:r>
    </w:p>
    <w:p w14:paraId="0E5624C1"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RIBA (2021) 2030 Climate Challenge. Royal Institute of British Architects.</w:t>
      </w:r>
    </w:p>
    <w:p w14:paraId="5F937CB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UKGBC (2019) Net Zero Carbon Buildings: A Framework Definition. UK Green Building Council. (UKGBC, 2019; LETI, 2020)</w:t>
      </w:r>
    </w:p>
    <w:p w14:paraId="2036A8A1" w14:textId="3C6992C4" w:rsidR="00A21BBA" w:rsidRPr="00D62838" w:rsidRDefault="0079303A" w:rsidP="0079303A">
      <w:pPr>
        <w:pStyle w:val="ListParagraph"/>
        <w:numPr>
          <w:ilvl w:val="0"/>
          <w:numId w:val="9"/>
        </w:numPr>
        <w:rPr>
          <w:rFonts w:ascii="Arial" w:hAnsi="Arial" w:cs="Arial"/>
        </w:rPr>
      </w:pPr>
      <w:r w:rsidRPr="00D62838">
        <w:rPr>
          <w:rFonts w:ascii="Arial" w:hAnsi="Arial" w:cs="Arial"/>
        </w:rPr>
        <w:t>UK Net Zero Carbon Buildings Standard (2023) Technical Framework Draft. (UKGBC, 2019; LETI, 2020)</w:t>
      </w:r>
    </w:p>
    <w:sectPr w:rsidR="00A21BBA" w:rsidRPr="00D628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4CC2B" w14:textId="77777777" w:rsidR="00107BAB" w:rsidRDefault="00107BAB" w:rsidP="0079303A">
      <w:pPr>
        <w:spacing w:after="0" w:line="240" w:lineRule="auto"/>
      </w:pPr>
      <w:r>
        <w:separator/>
      </w:r>
    </w:p>
  </w:endnote>
  <w:endnote w:type="continuationSeparator" w:id="0">
    <w:p w14:paraId="081F12EA" w14:textId="77777777" w:rsidR="00107BAB" w:rsidRDefault="00107BAB" w:rsidP="00793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260C4" w14:textId="77777777" w:rsidR="00107BAB" w:rsidRDefault="00107BAB" w:rsidP="0079303A">
      <w:pPr>
        <w:spacing w:after="0" w:line="240" w:lineRule="auto"/>
      </w:pPr>
      <w:r>
        <w:separator/>
      </w:r>
    </w:p>
  </w:footnote>
  <w:footnote w:type="continuationSeparator" w:id="0">
    <w:p w14:paraId="6EB5471F" w14:textId="77777777" w:rsidR="00107BAB" w:rsidRDefault="00107BAB" w:rsidP="00793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44162" w14:textId="230BEA78" w:rsidR="0079303A" w:rsidRDefault="0079303A">
    <w:pPr>
      <w:pStyle w:val="Header"/>
    </w:pPr>
    <w:r>
      <w:t>Ryan Jones</w:t>
    </w:r>
    <w:r>
      <w:ptab w:relativeTo="margin" w:alignment="center" w:leader="none"/>
    </w:r>
    <w:r>
      <w:t>Sustainable Development</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72CF"/>
    <w:multiLevelType w:val="hybridMultilevel"/>
    <w:tmpl w:val="911A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8338D"/>
    <w:multiLevelType w:val="hybridMultilevel"/>
    <w:tmpl w:val="C44E7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F3F23"/>
    <w:multiLevelType w:val="hybridMultilevel"/>
    <w:tmpl w:val="D87E1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2460D"/>
    <w:multiLevelType w:val="hybridMultilevel"/>
    <w:tmpl w:val="42AA0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87BB1"/>
    <w:multiLevelType w:val="hybridMultilevel"/>
    <w:tmpl w:val="1E80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F07B1"/>
    <w:multiLevelType w:val="hybridMultilevel"/>
    <w:tmpl w:val="8EE6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74B09"/>
    <w:multiLevelType w:val="hybridMultilevel"/>
    <w:tmpl w:val="D850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20C0E"/>
    <w:multiLevelType w:val="hybridMultilevel"/>
    <w:tmpl w:val="44AC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6635C"/>
    <w:multiLevelType w:val="hybridMultilevel"/>
    <w:tmpl w:val="1AA8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A06A8"/>
    <w:multiLevelType w:val="hybridMultilevel"/>
    <w:tmpl w:val="3B68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985A33"/>
    <w:multiLevelType w:val="hybridMultilevel"/>
    <w:tmpl w:val="4D726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7775FA"/>
    <w:multiLevelType w:val="hybridMultilevel"/>
    <w:tmpl w:val="81DC6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1654C0"/>
    <w:multiLevelType w:val="hybridMultilevel"/>
    <w:tmpl w:val="0EE0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4C26B8"/>
    <w:multiLevelType w:val="hybridMultilevel"/>
    <w:tmpl w:val="2B46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F6BF3"/>
    <w:multiLevelType w:val="hybridMultilevel"/>
    <w:tmpl w:val="1F26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32F73"/>
    <w:multiLevelType w:val="hybridMultilevel"/>
    <w:tmpl w:val="3580B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C56897"/>
    <w:multiLevelType w:val="hybridMultilevel"/>
    <w:tmpl w:val="8B7EC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3A7B88"/>
    <w:multiLevelType w:val="hybridMultilevel"/>
    <w:tmpl w:val="DDDE0D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401E65"/>
    <w:multiLevelType w:val="hybridMultilevel"/>
    <w:tmpl w:val="9368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955962"/>
    <w:multiLevelType w:val="hybridMultilevel"/>
    <w:tmpl w:val="A580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55C28"/>
    <w:multiLevelType w:val="hybridMultilevel"/>
    <w:tmpl w:val="6362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2808D1"/>
    <w:multiLevelType w:val="hybridMultilevel"/>
    <w:tmpl w:val="CB1EF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8575B2"/>
    <w:multiLevelType w:val="hybridMultilevel"/>
    <w:tmpl w:val="F052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074878">
    <w:abstractNumId w:val="7"/>
  </w:num>
  <w:num w:numId="2" w16cid:durableId="463083073">
    <w:abstractNumId w:val="20"/>
  </w:num>
  <w:num w:numId="3" w16cid:durableId="1229733608">
    <w:abstractNumId w:val="21"/>
  </w:num>
  <w:num w:numId="4" w16cid:durableId="649939804">
    <w:abstractNumId w:val="10"/>
  </w:num>
  <w:num w:numId="5" w16cid:durableId="891422225">
    <w:abstractNumId w:val="16"/>
  </w:num>
  <w:num w:numId="6" w16cid:durableId="2034645812">
    <w:abstractNumId w:val="1"/>
  </w:num>
  <w:num w:numId="7" w16cid:durableId="779031903">
    <w:abstractNumId w:val="4"/>
  </w:num>
  <w:num w:numId="8" w16cid:durableId="629630406">
    <w:abstractNumId w:val="9"/>
  </w:num>
  <w:num w:numId="9" w16cid:durableId="1397053141">
    <w:abstractNumId w:val="22"/>
  </w:num>
  <w:num w:numId="10" w16cid:durableId="2146270677">
    <w:abstractNumId w:val="6"/>
  </w:num>
  <w:num w:numId="11" w16cid:durableId="1980114388">
    <w:abstractNumId w:val="19"/>
  </w:num>
  <w:num w:numId="12" w16cid:durableId="1425881295">
    <w:abstractNumId w:val="3"/>
  </w:num>
  <w:num w:numId="13" w16cid:durableId="1781299376">
    <w:abstractNumId w:val="15"/>
  </w:num>
  <w:num w:numId="14" w16cid:durableId="847016679">
    <w:abstractNumId w:val="14"/>
  </w:num>
  <w:num w:numId="15" w16cid:durableId="345643248">
    <w:abstractNumId w:val="18"/>
  </w:num>
  <w:num w:numId="16" w16cid:durableId="573858852">
    <w:abstractNumId w:val="0"/>
  </w:num>
  <w:num w:numId="17" w16cid:durableId="530266879">
    <w:abstractNumId w:val="2"/>
  </w:num>
  <w:num w:numId="18" w16cid:durableId="1657371887">
    <w:abstractNumId w:val="12"/>
  </w:num>
  <w:num w:numId="19" w16cid:durableId="398403203">
    <w:abstractNumId w:val="8"/>
  </w:num>
  <w:num w:numId="20" w16cid:durableId="865364740">
    <w:abstractNumId w:val="11"/>
  </w:num>
  <w:num w:numId="21" w16cid:durableId="879317879">
    <w:abstractNumId w:val="13"/>
  </w:num>
  <w:num w:numId="22" w16cid:durableId="315769450">
    <w:abstractNumId w:val="5"/>
  </w:num>
  <w:num w:numId="23" w16cid:durableId="19510861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03A"/>
    <w:rsid w:val="0000639D"/>
    <w:rsid w:val="00013941"/>
    <w:rsid w:val="00062188"/>
    <w:rsid w:val="00071AFD"/>
    <w:rsid w:val="00077971"/>
    <w:rsid w:val="000842DD"/>
    <w:rsid w:val="000B0F2B"/>
    <w:rsid w:val="000B1BF9"/>
    <w:rsid w:val="000B54F1"/>
    <w:rsid w:val="000D01CF"/>
    <w:rsid w:val="000D285F"/>
    <w:rsid w:val="000D5F28"/>
    <w:rsid w:val="000E558A"/>
    <w:rsid w:val="00107626"/>
    <w:rsid w:val="00107BAB"/>
    <w:rsid w:val="00134B67"/>
    <w:rsid w:val="00146C63"/>
    <w:rsid w:val="00160B36"/>
    <w:rsid w:val="00163E40"/>
    <w:rsid w:val="0016653B"/>
    <w:rsid w:val="001865C4"/>
    <w:rsid w:val="001C30AD"/>
    <w:rsid w:val="001D4584"/>
    <w:rsid w:val="001D7C88"/>
    <w:rsid w:val="001E4018"/>
    <w:rsid w:val="001F452D"/>
    <w:rsid w:val="00233C67"/>
    <w:rsid w:val="00255E5A"/>
    <w:rsid w:val="00264384"/>
    <w:rsid w:val="00267BC6"/>
    <w:rsid w:val="002704DA"/>
    <w:rsid w:val="00272D73"/>
    <w:rsid w:val="00275ACF"/>
    <w:rsid w:val="00282AE5"/>
    <w:rsid w:val="00297C2A"/>
    <w:rsid w:val="002F1333"/>
    <w:rsid w:val="00361482"/>
    <w:rsid w:val="00381533"/>
    <w:rsid w:val="003D0343"/>
    <w:rsid w:val="003E34B3"/>
    <w:rsid w:val="003F2C50"/>
    <w:rsid w:val="003F2E38"/>
    <w:rsid w:val="00453D70"/>
    <w:rsid w:val="004810E1"/>
    <w:rsid w:val="00492876"/>
    <w:rsid w:val="00494765"/>
    <w:rsid w:val="00494B5A"/>
    <w:rsid w:val="004A28FF"/>
    <w:rsid w:val="004B49A7"/>
    <w:rsid w:val="004C0DB1"/>
    <w:rsid w:val="004E0501"/>
    <w:rsid w:val="004F38F2"/>
    <w:rsid w:val="004F5626"/>
    <w:rsid w:val="004F62AF"/>
    <w:rsid w:val="00515E8D"/>
    <w:rsid w:val="00545DE7"/>
    <w:rsid w:val="00586F0A"/>
    <w:rsid w:val="00605922"/>
    <w:rsid w:val="0061050A"/>
    <w:rsid w:val="00645C16"/>
    <w:rsid w:val="00654C34"/>
    <w:rsid w:val="00656849"/>
    <w:rsid w:val="0065782E"/>
    <w:rsid w:val="006629BE"/>
    <w:rsid w:val="00680601"/>
    <w:rsid w:val="0068707B"/>
    <w:rsid w:val="006A5B62"/>
    <w:rsid w:val="007109E2"/>
    <w:rsid w:val="00721B91"/>
    <w:rsid w:val="0073085C"/>
    <w:rsid w:val="0074401A"/>
    <w:rsid w:val="00751FE5"/>
    <w:rsid w:val="0076111D"/>
    <w:rsid w:val="007665CA"/>
    <w:rsid w:val="00772711"/>
    <w:rsid w:val="0079303A"/>
    <w:rsid w:val="007F39CF"/>
    <w:rsid w:val="00804534"/>
    <w:rsid w:val="00806F2E"/>
    <w:rsid w:val="0081431F"/>
    <w:rsid w:val="00815313"/>
    <w:rsid w:val="00830AE4"/>
    <w:rsid w:val="0089741D"/>
    <w:rsid w:val="008A02C4"/>
    <w:rsid w:val="008B625D"/>
    <w:rsid w:val="008C0582"/>
    <w:rsid w:val="008C7C4C"/>
    <w:rsid w:val="008D390D"/>
    <w:rsid w:val="008D4D59"/>
    <w:rsid w:val="008D5813"/>
    <w:rsid w:val="008F2015"/>
    <w:rsid w:val="00946FF8"/>
    <w:rsid w:val="00951D29"/>
    <w:rsid w:val="0096454C"/>
    <w:rsid w:val="009833AC"/>
    <w:rsid w:val="00996888"/>
    <w:rsid w:val="009B391A"/>
    <w:rsid w:val="009C1B10"/>
    <w:rsid w:val="009C38A3"/>
    <w:rsid w:val="009D075C"/>
    <w:rsid w:val="009F1A64"/>
    <w:rsid w:val="00A21BBA"/>
    <w:rsid w:val="00A34CF7"/>
    <w:rsid w:val="00A355B7"/>
    <w:rsid w:val="00A53D83"/>
    <w:rsid w:val="00A64B5C"/>
    <w:rsid w:val="00A91436"/>
    <w:rsid w:val="00AD4F6C"/>
    <w:rsid w:val="00B362D8"/>
    <w:rsid w:val="00B64233"/>
    <w:rsid w:val="00B64DDF"/>
    <w:rsid w:val="00B90382"/>
    <w:rsid w:val="00BE31A0"/>
    <w:rsid w:val="00C4612B"/>
    <w:rsid w:val="00C47704"/>
    <w:rsid w:val="00C66CAA"/>
    <w:rsid w:val="00C774B8"/>
    <w:rsid w:val="00C95308"/>
    <w:rsid w:val="00CA1987"/>
    <w:rsid w:val="00CA3236"/>
    <w:rsid w:val="00CB61EA"/>
    <w:rsid w:val="00CF2AC9"/>
    <w:rsid w:val="00D02D8D"/>
    <w:rsid w:val="00D15B59"/>
    <w:rsid w:val="00D1714F"/>
    <w:rsid w:val="00D2141E"/>
    <w:rsid w:val="00D40AB4"/>
    <w:rsid w:val="00D45E1D"/>
    <w:rsid w:val="00D62838"/>
    <w:rsid w:val="00D75627"/>
    <w:rsid w:val="00D97D52"/>
    <w:rsid w:val="00DA4744"/>
    <w:rsid w:val="00DC1F30"/>
    <w:rsid w:val="00E1004C"/>
    <w:rsid w:val="00E820A4"/>
    <w:rsid w:val="00E8629F"/>
    <w:rsid w:val="00E97A79"/>
    <w:rsid w:val="00EA27D3"/>
    <w:rsid w:val="00EA392E"/>
    <w:rsid w:val="00EC347F"/>
    <w:rsid w:val="00EE0328"/>
    <w:rsid w:val="00EF04E0"/>
    <w:rsid w:val="00EF386F"/>
    <w:rsid w:val="00F11C27"/>
    <w:rsid w:val="00F2193A"/>
    <w:rsid w:val="00F44B78"/>
    <w:rsid w:val="00F60703"/>
    <w:rsid w:val="00F93F77"/>
    <w:rsid w:val="00FB73C8"/>
    <w:rsid w:val="00FF2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FE81"/>
  <w15:chartTrackingRefBased/>
  <w15:docId w15:val="{356688FC-2506-476D-A3FF-689A35D71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3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03A"/>
    <w:rPr>
      <w:rFonts w:eastAsiaTheme="majorEastAsia" w:cstheme="majorBidi"/>
      <w:color w:val="272727" w:themeColor="text1" w:themeTint="D8"/>
    </w:rPr>
  </w:style>
  <w:style w:type="paragraph" w:styleId="Title">
    <w:name w:val="Title"/>
    <w:basedOn w:val="Normal"/>
    <w:next w:val="Normal"/>
    <w:link w:val="TitleChar"/>
    <w:uiPriority w:val="10"/>
    <w:qFormat/>
    <w:rsid w:val="00793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03A"/>
    <w:pPr>
      <w:spacing w:before="160"/>
      <w:jc w:val="center"/>
    </w:pPr>
    <w:rPr>
      <w:i/>
      <w:iCs/>
      <w:color w:val="404040" w:themeColor="text1" w:themeTint="BF"/>
    </w:rPr>
  </w:style>
  <w:style w:type="character" w:customStyle="1" w:styleId="QuoteChar">
    <w:name w:val="Quote Char"/>
    <w:basedOn w:val="DefaultParagraphFont"/>
    <w:link w:val="Quote"/>
    <w:uiPriority w:val="29"/>
    <w:rsid w:val="0079303A"/>
    <w:rPr>
      <w:i/>
      <w:iCs/>
      <w:color w:val="404040" w:themeColor="text1" w:themeTint="BF"/>
    </w:rPr>
  </w:style>
  <w:style w:type="paragraph" w:styleId="ListParagraph">
    <w:name w:val="List Paragraph"/>
    <w:basedOn w:val="Normal"/>
    <w:uiPriority w:val="34"/>
    <w:qFormat/>
    <w:rsid w:val="0079303A"/>
    <w:pPr>
      <w:ind w:left="720"/>
      <w:contextualSpacing/>
    </w:pPr>
  </w:style>
  <w:style w:type="character" w:styleId="IntenseEmphasis">
    <w:name w:val="Intense Emphasis"/>
    <w:basedOn w:val="DefaultParagraphFont"/>
    <w:uiPriority w:val="21"/>
    <w:qFormat/>
    <w:rsid w:val="0079303A"/>
    <w:rPr>
      <w:i/>
      <w:iCs/>
      <w:color w:val="0F4761" w:themeColor="accent1" w:themeShade="BF"/>
    </w:rPr>
  </w:style>
  <w:style w:type="paragraph" w:styleId="IntenseQuote">
    <w:name w:val="Intense Quote"/>
    <w:basedOn w:val="Normal"/>
    <w:next w:val="Normal"/>
    <w:link w:val="IntenseQuoteChar"/>
    <w:uiPriority w:val="30"/>
    <w:qFormat/>
    <w:rsid w:val="00793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03A"/>
    <w:rPr>
      <w:i/>
      <w:iCs/>
      <w:color w:val="0F4761" w:themeColor="accent1" w:themeShade="BF"/>
    </w:rPr>
  </w:style>
  <w:style w:type="character" w:styleId="IntenseReference">
    <w:name w:val="Intense Reference"/>
    <w:basedOn w:val="DefaultParagraphFont"/>
    <w:uiPriority w:val="32"/>
    <w:qFormat/>
    <w:rsid w:val="0079303A"/>
    <w:rPr>
      <w:b/>
      <w:bCs/>
      <w:smallCaps/>
      <w:color w:val="0F4761" w:themeColor="accent1" w:themeShade="BF"/>
      <w:spacing w:val="5"/>
    </w:rPr>
  </w:style>
  <w:style w:type="paragraph" w:styleId="Header">
    <w:name w:val="header"/>
    <w:basedOn w:val="Normal"/>
    <w:link w:val="HeaderChar"/>
    <w:uiPriority w:val="99"/>
    <w:unhideWhenUsed/>
    <w:rsid w:val="00793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03A"/>
  </w:style>
  <w:style w:type="paragraph" w:styleId="Footer">
    <w:name w:val="footer"/>
    <w:basedOn w:val="Normal"/>
    <w:link w:val="FooterChar"/>
    <w:uiPriority w:val="99"/>
    <w:unhideWhenUsed/>
    <w:rsid w:val="00793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2818</Words>
  <Characters>16965</Characters>
  <Application>Microsoft Office Word</Application>
  <DocSecurity>0</DocSecurity>
  <Lines>320</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142</cp:revision>
  <dcterms:created xsi:type="dcterms:W3CDTF">2025-12-02T10:39:00Z</dcterms:created>
  <dcterms:modified xsi:type="dcterms:W3CDTF">2025-12-09T18:06:00Z</dcterms:modified>
</cp:coreProperties>
</file>