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179452" w14:textId="103CAAE9" w:rsidR="00B00D94" w:rsidRPr="00084942" w:rsidRDefault="00B00D94">
      <w:pPr>
        <w:spacing w:line="259" w:lineRule="auto"/>
        <w:jc w:val="left"/>
        <w:rPr>
          <w:rFonts w:ascii="Arial" w:hAnsi="Arial" w:cs="Arial"/>
        </w:rPr>
      </w:pPr>
      <w:r w:rsidRPr="00084942">
        <w:rPr>
          <w:rFonts w:ascii="Arial" w:hAnsi="Arial" w:cs="Arial"/>
          <w:noProof/>
        </w:rPr>
        <w:drawing>
          <wp:anchor distT="0" distB="0" distL="114300" distR="114300" simplePos="0" relativeHeight="251659264" behindDoc="0" locked="0" layoutInCell="1" allowOverlap="1" wp14:anchorId="02756ECF" wp14:editId="69D6ECC1">
            <wp:simplePos x="0" y="0"/>
            <wp:positionH relativeFrom="column">
              <wp:posOffset>-155643</wp:posOffset>
            </wp:positionH>
            <wp:positionV relativeFrom="paragraph">
              <wp:posOffset>379</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4C3EBB3" w14:textId="77777777" w:rsidR="00B00D94" w:rsidRPr="00084942" w:rsidRDefault="00B00D94">
      <w:pPr>
        <w:spacing w:line="259" w:lineRule="auto"/>
        <w:jc w:val="left"/>
        <w:rPr>
          <w:rFonts w:ascii="Arial" w:hAnsi="Arial" w:cs="Arial"/>
        </w:rPr>
      </w:pPr>
    </w:p>
    <w:p w14:paraId="0B8DC627" w14:textId="77777777" w:rsidR="00B00D94" w:rsidRPr="00084942" w:rsidRDefault="00B00D94">
      <w:pPr>
        <w:spacing w:line="259" w:lineRule="auto"/>
        <w:jc w:val="left"/>
        <w:rPr>
          <w:rFonts w:ascii="Arial" w:hAnsi="Arial" w:cs="Arial"/>
        </w:rPr>
      </w:pPr>
    </w:p>
    <w:p w14:paraId="563DD51E" w14:textId="77777777" w:rsidR="00B00D94" w:rsidRPr="00084942" w:rsidRDefault="00B00D94">
      <w:pPr>
        <w:spacing w:line="259" w:lineRule="auto"/>
        <w:jc w:val="left"/>
        <w:rPr>
          <w:rFonts w:ascii="Arial" w:hAnsi="Arial" w:cs="Arial"/>
        </w:rPr>
      </w:pPr>
    </w:p>
    <w:p w14:paraId="1E20215A" w14:textId="77777777" w:rsidR="00BF083B" w:rsidRPr="00084942" w:rsidRDefault="00BF083B" w:rsidP="00BF083B">
      <w:pPr>
        <w:spacing w:line="256" w:lineRule="auto"/>
        <w:jc w:val="left"/>
        <w:rPr>
          <w:rFonts w:ascii="Arial" w:hAnsi="Arial" w:cs="Arial"/>
          <w:b/>
          <w:bCs/>
          <w:szCs w:val="24"/>
        </w:rPr>
      </w:pPr>
      <w:r w:rsidRPr="00084942">
        <w:rPr>
          <w:rFonts w:ascii="Arial" w:hAnsi="Arial" w:cs="Arial"/>
          <w:b/>
          <w:bCs/>
        </w:rPr>
        <w:t xml:space="preserve">Programme Name: </w:t>
      </w:r>
      <w:r w:rsidRPr="00084942">
        <w:rPr>
          <w:rFonts w:ascii="Arial" w:hAnsi="Arial" w:cs="Arial"/>
          <w:b/>
          <w:bCs/>
          <w:u w:val="single"/>
        </w:rPr>
        <w:t>Master of Business Administration</w:t>
      </w:r>
    </w:p>
    <w:p w14:paraId="51AC4C57" w14:textId="2BB48A1E" w:rsidR="00BF083B" w:rsidRPr="00084942" w:rsidRDefault="00BF083B" w:rsidP="00BF083B">
      <w:pPr>
        <w:spacing w:line="256" w:lineRule="auto"/>
        <w:jc w:val="left"/>
        <w:rPr>
          <w:rFonts w:ascii="Arial" w:hAnsi="Arial" w:cs="Arial"/>
          <w:b/>
          <w:bCs/>
        </w:rPr>
      </w:pPr>
      <w:r w:rsidRPr="00084942">
        <w:rPr>
          <w:rFonts w:ascii="Arial" w:hAnsi="Arial" w:cs="Arial"/>
          <w:b/>
          <w:bCs/>
        </w:rPr>
        <w:t xml:space="preserve">Module Code: </w:t>
      </w:r>
      <w:r w:rsidRPr="00084942">
        <w:rPr>
          <w:rFonts w:ascii="Arial" w:hAnsi="Arial" w:cs="Arial"/>
          <w:b/>
          <w:bCs/>
          <w:u w:val="single"/>
        </w:rPr>
        <w:t>LCMB7002</w:t>
      </w:r>
    </w:p>
    <w:p w14:paraId="59F98CDB" w14:textId="1D3E99A2" w:rsidR="00BF083B" w:rsidRPr="00084942" w:rsidRDefault="00BF083B" w:rsidP="00BF083B">
      <w:pPr>
        <w:spacing w:line="256" w:lineRule="auto"/>
        <w:jc w:val="left"/>
        <w:rPr>
          <w:rFonts w:ascii="Arial" w:hAnsi="Arial" w:cs="Arial"/>
          <w:b/>
          <w:bCs/>
        </w:rPr>
      </w:pPr>
      <w:r w:rsidRPr="00084942">
        <w:rPr>
          <w:rFonts w:ascii="Arial" w:hAnsi="Arial" w:cs="Arial"/>
          <w:b/>
          <w:bCs/>
        </w:rPr>
        <w:t xml:space="preserve">Module Title: </w:t>
      </w:r>
      <w:r w:rsidRPr="00084942">
        <w:rPr>
          <w:rFonts w:ascii="Arial" w:hAnsi="Arial" w:cs="Arial"/>
          <w:b/>
          <w:bCs/>
          <w:u w:val="single"/>
        </w:rPr>
        <w:t>Financial Management</w:t>
      </w:r>
    </w:p>
    <w:p w14:paraId="34EFDD1F" w14:textId="77FD6CC9" w:rsidR="00BF083B" w:rsidRPr="00084942" w:rsidRDefault="00BF083B" w:rsidP="00BF083B">
      <w:pPr>
        <w:spacing w:before="120" w:after="120"/>
        <w:rPr>
          <w:rFonts w:ascii="Arial" w:hAnsi="Arial" w:cs="Arial"/>
          <w:b/>
          <w:bCs/>
          <w:szCs w:val="24"/>
          <w:u w:val="single"/>
        </w:rPr>
      </w:pPr>
      <w:r w:rsidRPr="00084942">
        <w:rPr>
          <w:rFonts w:ascii="Arial" w:hAnsi="Arial" w:cs="Arial"/>
          <w:b/>
          <w:bCs/>
        </w:rPr>
        <w:t xml:space="preserve">Title: </w:t>
      </w:r>
      <w:r w:rsidRPr="00084942">
        <w:rPr>
          <w:rFonts w:ascii="Arial" w:hAnsi="Arial" w:cs="Arial"/>
          <w:b/>
          <w:bCs/>
          <w:u w:val="single"/>
        </w:rPr>
        <w:t xml:space="preserve">Strategic </w:t>
      </w:r>
      <w:r w:rsidRPr="00084942">
        <w:rPr>
          <w:rFonts w:ascii="Arial" w:hAnsi="Arial" w:cs="Arial"/>
          <w:b/>
          <w:bCs/>
          <w:szCs w:val="24"/>
          <w:u w:val="single"/>
        </w:rPr>
        <w:t>CFO challenge - saving a failing global firm</w:t>
      </w:r>
    </w:p>
    <w:p w14:paraId="76E48683" w14:textId="77777777" w:rsidR="00BF083B" w:rsidRPr="00084942" w:rsidRDefault="00BF083B" w:rsidP="00BF083B">
      <w:pPr>
        <w:spacing w:before="120" w:after="120"/>
        <w:rPr>
          <w:rFonts w:ascii="Arial" w:hAnsi="Arial" w:cs="Arial"/>
          <w:b/>
          <w:szCs w:val="24"/>
          <w:u w:val="single"/>
        </w:rPr>
      </w:pPr>
    </w:p>
    <w:p w14:paraId="7102CFD1" w14:textId="07CF9993" w:rsidR="00BF083B" w:rsidRPr="00084942" w:rsidRDefault="00BF083B" w:rsidP="00BF083B">
      <w:pPr>
        <w:spacing w:line="256" w:lineRule="auto"/>
        <w:jc w:val="left"/>
        <w:rPr>
          <w:rFonts w:ascii="Arial" w:hAnsi="Arial" w:cs="Arial"/>
          <w:b/>
          <w:bCs/>
        </w:rPr>
      </w:pPr>
      <w:r w:rsidRPr="00084942">
        <w:rPr>
          <w:rFonts w:ascii="Arial" w:hAnsi="Arial" w:cs="Arial"/>
          <w:b/>
          <w:bCs/>
        </w:rPr>
        <w:t xml:space="preserve">Lecturer Name: </w:t>
      </w:r>
      <w:r w:rsidRPr="00084942">
        <w:rPr>
          <w:rFonts w:ascii="Arial" w:hAnsi="Arial" w:cs="Arial"/>
          <w:b/>
          <w:bCs/>
          <w:u w:val="single"/>
        </w:rPr>
        <w:t>Patrick Yeboah</w:t>
      </w:r>
    </w:p>
    <w:p w14:paraId="13EB71CD" w14:textId="77777777" w:rsidR="00BF083B" w:rsidRPr="00084942" w:rsidRDefault="00BF083B" w:rsidP="00BF083B">
      <w:pPr>
        <w:spacing w:line="256" w:lineRule="auto"/>
        <w:jc w:val="left"/>
        <w:rPr>
          <w:rFonts w:ascii="Arial" w:hAnsi="Arial" w:cs="Arial"/>
          <w:b/>
          <w:bCs/>
        </w:rPr>
      </w:pPr>
      <w:r w:rsidRPr="00084942">
        <w:rPr>
          <w:rFonts w:ascii="Arial" w:hAnsi="Arial" w:cs="Arial"/>
          <w:b/>
          <w:bCs/>
        </w:rPr>
        <w:t xml:space="preserve">Student Name: </w:t>
      </w:r>
      <w:r w:rsidRPr="00084942">
        <w:rPr>
          <w:rFonts w:ascii="Arial" w:hAnsi="Arial" w:cs="Arial"/>
          <w:b/>
          <w:bCs/>
          <w:u w:val="single"/>
        </w:rPr>
        <w:t>Aman Kaushal</w:t>
      </w:r>
    </w:p>
    <w:p w14:paraId="4A79761A" w14:textId="77777777" w:rsidR="00BF083B" w:rsidRPr="00084942" w:rsidRDefault="00BF083B" w:rsidP="00BF083B">
      <w:pPr>
        <w:spacing w:line="256" w:lineRule="auto"/>
        <w:jc w:val="left"/>
        <w:rPr>
          <w:rFonts w:ascii="Arial" w:hAnsi="Arial" w:cs="Arial"/>
          <w:b/>
          <w:bCs/>
          <w:u w:val="single"/>
        </w:rPr>
      </w:pPr>
      <w:r w:rsidRPr="00084942">
        <w:rPr>
          <w:rFonts w:ascii="Arial" w:hAnsi="Arial" w:cs="Arial"/>
          <w:b/>
          <w:bCs/>
        </w:rPr>
        <w:t xml:space="preserve">Student ID: </w:t>
      </w:r>
      <w:r w:rsidRPr="00084942">
        <w:rPr>
          <w:rFonts w:ascii="Arial" w:hAnsi="Arial" w:cs="Arial"/>
          <w:b/>
          <w:bCs/>
          <w:u w:val="single"/>
        </w:rPr>
        <w:t>2437693</w:t>
      </w:r>
    </w:p>
    <w:p w14:paraId="30B498DD" w14:textId="2B98F49A" w:rsidR="00BF083B" w:rsidRPr="00084942" w:rsidRDefault="00BF083B" w:rsidP="00BF083B">
      <w:pPr>
        <w:spacing w:line="256" w:lineRule="auto"/>
        <w:jc w:val="left"/>
        <w:rPr>
          <w:rFonts w:ascii="Arial" w:hAnsi="Arial" w:cs="Arial"/>
          <w:b/>
          <w:bCs/>
        </w:rPr>
      </w:pPr>
      <w:r w:rsidRPr="00084942">
        <w:rPr>
          <w:rFonts w:ascii="Arial" w:hAnsi="Arial" w:cs="Arial"/>
          <w:b/>
          <w:bCs/>
        </w:rPr>
        <w:t xml:space="preserve">Submission Date: </w:t>
      </w:r>
      <w:r w:rsidRPr="00084942">
        <w:rPr>
          <w:rFonts w:ascii="Arial" w:hAnsi="Arial" w:cs="Arial"/>
          <w:b/>
          <w:bCs/>
          <w:u w:val="single"/>
        </w:rPr>
        <w:t>24</w:t>
      </w:r>
      <w:r w:rsidRPr="00084942">
        <w:rPr>
          <w:rFonts w:ascii="Arial" w:hAnsi="Arial" w:cs="Arial"/>
          <w:b/>
          <w:bCs/>
          <w:u w:val="single"/>
          <w:vertAlign w:val="superscript"/>
        </w:rPr>
        <w:t>th</w:t>
      </w:r>
      <w:r w:rsidRPr="00084942">
        <w:rPr>
          <w:rFonts w:ascii="Arial" w:hAnsi="Arial" w:cs="Arial"/>
          <w:b/>
          <w:bCs/>
          <w:u w:val="single"/>
        </w:rPr>
        <w:t xml:space="preserve"> Nov 2025</w:t>
      </w:r>
    </w:p>
    <w:p w14:paraId="3273C382" w14:textId="77777777" w:rsidR="00BF083B" w:rsidRPr="00084942" w:rsidRDefault="00BF083B">
      <w:pPr>
        <w:spacing w:line="259" w:lineRule="auto"/>
        <w:jc w:val="left"/>
        <w:rPr>
          <w:rFonts w:ascii="Arial" w:hAnsi="Arial" w:cs="Arial"/>
        </w:rPr>
      </w:pPr>
    </w:p>
    <w:p w14:paraId="178330CD" w14:textId="56A1FC36" w:rsidR="00DD4412" w:rsidRPr="00084942" w:rsidRDefault="00DD4412" w:rsidP="00BA7DA5">
      <w:pPr>
        <w:spacing w:line="259" w:lineRule="auto"/>
        <w:jc w:val="left"/>
        <w:rPr>
          <w:rFonts w:ascii="Arial" w:eastAsiaTheme="majorEastAsia" w:hAnsi="Arial" w:cs="Arial"/>
          <w:b/>
          <w:szCs w:val="40"/>
        </w:rPr>
      </w:pPr>
      <w:r w:rsidRPr="00084942">
        <w:rPr>
          <w:rFonts w:ascii="Arial" w:hAnsi="Arial" w:cs="Arial"/>
          <w:b/>
          <w:bCs/>
          <w:sz w:val="32"/>
          <w:szCs w:val="32"/>
        </w:rPr>
        <w:br w:type="page"/>
      </w:r>
    </w:p>
    <w:p w14:paraId="3DC930B2" w14:textId="7F540D51" w:rsidR="0061737E" w:rsidRPr="00084942" w:rsidRDefault="0061737E" w:rsidP="0061737E">
      <w:pPr>
        <w:spacing w:before="240"/>
        <w:jc w:val="center"/>
        <w:rPr>
          <w:rFonts w:ascii="Arial" w:hAnsi="Arial" w:cs="Arial"/>
          <w:b/>
          <w:bCs/>
        </w:rPr>
      </w:pPr>
      <w:r w:rsidRPr="00084942">
        <w:rPr>
          <w:rFonts w:ascii="Arial" w:hAnsi="Arial" w:cs="Arial"/>
          <w:b/>
          <w:bCs/>
        </w:rPr>
        <w:lastRenderedPageBreak/>
        <w:t>Executive Summary</w:t>
      </w:r>
    </w:p>
    <w:p w14:paraId="54DD9E21" w14:textId="28E5868F" w:rsidR="00AE49A1" w:rsidRPr="00084942" w:rsidRDefault="00AE49A1" w:rsidP="00AE49A1">
      <w:pPr>
        <w:spacing w:before="240"/>
        <w:rPr>
          <w:rFonts w:ascii="Arial" w:hAnsi="Arial" w:cs="Arial"/>
        </w:rPr>
      </w:pPr>
      <w:r w:rsidRPr="00084942">
        <w:rPr>
          <w:rFonts w:ascii="Arial" w:hAnsi="Arial" w:cs="Arial"/>
        </w:rPr>
        <w:t>General Electronics is a big multinational consumer electronics firm that is financially desperate given the dropping sales, high leverage and reducing cash flows. Net sales have decreased one-third in £614.7 billion in 2020 to £394.9 billion in 2024 and net income has deteriorated to a loss of £24.0 billion reducing to a profit of £38.6 billion. The liquidity is limited and the cash stands at £26.8 billion and the current ratio is at 1.53 which indicates high working capital strain. Altman Z-Score is 2.82 and the company is in the grey zone and financial status and that is why the company has higher chances of defaulting.</w:t>
      </w:r>
    </w:p>
    <w:p w14:paraId="55084203" w14:textId="23898268" w:rsidR="00AE49A1" w:rsidRPr="00084942" w:rsidRDefault="00AE49A1" w:rsidP="00AE49A1">
      <w:pPr>
        <w:spacing w:before="240"/>
        <w:rPr>
          <w:rFonts w:ascii="Arial" w:hAnsi="Arial" w:cs="Arial"/>
        </w:rPr>
      </w:pPr>
      <w:r w:rsidRPr="00084942">
        <w:rPr>
          <w:rFonts w:ascii="Arial" w:hAnsi="Arial" w:cs="Arial"/>
        </w:rPr>
        <w:t xml:space="preserve">Turnaround plan will rejuvenate profitability, re-brand capital structure and improve efficiency of liquidity. Some of the recommended re-creating scale and competitiveness measures include divestment of non-core business facilities, merging of production facilities and strategic technology alliances. Sustainable debt to equity less than 0.8 Financial restructuring shall entail a contribution of </w:t>
      </w:r>
      <w:r w:rsidR="007F4107" w:rsidRPr="00084942">
        <w:rPr>
          <w:rFonts w:ascii="Arial" w:hAnsi="Arial" w:cs="Arial"/>
        </w:rPr>
        <w:t>£</w:t>
      </w:r>
      <w:r w:rsidRPr="00084942">
        <w:rPr>
          <w:rFonts w:ascii="Arial" w:hAnsi="Arial" w:cs="Arial"/>
        </w:rPr>
        <w:t>40-50 billion pounds of equity, focused debt reprofiling and shift to sustainability-based financing.</w:t>
      </w:r>
    </w:p>
    <w:p w14:paraId="3063808A" w14:textId="456CD9FE" w:rsidR="00AE49A1" w:rsidRPr="00084942" w:rsidRDefault="00AE49A1" w:rsidP="00AE49A1">
      <w:pPr>
        <w:spacing w:before="240"/>
        <w:rPr>
          <w:rFonts w:ascii="Arial" w:hAnsi="Arial" w:cs="Arial"/>
        </w:rPr>
      </w:pPr>
      <w:r w:rsidRPr="00084942">
        <w:rPr>
          <w:rFonts w:ascii="Arial" w:hAnsi="Arial" w:cs="Arial"/>
        </w:rPr>
        <w:t xml:space="preserve">There is more than </w:t>
      </w:r>
      <w:r w:rsidR="007F4107" w:rsidRPr="00084942">
        <w:rPr>
          <w:rFonts w:ascii="Arial" w:hAnsi="Arial" w:cs="Arial"/>
        </w:rPr>
        <w:t>£</w:t>
      </w:r>
      <w:r w:rsidRPr="00084942">
        <w:rPr>
          <w:rFonts w:ascii="Arial" w:hAnsi="Arial" w:cs="Arial"/>
        </w:rPr>
        <w:t xml:space="preserve">10 billion cash that may be liberated by means of working capital reforms such as optimization of receivables, inventory and supplier financing. The initial capital rationing of £60 million prioritizes project A with an IRR of 11.3 per cent having a payback period of 2.6 years and an immediate cash flow payback. Cost controls, responsible funding and good ethics can help General Electronics stabilize operations, win investor trust and turn around financial distress to the </w:t>
      </w:r>
      <w:r w:rsidR="00EC0983" w:rsidRPr="00084942">
        <w:rPr>
          <w:rFonts w:ascii="Arial" w:hAnsi="Arial" w:cs="Arial"/>
        </w:rPr>
        <w:t>long-term</w:t>
      </w:r>
      <w:r w:rsidRPr="00084942">
        <w:rPr>
          <w:rFonts w:ascii="Arial" w:hAnsi="Arial" w:cs="Arial"/>
        </w:rPr>
        <w:t xml:space="preserve"> growth making it again a competitive and socially responsible leader in the world electronics.</w:t>
      </w:r>
    </w:p>
    <w:p w14:paraId="0E943092" w14:textId="77777777" w:rsidR="00DD4412" w:rsidRPr="00084942" w:rsidRDefault="00DD4412">
      <w:pPr>
        <w:spacing w:line="259" w:lineRule="auto"/>
        <w:jc w:val="left"/>
        <w:rPr>
          <w:rFonts w:ascii="Arial" w:eastAsiaTheme="majorEastAsia" w:hAnsi="Arial" w:cs="Arial"/>
          <w:b/>
          <w:szCs w:val="40"/>
        </w:rPr>
      </w:pPr>
      <w:r w:rsidRPr="00084942">
        <w:rPr>
          <w:rFonts w:ascii="Arial" w:hAnsi="Arial" w:cs="Arial"/>
        </w:rPr>
        <w:br w:type="page"/>
      </w:r>
    </w:p>
    <w:sdt>
      <w:sdtPr>
        <w:rPr>
          <w:rFonts w:ascii="Arial" w:eastAsiaTheme="minorHAnsi" w:hAnsi="Arial" w:cs="Arial"/>
          <w:color w:val="000000" w:themeColor="text1"/>
          <w:kern w:val="2"/>
          <w:sz w:val="24"/>
          <w:szCs w:val="22"/>
          <w14:ligatures w14:val="standardContextual"/>
        </w:rPr>
        <w:id w:val="1612008467"/>
        <w:docPartObj>
          <w:docPartGallery w:val="Table of Contents"/>
          <w:docPartUnique/>
        </w:docPartObj>
      </w:sdtPr>
      <w:sdtEndPr>
        <w:rPr>
          <w:b/>
          <w:bCs/>
        </w:rPr>
      </w:sdtEndPr>
      <w:sdtContent>
        <w:p w14:paraId="4F0D3900" w14:textId="402A4EFB" w:rsidR="000D359F" w:rsidRPr="00084942" w:rsidRDefault="000D359F" w:rsidP="0085535C">
          <w:pPr>
            <w:pStyle w:val="TOCHeading"/>
            <w:spacing w:line="360" w:lineRule="auto"/>
            <w:jc w:val="center"/>
            <w:rPr>
              <w:rFonts w:ascii="Arial" w:hAnsi="Arial" w:cs="Arial"/>
              <w:b/>
              <w:bCs/>
              <w:color w:val="000000" w:themeColor="text1"/>
              <w:sz w:val="24"/>
              <w:szCs w:val="24"/>
            </w:rPr>
          </w:pPr>
          <w:r w:rsidRPr="00084942">
            <w:rPr>
              <w:rFonts w:ascii="Arial" w:hAnsi="Arial" w:cs="Arial"/>
              <w:b/>
              <w:bCs/>
              <w:color w:val="000000" w:themeColor="text1"/>
              <w:sz w:val="24"/>
              <w:szCs w:val="24"/>
            </w:rPr>
            <w:t>Table of Contents</w:t>
          </w:r>
        </w:p>
        <w:p w14:paraId="4317683F" w14:textId="5B0A6EF2" w:rsidR="003246F8" w:rsidRPr="00084942" w:rsidRDefault="000D359F" w:rsidP="0085535C">
          <w:pPr>
            <w:pStyle w:val="TOC1"/>
            <w:tabs>
              <w:tab w:val="right" w:leader="dot" w:pos="9350"/>
            </w:tabs>
            <w:spacing w:before="240" w:after="0"/>
            <w:rPr>
              <w:rFonts w:ascii="Arial" w:eastAsiaTheme="minorEastAsia" w:hAnsi="Arial" w:cs="Arial"/>
              <w:noProof/>
              <w:szCs w:val="24"/>
            </w:rPr>
          </w:pPr>
          <w:r w:rsidRPr="00084942">
            <w:rPr>
              <w:rFonts w:ascii="Arial" w:hAnsi="Arial" w:cs="Arial"/>
              <w:szCs w:val="24"/>
            </w:rPr>
            <w:fldChar w:fldCharType="begin"/>
          </w:r>
          <w:r w:rsidRPr="00084942">
            <w:rPr>
              <w:rFonts w:ascii="Arial" w:hAnsi="Arial" w:cs="Arial"/>
              <w:szCs w:val="24"/>
            </w:rPr>
            <w:instrText xml:space="preserve"> TOC \o "1-3" \h \z \u </w:instrText>
          </w:r>
          <w:r w:rsidRPr="00084942">
            <w:rPr>
              <w:rFonts w:ascii="Arial" w:hAnsi="Arial" w:cs="Arial"/>
              <w:szCs w:val="24"/>
            </w:rPr>
            <w:fldChar w:fldCharType="separate"/>
          </w:r>
          <w:hyperlink w:anchor="_Toc213680170" w:history="1">
            <w:r w:rsidR="003246F8" w:rsidRPr="00084942">
              <w:rPr>
                <w:rStyle w:val="Hyperlink"/>
                <w:rFonts w:ascii="Arial" w:hAnsi="Arial" w:cs="Arial"/>
                <w:noProof/>
                <w:color w:val="000000" w:themeColor="text1"/>
                <w:szCs w:val="24"/>
              </w:rPr>
              <w:t>1. Financial Health Check</w:t>
            </w:r>
            <w:r w:rsidR="003246F8" w:rsidRPr="00084942">
              <w:rPr>
                <w:rFonts w:ascii="Arial" w:hAnsi="Arial" w:cs="Arial"/>
                <w:noProof/>
                <w:webHidden/>
                <w:szCs w:val="24"/>
              </w:rPr>
              <w:tab/>
            </w:r>
            <w:r w:rsidR="003246F8" w:rsidRPr="00084942">
              <w:rPr>
                <w:rFonts w:ascii="Arial" w:hAnsi="Arial" w:cs="Arial"/>
                <w:noProof/>
                <w:webHidden/>
                <w:szCs w:val="24"/>
              </w:rPr>
              <w:fldChar w:fldCharType="begin"/>
            </w:r>
            <w:r w:rsidR="003246F8" w:rsidRPr="00084942">
              <w:rPr>
                <w:rFonts w:ascii="Arial" w:hAnsi="Arial" w:cs="Arial"/>
                <w:noProof/>
                <w:webHidden/>
                <w:szCs w:val="24"/>
              </w:rPr>
              <w:instrText xml:space="preserve"> PAGEREF _Toc213680170 \h </w:instrText>
            </w:r>
            <w:r w:rsidR="003246F8" w:rsidRPr="00084942">
              <w:rPr>
                <w:rFonts w:ascii="Arial" w:hAnsi="Arial" w:cs="Arial"/>
                <w:noProof/>
                <w:webHidden/>
                <w:szCs w:val="24"/>
              </w:rPr>
            </w:r>
            <w:r w:rsidR="003246F8" w:rsidRPr="00084942">
              <w:rPr>
                <w:rFonts w:ascii="Arial" w:hAnsi="Arial" w:cs="Arial"/>
                <w:noProof/>
                <w:webHidden/>
                <w:szCs w:val="24"/>
              </w:rPr>
              <w:fldChar w:fldCharType="separate"/>
            </w:r>
            <w:r w:rsidR="00084942">
              <w:rPr>
                <w:rFonts w:ascii="Arial" w:hAnsi="Arial" w:cs="Arial"/>
                <w:noProof/>
                <w:webHidden/>
                <w:szCs w:val="24"/>
              </w:rPr>
              <w:t>5</w:t>
            </w:r>
            <w:r w:rsidR="003246F8" w:rsidRPr="00084942">
              <w:rPr>
                <w:rFonts w:ascii="Arial" w:hAnsi="Arial" w:cs="Arial"/>
                <w:noProof/>
                <w:webHidden/>
                <w:szCs w:val="24"/>
              </w:rPr>
              <w:fldChar w:fldCharType="end"/>
            </w:r>
          </w:hyperlink>
        </w:p>
        <w:p w14:paraId="74070995" w14:textId="05D84EBF" w:rsidR="003246F8" w:rsidRPr="00084942" w:rsidRDefault="003246F8" w:rsidP="0085535C">
          <w:pPr>
            <w:pStyle w:val="TOC2"/>
            <w:tabs>
              <w:tab w:val="right" w:leader="dot" w:pos="9350"/>
            </w:tabs>
            <w:spacing w:before="240" w:after="0"/>
            <w:rPr>
              <w:rFonts w:ascii="Arial" w:eastAsiaTheme="minorEastAsia" w:hAnsi="Arial" w:cs="Arial"/>
              <w:noProof/>
              <w:szCs w:val="24"/>
            </w:rPr>
          </w:pPr>
          <w:hyperlink w:anchor="_Toc213680171" w:history="1">
            <w:r w:rsidRPr="00084942">
              <w:rPr>
                <w:rStyle w:val="Hyperlink"/>
                <w:rFonts w:ascii="Arial" w:hAnsi="Arial" w:cs="Arial"/>
                <w:noProof/>
                <w:color w:val="000000" w:themeColor="text1"/>
                <w:szCs w:val="24"/>
              </w:rPr>
              <w:t>Top-line and Margin Dynamics</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_Toc213680171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5</w:t>
            </w:r>
            <w:r w:rsidRPr="00084942">
              <w:rPr>
                <w:rFonts w:ascii="Arial" w:hAnsi="Arial" w:cs="Arial"/>
                <w:noProof/>
                <w:webHidden/>
                <w:szCs w:val="24"/>
              </w:rPr>
              <w:fldChar w:fldCharType="end"/>
            </w:r>
          </w:hyperlink>
        </w:p>
        <w:p w14:paraId="4D078B05" w14:textId="174646C2" w:rsidR="003246F8" w:rsidRPr="00084942" w:rsidRDefault="003246F8" w:rsidP="0085535C">
          <w:pPr>
            <w:pStyle w:val="TOC2"/>
            <w:tabs>
              <w:tab w:val="right" w:leader="dot" w:pos="9350"/>
            </w:tabs>
            <w:spacing w:before="240" w:after="0"/>
            <w:rPr>
              <w:rFonts w:ascii="Arial" w:eastAsiaTheme="minorEastAsia" w:hAnsi="Arial" w:cs="Arial"/>
              <w:noProof/>
              <w:szCs w:val="24"/>
            </w:rPr>
          </w:pPr>
          <w:hyperlink w:anchor="_Toc213680172" w:history="1">
            <w:r w:rsidRPr="00084942">
              <w:rPr>
                <w:rStyle w:val="Hyperlink"/>
                <w:rFonts w:ascii="Arial" w:hAnsi="Arial" w:cs="Arial"/>
                <w:noProof/>
                <w:color w:val="000000" w:themeColor="text1"/>
                <w:szCs w:val="24"/>
              </w:rPr>
              <w:t>Profitability and Return Metrics</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_Toc213680172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6</w:t>
            </w:r>
            <w:r w:rsidRPr="00084942">
              <w:rPr>
                <w:rFonts w:ascii="Arial" w:hAnsi="Arial" w:cs="Arial"/>
                <w:noProof/>
                <w:webHidden/>
                <w:szCs w:val="24"/>
              </w:rPr>
              <w:fldChar w:fldCharType="end"/>
            </w:r>
          </w:hyperlink>
        </w:p>
        <w:p w14:paraId="356D1C41" w14:textId="127EDAE3" w:rsidR="003246F8" w:rsidRPr="00084942" w:rsidRDefault="003246F8" w:rsidP="0085535C">
          <w:pPr>
            <w:pStyle w:val="TOC2"/>
            <w:tabs>
              <w:tab w:val="right" w:leader="dot" w:pos="9350"/>
            </w:tabs>
            <w:spacing w:before="240" w:after="0"/>
            <w:rPr>
              <w:rFonts w:ascii="Arial" w:eastAsiaTheme="minorEastAsia" w:hAnsi="Arial" w:cs="Arial"/>
              <w:noProof/>
              <w:szCs w:val="24"/>
            </w:rPr>
          </w:pPr>
          <w:hyperlink w:anchor="_Toc213680173" w:history="1">
            <w:r w:rsidRPr="00084942">
              <w:rPr>
                <w:rStyle w:val="Hyperlink"/>
                <w:rFonts w:ascii="Arial" w:hAnsi="Arial" w:cs="Arial"/>
                <w:noProof/>
                <w:color w:val="000000" w:themeColor="text1"/>
                <w:szCs w:val="24"/>
              </w:rPr>
              <w:t>Liquidity and Solvency Profile</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_Toc213680173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7</w:t>
            </w:r>
            <w:r w:rsidRPr="00084942">
              <w:rPr>
                <w:rFonts w:ascii="Arial" w:hAnsi="Arial" w:cs="Arial"/>
                <w:noProof/>
                <w:webHidden/>
                <w:szCs w:val="24"/>
              </w:rPr>
              <w:fldChar w:fldCharType="end"/>
            </w:r>
          </w:hyperlink>
        </w:p>
        <w:p w14:paraId="35E1B07F" w14:textId="3F513808" w:rsidR="003246F8" w:rsidRPr="00084942" w:rsidRDefault="003246F8" w:rsidP="0085535C">
          <w:pPr>
            <w:pStyle w:val="TOC2"/>
            <w:tabs>
              <w:tab w:val="right" w:leader="dot" w:pos="9350"/>
            </w:tabs>
            <w:spacing w:before="240" w:after="0"/>
            <w:rPr>
              <w:rFonts w:ascii="Arial" w:eastAsiaTheme="minorEastAsia" w:hAnsi="Arial" w:cs="Arial"/>
              <w:noProof/>
              <w:szCs w:val="24"/>
            </w:rPr>
          </w:pPr>
          <w:hyperlink w:anchor="_Toc213680174" w:history="1">
            <w:r w:rsidRPr="00084942">
              <w:rPr>
                <w:rStyle w:val="Hyperlink"/>
                <w:rFonts w:ascii="Arial" w:hAnsi="Arial" w:cs="Arial"/>
                <w:noProof/>
                <w:color w:val="000000" w:themeColor="text1"/>
                <w:szCs w:val="24"/>
              </w:rPr>
              <w:t>Efficiency and Cash Flow Quality</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_Toc213680174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8</w:t>
            </w:r>
            <w:r w:rsidRPr="00084942">
              <w:rPr>
                <w:rFonts w:ascii="Arial" w:hAnsi="Arial" w:cs="Arial"/>
                <w:noProof/>
                <w:webHidden/>
                <w:szCs w:val="24"/>
              </w:rPr>
              <w:fldChar w:fldCharType="end"/>
            </w:r>
          </w:hyperlink>
        </w:p>
        <w:p w14:paraId="2E3CCB89" w14:textId="77B06182" w:rsidR="003246F8" w:rsidRPr="00084942" w:rsidRDefault="003246F8" w:rsidP="0085535C">
          <w:pPr>
            <w:pStyle w:val="TOC2"/>
            <w:tabs>
              <w:tab w:val="right" w:leader="dot" w:pos="9350"/>
            </w:tabs>
            <w:spacing w:before="240" w:after="0"/>
            <w:rPr>
              <w:rFonts w:ascii="Arial" w:eastAsiaTheme="minorEastAsia" w:hAnsi="Arial" w:cs="Arial"/>
              <w:noProof/>
              <w:szCs w:val="24"/>
            </w:rPr>
          </w:pPr>
          <w:hyperlink w:anchor="_Toc213680175" w:history="1">
            <w:r w:rsidRPr="00084942">
              <w:rPr>
                <w:rStyle w:val="Hyperlink"/>
                <w:rFonts w:ascii="Arial" w:hAnsi="Arial" w:cs="Arial"/>
                <w:noProof/>
                <w:color w:val="000000" w:themeColor="text1"/>
                <w:szCs w:val="24"/>
              </w:rPr>
              <w:t>Corporate Failure Risk</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_Toc213680175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8</w:t>
            </w:r>
            <w:r w:rsidRPr="00084942">
              <w:rPr>
                <w:rFonts w:ascii="Arial" w:hAnsi="Arial" w:cs="Arial"/>
                <w:noProof/>
                <w:webHidden/>
                <w:szCs w:val="24"/>
              </w:rPr>
              <w:fldChar w:fldCharType="end"/>
            </w:r>
          </w:hyperlink>
        </w:p>
        <w:p w14:paraId="6D59009D" w14:textId="56177ECC" w:rsidR="003246F8" w:rsidRPr="00084942" w:rsidRDefault="003246F8" w:rsidP="0085535C">
          <w:pPr>
            <w:pStyle w:val="TOC1"/>
            <w:tabs>
              <w:tab w:val="right" w:leader="dot" w:pos="9350"/>
            </w:tabs>
            <w:spacing w:before="240" w:after="0"/>
            <w:rPr>
              <w:rFonts w:ascii="Arial" w:eastAsiaTheme="minorEastAsia" w:hAnsi="Arial" w:cs="Arial"/>
              <w:noProof/>
              <w:szCs w:val="24"/>
            </w:rPr>
          </w:pPr>
          <w:hyperlink w:anchor="_Toc213680176" w:history="1">
            <w:r w:rsidRPr="00084942">
              <w:rPr>
                <w:rStyle w:val="Hyperlink"/>
                <w:rFonts w:ascii="Arial" w:hAnsi="Arial" w:cs="Arial"/>
                <w:noProof/>
                <w:color w:val="000000" w:themeColor="text1"/>
                <w:szCs w:val="24"/>
              </w:rPr>
              <w:t>2. Working Capital Management Analysis</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_Toc213680176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10</w:t>
            </w:r>
            <w:r w:rsidRPr="00084942">
              <w:rPr>
                <w:rFonts w:ascii="Arial" w:hAnsi="Arial" w:cs="Arial"/>
                <w:noProof/>
                <w:webHidden/>
                <w:szCs w:val="24"/>
              </w:rPr>
              <w:fldChar w:fldCharType="end"/>
            </w:r>
          </w:hyperlink>
        </w:p>
        <w:p w14:paraId="0A796992" w14:textId="5E5F684D" w:rsidR="003246F8" w:rsidRPr="00084942" w:rsidRDefault="003246F8" w:rsidP="0085535C">
          <w:pPr>
            <w:pStyle w:val="TOC2"/>
            <w:tabs>
              <w:tab w:val="right" w:leader="dot" w:pos="9350"/>
            </w:tabs>
            <w:spacing w:before="240" w:after="0"/>
            <w:rPr>
              <w:rFonts w:ascii="Arial" w:eastAsiaTheme="minorEastAsia" w:hAnsi="Arial" w:cs="Arial"/>
              <w:noProof/>
              <w:szCs w:val="24"/>
            </w:rPr>
          </w:pPr>
          <w:hyperlink w:anchor="_Toc213680177" w:history="1">
            <w:r w:rsidRPr="00084942">
              <w:rPr>
                <w:rStyle w:val="Hyperlink"/>
                <w:rFonts w:ascii="Arial" w:hAnsi="Arial" w:cs="Arial"/>
                <w:noProof/>
                <w:color w:val="000000" w:themeColor="text1"/>
                <w:szCs w:val="24"/>
              </w:rPr>
              <w:t>Cash Operating Cycle Diagnosis</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_Toc213680177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10</w:t>
            </w:r>
            <w:r w:rsidRPr="00084942">
              <w:rPr>
                <w:rFonts w:ascii="Arial" w:hAnsi="Arial" w:cs="Arial"/>
                <w:noProof/>
                <w:webHidden/>
                <w:szCs w:val="24"/>
              </w:rPr>
              <w:fldChar w:fldCharType="end"/>
            </w:r>
          </w:hyperlink>
        </w:p>
        <w:p w14:paraId="6ED3B41E" w14:textId="35029E5C" w:rsidR="003246F8" w:rsidRPr="00084942" w:rsidRDefault="003246F8" w:rsidP="0085535C">
          <w:pPr>
            <w:pStyle w:val="TOC2"/>
            <w:tabs>
              <w:tab w:val="right" w:leader="dot" w:pos="9350"/>
            </w:tabs>
            <w:spacing w:before="240" w:after="0"/>
            <w:rPr>
              <w:rFonts w:ascii="Arial" w:eastAsiaTheme="minorEastAsia" w:hAnsi="Arial" w:cs="Arial"/>
              <w:noProof/>
              <w:szCs w:val="24"/>
            </w:rPr>
          </w:pPr>
          <w:hyperlink w:anchor="_Toc213680178" w:history="1">
            <w:r w:rsidRPr="00084942">
              <w:rPr>
                <w:rStyle w:val="Hyperlink"/>
                <w:rFonts w:ascii="Arial" w:hAnsi="Arial" w:cs="Arial"/>
                <w:noProof/>
                <w:color w:val="000000" w:themeColor="text1"/>
                <w:szCs w:val="24"/>
              </w:rPr>
              <w:t>Liquidity Unlock Plan</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_Toc213680178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11</w:t>
            </w:r>
            <w:r w:rsidRPr="00084942">
              <w:rPr>
                <w:rFonts w:ascii="Arial" w:hAnsi="Arial" w:cs="Arial"/>
                <w:noProof/>
                <w:webHidden/>
                <w:szCs w:val="24"/>
              </w:rPr>
              <w:fldChar w:fldCharType="end"/>
            </w:r>
          </w:hyperlink>
        </w:p>
        <w:p w14:paraId="4AB1D7F0" w14:textId="58A9F580" w:rsidR="003246F8" w:rsidRPr="00084942" w:rsidRDefault="003246F8" w:rsidP="0085535C">
          <w:pPr>
            <w:pStyle w:val="TOC2"/>
            <w:tabs>
              <w:tab w:val="right" w:leader="dot" w:pos="9350"/>
            </w:tabs>
            <w:spacing w:before="240" w:after="0"/>
            <w:rPr>
              <w:rFonts w:ascii="Arial" w:eastAsiaTheme="minorEastAsia" w:hAnsi="Arial" w:cs="Arial"/>
              <w:noProof/>
              <w:szCs w:val="24"/>
            </w:rPr>
          </w:pPr>
          <w:hyperlink w:anchor="_Toc213680179" w:history="1">
            <w:r w:rsidRPr="00084942">
              <w:rPr>
                <w:rStyle w:val="Hyperlink"/>
                <w:rFonts w:ascii="Arial" w:hAnsi="Arial" w:cs="Arial"/>
                <w:noProof/>
                <w:color w:val="000000" w:themeColor="text1"/>
                <w:szCs w:val="24"/>
              </w:rPr>
              <w:t>Financing the Gap</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_Toc213680179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12</w:t>
            </w:r>
            <w:r w:rsidRPr="00084942">
              <w:rPr>
                <w:rFonts w:ascii="Arial" w:hAnsi="Arial" w:cs="Arial"/>
                <w:noProof/>
                <w:webHidden/>
                <w:szCs w:val="24"/>
              </w:rPr>
              <w:fldChar w:fldCharType="end"/>
            </w:r>
          </w:hyperlink>
        </w:p>
        <w:p w14:paraId="23B5E18A" w14:textId="1BB4A3F5" w:rsidR="003246F8" w:rsidRPr="00084942" w:rsidRDefault="003246F8" w:rsidP="0085535C">
          <w:pPr>
            <w:pStyle w:val="TOC1"/>
            <w:tabs>
              <w:tab w:val="right" w:leader="dot" w:pos="9350"/>
            </w:tabs>
            <w:spacing w:before="240" w:after="0"/>
            <w:rPr>
              <w:rFonts w:ascii="Arial" w:eastAsiaTheme="minorEastAsia" w:hAnsi="Arial" w:cs="Arial"/>
              <w:noProof/>
              <w:szCs w:val="24"/>
            </w:rPr>
          </w:pPr>
          <w:hyperlink w:anchor="_Toc213680180" w:history="1">
            <w:r w:rsidRPr="00084942">
              <w:rPr>
                <w:rStyle w:val="Hyperlink"/>
                <w:rFonts w:ascii="Arial" w:hAnsi="Arial" w:cs="Arial"/>
                <w:noProof/>
                <w:color w:val="000000" w:themeColor="text1"/>
                <w:szCs w:val="24"/>
              </w:rPr>
              <w:t>3. Strategic Financial Restructuring Plan</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_Toc213680180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13</w:t>
            </w:r>
            <w:r w:rsidRPr="00084942">
              <w:rPr>
                <w:rFonts w:ascii="Arial" w:hAnsi="Arial" w:cs="Arial"/>
                <w:noProof/>
                <w:webHidden/>
                <w:szCs w:val="24"/>
              </w:rPr>
              <w:fldChar w:fldCharType="end"/>
            </w:r>
          </w:hyperlink>
        </w:p>
        <w:p w14:paraId="139A2C53" w14:textId="0EA2FEB5" w:rsidR="003246F8" w:rsidRPr="00084942" w:rsidRDefault="003246F8" w:rsidP="0085535C">
          <w:pPr>
            <w:pStyle w:val="TOC2"/>
            <w:tabs>
              <w:tab w:val="right" w:leader="dot" w:pos="9350"/>
            </w:tabs>
            <w:spacing w:before="240" w:after="0"/>
            <w:rPr>
              <w:rFonts w:ascii="Arial" w:eastAsiaTheme="minorEastAsia" w:hAnsi="Arial" w:cs="Arial"/>
              <w:noProof/>
              <w:szCs w:val="24"/>
            </w:rPr>
          </w:pPr>
          <w:hyperlink w:anchor="_Toc213680181" w:history="1">
            <w:r w:rsidRPr="00084942">
              <w:rPr>
                <w:rStyle w:val="Hyperlink"/>
                <w:rFonts w:ascii="Arial" w:hAnsi="Arial" w:cs="Arial"/>
                <w:noProof/>
                <w:color w:val="000000" w:themeColor="text1"/>
                <w:szCs w:val="24"/>
              </w:rPr>
              <w:t>Problem Statement and Value at Risk</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_Toc213680181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13</w:t>
            </w:r>
            <w:r w:rsidRPr="00084942">
              <w:rPr>
                <w:rFonts w:ascii="Arial" w:hAnsi="Arial" w:cs="Arial"/>
                <w:noProof/>
                <w:webHidden/>
                <w:szCs w:val="24"/>
              </w:rPr>
              <w:fldChar w:fldCharType="end"/>
            </w:r>
          </w:hyperlink>
        </w:p>
        <w:p w14:paraId="1CA320AE" w14:textId="3A6C9AEE" w:rsidR="003246F8" w:rsidRPr="00084942" w:rsidRDefault="003246F8" w:rsidP="0085535C">
          <w:pPr>
            <w:pStyle w:val="TOC2"/>
            <w:tabs>
              <w:tab w:val="right" w:leader="dot" w:pos="9350"/>
            </w:tabs>
            <w:spacing w:before="240" w:after="0"/>
            <w:rPr>
              <w:rFonts w:ascii="Arial" w:eastAsiaTheme="minorEastAsia" w:hAnsi="Arial" w:cs="Arial"/>
              <w:noProof/>
              <w:szCs w:val="24"/>
            </w:rPr>
          </w:pPr>
          <w:hyperlink w:anchor="_Toc213680182" w:history="1">
            <w:r w:rsidRPr="00084942">
              <w:rPr>
                <w:rStyle w:val="Hyperlink"/>
                <w:rFonts w:ascii="Arial" w:hAnsi="Arial" w:cs="Arial"/>
                <w:noProof/>
                <w:color w:val="000000" w:themeColor="text1"/>
                <w:szCs w:val="24"/>
              </w:rPr>
              <w:t>Portfolio and Asset Actions</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_Toc213680182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14</w:t>
            </w:r>
            <w:r w:rsidRPr="00084942">
              <w:rPr>
                <w:rFonts w:ascii="Arial" w:hAnsi="Arial" w:cs="Arial"/>
                <w:noProof/>
                <w:webHidden/>
                <w:szCs w:val="24"/>
              </w:rPr>
              <w:fldChar w:fldCharType="end"/>
            </w:r>
          </w:hyperlink>
        </w:p>
        <w:p w14:paraId="3929735A" w14:textId="20F408E8" w:rsidR="003246F8" w:rsidRPr="00084942" w:rsidRDefault="003246F8" w:rsidP="0085535C">
          <w:pPr>
            <w:pStyle w:val="TOC2"/>
            <w:tabs>
              <w:tab w:val="right" w:leader="dot" w:pos="9350"/>
            </w:tabs>
            <w:spacing w:before="240" w:after="0"/>
            <w:rPr>
              <w:rFonts w:ascii="Arial" w:eastAsiaTheme="minorEastAsia" w:hAnsi="Arial" w:cs="Arial"/>
              <w:noProof/>
              <w:szCs w:val="24"/>
            </w:rPr>
          </w:pPr>
          <w:hyperlink w:anchor="_Toc213680183" w:history="1">
            <w:r w:rsidRPr="00084942">
              <w:rPr>
                <w:rStyle w:val="Hyperlink"/>
                <w:rFonts w:ascii="Arial" w:hAnsi="Arial" w:cs="Arial"/>
                <w:noProof/>
                <w:color w:val="000000" w:themeColor="text1"/>
                <w:szCs w:val="24"/>
              </w:rPr>
              <w:t>Capital Structure Reset</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_Toc213680183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15</w:t>
            </w:r>
            <w:r w:rsidRPr="00084942">
              <w:rPr>
                <w:rFonts w:ascii="Arial" w:hAnsi="Arial" w:cs="Arial"/>
                <w:noProof/>
                <w:webHidden/>
                <w:szCs w:val="24"/>
              </w:rPr>
              <w:fldChar w:fldCharType="end"/>
            </w:r>
          </w:hyperlink>
        </w:p>
        <w:p w14:paraId="063B09C2" w14:textId="0C65BB2E" w:rsidR="003246F8" w:rsidRPr="00084942" w:rsidRDefault="003246F8" w:rsidP="0085535C">
          <w:pPr>
            <w:pStyle w:val="TOC2"/>
            <w:tabs>
              <w:tab w:val="right" w:leader="dot" w:pos="9350"/>
            </w:tabs>
            <w:spacing w:before="240" w:after="0"/>
            <w:rPr>
              <w:rFonts w:ascii="Arial" w:eastAsiaTheme="minorEastAsia" w:hAnsi="Arial" w:cs="Arial"/>
              <w:noProof/>
              <w:szCs w:val="24"/>
            </w:rPr>
          </w:pPr>
          <w:hyperlink w:anchor="_Toc213680184" w:history="1">
            <w:r w:rsidRPr="00084942">
              <w:rPr>
                <w:rStyle w:val="Hyperlink"/>
                <w:rFonts w:ascii="Arial" w:hAnsi="Arial" w:cs="Arial"/>
                <w:noProof/>
                <w:color w:val="000000" w:themeColor="text1"/>
                <w:szCs w:val="24"/>
              </w:rPr>
              <w:t>International and Ethical Considerations</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_Toc213680184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16</w:t>
            </w:r>
            <w:r w:rsidRPr="00084942">
              <w:rPr>
                <w:rFonts w:ascii="Arial" w:hAnsi="Arial" w:cs="Arial"/>
                <w:noProof/>
                <w:webHidden/>
                <w:szCs w:val="24"/>
              </w:rPr>
              <w:fldChar w:fldCharType="end"/>
            </w:r>
          </w:hyperlink>
        </w:p>
        <w:p w14:paraId="21F20496" w14:textId="385D2F55" w:rsidR="003246F8" w:rsidRPr="00084942" w:rsidRDefault="003246F8" w:rsidP="0085535C">
          <w:pPr>
            <w:pStyle w:val="TOC1"/>
            <w:tabs>
              <w:tab w:val="right" w:leader="dot" w:pos="9350"/>
            </w:tabs>
            <w:spacing w:before="240" w:after="0"/>
            <w:rPr>
              <w:rFonts w:ascii="Arial" w:eastAsiaTheme="minorEastAsia" w:hAnsi="Arial" w:cs="Arial"/>
              <w:noProof/>
              <w:szCs w:val="24"/>
            </w:rPr>
          </w:pPr>
          <w:hyperlink w:anchor="_Toc213680185" w:history="1">
            <w:r w:rsidRPr="00084942">
              <w:rPr>
                <w:rStyle w:val="Hyperlink"/>
                <w:rFonts w:ascii="Arial" w:hAnsi="Arial" w:cs="Arial"/>
                <w:noProof/>
                <w:color w:val="000000" w:themeColor="text1"/>
                <w:szCs w:val="24"/>
              </w:rPr>
              <w:t>4. Investment Appraisal and Capital Budgeting</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_Toc213680185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17</w:t>
            </w:r>
            <w:r w:rsidRPr="00084942">
              <w:rPr>
                <w:rFonts w:ascii="Arial" w:hAnsi="Arial" w:cs="Arial"/>
                <w:noProof/>
                <w:webHidden/>
                <w:szCs w:val="24"/>
              </w:rPr>
              <w:fldChar w:fldCharType="end"/>
            </w:r>
          </w:hyperlink>
        </w:p>
        <w:p w14:paraId="5CA6AF4E" w14:textId="5A41EFCB" w:rsidR="003246F8" w:rsidRPr="00084942" w:rsidRDefault="003246F8" w:rsidP="0085535C">
          <w:pPr>
            <w:pStyle w:val="TOC2"/>
            <w:tabs>
              <w:tab w:val="right" w:leader="dot" w:pos="9350"/>
            </w:tabs>
            <w:spacing w:before="240" w:after="0"/>
            <w:rPr>
              <w:rFonts w:ascii="Arial" w:eastAsiaTheme="minorEastAsia" w:hAnsi="Arial" w:cs="Arial"/>
              <w:noProof/>
              <w:szCs w:val="24"/>
            </w:rPr>
          </w:pPr>
          <w:hyperlink w:anchor="_Toc213680186" w:history="1">
            <w:r w:rsidRPr="00084942">
              <w:rPr>
                <w:rStyle w:val="Hyperlink"/>
                <w:rFonts w:ascii="Arial" w:hAnsi="Arial" w:cs="Arial"/>
                <w:noProof/>
                <w:color w:val="000000" w:themeColor="text1"/>
                <w:szCs w:val="24"/>
              </w:rPr>
              <w:t>Methods and Assumptions</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_Toc213680186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17</w:t>
            </w:r>
            <w:r w:rsidRPr="00084942">
              <w:rPr>
                <w:rFonts w:ascii="Arial" w:hAnsi="Arial" w:cs="Arial"/>
                <w:noProof/>
                <w:webHidden/>
                <w:szCs w:val="24"/>
              </w:rPr>
              <w:fldChar w:fldCharType="end"/>
            </w:r>
          </w:hyperlink>
        </w:p>
        <w:p w14:paraId="01A021C0" w14:textId="46D4902D" w:rsidR="003246F8" w:rsidRPr="00084942" w:rsidRDefault="003246F8" w:rsidP="0085535C">
          <w:pPr>
            <w:pStyle w:val="TOC2"/>
            <w:tabs>
              <w:tab w:val="right" w:leader="dot" w:pos="9350"/>
            </w:tabs>
            <w:spacing w:before="240" w:after="0"/>
            <w:rPr>
              <w:rFonts w:ascii="Arial" w:eastAsiaTheme="minorEastAsia" w:hAnsi="Arial" w:cs="Arial"/>
              <w:noProof/>
              <w:szCs w:val="24"/>
            </w:rPr>
          </w:pPr>
          <w:hyperlink w:anchor="_Toc213680187" w:history="1">
            <w:r w:rsidRPr="00084942">
              <w:rPr>
                <w:rStyle w:val="Hyperlink"/>
                <w:rFonts w:ascii="Arial" w:hAnsi="Arial" w:cs="Arial"/>
                <w:noProof/>
                <w:color w:val="000000" w:themeColor="text1"/>
                <w:szCs w:val="24"/>
              </w:rPr>
              <w:t>Project Screens and Risk Profiles</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_Toc213680187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17</w:t>
            </w:r>
            <w:r w:rsidRPr="00084942">
              <w:rPr>
                <w:rFonts w:ascii="Arial" w:hAnsi="Arial" w:cs="Arial"/>
                <w:noProof/>
                <w:webHidden/>
                <w:szCs w:val="24"/>
              </w:rPr>
              <w:fldChar w:fldCharType="end"/>
            </w:r>
          </w:hyperlink>
        </w:p>
        <w:p w14:paraId="773B7121" w14:textId="53D7D80B" w:rsidR="003246F8" w:rsidRPr="00084942" w:rsidRDefault="003246F8" w:rsidP="0085535C">
          <w:pPr>
            <w:pStyle w:val="TOC2"/>
            <w:tabs>
              <w:tab w:val="right" w:leader="dot" w:pos="9350"/>
            </w:tabs>
            <w:spacing w:before="240" w:after="0"/>
            <w:rPr>
              <w:rFonts w:ascii="Arial" w:eastAsiaTheme="minorEastAsia" w:hAnsi="Arial" w:cs="Arial"/>
              <w:noProof/>
              <w:szCs w:val="24"/>
            </w:rPr>
          </w:pPr>
          <w:hyperlink w:anchor="_Toc213680188" w:history="1">
            <w:r w:rsidRPr="00084942">
              <w:rPr>
                <w:rStyle w:val="Hyperlink"/>
                <w:rFonts w:ascii="Arial" w:hAnsi="Arial" w:cs="Arial"/>
                <w:noProof/>
                <w:color w:val="000000" w:themeColor="text1"/>
                <w:szCs w:val="24"/>
              </w:rPr>
              <w:t>Calculations and Results Summary</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_Toc213680188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18</w:t>
            </w:r>
            <w:r w:rsidRPr="00084942">
              <w:rPr>
                <w:rFonts w:ascii="Arial" w:hAnsi="Arial" w:cs="Arial"/>
                <w:noProof/>
                <w:webHidden/>
                <w:szCs w:val="24"/>
              </w:rPr>
              <w:fldChar w:fldCharType="end"/>
            </w:r>
          </w:hyperlink>
        </w:p>
        <w:p w14:paraId="3E6FE98A" w14:textId="6BAEF042" w:rsidR="003246F8" w:rsidRPr="00084942" w:rsidRDefault="003246F8" w:rsidP="0085535C">
          <w:pPr>
            <w:pStyle w:val="TOC2"/>
            <w:tabs>
              <w:tab w:val="right" w:leader="dot" w:pos="9350"/>
            </w:tabs>
            <w:spacing w:before="240" w:after="0"/>
            <w:rPr>
              <w:rFonts w:ascii="Arial" w:eastAsiaTheme="minorEastAsia" w:hAnsi="Arial" w:cs="Arial"/>
              <w:noProof/>
              <w:szCs w:val="24"/>
            </w:rPr>
          </w:pPr>
          <w:hyperlink w:anchor="_Toc213680189" w:history="1">
            <w:r w:rsidRPr="00084942">
              <w:rPr>
                <w:rStyle w:val="Hyperlink"/>
                <w:rFonts w:ascii="Arial" w:hAnsi="Arial" w:cs="Arial"/>
                <w:noProof/>
                <w:color w:val="000000" w:themeColor="text1"/>
                <w:szCs w:val="24"/>
              </w:rPr>
              <w:t>Capital-Rationing Decision</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_Toc213680189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20</w:t>
            </w:r>
            <w:r w:rsidRPr="00084942">
              <w:rPr>
                <w:rFonts w:ascii="Arial" w:hAnsi="Arial" w:cs="Arial"/>
                <w:noProof/>
                <w:webHidden/>
                <w:szCs w:val="24"/>
              </w:rPr>
              <w:fldChar w:fldCharType="end"/>
            </w:r>
          </w:hyperlink>
        </w:p>
        <w:p w14:paraId="665F1D62" w14:textId="1AB306E0" w:rsidR="003246F8" w:rsidRPr="00084942" w:rsidRDefault="003246F8" w:rsidP="0085535C">
          <w:pPr>
            <w:pStyle w:val="TOC2"/>
            <w:tabs>
              <w:tab w:val="right" w:leader="dot" w:pos="9350"/>
            </w:tabs>
            <w:spacing w:before="240" w:after="0"/>
            <w:rPr>
              <w:rFonts w:ascii="Arial" w:eastAsiaTheme="minorEastAsia" w:hAnsi="Arial" w:cs="Arial"/>
              <w:noProof/>
              <w:szCs w:val="24"/>
            </w:rPr>
          </w:pPr>
          <w:hyperlink w:anchor="_Toc213680190" w:history="1">
            <w:r w:rsidRPr="00084942">
              <w:rPr>
                <w:rStyle w:val="Hyperlink"/>
                <w:rFonts w:ascii="Arial" w:hAnsi="Arial" w:cs="Arial"/>
                <w:noProof/>
                <w:color w:val="000000" w:themeColor="text1"/>
                <w:szCs w:val="24"/>
              </w:rPr>
              <w:t>Post-Investment Governance</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_Toc213680190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20</w:t>
            </w:r>
            <w:r w:rsidRPr="00084942">
              <w:rPr>
                <w:rFonts w:ascii="Arial" w:hAnsi="Arial" w:cs="Arial"/>
                <w:noProof/>
                <w:webHidden/>
                <w:szCs w:val="24"/>
              </w:rPr>
              <w:fldChar w:fldCharType="end"/>
            </w:r>
          </w:hyperlink>
        </w:p>
        <w:p w14:paraId="69F73907" w14:textId="77D7E6EC" w:rsidR="003246F8" w:rsidRPr="00084942" w:rsidRDefault="003246F8" w:rsidP="0085535C">
          <w:pPr>
            <w:pStyle w:val="TOC1"/>
            <w:tabs>
              <w:tab w:val="right" w:leader="dot" w:pos="9350"/>
            </w:tabs>
            <w:spacing w:before="240" w:after="0"/>
            <w:rPr>
              <w:rFonts w:ascii="Arial" w:eastAsiaTheme="minorEastAsia" w:hAnsi="Arial" w:cs="Arial"/>
              <w:noProof/>
              <w:szCs w:val="24"/>
            </w:rPr>
          </w:pPr>
          <w:hyperlink w:anchor="_Toc213680191" w:history="1">
            <w:r w:rsidRPr="00084942">
              <w:rPr>
                <w:rStyle w:val="Hyperlink"/>
                <w:rFonts w:ascii="Arial" w:hAnsi="Arial" w:cs="Arial"/>
                <w:noProof/>
                <w:color w:val="000000" w:themeColor="text1"/>
                <w:szCs w:val="24"/>
              </w:rPr>
              <w:t>References</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_Toc213680191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22</w:t>
            </w:r>
            <w:r w:rsidRPr="00084942">
              <w:rPr>
                <w:rFonts w:ascii="Arial" w:hAnsi="Arial" w:cs="Arial"/>
                <w:noProof/>
                <w:webHidden/>
                <w:szCs w:val="24"/>
              </w:rPr>
              <w:fldChar w:fldCharType="end"/>
            </w:r>
          </w:hyperlink>
        </w:p>
        <w:p w14:paraId="49509DF9" w14:textId="3DC02BF1" w:rsidR="000D359F" w:rsidRPr="00084942" w:rsidRDefault="003246F8" w:rsidP="0085535C">
          <w:pPr>
            <w:pStyle w:val="TOC1"/>
            <w:tabs>
              <w:tab w:val="right" w:leader="dot" w:pos="9350"/>
            </w:tabs>
            <w:spacing w:before="240" w:after="0"/>
            <w:rPr>
              <w:rFonts w:ascii="Arial" w:hAnsi="Arial" w:cs="Arial"/>
            </w:rPr>
          </w:pPr>
          <w:hyperlink w:anchor="_Toc213680192" w:history="1">
            <w:r w:rsidRPr="00084942">
              <w:rPr>
                <w:rStyle w:val="Hyperlink"/>
                <w:rFonts w:ascii="Arial" w:hAnsi="Arial" w:cs="Arial"/>
                <w:noProof/>
                <w:color w:val="000000" w:themeColor="text1"/>
                <w:szCs w:val="24"/>
              </w:rPr>
              <w:t>Appendix</w:t>
            </w:r>
            <w:r w:rsidRPr="00084942">
              <w:rPr>
                <w:rFonts w:ascii="Arial" w:hAnsi="Arial" w:cs="Arial"/>
                <w:noProof/>
                <w:webHidden/>
                <w:szCs w:val="24"/>
              </w:rPr>
              <w:tab/>
            </w:r>
            <w:r w:rsidRPr="00084942">
              <w:rPr>
                <w:rFonts w:ascii="Arial" w:hAnsi="Arial" w:cs="Arial"/>
                <w:noProof/>
                <w:webHidden/>
                <w:szCs w:val="24"/>
              </w:rPr>
              <w:fldChar w:fldCharType="begin"/>
            </w:r>
            <w:r w:rsidRPr="00084942">
              <w:rPr>
                <w:rFonts w:ascii="Arial" w:hAnsi="Arial" w:cs="Arial"/>
                <w:noProof/>
                <w:webHidden/>
                <w:szCs w:val="24"/>
              </w:rPr>
              <w:instrText xml:space="preserve"> PAGEREF _Toc213680192 \h </w:instrText>
            </w:r>
            <w:r w:rsidRPr="00084942">
              <w:rPr>
                <w:rFonts w:ascii="Arial" w:hAnsi="Arial" w:cs="Arial"/>
                <w:noProof/>
                <w:webHidden/>
                <w:szCs w:val="24"/>
              </w:rPr>
            </w:r>
            <w:r w:rsidRPr="00084942">
              <w:rPr>
                <w:rFonts w:ascii="Arial" w:hAnsi="Arial" w:cs="Arial"/>
                <w:noProof/>
                <w:webHidden/>
                <w:szCs w:val="24"/>
              </w:rPr>
              <w:fldChar w:fldCharType="separate"/>
            </w:r>
            <w:r w:rsidR="00084942">
              <w:rPr>
                <w:rFonts w:ascii="Arial" w:hAnsi="Arial" w:cs="Arial"/>
                <w:noProof/>
                <w:webHidden/>
                <w:szCs w:val="24"/>
              </w:rPr>
              <w:t>25</w:t>
            </w:r>
            <w:r w:rsidRPr="00084942">
              <w:rPr>
                <w:rFonts w:ascii="Arial" w:hAnsi="Arial" w:cs="Arial"/>
                <w:noProof/>
                <w:webHidden/>
                <w:szCs w:val="24"/>
              </w:rPr>
              <w:fldChar w:fldCharType="end"/>
            </w:r>
          </w:hyperlink>
          <w:r w:rsidR="000D359F" w:rsidRPr="00084942">
            <w:rPr>
              <w:rFonts w:ascii="Arial" w:hAnsi="Arial" w:cs="Arial"/>
              <w:b/>
              <w:bCs/>
              <w:szCs w:val="24"/>
            </w:rPr>
            <w:fldChar w:fldCharType="end"/>
          </w:r>
        </w:p>
      </w:sdtContent>
    </w:sdt>
    <w:p w14:paraId="42DF48B6" w14:textId="77777777" w:rsidR="00DD4412" w:rsidRPr="00084942" w:rsidRDefault="00DD4412">
      <w:pPr>
        <w:spacing w:line="259" w:lineRule="auto"/>
        <w:jc w:val="left"/>
        <w:rPr>
          <w:rFonts w:ascii="Arial" w:eastAsiaTheme="majorEastAsia" w:hAnsi="Arial" w:cs="Arial"/>
          <w:b/>
          <w:szCs w:val="40"/>
        </w:rPr>
      </w:pPr>
      <w:r w:rsidRPr="00084942">
        <w:rPr>
          <w:rFonts w:ascii="Arial" w:hAnsi="Arial" w:cs="Arial"/>
        </w:rPr>
        <w:br w:type="page"/>
      </w:r>
    </w:p>
    <w:p w14:paraId="1C3A7006" w14:textId="6618075C" w:rsidR="004E4855" w:rsidRPr="00084942" w:rsidRDefault="00EB1B3A" w:rsidP="00EB1B3A">
      <w:pPr>
        <w:pStyle w:val="Heading1"/>
        <w:rPr>
          <w:rFonts w:cs="Arial"/>
        </w:rPr>
      </w:pPr>
      <w:bookmarkStart w:id="0" w:name="_Toc213680170"/>
      <w:r w:rsidRPr="00084942">
        <w:rPr>
          <w:rFonts w:cs="Arial"/>
        </w:rPr>
        <w:lastRenderedPageBreak/>
        <w:t>1</w:t>
      </w:r>
      <w:r w:rsidR="004E4855" w:rsidRPr="00084942">
        <w:rPr>
          <w:rFonts w:cs="Arial"/>
        </w:rPr>
        <w:t>. Financial Health Check</w:t>
      </w:r>
      <w:bookmarkEnd w:id="0"/>
    </w:p>
    <w:p w14:paraId="2ECC0B6A" w14:textId="5CCB8C1D" w:rsidR="00EB1B3A" w:rsidRPr="00084942" w:rsidRDefault="00EB1B3A" w:rsidP="00BA7DA5">
      <w:pPr>
        <w:pStyle w:val="Heading2"/>
        <w:rPr>
          <w:rFonts w:cs="Arial"/>
        </w:rPr>
      </w:pPr>
      <w:bookmarkStart w:id="1" w:name="_Toc213680171"/>
      <w:r w:rsidRPr="00084942">
        <w:rPr>
          <w:rFonts w:cs="Arial"/>
        </w:rPr>
        <w:t>Top-line and Margin Dynamics</w:t>
      </w:r>
      <w:bookmarkEnd w:id="1"/>
      <w:r w:rsidRPr="00084942">
        <w:rPr>
          <w:rFonts w:cs="Arial"/>
        </w:rPr>
        <w:t xml:space="preserve"> </w:t>
      </w:r>
    </w:p>
    <w:p w14:paraId="7DD0E935" w14:textId="49D34763" w:rsidR="001F418F" w:rsidRPr="00084942" w:rsidRDefault="001F418F" w:rsidP="001F418F">
      <w:pPr>
        <w:rPr>
          <w:rFonts w:ascii="Arial" w:hAnsi="Arial" w:cs="Arial"/>
        </w:rPr>
      </w:pPr>
      <w:r w:rsidRPr="00084942">
        <w:rPr>
          <w:rFonts w:ascii="Arial" w:hAnsi="Arial" w:cs="Arial"/>
        </w:rPr>
        <w:t>The five-year income statement of General Electronics reveals a radical decrease in top-line and focus on loss of competitiveness in consumer electronics. Net sales were falling (2020 sales £614.7 billion, 2024 sales £394.9 billion), reduced by approximately 36 percent. The trend indicates that the market share is decreasing due to international competition and low demand within major markets. This slow erosion since 2021 can be interpreted as a sign of tactical and structural incompetence, particularly in the notion of product innovation and geographic diversification.</w:t>
      </w:r>
    </w:p>
    <w:p w14:paraId="3F311292" w14:textId="5F9D1B34" w:rsidR="001F418F" w:rsidRPr="00084942" w:rsidRDefault="001F418F" w:rsidP="001F418F">
      <w:pPr>
        <w:rPr>
          <w:rFonts w:ascii="Arial" w:hAnsi="Arial" w:cs="Arial"/>
        </w:rPr>
      </w:pPr>
      <w:r w:rsidRPr="00084942">
        <w:rPr>
          <w:rFonts w:ascii="Arial" w:hAnsi="Arial" w:cs="Arial"/>
        </w:rPr>
        <w:t xml:space="preserve">Sales declined, and gross margin is beaker. Gross margin fell within 28.1-28.9 and slightly revised to 28.9 in 2024, following a reduction to 23.2 percent in 2023. That interim salvage is an indicator of small-scale purchases and production falls but does not suffice to substitute the revenue boom. Of note is operating leverage: 2020 operating income is £37.3billion profit and 2024 operating income is £15.3billion loss attributed to cost rigidity in overheads and administration costs. The reduction in sales was a disadvantage to profitability, and the company did not reduce the fixed costs in proportion (GE, 2025). </w:t>
      </w:r>
    </w:p>
    <w:p w14:paraId="7D256B0C" w14:textId="5550B5AD" w:rsidR="00B7582F" w:rsidRPr="00084942" w:rsidRDefault="00B7582F" w:rsidP="00B7582F">
      <w:pPr>
        <w:jc w:val="center"/>
        <w:rPr>
          <w:rFonts w:ascii="Arial" w:hAnsi="Arial" w:cs="Arial"/>
        </w:rPr>
      </w:pPr>
      <w:r w:rsidRPr="00084942">
        <w:rPr>
          <w:rFonts w:ascii="Arial" w:hAnsi="Arial" w:cs="Arial"/>
          <w:noProof/>
        </w:rPr>
        <w:lastRenderedPageBreak/>
        <w:drawing>
          <wp:inline distT="0" distB="0" distL="0" distR="0" wp14:anchorId="3549C149" wp14:editId="713801C2">
            <wp:extent cx="4640094" cy="4589153"/>
            <wp:effectExtent l="0" t="0" r="8255" b="1905"/>
            <wp:docPr id="14781344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41677" cy="4590719"/>
                    </a:xfrm>
                    <a:prstGeom prst="rect">
                      <a:avLst/>
                    </a:prstGeom>
                    <a:noFill/>
                    <a:ln>
                      <a:noFill/>
                    </a:ln>
                  </pic:spPr>
                </pic:pic>
              </a:graphicData>
            </a:graphic>
          </wp:inline>
        </w:drawing>
      </w:r>
    </w:p>
    <w:p w14:paraId="30CF0634" w14:textId="59C275E3" w:rsidR="00B7582F" w:rsidRPr="00084942" w:rsidRDefault="00B7582F" w:rsidP="00B7582F">
      <w:pPr>
        <w:jc w:val="center"/>
        <w:rPr>
          <w:rFonts w:ascii="Arial" w:hAnsi="Arial" w:cs="Arial"/>
          <w:b/>
          <w:bCs/>
        </w:rPr>
      </w:pPr>
      <w:r w:rsidRPr="00084942">
        <w:rPr>
          <w:rFonts w:ascii="Arial" w:hAnsi="Arial" w:cs="Arial"/>
          <w:b/>
          <w:bCs/>
        </w:rPr>
        <w:t>Figure 1: Ratio Analysis</w:t>
      </w:r>
    </w:p>
    <w:p w14:paraId="45F3DB91" w14:textId="321F57D6" w:rsidR="00B7582F" w:rsidRPr="00084942" w:rsidRDefault="00B7582F" w:rsidP="00B7582F">
      <w:pPr>
        <w:jc w:val="center"/>
        <w:rPr>
          <w:rFonts w:ascii="Arial" w:hAnsi="Arial" w:cs="Arial"/>
        </w:rPr>
      </w:pPr>
      <w:r w:rsidRPr="00084942">
        <w:rPr>
          <w:rFonts w:ascii="Arial" w:hAnsi="Arial" w:cs="Arial"/>
        </w:rPr>
        <w:t>(Source: Excel)</w:t>
      </w:r>
    </w:p>
    <w:p w14:paraId="7BD4BE1F" w14:textId="3B54D8F7" w:rsidR="00EB1B3A" w:rsidRPr="00084942" w:rsidRDefault="00EB1B3A" w:rsidP="00BA7DA5">
      <w:pPr>
        <w:pStyle w:val="Heading2"/>
        <w:rPr>
          <w:rFonts w:cs="Arial"/>
        </w:rPr>
      </w:pPr>
      <w:bookmarkStart w:id="2" w:name="_Toc213680172"/>
      <w:r w:rsidRPr="00084942">
        <w:rPr>
          <w:rFonts w:cs="Arial"/>
        </w:rPr>
        <w:t>Profitability and Return Metrics</w:t>
      </w:r>
      <w:bookmarkEnd w:id="2"/>
      <w:r w:rsidRPr="00084942">
        <w:rPr>
          <w:rFonts w:cs="Arial"/>
        </w:rPr>
        <w:t xml:space="preserve"> </w:t>
      </w:r>
    </w:p>
    <w:p w14:paraId="0FEE85E3" w14:textId="34568611" w:rsidR="001F418F" w:rsidRPr="00084942" w:rsidRDefault="001F418F" w:rsidP="00EB1B3A">
      <w:pPr>
        <w:rPr>
          <w:rFonts w:ascii="Arial" w:hAnsi="Arial" w:cs="Arial"/>
        </w:rPr>
      </w:pPr>
      <w:r w:rsidRPr="00084942">
        <w:rPr>
          <w:rFonts w:ascii="Arial" w:hAnsi="Arial" w:cs="Arial"/>
        </w:rPr>
        <w:t xml:space="preserve">The profitability measures of the firm show that the performance of the firm is deteriorating as shown by the extreme decrease in the profitability measures of the firm in the period under review. The operating margin is -3.9 percent in 2024 and 6.1 percent in the previous year, and the net margin is -6.1 percent in 2024 and 6.3 percent in the previous year. This </w:t>
      </w:r>
      <w:proofErr w:type="spellStart"/>
      <w:r w:rsidRPr="00084942">
        <w:rPr>
          <w:rFonts w:ascii="Arial" w:hAnsi="Arial" w:cs="Arial"/>
        </w:rPr>
        <w:t>unfavorable</w:t>
      </w:r>
      <w:proofErr w:type="spellEnd"/>
      <w:r w:rsidRPr="00084942">
        <w:rPr>
          <w:rFonts w:ascii="Arial" w:hAnsi="Arial" w:cs="Arial"/>
        </w:rPr>
        <w:t xml:space="preserve"> shift into losses in the next year (20232024) shows that revenues could not be converted into long-term profits. The loss of cost discipline and failure to chase good pricing policy have played their part in the financial debacle, and the 2023 performance was the biggest loss at over £85 billion in operating loss.</w:t>
      </w:r>
    </w:p>
    <w:p w14:paraId="1FD0EBEE" w14:textId="77777777" w:rsidR="001F418F" w:rsidRPr="00084942" w:rsidRDefault="001F418F" w:rsidP="00EB1B3A">
      <w:pPr>
        <w:rPr>
          <w:rFonts w:ascii="Arial" w:hAnsi="Arial" w:cs="Arial"/>
        </w:rPr>
      </w:pPr>
      <w:r w:rsidRPr="00084942">
        <w:rPr>
          <w:rFonts w:ascii="Arial" w:hAnsi="Arial" w:cs="Arial"/>
        </w:rPr>
        <w:lastRenderedPageBreak/>
        <w:t>This devaluation is reinforced by retaliation measures. In 2024, Return on Assets (ROA) worsened to -7.1 percent, relative to -7.6 percent in 2020, and Return on Equity (ROE) worsened to -14.5 percent, relative to 12.3 percent in 2020. These figures indicate uncompensated investors and wasted capital base (</w:t>
      </w:r>
      <w:proofErr w:type="spellStart"/>
      <w:r w:rsidRPr="00084942">
        <w:rPr>
          <w:rFonts w:ascii="Arial" w:hAnsi="Arial" w:cs="Arial"/>
        </w:rPr>
        <w:t>Mpete</w:t>
      </w:r>
      <w:proofErr w:type="spellEnd"/>
      <w:r w:rsidRPr="00084942">
        <w:rPr>
          <w:rFonts w:ascii="Arial" w:hAnsi="Arial" w:cs="Arial"/>
        </w:rPr>
        <w:t xml:space="preserve"> and Maier, 2024). The drastic decrease in asset turnover, 1.20 in 2020 and 1.16 in 2024, suggests the inefficient exploitation of assets to generate income. The net effect of this result is that the assets policy of capital productivity and deployment has not been contributing to market contraction.</w:t>
      </w:r>
    </w:p>
    <w:p w14:paraId="75F330F1" w14:textId="334C9AEB" w:rsidR="00EB1B3A" w:rsidRPr="00084942" w:rsidRDefault="00F70B5C" w:rsidP="00EB1B3A">
      <w:pPr>
        <w:rPr>
          <w:rFonts w:ascii="Arial" w:hAnsi="Arial" w:cs="Arial"/>
        </w:rPr>
      </w:pPr>
      <w:r w:rsidRPr="00084942">
        <w:rPr>
          <w:rFonts w:ascii="Arial" w:hAnsi="Arial" w:cs="Arial"/>
        </w:rPr>
        <w:t>The continuing negative profits also reveal an organizational imbalance between the firm organization of the fixed and the variable cost organization where the scale economies of the firm break under the pressure of revenue (Canals, 2021). This underscores the necessity to restructure operations on a more urgent note, with more automation, more rationalisation of products, and more cost of control to normalise the returns and re-establish the confidence of the investors</w:t>
      </w:r>
      <w:r w:rsidR="00EB1B3A" w:rsidRPr="00084942">
        <w:rPr>
          <w:rFonts w:ascii="Arial" w:hAnsi="Arial" w:cs="Arial"/>
        </w:rPr>
        <w:t>.</w:t>
      </w:r>
    </w:p>
    <w:p w14:paraId="0DA98FEE" w14:textId="01393232" w:rsidR="00EB1B3A" w:rsidRPr="00084942" w:rsidRDefault="00EB1B3A" w:rsidP="00BA7DA5">
      <w:pPr>
        <w:pStyle w:val="Heading2"/>
        <w:rPr>
          <w:rFonts w:cs="Arial"/>
        </w:rPr>
      </w:pPr>
      <w:bookmarkStart w:id="3" w:name="_Toc213680173"/>
      <w:r w:rsidRPr="00084942">
        <w:rPr>
          <w:rFonts w:cs="Arial"/>
        </w:rPr>
        <w:t>Liquidity and Solvency Profile</w:t>
      </w:r>
      <w:bookmarkEnd w:id="3"/>
      <w:r w:rsidRPr="00084942">
        <w:rPr>
          <w:rFonts w:cs="Arial"/>
        </w:rPr>
        <w:t xml:space="preserve"> </w:t>
      </w:r>
    </w:p>
    <w:p w14:paraId="20319FA3" w14:textId="47398645" w:rsidR="00F70B5C" w:rsidRPr="00084942" w:rsidRDefault="00F70B5C" w:rsidP="00EB1B3A">
      <w:pPr>
        <w:rPr>
          <w:rFonts w:ascii="Arial" w:hAnsi="Arial" w:cs="Arial"/>
        </w:rPr>
      </w:pPr>
      <w:r w:rsidRPr="00084942">
        <w:rPr>
          <w:rFonts w:ascii="Arial" w:hAnsi="Arial" w:cs="Arial"/>
        </w:rPr>
        <w:t>Liquidity position of General Electronics has been deteriorating at a slow but steady pace, a phenomenon that resonates with the absence of efficiency in the working capital, and, in the cash flows. This declined to 1.53 in 2024 compared to 1.82 in 2020, indicating a narrower buffer between current assets and current liabilities. Similarly, the 2024 quick was low (approximately 1.03) versus 1.15 in 2020, showing that stock is being sold, and liquid reserves are limited. The growth in liquidity ratios and deterioration in cash and equivalents to £26.8 billion in 2024, compared to £57.2 billion in 2020, signals that the company faces tight short-term solvency and relies on external financing.</w:t>
      </w:r>
    </w:p>
    <w:p w14:paraId="70A215F6" w14:textId="40899C42" w:rsidR="00EB1B3A" w:rsidRPr="00084942" w:rsidRDefault="00F70B5C" w:rsidP="00EB1B3A">
      <w:pPr>
        <w:rPr>
          <w:rFonts w:ascii="Arial" w:hAnsi="Arial" w:cs="Arial"/>
        </w:rPr>
      </w:pPr>
      <w:r w:rsidRPr="00084942">
        <w:rPr>
          <w:rFonts w:ascii="Arial" w:hAnsi="Arial" w:cs="Arial"/>
        </w:rPr>
        <w:t xml:space="preserve">On the solvency side, the leverage ratios show an incremental increase in financial risk. Its debt-to-equity ratio as of 2024 stands at 1.11, and its debt ratio at 0.53, meaning that over half of company assets are now debt-financed compared to 0.63 in 2020, and 0.39 respectively. It is an accumulating debt position, which shows dependency on line credit because in the year 2024 the company had short term liabilities of </w:t>
      </w:r>
      <w:r w:rsidR="00470582" w:rsidRPr="00084942">
        <w:rPr>
          <w:rFonts w:ascii="Arial" w:hAnsi="Arial" w:cs="Arial"/>
        </w:rPr>
        <w:t>£</w:t>
      </w:r>
      <w:r w:rsidRPr="00084942">
        <w:rPr>
          <w:rFonts w:ascii="Arial" w:hAnsi="Arial" w:cs="Arial"/>
        </w:rPr>
        <w:t xml:space="preserve">36.9 billion outstanding. The interest coverage ratio declined to 26.2 times in 2025, as compared to </w:t>
      </w:r>
      <w:r w:rsidRPr="00084942">
        <w:rPr>
          <w:rFonts w:ascii="Arial" w:hAnsi="Arial" w:cs="Arial"/>
        </w:rPr>
        <w:lastRenderedPageBreak/>
        <w:t>26.2 times in 2024, which means that operating earnings are not adequate to cover interest</w:t>
      </w:r>
      <w:r w:rsidR="00EB1B3A" w:rsidRPr="00084942">
        <w:rPr>
          <w:rFonts w:ascii="Arial" w:hAnsi="Arial" w:cs="Arial"/>
        </w:rPr>
        <w:t>.</w:t>
      </w:r>
    </w:p>
    <w:p w14:paraId="153180F8" w14:textId="576FB981" w:rsidR="00EB1B3A" w:rsidRPr="00084942" w:rsidRDefault="00EB1B3A" w:rsidP="00BA7DA5">
      <w:pPr>
        <w:pStyle w:val="Heading2"/>
        <w:rPr>
          <w:rFonts w:cs="Arial"/>
        </w:rPr>
      </w:pPr>
      <w:bookmarkStart w:id="4" w:name="_Toc213680174"/>
      <w:r w:rsidRPr="00084942">
        <w:rPr>
          <w:rFonts w:cs="Arial"/>
        </w:rPr>
        <w:t>Efficiency and Cash Flow Quality</w:t>
      </w:r>
      <w:bookmarkEnd w:id="4"/>
      <w:r w:rsidRPr="00084942">
        <w:rPr>
          <w:rFonts w:cs="Arial"/>
        </w:rPr>
        <w:t xml:space="preserve"> </w:t>
      </w:r>
    </w:p>
    <w:p w14:paraId="1E29A76A" w14:textId="77777777" w:rsidR="00470582" w:rsidRPr="00084942" w:rsidRDefault="00470582" w:rsidP="00470582">
      <w:pPr>
        <w:rPr>
          <w:rFonts w:ascii="Arial" w:hAnsi="Arial" w:cs="Arial"/>
        </w:rPr>
      </w:pPr>
      <w:r w:rsidRPr="00084942">
        <w:rPr>
          <w:rFonts w:ascii="Arial" w:hAnsi="Arial" w:cs="Arial"/>
        </w:rPr>
        <w:t>The indicators of operational efficiency reveal weakening resource utilization and a steady decrease in the quality of cash flows. Inventory turnover in 2024 was 3.35 times versus 3.64 times in 2020, which is low in converting inventory into sales and can result in overstocking. In the meantime, the outstanding receivables days also rose to 105 days outstanding receivables, a key indicator of ineffective credit control and slow customer turnover. It shortened the days payable by 84 days (even better with supplier financing) not quite enough to offset the long cash operating cycle.</w:t>
      </w:r>
    </w:p>
    <w:p w14:paraId="3F084B53" w14:textId="16B0C59D" w:rsidR="00470582" w:rsidRPr="00084942" w:rsidRDefault="00470582" w:rsidP="00470582">
      <w:pPr>
        <w:rPr>
          <w:rFonts w:ascii="Arial" w:hAnsi="Arial" w:cs="Arial"/>
        </w:rPr>
      </w:pPr>
      <w:r w:rsidRPr="00084942">
        <w:rPr>
          <w:rFonts w:ascii="Arial" w:hAnsi="Arial" w:cs="Arial"/>
        </w:rPr>
        <w:t xml:space="preserve">The 2024 cash conversion cycle (CCC) is 96 days compared to 46 days in 2020, indicating sluggish working capital turnover. Its net cash flow of operation fell to </w:t>
      </w:r>
      <w:r w:rsidR="00515CD5" w:rsidRPr="00084942">
        <w:rPr>
          <w:rFonts w:ascii="Arial" w:hAnsi="Arial" w:cs="Arial"/>
        </w:rPr>
        <w:t>£</w:t>
      </w:r>
      <w:r w:rsidRPr="00084942">
        <w:rPr>
          <w:rFonts w:ascii="Arial" w:hAnsi="Arial" w:cs="Arial"/>
        </w:rPr>
        <w:t>14.8 billion pounds in 2024 relative to £73.4 in 2020 and indicates a losing operation cash-generating potential. The current liabilities to the operating cash flow ratio worsened to 0.09, indicating low levels of liquidity.</w:t>
      </w:r>
    </w:p>
    <w:p w14:paraId="272D74A6" w14:textId="4542B3A5" w:rsidR="00EB1B3A" w:rsidRPr="00084942" w:rsidRDefault="00470582" w:rsidP="00470582">
      <w:pPr>
        <w:rPr>
          <w:rFonts w:ascii="Arial" w:hAnsi="Arial" w:cs="Arial"/>
        </w:rPr>
      </w:pPr>
      <w:r w:rsidRPr="00084942">
        <w:rPr>
          <w:rFonts w:ascii="Arial" w:hAnsi="Arial" w:cs="Arial"/>
        </w:rPr>
        <w:t>The decline in operating efficiency signifies a lack of coordination in procurement, production, and sales (Presley, 2022). The cash deficit will continue to pose an obstacle to financial flexibility and investment potential, unless the company tightens its credit policy, rationalises inventory, and maximises collections</w:t>
      </w:r>
      <w:r w:rsidR="00EB1B3A" w:rsidRPr="00084942">
        <w:rPr>
          <w:rFonts w:ascii="Arial" w:hAnsi="Arial" w:cs="Arial"/>
        </w:rPr>
        <w:t>.</w:t>
      </w:r>
    </w:p>
    <w:p w14:paraId="01C68E8C" w14:textId="407DA6FD" w:rsidR="00EB1B3A" w:rsidRPr="00084942" w:rsidRDefault="00EB1B3A" w:rsidP="00BA7DA5">
      <w:pPr>
        <w:pStyle w:val="Heading2"/>
        <w:rPr>
          <w:rFonts w:cs="Arial"/>
        </w:rPr>
      </w:pPr>
      <w:bookmarkStart w:id="5" w:name="_Toc213680175"/>
      <w:r w:rsidRPr="00084942">
        <w:rPr>
          <w:rFonts w:cs="Arial"/>
        </w:rPr>
        <w:t>Corporate Failure Risk</w:t>
      </w:r>
      <w:bookmarkEnd w:id="5"/>
      <w:r w:rsidRPr="00084942">
        <w:rPr>
          <w:rFonts w:cs="Arial"/>
        </w:rPr>
        <w:t xml:space="preserve"> </w:t>
      </w:r>
    </w:p>
    <w:p w14:paraId="39574C6E" w14:textId="463A9D79" w:rsidR="00EB1B3A" w:rsidRPr="00084942" w:rsidRDefault="00515CD5" w:rsidP="00EB1B3A">
      <w:pPr>
        <w:rPr>
          <w:rFonts w:ascii="Arial" w:hAnsi="Arial" w:cs="Arial"/>
        </w:rPr>
      </w:pPr>
      <w:r w:rsidRPr="00084942">
        <w:rPr>
          <w:rFonts w:ascii="Arial" w:hAnsi="Arial" w:cs="Arial"/>
        </w:rPr>
        <w:t xml:space="preserve">The indicators of corporate distress have marked the financial life of General Electronics and </w:t>
      </w:r>
      <w:proofErr w:type="spellStart"/>
      <w:r w:rsidRPr="00084942">
        <w:rPr>
          <w:rFonts w:ascii="Arial" w:hAnsi="Arial" w:cs="Arial"/>
        </w:rPr>
        <w:t>signaled</w:t>
      </w:r>
      <w:proofErr w:type="spellEnd"/>
      <w:r w:rsidRPr="00084942">
        <w:rPr>
          <w:rFonts w:ascii="Arial" w:hAnsi="Arial" w:cs="Arial"/>
        </w:rPr>
        <w:t xml:space="preserve"> the need to reorganize the whole enterprise as the matter of urgent need. The Altman Z-Score of the business dropped to 2.82 in 2024 compared to 3.64 in 2020, which is indicative of a desperate loss of financial sustainability and possible default. The score remains a bit higher than the critical level of 1.8, but in comparison with an environmentally sound company and a company going down in bankruptcy, the gradual decrease of the score indicates that the company has already fallen into the so-called safe range and is already in a so-called grey zone of possible insolvency. The lowest of these was in 2023, when the score decreased to 2.24, and the operating loss included a </w:t>
      </w:r>
      <w:r w:rsidRPr="00084942">
        <w:rPr>
          <w:rFonts w:ascii="Arial" w:hAnsi="Arial" w:cs="Arial"/>
        </w:rPr>
        <w:lastRenderedPageBreak/>
        <w:t xml:space="preserve">historic loss of 85 billion and equity decline of up to £90 billion. This decline is the cumulative effect of declining profitability, rising leverage, and fading investor confidence. Inefficiency and retention earnings impairment further constrained liquidity and increased credit risk. </w:t>
      </w:r>
    </w:p>
    <w:p w14:paraId="5B1C2582" w14:textId="7E3A449F" w:rsidR="00B7582F" w:rsidRPr="00084942" w:rsidRDefault="00BD7151" w:rsidP="00B7582F">
      <w:pPr>
        <w:jc w:val="center"/>
        <w:rPr>
          <w:rFonts w:ascii="Arial" w:hAnsi="Arial" w:cs="Arial"/>
        </w:rPr>
      </w:pPr>
      <w:r w:rsidRPr="00084942">
        <w:rPr>
          <w:rFonts w:ascii="Arial" w:hAnsi="Arial" w:cs="Arial"/>
          <w:noProof/>
        </w:rPr>
        <w:drawing>
          <wp:inline distT="0" distB="0" distL="0" distR="0" wp14:anchorId="04DAE654" wp14:editId="04C32524">
            <wp:extent cx="5943600" cy="1966595"/>
            <wp:effectExtent l="0" t="0" r="0" b="0"/>
            <wp:docPr id="724432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1966595"/>
                    </a:xfrm>
                    <a:prstGeom prst="rect">
                      <a:avLst/>
                    </a:prstGeom>
                    <a:noFill/>
                    <a:ln>
                      <a:noFill/>
                    </a:ln>
                  </pic:spPr>
                </pic:pic>
              </a:graphicData>
            </a:graphic>
          </wp:inline>
        </w:drawing>
      </w:r>
    </w:p>
    <w:p w14:paraId="06D0D26A" w14:textId="77777777" w:rsidR="00B7582F" w:rsidRPr="00084942" w:rsidRDefault="00B7582F" w:rsidP="00B7582F">
      <w:pPr>
        <w:jc w:val="center"/>
        <w:rPr>
          <w:rFonts w:ascii="Arial" w:hAnsi="Arial" w:cs="Arial"/>
          <w:b/>
          <w:bCs/>
        </w:rPr>
      </w:pPr>
      <w:r w:rsidRPr="00084942">
        <w:rPr>
          <w:rFonts w:ascii="Arial" w:hAnsi="Arial" w:cs="Arial"/>
          <w:b/>
          <w:bCs/>
        </w:rPr>
        <w:t xml:space="preserve">Figure 2: Altman Z-Score </w:t>
      </w:r>
    </w:p>
    <w:p w14:paraId="160F1EF5" w14:textId="63B7AEFA" w:rsidR="00B7582F" w:rsidRPr="00084942" w:rsidRDefault="00B7582F" w:rsidP="00B7582F">
      <w:pPr>
        <w:jc w:val="center"/>
        <w:rPr>
          <w:rFonts w:ascii="Arial" w:hAnsi="Arial" w:cs="Arial"/>
        </w:rPr>
      </w:pPr>
      <w:r w:rsidRPr="00084942">
        <w:rPr>
          <w:rFonts w:ascii="Arial" w:hAnsi="Arial" w:cs="Arial"/>
        </w:rPr>
        <w:t>(Source: Excel)</w:t>
      </w:r>
    </w:p>
    <w:p w14:paraId="56F0A0D6" w14:textId="77777777" w:rsidR="00382269" w:rsidRPr="00084942" w:rsidRDefault="00E973E9" w:rsidP="00336618">
      <w:pPr>
        <w:rPr>
          <w:rFonts w:ascii="Arial" w:hAnsi="Arial" w:cs="Arial"/>
        </w:rPr>
      </w:pPr>
      <w:r w:rsidRPr="00084942">
        <w:rPr>
          <w:rFonts w:ascii="Arial" w:hAnsi="Arial" w:cs="Arial"/>
        </w:rPr>
        <w:t xml:space="preserve">The Altman Z-Score trends indicate the growing financial strain as the EBIT to assets ratio significantly shifted in a large negative ratio in 2023 compared to a small positive ratio in prior years and a poor score in 2024. This decrease is a sign of declining operating power and the ability to generate returns on the asset base. </w:t>
      </w:r>
    </w:p>
    <w:p w14:paraId="25B54742" w14:textId="6A54EC0D" w:rsidR="00BD7151" w:rsidRPr="00084942" w:rsidRDefault="00E973E9" w:rsidP="00336618">
      <w:pPr>
        <w:rPr>
          <w:rFonts w:ascii="Arial" w:hAnsi="Arial" w:cs="Arial"/>
        </w:rPr>
      </w:pPr>
      <w:r w:rsidRPr="00084942">
        <w:rPr>
          <w:rFonts w:ascii="Arial" w:hAnsi="Arial" w:cs="Arial"/>
        </w:rPr>
        <w:t>The market value of equity relative to the entire value of liabilities also declined over the period, indicating that it is weaker in absorbing financial shocks. Retained earnings have fallen to 208 billion instead of 325 billion which means that the internal reserves that secured the financial stability are used up (Harrigan and Wing, 2021). The fall is pegged on long-run profit weakness and the falling cumulative earnings to support equity. These tendencies go hand in hand with warning signs of distress as lower incomes and reduced equity cushion expose individuals. The negative signs of structural vulnerability include low equity returns and financing cost coverage (Manta, 2022).</w:t>
      </w:r>
    </w:p>
    <w:p w14:paraId="21D7A62F" w14:textId="0933D1D1" w:rsidR="004E4855" w:rsidRPr="00084942" w:rsidRDefault="00EB1B3A" w:rsidP="00EB1B3A">
      <w:pPr>
        <w:pStyle w:val="Heading1"/>
        <w:rPr>
          <w:rFonts w:cs="Arial"/>
        </w:rPr>
      </w:pPr>
      <w:bookmarkStart w:id="6" w:name="_Toc213680176"/>
      <w:r w:rsidRPr="00084942">
        <w:rPr>
          <w:rFonts w:cs="Arial"/>
        </w:rPr>
        <w:lastRenderedPageBreak/>
        <w:t>2</w:t>
      </w:r>
      <w:r w:rsidR="004E4855" w:rsidRPr="00084942">
        <w:rPr>
          <w:rFonts w:cs="Arial"/>
        </w:rPr>
        <w:t>. Working Capital Management Analysis</w:t>
      </w:r>
      <w:bookmarkEnd w:id="6"/>
      <w:r w:rsidR="004E4855" w:rsidRPr="00084942">
        <w:rPr>
          <w:rFonts w:cs="Arial"/>
        </w:rPr>
        <w:t xml:space="preserve"> </w:t>
      </w:r>
    </w:p>
    <w:p w14:paraId="01C1A70D" w14:textId="0F7E28C0" w:rsidR="00EB1B3A" w:rsidRPr="00084942" w:rsidRDefault="00EB1B3A" w:rsidP="00BA7DA5">
      <w:pPr>
        <w:pStyle w:val="Heading2"/>
        <w:rPr>
          <w:rFonts w:cs="Arial"/>
        </w:rPr>
      </w:pPr>
      <w:bookmarkStart w:id="7" w:name="_Toc213680177"/>
      <w:r w:rsidRPr="00084942">
        <w:rPr>
          <w:rFonts w:cs="Arial"/>
        </w:rPr>
        <w:t>Cash Operating Cycle Diagnosis</w:t>
      </w:r>
      <w:bookmarkEnd w:id="7"/>
      <w:r w:rsidRPr="00084942">
        <w:rPr>
          <w:rFonts w:cs="Arial"/>
        </w:rPr>
        <w:t xml:space="preserve"> </w:t>
      </w:r>
    </w:p>
    <w:p w14:paraId="51226C49" w14:textId="75643294" w:rsidR="0036641F" w:rsidRPr="00084942" w:rsidRDefault="00E973E9" w:rsidP="00EB1B3A">
      <w:pPr>
        <w:rPr>
          <w:rFonts w:ascii="Arial" w:hAnsi="Arial" w:cs="Arial"/>
        </w:rPr>
      </w:pPr>
      <w:r w:rsidRPr="00084942">
        <w:rPr>
          <w:rFonts w:ascii="Arial" w:hAnsi="Arial" w:cs="Arial"/>
        </w:rPr>
        <w:t>General Electronics cash operating cycle shows that there was evident loss of liquidity in the short term over the five years. Credit sales became one hundred and six in 2024, compared with seventy-seven days in 2020; hence slower customer payment and less effective in collection. This notable growth indicates that it is almost three times longer to transform receivables into cash than it was five years ago (Good, 2024). Depreciation expense department should be handled as the zero figure in the data set and be handled in the analysis in the future like it has been advanced in the traditional accounting books.</w:t>
      </w:r>
    </w:p>
    <w:p w14:paraId="0BEF58A0" w14:textId="02BFE675" w:rsidR="00BD0364" w:rsidRPr="00084942" w:rsidRDefault="00BD7151" w:rsidP="00BD0364">
      <w:pPr>
        <w:jc w:val="center"/>
        <w:rPr>
          <w:rFonts w:ascii="Arial" w:hAnsi="Arial" w:cs="Arial"/>
        </w:rPr>
      </w:pPr>
      <w:r w:rsidRPr="00084942">
        <w:rPr>
          <w:rFonts w:ascii="Arial" w:hAnsi="Arial" w:cs="Arial"/>
          <w:noProof/>
        </w:rPr>
        <w:drawing>
          <wp:inline distT="0" distB="0" distL="0" distR="0" wp14:anchorId="6911EDB7" wp14:editId="0356AFFF">
            <wp:extent cx="5943600" cy="2794000"/>
            <wp:effectExtent l="0" t="0" r="0" b="6350"/>
            <wp:docPr id="10458699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794000"/>
                    </a:xfrm>
                    <a:prstGeom prst="rect">
                      <a:avLst/>
                    </a:prstGeom>
                    <a:noFill/>
                    <a:ln>
                      <a:noFill/>
                    </a:ln>
                  </pic:spPr>
                </pic:pic>
              </a:graphicData>
            </a:graphic>
          </wp:inline>
        </w:drawing>
      </w:r>
    </w:p>
    <w:p w14:paraId="43E58884" w14:textId="2829A46F" w:rsidR="00BD0364" w:rsidRPr="00084942" w:rsidRDefault="00BD0364" w:rsidP="00BD0364">
      <w:pPr>
        <w:jc w:val="center"/>
        <w:rPr>
          <w:rFonts w:ascii="Arial" w:hAnsi="Arial" w:cs="Arial"/>
          <w:b/>
          <w:bCs/>
        </w:rPr>
      </w:pPr>
      <w:r w:rsidRPr="00084942">
        <w:rPr>
          <w:rFonts w:ascii="Arial" w:hAnsi="Arial" w:cs="Arial"/>
          <w:b/>
          <w:bCs/>
        </w:rPr>
        <w:t>Figure 3: Working Capital</w:t>
      </w:r>
    </w:p>
    <w:p w14:paraId="0847C1E1" w14:textId="3A74714F" w:rsidR="00BD0364" w:rsidRPr="00084942" w:rsidRDefault="00BD0364" w:rsidP="00BD0364">
      <w:pPr>
        <w:jc w:val="center"/>
        <w:rPr>
          <w:rFonts w:ascii="Arial" w:hAnsi="Arial" w:cs="Arial"/>
        </w:rPr>
      </w:pPr>
      <w:r w:rsidRPr="00084942">
        <w:rPr>
          <w:rFonts w:ascii="Arial" w:hAnsi="Arial" w:cs="Arial"/>
        </w:rPr>
        <w:t>(Source: Excel)</w:t>
      </w:r>
    </w:p>
    <w:p w14:paraId="381A8F39" w14:textId="60328A61" w:rsidR="00EB1B3A" w:rsidRPr="00084942" w:rsidRDefault="00E973E9" w:rsidP="0036641F">
      <w:pPr>
        <w:rPr>
          <w:rFonts w:ascii="Arial" w:hAnsi="Arial" w:cs="Arial"/>
        </w:rPr>
      </w:pPr>
      <w:r w:rsidRPr="00084942">
        <w:rPr>
          <w:rFonts w:ascii="Arial" w:hAnsi="Arial" w:cs="Arial"/>
        </w:rPr>
        <w:t xml:space="preserve">The efficiency of the working capital is clearly strained. The days sales outstanding were nearly 106 days in 2024 compared to about 77 days in 2020, with slowness in cash collection and underperformance of receivables. The Days Inventory Outstanding was also very high and shifted about 100 days in 2020 to about 103 days in 2024 which showed low inventory turnover and low demand. The Days Payable Outstanding stood at 93.95 in 2024, meaning that the company over-trusted the supplier credit, but none of that was adequate to finance delays in receiving and inventory. The cash conversion cycle </w:t>
      </w:r>
      <w:r w:rsidRPr="00084942">
        <w:rPr>
          <w:rFonts w:ascii="Arial" w:hAnsi="Arial" w:cs="Arial"/>
        </w:rPr>
        <w:lastRenderedPageBreak/>
        <w:t>in turn rose between around 46 days in 2020 and around 96 days in 2024. This prolonged cycle is a pointer of inability to exploit working capital, strain on liquidity, higher dependency on external funds because operations are not generating cash at maintaining pace in projected industry norms.</w:t>
      </w:r>
    </w:p>
    <w:p w14:paraId="6DF53EAB" w14:textId="1AF3513C" w:rsidR="00EB1B3A" w:rsidRPr="00084942" w:rsidRDefault="00EB1B3A" w:rsidP="00BA7DA5">
      <w:pPr>
        <w:pStyle w:val="Heading2"/>
        <w:rPr>
          <w:rFonts w:cs="Arial"/>
        </w:rPr>
      </w:pPr>
      <w:bookmarkStart w:id="8" w:name="_Toc213680178"/>
      <w:r w:rsidRPr="00084942">
        <w:rPr>
          <w:rFonts w:cs="Arial"/>
        </w:rPr>
        <w:t>Liquidity Unlock Plan</w:t>
      </w:r>
      <w:bookmarkEnd w:id="8"/>
      <w:r w:rsidRPr="00084942">
        <w:rPr>
          <w:rFonts w:cs="Arial"/>
        </w:rPr>
        <w:t xml:space="preserve"> </w:t>
      </w:r>
    </w:p>
    <w:p w14:paraId="6B58BF51" w14:textId="77777777" w:rsidR="007E5F4D" w:rsidRPr="00084942" w:rsidRDefault="007E5F4D" w:rsidP="007E5F4D">
      <w:pPr>
        <w:rPr>
          <w:rFonts w:ascii="Arial" w:hAnsi="Arial" w:cs="Arial"/>
        </w:rPr>
      </w:pPr>
      <w:r w:rsidRPr="00084942">
        <w:rPr>
          <w:rFonts w:ascii="Arial" w:hAnsi="Arial" w:cs="Arial"/>
        </w:rPr>
        <w:t>General Electronics requires a systematic working capital strengthening plan to improve receivables, inventory and payables management to reclaim liquidity and lessen reliance on financing. The numbers indicate that the accounts receivable was very high and increased by approximately 129.4 billion in 2020 to £114.2 billion in 2024 and Days Sales Outstanding increased tremendously to over 105 days in 2024. This shows slow collections of customers and weak credit discipline. To facilitate faster payment, the company should introduce a stricter credit limit, automated invoicing and live credit scoring systems. Dynamic discounting schemes may also promote early settlement. A reduction of DSO by 10 to 15 days would release a few billion pounds of cash every year and would improve short-term liquidity.</w:t>
      </w:r>
    </w:p>
    <w:p w14:paraId="46B07672" w14:textId="77777777" w:rsidR="007E5F4D" w:rsidRPr="00084942" w:rsidRDefault="007E5F4D" w:rsidP="007E5F4D">
      <w:pPr>
        <w:rPr>
          <w:rFonts w:ascii="Arial" w:hAnsi="Arial" w:cs="Arial"/>
        </w:rPr>
      </w:pPr>
      <w:r w:rsidRPr="00084942">
        <w:rPr>
          <w:rFonts w:ascii="Arial" w:hAnsi="Arial" w:cs="Arial"/>
        </w:rPr>
        <w:t xml:space="preserve">The turnover measures have been decreasing gradually in spite of the decline in total inventories between 2020 and 2024 of around about £120.4 and £79.4 billion respectively, but the measure of Days Inventory Outstanding remains in excess of ninety-nine days in 2023 and more than a hundred days in 2024. It means that the demand of stocks and sales is not aligned. A rationalisation program on low-margin products with low turnover would reduce the low-carrying costs. The integration of Sales and Operations Planning and data-driven demand forecasting would help to adapt production to market needs. </w:t>
      </w:r>
    </w:p>
    <w:p w14:paraId="7ABCBC2B" w14:textId="77777777" w:rsidR="007E5F4D" w:rsidRPr="00084942" w:rsidRDefault="007E5F4D" w:rsidP="007E5F4D">
      <w:pPr>
        <w:rPr>
          <w:rFonts w:ascii="Arial" w:hAnsi="Arial" w:cs="Arial"/>
        </w:rPr>
      </w:pPr>
      <w:r w:rsidRPr="00084942">
        <w:rPr>
          <w:rFonts w:ascii="Arial" w:hAnsi="Arial" w:cs="Arial"/>
        </w:rPr>
        <w:t xml:space="preserve">In 2020, accounts payable were approximately £83.2 billion and it went down to £72.0 billion in 2024. However, the value of Days Payable Outstanding improved at a significant level to approximately ninety-four days in 2024, which implies the rising dependence on supplier credit. The company could have signed win-win payment contracts with key suppliers whereby the cost of financing is lower. Formal supplier-chain financing programme can give supplier early payment at friendly rates but leaves the company with longer payment terms. </w:t>
      </w:r>
    </w:p>
    <w:p w14:paraId="1E2B108A" w14:textId="358BA5C6" w:rsidR="009545F4" w:rsidRPr="00084942" w:rsidRDefault="007E5F4D" w:rsidP="007E5F4D">
      <w:pPr>
        <w:rPr>
          <w:rFonts w:ascii="Arial" w:hAnsi="Arial" w:cs="Arial"/>
        </w:rPr>
      </w:pPr>
      <w:r w:rsidRPr="00084942">
        <w:rPr>
          <w:rFonts w:ascii="Arial" w:hAnsi="Arial" w:cs="Arial"/>
        </w:rPr>
        <w:lastRenderedPageBreak/>
        <w:t>A combination of these reforms would cut the cash conversion cycle by thirty to thirty-five days and release close to one hundred billion of stuck cash. This would lead to stabilization of the liquidity and the reduction of the short-term borrowing.</w:t>
      </w:r>
    </w:p>
    <w:p w14:paraId="062DAA9B" w14:textId="7499AEA7" w:rsidR="00EB1B3A" w:rsidRPr="00084942" w:rsidRDefault="00EB1B3A" w:rsidP="00BA7DA5">
      <w:pPr>
        <w:pStyle w:val="Heading2"/>
        <w:rPr>
          <w:rFonts w:cs="Arial"/>
        </w:rPr>
      </w:pPr>
      <w:bookmarkStart w:id="9" w:name="_Toc213680179"/>
      <w:r w:rsidRPr="00084942">
        <w:rPr>
          <w:rFonts w:cs="Arial"/>
        </w:rPr>
        <w:t>Financing the Gap</w:t>
      </w:r>
      <w:bookmarkEnd w:id="9"/>
      <w:r w:rsidRPr="00084942">
        <w:rPr>
          <w:rFonts w:cs="Arial"/>
        </w:rPr>
        <w:t xml:space="preserve"> </w:t>
      </w:r>
    </w:p>
    <w:p w14:paraId="20F6B1CF" w14:textId="04D95762" w:rsidR="00EB1B3A" w:rsidRPr="00084942" w:rsidRDefault="00BA0675" w:rsidP="00EB1B3A">
      <w:pPr>
        <w:rPr>
          <w:rFonts w:ascii="Arial" w:hAnsi="Arial" w:cs="Arial"/>
        </w:rPr>
      </w:pPr>
      <w:r w:rsidRPr="00084942">
        <w:rPr>
          <w:rFonts w:ascii="Arial" w:hAnsi="Arial" w:cs="Arial"/>
        </w:rPr>
        <w:t xml:space="preserve">Low operating costs have improved the working capital efficiency of general electronics but the underlying negative profitability implies that the company has a funding gap. A major decision on how to enhance the feasibility of funding recovery actions is therefore whether to employ short term or </w:t>
      </w:r>
      <w:r w:rsidR="007E5F4D" w:rsidRPr="00084942">
        <w:rPr>
          <w:rFonts w:ascii="Arial" w:hAnsi="Arial" w:cs="Arial"/>
        </w:rPr>
        <w:t>long-term</w:t>
      </w:r>
      <w:r w:rsidRPr="00084942">
        <w:rPr>
          <w:rFonts w:ascii="Arial" w:hAnsi="Arial" w:cs="Arial"/>
        </w:rPr>
        <w:t xml:space="preserve"> funding instruments</w:t>
      </w:r>
      <w:r w:rsidR="00EB1B3A" w:rsidRPr="00084942">
        <w:rPr>
          <w:rFonts w:ascii="Arial" w:hAnsi="Arial" w:cs="Arial"/>
        </w:rPr>
        <w:t>.</w:t>
      </w:r>
    </w:p>
    <w:p w14:paraId="33102033" w14:textId="5F5AE4E6" w:rsidR="00EB1B3A" w:rsidRPr="00084942" w:rsidRDefault="00EB1B3A" w:rsidP="00EB1B3A">
      <w:pPr>
        <w:rPr>
          <w:rFonts w:ascii="Arial" w:hAnsi="Arial" w:cs="Arial"/>
        </w:rPr>
      </w:pPr>
      <w:r w:rsidRPr="00084942">
        <w:rPr>
          <w:rFonts w:ascii="Arial" w:hAnsi="Arial" w:cs="Arial"/>
          <w:b/>
          <w:bCs/>
        </w:rPr>
        <w:t>Short-Term Financing Options:</w:t>
      </w:r>
      <w:r w:rsidRPr="00084942">
        <w:rPr>
          <w:rFonts w:ascii="Arial" w:hAnsi="Arial" w:cs="Arial"/>
        </w:rPr>
        <w:t xml:space="preserve"> </w:t>
      </w:r>
      <w:r w:rsidR="008269E0" w:rsidRPr="00084942">
        <w:rPr>
          <w:rFonts w:ascii="Arial" w:hAnsi="Arial" w:cs="Arial"/>
        </w:rPr>
        <w:t>£</w:t>
      </w:r>
      <w:r w:rsidR="00BA0675" w:rsidRPr="00084942">
        <w:rPr>
          <w:rFonts w:ascii="Arial" w:hAnsi="Arial" w:cs="Arial"/>
        </w:rPr>
        <w:t xml:space="preserve">36.9 billion was borrowed in 2024, which shows a deleveraging trend, yet there was also limited credit headroom, versus </w:t>
      </w:r>
      <w:r w:rsidR="008269E0" w:rsidRPr="00084942">
        <w:rPr>
          <w:rFonts w:ascii="Arial" w:hAnsi="Arial" w:cs="Arial"/>
        </w:rPr>
        <w:t>£</w:t>
      </w:r>
      <w:r w:rsidR="00BA0675" w:rsidRPr="00084942">
        <w:rPr>
          <w:rFonts w:ascii="Arial" w:hAnsi="Arial" w:cs="Arial"/>
        </w:rPr>
        <w:t>55.0 in 2023. Refinancing of temporary credit facilities can restore time liquidity at friendly rates, but excessive reliance on the device creates a refinancing risk. The seasonal working capital variations require discriminatory uses of trade credit facilities and revolving credit facilities.</w:t>
      </w:r>
    </w:p>
    <w:p w14:paraId="0899D04A" w14:textId="77777777" w:rsidR="008269E0" w:rsidRPr="00084942" w:rsidRDefault="00EB1B3A" w:rsidP="008269E0">
      <w:pPr>
        <w:rPr>
          <w:rFonts w:ascii="Arial" w:hAnsi="Arial" w:cs="Arial"/>
        </w:rPr>
      </w:pPr>
      <w:r w:rsidRPr="00084942">
        <w:rPr>
          <w:rFonts w:ascii="Arial" w:hAnsi="Arial" w:cs="Arial"/>
          <w:b/>
          <w:bCs/>
        </w:rPr>
        <w:t>Long-Term Financing Options:</w:t>
      </w:r>
      <w:r w:rsidRPr="00084942">
        <w:rPr>
          <w:rFonts w:ascii="Arial" w:hAnsi="Arial" w:cs="Arial"/>
        </w:rPr>
        <w:t xml:space="preserve"> </w:t>
      </w:r>
      <w:r w:rsidR="008269E0" w:rsidRPr="00084942">
        <w:rPr>
          <w:rFonts w:ascii="Arial" w:hAnsi="Arial" w:cs="Arial"/>
        </w:rPr>
        <w:t>The debt-to-equity ratio stands at 1.11 in nature, which means that long-term funding via syndicated loans or bond issues would have to be structured in a manner that does not raise leverage (Aithal, 2023). Hybrid financing such as convertible debt or notes based on equity may provide a midway option, but these dilute ownership in one transaction but are more liquid. In addition, equity injection by strategic investors would lower gearing, increase the capitalization ratio, and regain credit confidence.</w:t>
      </w:r>
    </w:p>
    <w:p w14:paraId="23BC42A7" w14:textId="28668683" w:rsidR="004E4855" w:rsidRPr="00084942" w:rsidRDefault="008269E0" w:rsidP="008269E0">
      <w:pPr>
        <w:rPr>
          <w:rFonts w:ascii="Arial" w:hAnsi="Arial" w:cs="Arial"/>
        </w:rPr>
      </w:pPr>
      <w:r w:rsidRPr="00084942">
        <w:rPr>
          <w:rFonts w:ascii="Arial" w:hAnsi="Arial" w:cs="Arial"/>
        </w:rPr>
        <w:t>The turnaround plan will bring about the debt-equity ratio to a level lower than 0.8 in two fiscal years (current ratio of 1.8) to improve solvency</w:t>
      </w:r>
      <w:r w:rsidR="00383316" w:rsidRPr="00084942">
        <w:rPr>
          <w:rFonts w:ascii="Arial" w:hAnsi="Arial" w:cs="Arial"/>
        </w:rPr>
        <w:t>. An operating cash flow coverage ratio for general electronics current liabilities of .3 to .4 would help to provide a level of operational and liquidity support. General Electronics' ability to bridge its liquidity position, improve its cash generation and restore investor confidence is likely to be enhanced through disciplined working capital optimization, credit and effective capital management</w:t>
      </w:r>
      <w:r w:rsidRPr="00084942">
        <w:rPr>
          <w:rFonts w:ascii="Arial" w:hAnsi="Arial" w:cs="Arial"/>
        </w:rPr>
        <w:t xml:space="preserve">. </w:t>
      </w:r>
    </w:p>
    <w:p w14:paraId="0855D770" w14:textId="4E8943A2" w:rsidR="004E4855" w:rsidRPr="00084942" w:rsidRDefault="00EB1B3A" w:rsidP="00EB1B3A">
      <w:pPr>
        <w:pStyle w:val="Heading1"/>
        <w:rPr>
          <w:rFonts w:cs="Arial"/>
        </w:rPr>
      </w:pPr>
      <w:bookmarkStart w:id="10" w:name="_Toc213680180"/>
      <w:r w:rsidRPr="00084942">
        <w:rPr>
          <w:rFonts w:cs="Arial"/>
        </w:rPr>
        <w:lastRenderedPageBreak/>
        <w:t>3</w:t>
      </w:r>
      <w:r w:rsidR="004E4855" w:rsidRPr="00084942">
        <w:rPr>
          <w:rFonts w:cs="Arial"/>
        </w:rPr>
        <w:t>. Strategic Financial Restructuring Plan</w:t>
      </w:r>
      <w:bookmarkEnd w:id="10"/>
      <w:r w:rsidR="004E4855" w:rsidRPr="00084942">
        <w:rPr>
          <w:rFonts w:cs="Arial"/>
        </w:rPr>
        <w:t xml:space="preserve"> </w:t>
      </w:r>
    </w:p>
    <w:p w14:paraId="2EF3E457" w14:textId="100E1611" w:rsidR="00EB1B3A" w:rsidRPr="00084942" w:rsidRDefault="00EB1B3A" w:rsidP="00BA7DA5">
      <w:pPr>
        <w:pStyle w:val="Heading2"/>
        <w:rPr>
          <w:rFonts w:cs="Arial"/>
        </w:rPr>
      </w:pPr>
      <w:bookmarkStart w:id="11" w:name="_Toc213680181"/>
      <w:r w:rsidRPr="00084942">
        <w:rPr>
          <w:rFonts w:cs="Arial"/>
        </w:rPr>
        <w:t>Problem Statement and Value at Risk</w:t>
      </w:r>
      <w:bookmarkEnd w:id="11"/>
      <w:r w:rsidRPr="00084942">
        <w:rPr>
          <w:rFonts w:cs="Arial"/>
        </w:rPr>
        <w:t xml:space="preserve"> </w:t>
      </w:r>
    </w:p>
    <w:p w14:paraId="6A2EB2E7" w14:textId="5B96C973" w:rsidR="008269E0" w:rsidRPr="00084942" w:rsidRDefault="008269E0" w:rsidP="00855415">
      <w:pPr>
        <w:rPr>
          <w:rFonts w:ascii="Arial" w:hAnsi="Arial" w:cs="Arial"/>
        </w:rPr>
      </w:pPr>
      <w:r w:rsidRPr="00084942">
        <w:rPr>
          <w:rFonts w:ascii="Arial" w:hAnsi="Arial" w:cs="Arial"/>
        </w:rPr>
        <w:t xml:space="preserve">General electronics has entered into a critical financial crisis that is characterized by declining profitability, liquidity, and cash flow. The company experienced a high turnover in 2020 and 2024 with reported net profits of £38.6 billion and £24.0 billion, and four years of low performance are registered in the income statement. This downward trend has reduced retained earnings by a large figure </w:t>
      </w:r>
      <w:r w:rsidR="00F850A9" w:rsidRPr="00084942">
        <w:rPr>
          <w:rFonts w:ascii="Arial" w:hAnsi="Arial" w:cs="Arial"/>
        </w:rPr>
        <w:t>£</w:t>
      </w:r>
      <w:r w:rsidRPr="00084942">
        <w:rPr>
          <w:rFonts w:ascii="Arial" w:hAnsi="Arial" w:cs="Arial"/>
        </w:rPr>
        <w:t xml:space="preserve">208 billion to </w:t>
      </w:r>
      <w:r w:rsidR="00F850A9" w:rsidRPr="00084942">
        <w:rPr>
          <w:rFonts w:ascii="Arial" w:hAnsi="Arial" w:cs="Arial"/>
        </w:rPr>
        <w:t>£</w:t>
      </w:r>
      <w:r w:rsidRPr="00084942">
        <w:rPr>
          <w:rFonts w:ascii="Arial" w:hAnsi="Arial" w:cs="Arial"/>
        </w:rPr>
        <w:t>325 billion, which the company cannot easily tap into internal capital to fund operations or reinvestment. The losses also indicate the presence of inefficiencies in cost management, pricing policy, and use of assets that have moved to lower shareholder value and financial capacity.</w:t>
      </w:r>
    </w:p>
    <w:p w14:paraId="2194DDFA" w14:textId="54B94B2B" w:rsidR="00F850A9" w:rsidRPr="00084942" w:rsidRDefault="00F850A9" w:rsidP="00855415">
      <w:pPr>
        <w:rPr>
          <w:rFonts w:ascii="Arial" w:hAnsi="Arial" w:cs="Arial"/>
        </w:rPr>
      </w:pPr>
      <w:r w:rsidRPr="00084942">
        <w:rPr>
          <w:rFonts w:ascii="Arial" w:hAnsi="Arial" w:cs="Arial"/>
        </w:rPr>
        <w:t xml:space="preserve">Other signs of structural decay can be seen in the balance sheet. There was a net decline in total assets in 2020-2024 (£187 billion), mostly by disposal or depreciation of property/plant/equipment and a </w:t>
      </w:r>
      <w:r w:rsidR="00B80103" w:rsidRPr="00084942">
        <w:rPr>
          <w:rFonts w:ascii="Arial" w:hAnsi="Arial" w:cs="Arial"/>
        </w:rPr>
        <w:t>long-term</w:t>
      </w:r>
      <w:r w:rsidRPr="00084942">
        <w:rPr>
          <w:rFonts w:ascii="Arial" w:hAnsi="Arial" w:cs="Arial"/>
        </w:rPr>
        <w:t xml:space="preserve"> decline in current assets, including inventories and cash reserves. The reduction in liabilities, however, is not that great, and the debt-equity ratio in 2024 remains high, 1.11, which also signals that at this moment the company is dependent on debt capital more than on equity capital. The imbalance in capital exposes the company to refinancing pressures and higher interest rates.</w:t>
      </w:r>
    </w:p>
    <w:p w14:paraId="7B1846B8" w14:textId="25D2005C" w:rsidR="00F850A9" w:rsidRPr="00084942" w:rsidRDefault="00F850A9" w:rsidP="00EB1B3A">
      <w:pPr>
        <w:rPr>
          <w:rFonts w:ascii="Arial" w:hAnsi="Arial" w:cs="Arial"/>
        </w:rPr>
      </w:pPr>
      <w:r w:rsidRPr="00084942">
        <w:rPr>
          <w:rFonts w:ascii="Arial" w:hAnsi="Arial" w:cs="Arial"/>
        </w:rPr>
        <w:t>The cash flow statement reinforces these distress signals because in 2024 the net cash flow of operations had shifted to negative at £14.8 billion, whereas in 2020, the net cash flow of operations was £73.4 billion, which reflects operational inefficiency and cash wastefulness. This has also contributed to liquidity drainage since capital has been expended and the debts settled and there is no reserve left to cover market shocks or to invest in recovery. The total of these figures is a portrait of dogged value in danger: the capital structure of the company is unsustainable, the work is not profitable, and the cash reserves are inadequate to invest in the recovery (Vinokurova and Kapoor, 2023). This lack of structural financial reform predisposes General Electronics to credit downgrades, covenant breach, and further shareholder value destruction.</w:t>
      </w:r>
    </w:p>
    <w:p w14:paraId="6AFD59CA" w14:textId="137530FF" w:rsidR="00EB1B3A" w:rsidRPr="00084942" w:rsidRDefault="00EB1B3A" w:rsidP="00BA7DA5">
      <w:pPr>
        <w:pStyle w:val="Heading2"/>
        <w:rPr>
          <w:rFonts w:cs="Arial"/>
        </w:rPr>
      </w:pPr>
      <w:bookmarkStart w:id="12" w:name="_Toc213680182"/>
      <w:r w:rsidRPr="00084942">
        <w:rPr>
          <w:rFonts w:cs="Arial"/>
        </w:rPr>
        <w:lastRenderedPageBreak/>
        <w:t>Portfolio and Asset Actions</w:t>
      </w:r>
      <w:bookmarkEnd w:id="12"/>
      <w:r w:rsidRPr="00084942">
        <w:rPr>
          <w:rFonts w:cs="Arial"/>
        </w:rPr>
        <w:t xml:space="preserve"> </w:t>
      </w:r>
    </w:p>
    <w:p w14:paraId="146A992A" w14:textId="5F4F04DD" w:rsidR="00EB1B3A" w:rsidRPr="00084942" w:rsidRDefault="00AC6D60" w:rsidP="00EB1B3A">
      <w:pPr>
        <w:rPr>
          <w:rFonts w:ascii="Arial" w:hAnsi="Arial" w:cs="Arial"/>
        </w:rPr>
      </w:pPr>
      <w:r w:rsidRPr="00084942">
        <w:rPr>
          <w:rFonts w:ascii="Arial" w:hAnsi="Arial" w:cs="Arial"/>
        </w:rPr>
        <w:t xml:space="preserve">Such value restoration is characterized by radical restructuring of the portfolio to reposition core business based on profitability and strategic competitiveness. General Electronics is over-differentiated and margin-thinned in its global portfolio of consumer appliances, entertainment, and digital electronics (Van der Waldt, Fourie and Malan, 2024). </w:t>
      </w:r>
    </w:p>
    <w:p w14:paraId="5882A09F" w14:textId="29299393" w:rsidR="00EB1B3A" w:rsidRPr="00084942" w:rsidRDefault="00EB1B3A" w:rsidP="00EB1B3A">
      <w:pPr>
        <w:rPr>
          <w:rFonts w:ascii="Arial" w:hAnsi="Arial" w:cs="Arial"/>
        </w:rPr>
      </w:pPr>
      <w:r w:rsidRPr="00084942">
        <w:rPr>
          <w:rFonts w:ascii="Arial" w:hAnsi="Arial" w:cs="Arial"/>
          <w:b/>
          <w:bCs/>
        </w:rPr>
        <w:t>Divestiture Strategy:</w:t>
      </w:r>
      <w:r w:rsidRPr="00084942">
        <w:rPr>
          <w:rFonts w:ascii="Arial" w:hAnsi="Arial" w:cs="Arial"/>
        </w:rPr>
        <w:t xml:space="preserve"> </w:t>
      </w:r>
      <w:r w:rsidR="00AC6D60" w:rsidRPr="00084942">
        <w:rPr>
          <w:rFonts w:ascii="Arial" w:hAnsi="Arial" w:cs="Arial"/>
        </w:rPr>
        <w:t xml:space="preserve">The company should consider selling the old or unprofitable product lines, including legacy appliances and low-priced television markets, which may provide little differentiation and deteriorating demand elasticity (Zamil, Mohiuddin and Mamun, 2024). This would be sold at proceeds of between £25-30 billion pounds to regional manufacturing conglomerates, which it is estimated contributes between 15-20 percent of total revenues and small dividend to profits. Debt should be paid down through divestiture proceeds and reinvestment in high-growth areas like smart devices and connected home ecosystems. </w:t>
      </w:r>
    </w:p>
    <w:p w14:paraId="7FCC63C9" w14:textId="7BFA0F88" w:rsidR="00AC6D60" w:rsidRPr="00084942" w:rsidRDefault="00EB1B3A" w:rsidP="00EB1B3A">
      <w:pPr>
        <w:rPr>
          <w:rFonts w:ascii="Arial" w:hAnsi="Arial" w:cs="Arial"/>
        </w:rPr>
      </w:pPr>
      <w:r w:rsidRPr="00084942">
        <w:rPr>
          <w:rFonts w:ascii="Arial" w:hAnsi="Arial" w:cs="Arial"/>
          <w:b/>
          <w:bCs/>
        </w:rPr>
        <w:t>Asset Optimisation:</w:t>
      </w:r>
      <w:r w:rsidRPr="00084942">
        <w:rPr>
          <w:rFonts w:ascii="Arial" w:hAnsi="Arial" w:cs="Arial"/>
        </w:rPr>
        <w:t xml:space="preserve"> </w:t>
      </w:r>
      <w:r w:rsidR="00AC6D60" w:rsidRPr="00084942">
        <w:rPr>
          <w:rFonts w:ascii="Arial" w:hAnsi="Arial" w:cs="Arial"/>
        </w:rPr>
        <w:t xml:space="preserve">The tangible asset base fell to £34.2 billion in 2024 and £87.3 billion in 2020, demonstrating </w:t>
      </w:r>
      <w:r w:rsidR="0007652C" w:rsidRPr="00084942">
        <w:rPr>
          <w:rFonts w:ascii="Arial" w:hAnsi="Arial" w:cs="Arial"/>
        </w:rPr>
        <w:t>high-capacity</w:t>
      </w:r>
      <w:r w:rsidR="00AC6D60" w:rsidRPr="00084942">
        <w:rPr>
          <w:rFonts w:ascii="Arial" w:hAnsi="Arial" w:cs="Arial"/>
        </w:rPr>
        <w:t xml:space="preserve"> utilisation and underutilisation of facilities. Reduction of fixed costs by 10-12 percent/annum- quantity rationalisation of manufacturing footprints- e.g., concentration of non-performing plants and outsourcing of non-strategic manufacturing- is possible. Further monetisation of surplus real estate and light models (e.g., contract manufacturing in Asia-Pacific) would increase the payoff to assets and enable flexibility in production.</w:t>
      </w:r>
    </w:p>
    <w:p w14:paraId="2BC0F9AE" w14:textId="77777777" w:rsidR="00D510B4" w:rsidRPr="00084942" w:rsidRDefault="00EB1B3A" w:rsidP="00D510B4">
      <w:pPr>
        <w:rPr>
          <w:rFonts w:ascii="Arial" w:hAnsi="Arial" w:cs="Arial"/>
        </w:rPr>
      </w:pPr>
      <w:r w:rsidRPr="00084942">
        <w:rPr>
          <w:rFonts w:ascii="Arial" w:hAnsi="Arial" w:cs="Arial"/>
          <w:b/>
          <w:bCs/>
        </w:rPr>
        <w:t>Mergers and Partnerships:</w:t>
      </w:r>
      <w:r w:rsidRPr="00084942">
        <w:rPr>
          <w:rFonts w:ascii="Arial" w:hAnsi="Arial" w:cs="Arial"/>
        </w:rPr>
        <w:t xml:space="preserve"> </w:t>
      </w:r>
      <w:r w:rsidR="00D510B4" w:rsidRPr="00084942">
        <w:rPr>
          <w:rFonts w:ascii="Arial" w:hAnsi="Arial" w:cs="Arial"/>
        </w:rPr>
        <w:t>Strategic collaboration with technology companies may produce innovation and digital integration. Partnerships with firms that specialized in the Internet of Things (IoT) or renewable elements would assist in rebalancing the product lineup and spreading the load of research and development (Kemppainen, 2022). Acquisition or alliance with Europeans-North Americans would also enhance scale and distribution efficiency. These partnerships would increase competitive advantage in technology and global sustainability markets, and would also reposition general electronics in luxury consumer markets.</w:t>
      </w:r>
    </w:p>
    <w:p w14:paraId="7D39BDF5" w14:textId="725A1E4C" w:rsidR="00EB1B3A" w:rsidRPr="00084942" w:rsidRDefault="00EB1B3A" w:rsidP="00BA7DA5">
      <w:pPr>
        <w:pStyle w:val="Heading2"/>
        <w:rPr>
          <w:rFonts w:cs="Arial"/>
        </w:rPr>
      </w:pPr>
      <w:bookmarkStart w:id="13" w:name="_Toc213680183"/>
      <w:r w:rsidRPr="00084942">
        <w:rPr>
          <w:rFonts w:cs="Arial"/>
        </w:rPr>
        <w:lastRenderedPageBreak/>
        <w:t>Capital Structure Reset</w:t>
      </w:r>
      <w:bookmarkEnd w:id="13"/>
      <w:r w:rsidRPr="00084942">
        <w:rPr>
          <w:rFonts w:cs="Arial"/>
        </w:rPr>
        <w:t xml:space="preserve"> </w:t>
      </w:r>
    </w:p>
    <w:p w14:paraId="2B39502C" w14:textId="7589C14D" w:rsidR="00EB1B3A" w:rsidRPr="00084942" w:rsidRDefault="00D510B4" w:rsidP="00EB1B3A">
      <w:pPr>
        <w:rPr>
          <w:rFonts w:ascii="Arial" w:hAnsi="Arial" w:cs="Arial"/>
        </w:rPr>
      </w:pPr>
      <w:r w:rsidRPr="00084942">
        <w:rPr>
          <w:rFonts w:ascii="Arial" w:hAnsi="Arial" w:cs="Arial"/>
        </w:rPr>
        <w:t>The capital structure must be re-engineered in a way that it can invest so that it can restore its solvency and investor confidence. Its current structure, characterized by falling equity and the high debt ratio, has left it with little cash flows and space to invest to the tactic</w:t>
      </w:r>
      <w:r w:rsidR="00EB1B3A" w:rsidRPr="00084942">
        <w:rPr>
          <w:rFonts w:ascii="Arial" w:hAnsi="Arial" w:cs="Arial"/>
        </w:rPr>
        <w:t>.</w:t>
      </w:r>
    </w:p>
    <w:p w14:paraId="50C57EAD" w14:textId="1DD9D7F2" w:rsidR="00EB1B3A" w:rsidRPr="00084942" w:rsidRDefault="00EB1B3A" w:rsidP="00EB1B3A">
      <w:pPr>
        <w:rPr>
          <w:rFonts w:ascii="Arial" w:hAnsi="Arial" w:cs="Arial"/>
        </w:rPr>
      </w:pPr>
      <w:r w:rsidRPr="00084942">
        <w:rPr>
          <w:rFonts w:ascii="Arial" w:hAnsi="Arial" w:cs="Arial"/>
          <w:b/>
          <w:bCs/>
        </w:rPr>
        <w:t>Equity Injection Scenarios:</w:t>
      </w:r>
      <w:r w:rsidRPr="00084942">
        <w:rPr>
          <w:rFonts w:ascii="Arial" w:hAnsi="Arial" w:cs="Arial"/>
        </w:rPr>
        <w:t xml:space="preserve"> </w:t>
      </w:r>
      <w:r w:rsidR="00D510B4" w:rsidRPr="00084942">
        <w:rPr>
          <w:rFonts w:ascii="Arial" w:hAnsi="Arial" w:cs="Arial"/>
        </w:rPr>
        <w:t>£40-50 billion equity: rights issue or privatised issue would reduce leverage and re-price debt-to-equity ratio to sustainable 0.8. This would provide liquidity without generating additional interest payments. Long-term institutional investors or strategic partners may offer capital and governance discipline (</w:t>
      </w:r>
      <w:proofErr w:type="spellStart"/>
      <w:r w:rsidR="00D510B4" w:rsidRPr="00084942">
        <w:rPr>
          <w:rFonts w:ascii="Arial" w:hAnsi="Arial" w:cs="Arial"/>
        </w:rPr>
        <w:t>Burgelman</w:t>
      </w:r>
      <w:proofErr w:type="spellEnd"/>
      <w:r w:rsidR="00D510B4" w:rsidRPr="00084942">
        <w:rPr>
          <w:rFonts w:ascii="Arial" w:hAnsi="Arial" w:cs="Arial"/>
        </w:rPr>
        <w:t xml:space="preserve">, </w:t>
      </w:r>
      <w:proofErr w:type="spellStart"/>
      <w:r w:rsidR="00D510B4" w:rsidRPr="00084942">
        <w:rPr>
          <w:rFonts w:ascii="Arial" w:hAnsi="Arial" w:cs="Arial"/>
        </w:rPr>
        <w:t>Snihur</w:t>
      </w:r>
      <w:proofErr w:type="spellEnd"/>
      <w:r w:rsidR="00D510B4" w:rsidRPr="00084942">
        <w:rPr>
          <w:rFonts w:ascii="Arial" w:hAnsi="Arial" w:cs="Arial"/>
        </w:rPr>
        <w:t xml:space="preserve"> and Thomas, 2022). Also helpful in the process of development of a unit between the management and the shareholders are the employee stock ownership incentive plans, which are obligatory to give the impulse of cultural change in the turnaround.</w:t>
      </w:r>
    </w:p>
    <w:p w14:paraId="439992C2" w14:textId="4540089E" w:rsidR="00EB1B3A" w:rsidRPr="00084942" w:rsidRDefault="00EB1B3A" w:rsidP="00EB1B3A">
      <w:pPr>
        <w:rPr>
          <w:rFonts w:ascii="Arial" w:hAnsi="Arial" w:cs="Arial"/>
        </w:rPr>
      </w:pPr>
      <w:r w:rsidRPr="00084942">
        <w:rPr>
          <w:rFonts w:ascii="Arial" w:hAnsi="Arial" w:cs="Arial"/>
          <w:b/>
          <w:bCs/>
        </w:rPr>
        <w:t>Debt Reprofiling and Restructuring:</w:t>
      </w:r>
      <w:r w:rsidRPr="00084942">
        <w:rPr>
          <w:rFonts w:ascii="Arial" w:hAnsi="Arial" w:cs="Arial"/>
        </w:rPr>
        <w:t xml:space="preserve"> </w:t>
      </w:r>
      <w:r w:rsidR="00D510B4" w:rsidRPr="00084942">
        <w:rPr>
          <w:rFonts w:ascii="Arial" w:hAnsi="Arial" w:cs="Arial"/>
        </w:rPr>
        <w:t>The short-term debt is costly, and as the interest coverage declines to 26.2 and -4.5 times in 2020 and 2024, the company will require resetting the loan covenants and repayment terms. Repayment of existing lines of credit may be rolled over into additional fixed-rate instruments to absorb the effect of interest rate changes. Green debt bonds or sustainability-linked bonds would attract ESG-sensitive investors but would also indicate readiness to finance responsibility. The sale of over £20-25 billion in assets would further enhance liquidity figures and mitigating financial risks.</w:t>
      </w:r>
    </w:p>
    <w:p w14:paraId="372BF1AA" w14:textId="77777777" w:rsidR="0010450C" w:rsidRPr="00084942" w:rsidRDefault="00EB1B3A" w:rsidP="0010450C">
      <w:pPr>
        <w:rPr>
          <w:rFonts w:ascii="Arial" w:hAnsi="Arial" w:cs="Arial"/>
        </w:rPr>
      </w:pPr>
      <w:r w:rsidRPr="00084942">
        <w:rPr>
          <w:rFonts w:ascii="Arial" w:hAnsi="Arial" w:cs="Arial"/>
          <w:b/>
          <w:bCs/>
        </w:rPr>
        <w:t>Impact on WACC and Flexibility:</w:t>
      </w:r>
      <w:r w:rsidRPr="00084942">
        <w:rPr>
          <w:rFonts w:ascii="Arial" w:hAnsi="Arial" w:cs="Arial"/>
        </w:rPr>
        <w:t xml:space="preserve"> </w:t>
      </w:r>
      <w:r w:rsidR="0010450C" w:rsidRPr="00084942">
        <w:rPr>
          <w:rFonts w:ascii="Arial" w:hAnsi="Arial" w:cs="Arial"/>
        </w:rPr>
        <w:t>The recalculated capital structure would lower on average the weighted average cost of capital (WACC) of the company by 1.5 to 2 percentage points and would enable future investment to become more feasible (Zhu, 2025). Improved coverage ratios and covenants would enhance credit ratings, lowering the cost of borrowing. It would also introduce flexibility and re-entry into capital markets and would selectively reinvest in growth projects and R and D.</w:t>
      </w:r>
    </w:p>
    <w:p w14:paraId="5E4BDB9C" w14:textId="37A45837" w:rsidR="00EB1B3A" w:rsidRPr="00084942" w:rsidRDefault="0010450C" w:rsidP="0010450C">
      <w:pPr>
        <w:rPr>
          <w:rFonts w:ascii="Arial" w:hAnsi="Arial" w:cs="Arial"/>
        </w:rPr>
      </w:pPr>
      <w:r w:rsidRPr="00084942">
        <w:rPr>
          <w:rFonts w:ascii="Arial" w:hAnsi="Arial" w:cs="Arial"/>
        </w:rPr>
        <w:t>Concisely, what will not only transform General Electronics into a clean sheet, but rather into a stable profile back to profitability is equity strengthening and systematic debt re-profiling</w:t>
      </w:r>
      <w:r w:rsidR="00EB1B3A" w:rsidRPr="00084942">
        <w:rPr>
          <w:rFonts w:ascii="Arial" w:hAnsi="Arial" w:cs="Arial"/>
        </w:rPr>
        <w:t>.</w:t>
      </w:r>
    </w:p>
    <w:p w14:paraId="1F34DF05" w14:textId="65E92496" w:rsidR="00EB1B3A" w:rsidRPr="00084942" w:rsidRDefault="00EB1B3A" w:rsidP="00BA7DA5">
      <w:pPr>
        <w:pStyle w:val="Heading2"/>
        <w:rPr>
          <w:rFonts w:cs="Arial"/>
        </w:rPr>
      </w:pPr>
      <w:bookmarkStart w:id="14" w:name="_Toc213680184"/>
      <w:r w:rsidRPr="00084942">
        <w:rPr>
          <w:rFonts w:cs="Arial"/>
        </w:rPr>
        <w:lastRenderedPageBreak/>
        <w:t>International and Ethical Considerations</w:t>
      </w:r>
      <w:bookmarkEnd w:id="14"/>
      <w:r w:rsidRPr="00084942">
        <w:rPr>
          <w:rFonts w:cs="Arial"/>
        </w:rPr>
        <w:t xml:space="preserve"> </w:t>
      </w:r>
    </w:p>
    <w:p w14:paraId="4A5C7325" w14:textId="6900CA45" w:rsidR="00EB1B3A" w:rsidRPr="00084942" w:rsidRDefault="0010450C" w:rsidP="00EB1B3A">
      <w:pPr>
        <w:rPr>
          <w:rFonts w:ascii="Arial" w:hAnsi="Arial" w:cs="Arial"/>
        </w:rPr>
      </w:pPr>
      <w:r w:rsidRPr="00084942">
        <w:rPr>
          <w:rFonts w:ascii="Arial" w:hAnsi="Arial" w:cs="Arial"/>
        </w:rPr>
        <w:t>Financial restructuring and global realignment should be supported by international financial risk and ethical consideration as General Electronics continues to international corporate governance</w:t>
      </w:r>
      <w:r w:rsidR="00EB1B3A" w:rsidRPr="00084942">
        <w:rPr>
          <w:rFonts w:ascii="Arial" w:hAnsi="Arial" w:cs="Arial"/>
        </w:rPr>
        <w:t>.</w:t>
      </w:r>
    </w:p>
    <w:p w14:paraId="57BA3259" w14:textId="42AAA997" w:rsidR="00EB1B3A" w:rsidRPr="00084942" w:rsidRDefault="00EB1B3A" w:rsidP="00EB1B3A">
      <w:pPr>
        <w:rPr>
          <w:rFonts w:ascii="Arial" w:hAnsi="Arial" w:cs="Arial"/>
        </w:rPr>
      </w:pPr>
      <w:r w:rsidRPr="00084942">
        <w:rPr>
          <w:rFonts w:ascii="Arial" w:hAnsi="Arial" w:cs="Arial"/>
          <w:b/>
          <w:bCs/>
        </w:rPr>
        <w:t>Currency and Inflation Exposure:</w:t>
      </w:r>
      <w:r w:rsidRPr="00084942">
        <w:rPr>
          <w:rFonts w:ascii="Arial" w:hAnsi="Arial" w:cs="Arial"/>
        </w:rPr>
        <w:t xml:space="preserve"> </w:t>
      </w:r>
      <w:r w:rsidR="0010450C" w:rsidRPr="00084942">
        <w:rPr>
          <w:rFonts w:ascii="Arial" w:hAnsi="Arial" w:cs="Arial"/>
        </w:rPr>
        <w:t>The company has several localities, and thus it is exposed to exchange rates especially due to the fact that over 60 percent of revenues are received outside the domestic market. Recent currency depreciation in emerging-market currencies against the pound has further eroded the value of revenue translation, contributing to the loss of consolidated sales (</w:t>
      </w:r>
      <w:proofErr w:type="spellStart"/>
      <w:r w:rsidR="0010450C" w:rsidRPr="00084942">
        <w:rPr>
          <w:rFonts w:ascii="Arial" w:hAnsi="Arial" w:cs="Arial"/>
        </w:rPr>
        <w:t>Gasela</w:t>
      </w:r>
      <w:proofErr w:type="spellEnd"/>
      <w:r w:rsidR="0010450C" w:rsidRPr="00084942">
        <w:rPr>
          <w:rFonts w:ascii="Arial" w:hAnsi="Arial" w:cs="Arial"/>
        </w:rPr>
        <w:t>, 2021). In response, the company should be encouraged to pursue natural hedging through local financing and local revenues and expenses equalized and supplemented with strategically selected forward contracts. Europe and North America at least have experienced inflationary strain on production costs at least 8-10 percent per year, requiring price hikes and supplier renegotiations merely to hold the margin constant.</w:t>
      </w:r>
    </w:p>
    <w:p w14:paraId="1D2A6D5B" w14:textId="3EF88A9F" w:rsidR="00EB1B3A" w:rsidRPr="00084942" w:rsidRDefault="00EB1B3A" w:rsidP="00EB1B3A">
      <w:pPr>
        <w:rPr>
          <w:rFonts w:ascii="Arial" w:hAnsi="Arial" w:cs="Arial"/>
        </w:rPr>
      </w:pPr>
      <w:r w:rsidRPr="00084942">
        <w:rPr>
          <w:rFonts w:ascii="Arial" w:hAnsi="Arial" w:cs="Arial"/>
          <w:b/>
          <w:bCs/>
        </w:rPr>
        <w:t>Taxation Design and CSR Alignment:</w:t>
      </w:r>
      <w:r w:rsidRPr="00084942">
        <w:rPr>
          <w:rFonts w:ascii="Arial" w:hAnsi="Arial" w:cs="Arial"/>
        </w:rPr>
        <w:t xml:space="preserve"> </w:t>
      </w:r>
      <w:r w:rsidR="0010450C" w:rsidRPr="00084942">
        <w:rPr>
          <w:rFonts w:ascii="Arial" w:hAnsi="Arial" w:cs="Arial"/>
        </w:rPr>
        <w:t>Re-design to low tax jurisdiction based on the principles of OCECD Base Erosion and Profit Shifting (BEPS) can enhance the effectiveness of taxation and can lead to the establishment of ethical and transparent business conduct. Meanwhile, the turnaround model will be supplemented by corporate social responsibility (CSR), such as commitments on responsible sourcing, a circular economy, and fair labour, will increase stakeholder trust.</w:t>
      </w:r>
    </w:p>
    <w:p w14:paraId="439486FA" w14:textId="77777777" w:rsidR="0010450C" w:rsidRPr="00084942" w:rsidRDefault="00EB1B3A" w:rsidP="0010450C">
      <w:pPr>
        <w:rPr>
          <w:rFonts w:ascii="Arial" w:hAnsi="Arial" w:cs="Arial"/>
        </w:rPr>
      </w:pPr>
      <w:r w:rsidRPr="00084942">
        <w:rPr>
          <w:rFonts w:ascii="Arial" w:hAnsi="Arial" w:cs="Arial"/>
          <w:b/>
          <w:bCs/>
        </w:rPr>
        <w:t>Workforce and Governance Commitments:</w:t>
      </w:r>
      <w:r w:rsidRPr="00084942">
        <w:rPr>
          <w:rFonts w:ascii="Arial" w:hAnsi="Arial" w:cs="Arial"/>
        </w:rPr>
        <w:t xml:space="preserve"> </w:t>
      </w:r>
      <w:r w:rsidR="0010450C" w:rsidRPr="00084942">
        <w:rPr>
          <w:rFonts w:ascii="Arial" w:hAnsi="Arial" w:cs="Arial"/>
        </w:rPr>
        <w:t>The reorganization must include equitable policy to repatriate employees who would be affected by divestitures. Ethical downsizing should centre on voluntary exit programmes and retraining (Graham et al., 2023). The firm should also improve the governance mechanisms by integrating the sustainability management within the board to facilitate accountability in both financial and social performances.</w:t>
      </w:r>
    </w:p>
    <w:p w14:paraId="79AE9B4E" w14:textId="259BE246" w:rsidR="00EB1B3A" w:rsidRPr="00084942" w:rsidRDefault="0010450C" w:rsidP="0010450C">
      <w:pPr>
        <w:rPr>
          <w:rFonts w:ascii="Arial" w:hAnsi="Arial" w:cs="Arial"/>
        </w:rPr>
      </w:pPr>
      <w:r w:rsidRPr="00084942">
        <w:rPr>
          <w:rFonts w:ascii="Arial" w:hAnsi="Arial" w:cs="Arial"/>
        </w:rPr>
        <w:t>This reorganization should include ethical, environmental, and international financial considerations, with the turnaround not only financially acceptable but also socially responsible and internationally acceptable</w:t>
      </w:r>
      <w:r w:rsidR="00EB1B3A" w:rsidRPr="00084942">
        <w:rPr>
          <w:rFonts w:ascii="Arial" w:hAnsi="Arial" w:cs="Arial"/>
        </w:rPr>
        <w:t>.</w:t>
      </w:r>
    </w:p>
    <w:p w14:paraId="00F0EFA1" w14:textId="2ED3777D" w:rsidR="004E4855" w:rsidRPr="00084942" w:rsidRDefault="000D07C9" w:rsidP="00EB1B3A">
      <w:pPr>
        <w:pStyle w:val="Heading1"/>
        <w:rPr>
          <w:rFonts w:cs="Arial"/>
        </w:rPr>
      </w:pPr>
      <w:bookmarkStart w:id="15" w:name="_Toc213680185"/>
      <w:r w:rsidRPr="00084942">
        <w:rPr>
          <w:rFonts w:cs="Arial"/>
        </w:rPr>
        <w:lastRenderedPageBreak/>
        <w:t>4</w:t>
      </w:r>
      <w:r w:rsidR="004E4855" w:rsidRPr="00084942">
        <w:rPr>
          <w:rFonts w:cs="Arial"/>
        </w:rPr>
        <w:t>. Investment Appraisal and Capital Budgeting</w:t>
      </w:r>
      <w:bookmarkEnd w:id="15"/>
      <w:r w:rsidR="004E4855" w:rsidRPr="00084942">
        <w:rPr>
          <w:rFonts w:cs="Arial"/>
        </w:rPr>
        <w:t xml:space="preserve"> </w:t>
      </w:r>
    </w:p>
    <w:p w14:paraId="47C1C4E0" w14:textId="47F7E91C" w:rsidR="00EB1B3A" w:rsidRPr="00084942" w:rsidRDefault="00EB1B3A" w:rsidP="00BA7DA5">
      <w:pPr>
        <w:pStyle w:val="Heading2"/>
        <w:rPr>
          <w:rFonts w:cs="Arial"/>
          <w:bCs/>
        </w:rPr>
      </w:pPr>
      <w:bookmarkStart w:id="16" w:name="_Toc213680186"/>
      <w:r w:rsidRPr="00084942">
        <w:rPr>
          <w:rFonts w:cs="Arial"/>
        </w:rPr>
        <w:t>Methods and Assumptions</w:t>
      </w:r>
      <w:bookmarkEnd w:id="16"/>
      <w:r w:rsidRPr="00084942">
        <w:rPr>
          <w:rFonts w:cs="Arial"/>
        </w:rPr>
        <w:t xml:space="preserve"> </w:t>
      </w:r>
    </w:p>
    <w:p w14:paraId="788A980E" w14:textId="77777777" w:rsidR="0010450C" w:rsidRPr="00084942" w:rsidRDefault="0010450C" w:rsidP="0010450C">
      <w:pPr>
        <w:rPr>
          <w:rFonts w:ascii="Arial" w:hAnsi="Arial" w:cs="Arial"/>
          <w:bCs/>
        </w:rPr>
      </w:pPr>
      <w:r w:rsidRPr="00084942">
        <w:rPr>
          <w:rFonts w:ascii="Arial" w:hAnsi="Arial" w:cs="Arial"/>
          <w:bCs/>
        </w:rPr>
        <w:t>This capital budgeting comparison examines three investment proposals Projects A, B and C and the standard financial assessment methods Payback Period, Projects A, B and C (PBP), Accounting rate of Return (ARR), Net Present Value (NPV) Profitability Index (PI) and Internal rate of return (IRR). The mark is the 10 percent, and General Electronics estimates the weighted average cost of capital (WACC) at this level, and this would be the norm in the existing corporate funding climate.</w:t>
      </w:r>
    </w:p>
    <w:p w14:paraId="77F85B7A" w14:textId="77777777" w:rsidR="0010450C" w:rsidRPr="00084942" w:rsidRDefault="0010450C" w:rsidP="0010450C">
      <w:pPr>
        <w:rPr>
          <w:rFonts w:ascii="Arial" w:hAnsi="Arial" w:cs="Arial"/>
          <w:bCs/>
        </w:rPr>
      </w:pPr>
      <w:r w:rsidRPr="00084942">
        <w:rPr>
          <w:rFonts w:ascii="Arial" w:hAnsi="Arial" w:cs="Arial"/>
          <w:bCs/>
        </w:rPr>
        <w:t>Payback Period determines the break-even of initial investment based on liquidity and risk exposure. ARR Relative profitability of accounts based on accounting capital employed that provides accounting-based common measure of returns (Johnson, 2021). NPV is a method used to estimate future cash flows and determine whether a project is worth the cost of capital. PI, investment/discounted inflows, allow prioritization of capital rationing. IRR is used to determine the efficiency of the project, and the discount rate is the rate at which the project NPV equals zero.</w:t>
      </w:r>
    </w:p>
    <w:p w14:paraId="337C1002" w14:textId="0971230E" w:rsidR="00EB1B3A" w:rsidRPr="00084942" w:rsidRDefault="0010450C" w:rsidP="0010450C">
      <w:pPr>
        <w:rPr>
          <w:rFonts w:ascii="Arial" w:hAnsi="Arial" w:cs="Arial"/>
        </w:rPr>
      </w:pPr>
      <w:r w:rsidRPr="00084942">
        <w:rPr>
          <w:rFonts w:ascii="Arial" w:hAnsi="Arial" w:cs="Arial"/>
          <w:bCs/>
        </w:rPr>
        <w:t>Depreciation is calculated according to the company accounting policy as a straight-line basis over five years to zero residual value. It can be implied that taxes in a simple case is a neutral factor because the firm has already made a loss and all interest is a comparative analysis of outlay in cash and risk analysis of rival projects</w:t>
      </w:r>
      <w:r w:rsidR="00EB1B3A" w:rsidRPr="00084942">
        <w:rPr>
          <w:rFonts w:ascii="Arial" w:hAnsi="Arial" w:cs="Arial"/>
        </w:rPr>
        <w:t>.</w:t>
      </w:r>
    </w:p>
    <w:p w14:paraId="397EFDAF" w14:textId="3F5B9C7A" w:rsidR="00EB1B3A" w:rsidRPr="00084942" w:rsidRDefault="00EB1B3A" w:rsidP="00BA7DA5">
      <w:pPr>
        <w:pStyle w:val="Heading2"/>
        <w:rPr>
          <w:rFonts w:cs="Arial"/>
        </w:rPr>
      </w:pPr>
      <w:bookmarkStart w:id="17" w:name="_Toc213680187"/>
      <w:r w:rsidRPr="00084942">
        <w:rPr>
          <w:rFonts w:cs="Arial"/>
        </w:rPr>
        <w:t>Project Screens and Risk Profiles</w:t>
      </w:r>
      <w:bookmarkEnd w:id="17"/>
      <w:r w:rsidRPr="00084942">
        <w:rPr>
          <w:rFonts w:cs="Arial"/>
        </w:rPr>
        <w:t xml:space="preserve"> </w:t>
      </w:r>
    </w:p>
    <w:p w14:paraId="2434C383" w14:textId="77777777" w:rsidR="0010450C" w:rsidRPr="00084942" w:rsidRDefault="0010450C" w:rsidP="0010450C">
      <w:pPr>
        <w:rPr>
          <w:rFonts w:ascii="Arial" w:hAnsi="Arial" w:cs="Arial"/>
        </w:rPr>
      </w:pPr>
      <w:r w:rsidRPr="00084942">
        <w:rPr>
          <w:rFonts w:ascii="Arial" w:hAnsi="Arial" w:cs="Arial"/>
        </w:rPr>
        <w:t>The three suggested projects vary widely on the distribution of the cash flows, their amount and timing and on the interaction of risk and returns and the strategic appropriateness of the project.</w:t>
      </w:r>
    </w:p>
    <w:p w14:paraId="173D2CAB" w14:textId="7ED9FC92" w:rsidR="0010450C" w:rsidRPr="00084942" w:rsidRDefault="0010450C" w:rsidP="0010450C">
      <w:pPr>
        <w:rPr>
          <w:rFonts w:ascii="Arial" w:hAnsi="Arial" w:cs="Arial"/>
        </w:rPr>
      </w:pPr>
      <w:r w:rsidRPr="00084942">
        <w:rPr>
          <w:rFonts w:ascii="Arial" w:hAnsi="Arial" w:cs="Arial"/>
        </w:rPr>
        <w:t xml:space="preserve">Project A has a base investment of 40M and inflows of </w:t>
      </w:r>
      <w:r w:rsidR="00014F02" w:rsidRPr="00084942">
        <w:rPr>
          <w:rFonts w:ascii="Arial" w:hAnsi="Arial" w:cs="Arial"/>
        </w:rPr>
        <w:t>£</w:t>
      </w:r>
      <w:r w:rsidRPr="00084942">
        <w:rPr>
          <w:rFonts w:ascii="Arial" w:hAnsi="Arial" w:cs="Arial"/>
        </w:rPr>
        <w:t xml:space="preserve">10M, </w:t>
      </w:r>
      <w:r w:rsidR="00014F02" w:rsidRPr="00084942">
        <w:rPr>
          <w:rFonts w:ascii="Arial" w:hAnsi="Arial" w:cs="Arial"/>
        </w:rPr>
        <w:t>£</w:t>
      </w:r>
      <w:r w:rsidRPr="00084942">
        <w:rPr>
          <w:rFonts w:ascii="Arial" w:hAnsi="Arial" w:cs="Arial"/>
        </w:rPr>
        <w:t xml:space="preserve">12M, </w:t>
      </w:r>
      <w:r w:rsidR="00014F02" w:rsidRPr="00084942">
        <w:rPr>
          <w:rFonts w:ascii="Arial" w:hAnsi="Arial" w:cs="Arial"/>
        </w:rPr>
        <w:t>£</w:t>
      </w:r>
      <w:r w:rsidRPr="00084942">
        <w:rPr>
          <w:rFonts w:ascii="Arial" w:hAnsi="Arial" w:cs="Arial"/>
        </w:rPr>
        <w:t xml:space="preserve">14M, </w:t>
      </w:r>
      <w:r w:rsidR="00014F02" w:rsidRPr="00084942">
        <w:rPr>
          <w:rFonts w:ascii="Arial" w:hAnsi="Arial" w:cs="Arial"/>
        </w:rPr>
        <w:t>£</w:t>
      </w:r>
      <w:r w:rsidRPr="00084942">
        <w:rPr>
          <w:rFonts w:ascii="Arial" w:hAnsi="Arial" w:cs="Arial"/>
        </w:rPr>
        <w:t xml:space="preserve">10M and </w:t>
      </w:r>
      <w:r w:rsidR="00014F02" w:rsidRPr="00084942">
        <w:rPr>
          <w:rFonts w:ascii="Arial" w:hAnsi="Arial" w:cs="Arial"/>
        </w:rPr>
        <w:t>£</w:t>
      </w:r>
      <w:r w:rsidRPr="00084942">
        <w:rPr>
          <w:rFonts w:ascii="Arial" w:hAnsi="Arial" w:cs="Arial"/>
        </w:rPr>
        <w:t>8M in Years 1-5. It is very cash flow-heavy and breaks even in the third year. It suggests that the investment risk level is average and the stream of income does not alter, which is the best under the non-liquid firm (Friedman, 2025). The decreasing terminal cash flow indicates maturity of the product or market pressure during the late stages, whereas the initial returns are more representative of high rate of reinvestment.</w:t>
      </w:r>
    </w:p>
    <w:p w14:paraId="20E758D1" w14:textId="2D8935A8" w:rsidR="0010450C" w:rsidRPr="00084942" w:rsidRDefault="0010450C" w:rsidP="0010450C">
      <w:pPr>
        <w:rPr>
          <w:rFonts w:ascii="Arial" w:hAnsi="Arial" w:cs="Arial"/>
        </w:rPr>
      </w:pPr>
      <w:r w:rsidRPr="00084942">
        <w:rPr>
          <w:rFonts w:ascii="Arial" w:hAnsi="Arial" w:cs="Arial"/>
        </w:rPr>
        <w:lastRenderedPageBreak/>
        <w:t xml:space="preserve">Project B: an investment of </w:t>
      </w:r>
      <w:r w:rsidR="00014F02" w:rsidRPr="00084942">
        <w:rPr>
          <w:rFonts w:ascii="Arial" w:hAnsi="Arial" w:cs="Arial"/>
        </w:rPr>
        <w:t>£</w:t>
      </w:r>
      <w:r w:rsidRPr="00084942">
        <w:rPr>
          <w:rFonts w:ascii="Arial" w:hAnsi="Arial" w:cs="Arial"/>
        </w:rPr>
        <w:t xml:space="preserve">30 million over five years at </w:t>
      </w:r>
      <w:r w:rsidR="00014F02" w:rsidRPr="00084942">
        <w:rPr>
          <w:rFonts w:ascii="Arial" w:hAnsi="Arial" w:cs="Arial"/>
        </w:rPr>
        <w:t>£</w:t>
      </w:r>
      <w:r w:rsidRPr="00084942">
        <w:rPr>
          <w:rFonts w:ascii="Arial" w:hAnsi="Arial" w:cs="Arial"/>
        </w:rPr>
        <w:t xml:space="preserve">6 million/year in inflows. Homogeneous model implies predictability, low operational volatility, but the scale is small and profitability is heavily </w:t>
      </w:r>
      <w:proofErr w:type="spellStart"/>
      <w:r w:rsidRPr="00084942">
        <w:rPr>
          <w:rFonts w:ascii="Arial" w:hAnsi="Arial" w:cs="Arial"/>
        </w:rPr>
        <w:t>dissilated</w:t>
      </w:r>
      <w:proofErr w:type="spellEnd"/>
      <w:r w:rsidRPr="00084942">
        <w:rPr>
          <w:rFonts w:ascii="Arial" w:hAnsi="Arial" w:cs="Arial"/>
        </w:rPr>
        <w:t xml:space="preserve"> by growth deficiency. The zero IRR and negative NPV of the project indicates that it is a value killer as per the prevailing cost-of-capital assumptions. Will not add returns to shareholders, only attractive as a stabilising measure to deploy capacity.</w:t>
      </w:r>
    </w:p>
    <w:p w14:paraId="66470258" w14:textId="6DC27DB2" w:rsidR="0010450C" w:rsidRPr="00084942" w:rsidRDefault="0010450C" w:rsidP="0010450C">
      <w:pPr>
        <w:rPr>
          <w:rFonts w:ascii="Arial" w:hAnsi="Arial" w:cs="Arial"/>
        </w:rPr>
      </w:pPr>
      <w:r w:rsidRPr="00084942">
        <w:rPr>
          <w:rFonts w:ascii="Arial" w:hAnsi="Arial" w:cs="Arial"/>
        </w:rPr>
        <w:t xml:space="preserve">Project C has maximum capital volume </w:t>
      </w:r>
      <w:r w:rsidR="00014F02" w:rsidRPr="00084942">
        <w:rPr>
          <w:rFonts w:ascii="Arial" w:hAnsi="Arial" w:cs="Arial"/>
        </w:rPr>
        <w:t>£</w:t>
      </w:r>
      <w:r w:rsidRPr="00084942">
        <w:rPr>
          <w:rFonts w:ascii="Arial" w:hAnsi="Arial" w:cs="Arial"/>
        </w:rPr>
        <w:t xml:space="preserve">50 million and inflows </w:t>
      </w:r>
      <w:r w:rsidR="00014F02" w:rsidRPr="00084942">
        <w:rPr>
          <w:rFonts w:ascii="Arial" w:hAnsi="Arial" w:cs="Arial"/>
        </w:rPr>
        <w:t>£</w:t>
      </w:r>
      <w:r w:rsidRPr="00084942">
        <w:rPr>
          <w:rFonts w:ascii="Arial" w:hAnsi="Arial" w:cs="Arial"/>
        </w:rPr>
        <w:t xml:space="preserve">5 million, </w:t>
      </w:r>
      <w:r w:rsidR="00014F02" w:rsidRPr="00084942">
        <w:rPr>
          <w:rFonts w:ascii="Arial" w:hAnsi="Arial" w:cs="Arial"/>
        </w:rPr>
        <w:t>£</w:t>
      </w:r>
      <w:r w:rsidRPr="00084942">
        <w:rPr>
          <w:rFonts w:ascii="Arial" w:hAnsi="Arial" w:cs="Arial"/>
        </w:rPr>
        <w:t xml:space="preserve">10 million, </w:t>
      </w:r>
      <w:r w:rsidR="00014F02" w:rsidRPr="00084942">
        <w:rPr>
          <w:rFonts w:ascii="Arial" w:hAnsi="Arial" w:cs="Arial"/>
        </w:rPr>
        <w:t>£</w:t>
      </w:r>
      <w:r w:rsidRPr="00084942">
        <w:rPr>
          <w:rFonts w:ascii="Arial" w:hAnsi="Arial" w:cs="Arial"/>
        </w:rPr>
        <w:t xml:space="preserve">20 million, </w:t>
      </w:r>
      <w:r w:rsidR="00014F02" w:rsidRPr="00084942">
        <w:rPr>
          <w:rFonts w:ascii="Arial" w:hAnsi="Arial" w:cs="Arial"/>
        </w:rPr>
        <w:t>£</w:t>
      </w:r>
      <w:r w:rsidRPr="00084942">
        <w:rPr>
          <w:rFonts w:ascii="Arial" w:hAnsi="Arial" w:cs="Arial"/>
        </w:rPr>
        <w:t xml:space="preserve">25 million, </w:t>
      </w:r>
      <w:r w:rsidR="00014F02" w:rsidRPr="00084942">
        <w:rPr>
          <w:rFonts w:ascii="Arial" w:hAnsi="Arial" w:cs="Arial"/>
        </w:rPr>
        <w:t>£</w:t>
      </w:r>
      <w:r w:rsidRPr="00084942">
        <w:rPr>
          <w:rFonts w:ascii="Arial" w:hAnsi="Arial" w:cs="Arial"/>
        </w:rPr>
        <w:t xml:space="preserve">15 million. The steep back-loaded profile is characterized by high timing risk-early cash flows small, late cash flows large and unpredictable. This pattern shows that they will depend on continued market acceptance or new product performance, and hence will be susceptible to fluctuating market conditions (Latreche and </w:t>
      </w:r>
      <w:proofErr w:type="spellStart"/>
      <w:r w:rsidRPr="00084942">
        <w:rPr>
          <w:rFonts w:ascii="Arial" w:hAnsi="Arial" w:cs="Arial"/>
        </w:rPr>
        <w:t>Berarma</w:t>
      </w:r>
      <w:proofErr w:type="spellEnd"/>
      <w:r w:rsidRPr="00084942">
        <w:rPr>
          <w:rFonts w:ascii="Arial" w:hAnsi="Arial" w:cs="Arial"/>
        </w:rPr>
        <w:t xml:space="preserve">, 2025). Project C, on the other hand, has a better IRR of 12.7 percent and positive payback potential, and therefore, the </w:t>
      </w:r>
      <w:r w:rsidR="001F6B7D" w:rsidRPr="00084942">
        <w:rPr>
          <w:rFonts w:ascii="Arial" w:hAnsi="Arial" w:cs="Arial"/>
        </w:rPr>
        <w:t>long-term</w:t>
      </w:r>
      <w:r w:rsidRPr="00084942">
        <w:rPr>
          <w:rFonts w:ascii="Arial" w:hAnsi="Arial" w:cs="Arial"/>
        </w:rPr>
        <w:t xml:space="preserve"> value creation potential under liberalized financing terms.</w:t>
      </w:r>
    </w:p>
    <w:p w14:paraId="4D31E18E" w14:textId="5EF64658" w:rsidR="0010450C" w:rsidRPr="00084942" w:rsidRDefault="0010450C" w:rsidP="0010450C">
      <w:pPr>
        <w:rPr>
          <w:rFonts w:ascii="Arial" w:hAnsi="Arial" w:cs="Arial"/>
        </w:rPr>
      </w:pPr>
      <w:r w:rsidRPr="00084942">
        <w:rPr>
          <w:rFonts w:ascii="Arial" w:hAnsi="Arial" w:cs="Arial"/>
        </w:rPr>
        <w:t xml:space="preserve">Project A would also require moderate </w:t>
      </w:r>
      <w:r w:rsidR="001F6B7D" w:rsidRPr="00084942">
        <w:rPr>
          <w:rFonts w:ascii="Arial" w:hAnsi="Arial" w:cs="Arial"/>
        </w:rPr>
        <w:t>short-term</w:t>
      </w:r>
      <w:r w:rsidRPr="00084942">
        <w:rPr>
          <w:rFonts w:ascii="Arial" w:hAnsi="Arial" w:cs="Arial"/>
        </w:rPr>
        <w:t xml:space="preserve"> finance based on the working capital perspective because it is operating and Project C would require more capital because inflows are </w:t>
      </w:r>
      <w:proofErr w:type="spellStart"/>
      <w:r w:rsidRPr="00084942">
        <w:rPr>
          <w:rFonts w:ascii="Arial" w:hAnsi="Arial" w:cs="Arial"/>
        </w:rPr>
        <w:t>tarder</w:t>
      </w:r>
      <w:proofErr w:type="spellEnd"/>
      <w:r w:rsidRPr="00084942">
        <w:rPr>
          <w:rFonts w:ascii="Arial" w:hAnsi="Arial" w:cs="Arial"/>
        </w:rPr>
        <w:t>. Project B is predictable but not bringing in much cash. In the aggregate, Projects A and C provide the most cost-efficient and strategic alternatives regarding the possible profitability and market expansion fit.</w:t>
      </w:r>
    </w:p>
    <w:p w14:paraId="1F0EA233" w14:textId="6D43EB62" w:rsidR="00EB1B3A" w:rsidRPr="00084942" w:rsidRDefault="00EB1B3A" w:rsidP="00BA7DA5">
      <w:pPr>
        <w:pStyle w:val="Heading2"/>
        <w:rPr>
          <w:rFonts w:cs="Arial"/>
        </w:rPr>
      </w:pPr>
      <w:bookmarkStart w:id="18" w:name="_Toc213680188"/>
      <w:r w:rsidRPr="00084942">
        <w:rPr>
          <w:rFonts w:cs="Arial"/>
        </w:rPr>
        <w:t>Calculations and Results Summary</w:t>
      </w:r>
      <w:bookmarkEnd w:id="18"/>
      <w:r w:rsidRPr="00084942">
        <w:rPr>
          <w:rFonts w:cs="Arial"/>
        </w:rPr>
        <w:t xml:space="preserve"> </w:t>
      </w:r>
    </w:p>
    <w:p w14:paraId="0F714BC8" w14:textId="3C01B092" w:rsidR="00EB1B3A" w:rsidRPr="00084942" w:rsidRDefault="0079016A" w:rsidP="00EB1B3A">
      <w:pPr>
        <w:rPr>
          <w:rFonts w:ascii="Arial" w:hAnsi="Arial" w:cs="Arial"/>
        </w:rPr>
      </w:pPr>
      <w:r w:rsidRPr="00084942">
        <w:rPr>
          <w:rFonts w:ascii="Arial" w:hAnsi="Arial" w:cs="Arial"/>
        </w:rPr>
        <w:t>Net Present Value</w:t>
      </w:r>
      <w:r w:rsidR="00014F02" w:rsidRPr="00084942">
        <w:rPr>
          <w:rFonts w:ascii="Arial" w:hAnsi="Arial" w:cs="Arial"/>
        </w:rPr>
        <w:t xml:space="preserve"> results can be summarised as</w:t>
      </w:r>
      <w:r w:rsidR="00EB1B3A" w:rsidRPr="00084942">
        <w:rPr>
          <w:rFonts w:ascii="Arial" w:hAnsi="Arial" w:cs="Arial"/>
        </w:rPr>
        <w:t>:</w:t>
      </w:r>
    </w:p>
    <w:tbl>
      <w:tblPr>
        <w:tblStyle w:val="GridTable5Dark-Accent6"/>
        <w:tblW w:w="9203" w:type="dxa"/>
        <w:tblLook w:val="04A0" w:firstRow="1" w:lastRow="0" w:firstColumn="1" w:lastColumn="0" w:noHBand="0" w:noVBand="1"/>
      </w:tblPr>
      <w:tblGrid>
        <w:gridCol w:w="1049"/>
        <w:gridCol w:w="1053"/>
        <w:gridCol w:w="1053"/>
        <w:gridCol w:w="1053"/>
        <w:gridCol w:w="1312"/>
        <w:gridCol w:w="1300"/>
        <w:gridCol w:w="1240"/>
        <w:gridCol w:w="1143"/>
      </w:tblGrid>
      <w:tr w:rsidR="003712FA" w:rsidRPr="00084942" w14:paraId="2B6ADA0B" w14:textId="77777777" w:rsidTr="00705B7B">
        <w:trPr>
          <w:cnfStyle w:val="100000000000" w:firstRow="1" w:lastRow="0" w:firstColumn="0" w:lastColumn="0" w:oddVBand="0" w:evenVBand="0" w:oddHBand="0" w:evenHBand="0" w:firstRowFirstColumn="0" w:firstRowLastColumn="0" w:lastRowFirstColumn="0" w:lastRowLastColumn="0"/>
          <w:trHeight w:val="574"/>
        </w:trPr>
        <w:tc>
          <w:tcPr>
            <w:cnfStyle w:val="001000000000" w:firstRow="0" w:lastRow="0" w:firstColumn="1" w:lastColumn="0" w:oddVBand="0" w:evenVBand="0" w:oddHBand="0" w:evenHBand="0" w:firstRowFirstColumn="0" w:firstRowLastColumn="0" w:lastRowFirstColumn="0" w:lastRowLastColumn="0"/>
            <w:tcW w:w="1049" w:type="dxa"/>
            <w:vMerge w:val="restart"/>
            <w:hideMark/>
          </w:tcPr>
          <w:p w14:paraId="49C26B2E" w14:textId="77777777" w:rsidR="003712FA" w:rsidRPr="00084942" w:rsidRDefault="003712FA" w:rsidP="003712FA">
            <w:pPr>
              <w:spacing w:after="160"/>
              <w:jc w:val="center"/>
              <w:rPr>
                <w:rFonts w:ascii="Arial" w:hAnsi="Arial" w:cs="Arial"/>
                <w:noProof/>
                <w:lang w:val="en-US"/>
              </w:rPr>
            </w:pPr>
            <w:r w:rsidRPr="00084942">
              <w:rPr>
                <w:rFonts w:ascii="Arial" w:hAnsi="Arial" w:cs="Arial"/>
                <w:noProof/>
                <w:lang w:val="en-US"/>
              </w:rPr>
              <w:t>Years</w:t>
            </w:r>
          </w:p>
        </w:tc>
        <w:tc>
          <w:tcPr>
            <w:tcW w:w="1053" w:type="dxa"/>
            <w:vMerge w:val="restart"/>
            <w:hideMark/>
          </w:tcPr>
          <w:p w14:paraId="429691F0" w14:textId="77777777" w:rsidR="003712FA" w:rsidRPr="00084942" w:rsidRDefault="003712FA" w:rsidP="003712FA">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Project A (£m)</w:t>
            </w:r>
          </w:p>
        </w:tc>
        <w:tc>
          <w:tcPr>
            <w:tcW w:w="1053" w:type="dxa"/>
            <w:vMerge w:val="restart"/>
            <w:hideMark/>
          </w:tcPr>
          <w:p w14:paraId="25696FF1" w14:textId="77777777" w:rsidR="003712FA" w:rsidRPr="00084942" w:rsidRDefault="003712FA" w:rsidP="003712FA">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Project B(£m)</w:t>
            </w:r>
          </w:p>
        </w:tc>
        <w:tc>
          <w:tcPr>
            <w:tcW w:w="1053" w:type="dxa"/>
            <w:vMerge w:val="restart"/>
            <w:hideMark/>
          </w:tcPr>
          <w:p w14:paraId="58F83C87" w14:textId="77777777" w:rsidR="003712FA" w:rsidRPr="00084942" w:rsidRDefault="003712FA" w:rsidP="003712FA">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Project C(£m)</w:t>
            </w:r>
          </w:p>
        </w:tc>
        <w:tc>
          <w:tcPr>
            <w:tcW w:w="1312" w:type="dxa"/>
            <w:vMerge w:val="restart"/>
            <w:hideMark/>
          </w:tcPr>
          <w:p w14:paraId="4636E7ED" w14:textId="77777777" w:rsidR="003712FA" w:rsidRPr="00084942" w:rsidRDefault="003712FA" w:rsidP="003712FA">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Discount Rate (10 %)</w:t>
            </w:r>
          </w:p>
        </w:tc>
        <w:tc>
          <w:tcPr>
            <w:tcW w:w="3683" w:type="dxa"/>
            <w:gridSpan w:val="3"/>
            <w:vMerge w:val="restart"/>
            <w:hideMark/>
          </w:tcPr>
          <w:p w14:paraId="436C439E" w14:textId="77777777" w:rsidR="003712FA" w:rsidRPr="00084942" w:rsidRDefault="003712FA" w:rsidP="003712FA">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Present Value (PV)</w:t>
            </w:r>
          </w:p>
        </w:tc>
      </w:tr>
      <w:tr w:rsidR="003712FA" w:rsidRPr="00084942" w14:paraId="4AA1D19B" w14:textId="77777777" w:rsidTr="00705B7B">
        <w:trPr>
          <w:cnfStyle w:val="000000100000" w:firstRow="0" w:lastRow="0" w:firstColumn="0" w:lastColumn="0" w:oddVBand="0" w:evenVBand="0" w:oddHBand="1" w:evenHBand="0" w:firstRowFirstColumn="0" w:firstRowLastColumn="0" w:lastRowFirstColumn="0" w:lastRowLastColumn="0"/>
          <w:trHeight w:val="476"/>
        </w:trPr>
        <w:tc>
          <w:tcPr>
            <w:cnfStyle w:val="001000000000" w:firstRow="0" w:lastRow="0" w:firstColumn="1" w:lastColumn="0" w:oddVBand="0" w:evenVBand="0" w:oddHBand="0" w:evenHBand="0" w:firstRowFirstColumn="0" w:firstRowLastColumn="0" w:lastRowFirstColumn="0" w:lastRowLastColumn="0"/>
            <w:tcW w:w="1049" w:type="dxa"/>
            <w:vMerge/>
            <w:hideMark/>
          </w:tcPr>
          <w:p w14:paraId="3D3BA313" w14:textId="77777777" w:rsidR="003712FA" w:rsidRPr="00084942" w:rsidRDefault="003712FA" w:rsidP="003712FA">
            <w:pPr>
              <w:spacing w:after="160"/>
              <w:jc w:val="center"/>
              <w:rPr>
                <w:rFonts w:ascii="Arial" w:hAnsi="Arial" w:cs="Arial"/>
                <w:noProof/>
                <w:lang w:val="en-US"/>
              </w:rPr>
            </w:pPr>
          </w:p>
        </w:tc>
        <w:tc>
          <w:tcPr>
            <w:tcW w:w="1053" w:type="dxa"/>
            <w:vMerge/>
            <w:hideMark/>
          </w:tcPr>
          <w:p w14:paraId="33EBE9E4"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p>
        </w:tc>
        <w:tc>
          <w:tcPr>
            <w:tcW w:w="1053" w:type="dxa"/>
            <w:vMerge/>
            <w:hideMark/>
          </w:tcPr>
          <w:p w14:paraId="7C78AF6F"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p>
        </w:tc>
        <w:tc>
          <w:tcPr>
            <w:tcW w:w="1053" w:type="dxa"/>
            <w:vMerge/>
            <w:hideMark/>
          </w:tcPr>
          <w:p w14:paraId="3CEF2CD6"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p>
        </w:tc>
        <w:tc>
          <w:tcPr>
            <w:tcW w:w="1312" w:type="dxa"/>
            <w:vMerge/>
            <w:hideMark/>
          </w:tcPr>
          <w:p w14:paraId="3E97DCCB"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p>
        </w:tc>
        <w:tc>
          <w:tcPr>
            <w:tcW w:w="3683" w:type="dxa"/>
            <w:gridSpan w:val="3"/>
            <w:vMerge/>
            <w:hideMark/>
          </w:tcPr>
          <w:p w14:paraId="62FE236C"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p>
        </w:tc>
      </w:tr>
      <w:tr w:rsidR="003712FA" w:rsidRPr="00084942" w14:paraId="7A1E4D32" w14:textId="77777777" w:rsidTr="00705B7B">
        <w:trPr>
          <w:trHeight w:val="295"/>
        </w:trPr>
        <w:tc>
          <w:tcPr>
            <w:cnfStyle w:val="001000000000" w:firstRow="0" w:lastRow="0" w:firstColumn="1" w:lastColumn="0" w:oddVBand="0" w:evenVBand="0" w:oddHBand="0" w:evenHBand="0" w:firstRowFirstColumn="0" w:firstRowLastColumn="0" w:lastRowFirstColumn="0" w:lastRowLastColumn="0"/>
            <w:tcW w:w="1049" w:type="dxa"/>
            <w:vMerge/>
            <w:hideMark/>
          </w:tcPr>
          <w:p w14:paraId="3CF30C50" w14:textId="77777777" w:rsidR="003712FA" w:rsidRPr="00084942" w:rsidRDefault="003712FA" w:rsidP="003712FA">
            <w:pPr>
              <w:spacing w:after="160"/>
              <w:jc w:val="center"/>
              <w:rPr>
                <w:rFonts w:ascii="Arial" w:hAnsi="Arial" w:cs="Arial"/>
                <w:noProof/>
                <w:lang w:val="en-US"/>
              </w:rPr>
            </w:pPr>
          </w:p>
        </w:tc>
        <w:tc>
          <w:tcPr>
            <w:tcW w:w="1053" w:type="dxa"/>
            <w:vMerge/>
            <w:hideMark/>
          </w:tcPr>
          <w:p w14:paraId="532C2D35"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p>
        </w:tc>
        <w:tc>
          <w:tcPr>
            <w:tcW w:w="1053" w:type="dxa"/>
            <w:vMerge/>
            <w:hideMark/>
          </w:tcPr>
          <w:p w14:paraId="60CF236B"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p>
        </w:tc>
        <w:tc>
          <w:tcPr>
            <w:tcW w:w="1053" w:type="dxa"/>
            <w:vMerge/>
            <w:hideMark/>
          </w:tcPr>
          <w:p w14:paraId="058E9F8F"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p>
        </w:tc>
        <w:tc>
          <w:tcPr>
            <w:tcW w:w="1312" w:type="dxa"/>
            <w:vMerge/>
            <w:hideMark/>
          </w:tcPr>
          <w:p w14:paraId="4B8BE2B4"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p>
        </w:tc>
        <w:tc>
          <w:tcPr>
            <w:tcW w:w="1300" w:type="dxa"/>
            <w:hideMark/>
          </w:tcPr>
          <w:p w14:paraId="5084DE3E"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A</w:t>
            </w:r>
          </w:p>
        </w:tc>
        <w:tc>
          <w:tcPr>
            <w:tcW w:w="1240" w:type="dxa"/>
            <w:hideMark/>
          </w:tcPr>
          <w:p w14:paraId="144EDBF9"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B</w:t>
            </w:r>
          </w:p>
        </w:tc>
        <w:tc>
          <w:tcPr>
            <w:tcW w:w="1143" w:type="dxa"/>
            <w:hideMark/>
          </w:tcPr>
          <w:p w14:paraId="3059A511"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C</w:t>
            </w:r>
          </w:p>
        </w:tc>
      </w:tr>
      <w:tr w:rsidR="003712FA" w:rsidRPr="00084942" w14:paraId="236FFC6E" w14:textId="77777777" w:rsidTr="00705B7B">
        <w:trPr>
          <w:cnfStyle w:val="000000100000" w:firstRow="0" w:lastRow="0" w:firstColumn="0" w:lastColumn="0" w:oddVBand="0" w:evenVBand="0" w:oddHBand="1" w:evenHBand="0" w:firstRowFirstColumn="0" w:firstRowLastColumn="0" w:lastRowFirstColumn="0" w:lastRowLastColumn="0"/>
          <w:trHeight w:val="614"/>
        </w:trPr>
        <w:tc>
          <w:tcPr>
            <w:cnfStyle w:val="001000000000" w:firstRow="0" w:lastRow="0" w:firstColumn="1" w:lastColumn="0" w:oddVBand="0" w:evenVBand="0" w:oddHBand="0" w:evenHBand="0" w:firstRowFirstColumn="0" w:firstRowLastColumn="0" w:lastRowFirstColumn="0" w:lastRowLastColumn="0"/>
            <w:tcW w:w="1049" w:type="dxa"/>
            <w:hideMark/>
          </w:tcPr>
          <w:p w14:paraId="77847710" w14:textId="77777777" w:rsidR="003712FA" w:rsidRPr="00084942" w:rsidRDefault="003712FA" w:rsidP="003712FA">
            <w:pPr>
              <w:spacing w:after="160"/>
              <w:jc w:val="center"/>
              <w:rPr>
                <w:rFonts w:ascii="Arial" w:hAnsi="Arial" w:cs="Arial"/>
                <w:noProof/>
                <w:lang w:val="en-US"/>
              </w:rPr>
            </w:pPr>
            <w:r w:rsidRPr="00084942">
              <w:rPr>
                <w:rFonts w:ascii="Arial" w:hAnsi="Arial" w:cs="Arial"/>
                <w:noProof/>
                <w:lang w:val="en-US"/>
              </w:rPr>
              <w:t>Initial Amt</w:t>
            </w:r>
          </w:p>
        </w:tc>
        <w:tc>
          <w:tcPr>
            <w:tcW w:w="1053" w:type="dxa"/>
            <w:hideMark/>
          </w:tcPr>
          <w:p w14:paraId="2FD8A36A"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r w:rsidRPr="00084942">
              <w:rPr>
                <w:rFonts w:ascii="Arial" w:hAnsi="Arial" w:cs="Arial"/>
                <w:noProof/>
                <w:lang w:val="en-US"/>
              </w:rPr>
              <w:t>40</w:t>
            </w:r>
          </w:p>
        </w:tc>
        <w:tc>
          <w:tcPr>
            <w:tcW w:w="1053" w:type="dxa"/>
            <w:hideMark/>
          </w:tcPr>
          <w:p w14:paraId="2501E410"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r w:rsidRPr="00084942">
              <w:rPr>
                <w:rFonts w:ascii="Arial" w:hAnsi="Arial" w:cs="Arial"/>
                <w:noProof/>
                <w:lang w:val="en-US"/>
              </w:rPr>
              <w:t>30</w:t>
            </w:r>
          </w:p>
        </w:tc>
        <w:tc>
          <w:tcPr>
            <w:tcW w:w="1053" w:type="dxa"/>
            <w:hideMark/>
          </w:tcPr>
          <w:p w14:paraId="54970963"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r w:rsidRPr="00084942">
              <w:rPr>
                <w:rFonts w:ascii="Arial" w:hAnsi="Arial" w:cs="Arial"/>
                <w:noProof/>
                <w:lang w:val="en-US"/>
              </w:rPr>
              <w:t>50</w:t>
            </w:r>
          </w:p>
        </w:tc>
        <w:tc>
          <w:tcPr>
            <w:tcW w:w="1312" w:type="dxa"/>
            <w:hideMark/>
          </w:tcPr>
          <w:p w14:paraId="414FF10F"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p>
        </w:tc>
        <w:tc>
          <w:tcPr>
            <w:tcW w:w="1300" w:type="dxa"/>
            <w:hideMark/>
          </w:tcPr>
          <w:p w14:paraId="32DF9AFA"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r w:rsidRPr="00084942">
              <w:rPr>
                <w:rFonts w:ascii="Arial" w:hAnsi="Arial" w:cs="Arial"/>
                <w:noProof/>
                <w:lang w:val="en-US"/>
              </w:rPr>
              <w:t> </w:t>
            </w:r>
          </w:p>
        </w:tc>
        <w:tc>
          <w:tcPr>
            <w:tcW w:w="1240" w:type="dxa"/>
            <w:hideMark/>
          </w:tcPr>
          <w:p w14:paraId="47492A15"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r w:rsidRPr="00084942">
              <w:rPr>
                <w:rFonts w:ascii="Arial" w:hAnsi="Arial" w:cs="Arial"/>
                <w:noProof/>
                <w:lang w:val="en-US"/>
              </w:rPr>
              <w:t> </w:t>
            </w:r>
          </w:p>
        </w:tc>
        <w:tc>
          <w:tcPr>
            <w:tcW w:w="1143" w:type="dxa"/>
            <w:hideMark/>
          </w:tcPr>
          <w:p w14:paraId="5CE0497C"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r w:rsidRPr="00084942">
              <w:rPr>
                <w:rFonts w:ascii="Arial" w:hAnsi="Arial" w:cs="Arial"/>
                <w:noProof/>
                <w:lang w:val="en-US"/>
              </w:rPr>
              <w:t> </w:t>
            </w:r>
          </w:p>
        </w:tc>
      </w:tr>
      <w:tr w:rsidR="003712FA" w:rsidRPr="00084942" w14:paraId="5C794E5E" w14:textId="77777777" w:rsidTr="00705B7B">
        <w:trPr>
          <w:trHeight w:val="307"/>
        </w:trPr>
        <w:tc>
          <w:tcPr>
            <w:cnfStyle w:val="001000000000" w:firstRow="0" w:lastRow="0" w:firstColumn="1" w:lastColumn="0" w:oddVBand="0" w:evenVBand="0" w:oddHBand="0" w:evenHBand="0" w:firstRowFirstColumn="0" w:firstRowLastColumn="0" w:lastRowFirstColumn="0" w:lastRowLastColumn="0"/>
            <w:tcW w:w="1049" w:type="dxa"/>
            <w:hideMark/>
          </w:tcPr>
          <w:p w14:paraId="1A33CE65" w14:textId="77777777" w:rsidR="003712FA" w:rsidRPr="00084942" w:rsidRDefault="003712FA" w:rsidP="003712FA">
            <w:pPr>
              <w:spacing w:after="160"/>
              <w:jc w:val="center"/>
              <w:rPr>
                <w:rFonts w:ascii="Arial" w:hAnsi="Arial" w:cs="Arial"/>
                <w:noProof/>
                <w:lang w:val="en-US"/>
              </w:rPr>
            </w:pPr>
            <w:r w:rsidRPr="00084942">
              <w:rPr>
                <w:rFonts w:ascii="Arial" w:hAnsi="Arial" w:cs="Arial"/>
                <w:noProof/>
                <w:lang w:val="en-US"/>
              </w:rPr>
              <w:t>1</w:t>
            </w:r>
          </w:p>
        </w:tc>
        <w:tc>
          <w:tcPr>
            <w:tcW w:w="1053" w:type="dxa"/>
            <w:hideMark/>
          </w:tcPr>
          <w:p w14:paraId="5081C8A4"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10</w:t>
            </w:r>
          </w:p>
        </w:tc>
        <w:tc>
          <w:tcPr>
            <w:tcW w:w="1053" w:type="dxa"/>
            <w:hideMark/>
          </w:tcPr>
          <w:p w14:paraId="1DFB0E27"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6</w:t>
            </w:r>
          </w:p>
        </w:tc>
        <w:tc>
          <w:tcPr>
            <w:tcW w:w="1053" w:type="dxa"/>
            <w:hideMark/>
          </w:tcPr>
          <w:p w14:paraId="435AA816"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5</w:t>
            </w:r>
          </w:p>
        </w:tc>
        <w:tc>
          <w:tcPr>
            <w:tcW w:w="1312" w:type="dxa"/>
            <w:hideMark/>
          </w:tcPr>
          <w:p w14:paraId="07EF3D7F"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 0.909</w:t>
            </w:r>
          </w:p>
        </w:tc>
        <w:tc>
          <w:tcPr>
            <w:tcW w:w="1300" w:type="dxa"/>
            <w:hideMark/>
          </w:tcPr>
          <w:p w14:paraId="0016DB07"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9.09</w:t>
            </w:r>
          </w:p>
        </w:tc>
        <w:tc>
          <w:tcPr>
            <w:tcW w:w="1240" w:type="dxa"/>
            <w:hideMark/>
          </w:tcPr>
          <w:p w14:paraId="07DD3D44"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5.454</w:t>
            </w:r>
          </w:p>
        </w:tc>
        <w:tc>
          <w:tcPr>
            <w:tcW w:w="1143" w:type="dxa"/>
            <w:hideMark/>
          </w:tcPr>
          <w:p w14:paraId="4D840324"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4.545 </w:t>
            </w:r>
          </w:p>
        </w:tc>
      </w:tr>
      <w:tr w:rsidR="003712FA" w:rsidRPr="00084942" w14:paraId="58859550" w14:textId="77777777" w:rsidTr="00705B7B">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049" w:type="dxa"/>
            <w:hideMark/>
          </w:tcPr>
          <w:p w14:paraId="34C04F0E" w14:textId="77777777" w:rsidR="003712FA" w:rsidRPr="00084942" w:rsidRDefault="003712FA" w:rsidP="003712FA">
            <w:pPr>
              <w:spacing w:after="160"/>
              <w:jc w:val="center"/>
              <w:rPr>
                <w:rFonts w:ascii="Arial" w:hAnsi="Arial" w:cs="Arial"/>
                <w:noProof/>
                <w:lang w:val="en-US"/>
              </w:rPr>
            </w:pPr>
            <w:r w:rsidRPr="00084942">
              <w:rPr>
                <w:rFonts w:ascii="Arial" w:hAnsi="Arial" w:cs="Arial"/>
                <w:noProof/>
                <w:lang w:val="en-US"/>
              </w:rPr>
              <w:lastRenderedPageBreak/>
              <w:t>2</w:t>
            </w:r>
          </w:p>
        </w:tc>
        <w:tc>
          <w:tcPr>
            <w:tcW w:w="1053" w:type="dxa"/>
            <w:hideMark/>
          </w:tcPr>
          <w:p w14:paraId="50A59CEF"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r w:rsidRPr="00084942">
              <w:rPr>
                <w:rFonts w:ascii="Arial" w:hAnsi="Arial" w:cs="Arial"/>
                <w:noProof/>
                <w:lang w:val="en-US"/>
              </w:rPr>
              <w:t>12</w:t>
            </w:r>
          </w:p>
        </w:tc>
        <w:tc>
          <w:tcPr>
            <w:tcW w:w="1053" w:type="dxa"/>
            <w:hideMark/>
          </w:tcPr>
          <w:p w14:paraId="7C825649"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r w:rsidRPr="00084942">
              <w:rPr>
                <w:rFonts w:ascii="Arial" w:hAnsi="Arial" w:cs="Arial"/>
                <w:noProof/>
                <w:lang w:val="en-US"/>
              </w:rPr>
              <w:t>6</w:t>
            </w:r>
          </w:p>
        </w:tc>
        <w:tc>
          <w:tcPr>
            <w:tcW w:w="1053" w:type="dxa"/>
            <w:hideMark/>
          </w:tcPr>
          <w:p w14:paraId="2F352A14"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r w:rsidRPr="00084942">
              <w:rPr>
                <w:rFonts w:ascii="Arial" w:hAnsi="Arial" w:cs="Arial"/>
                <w:noProof/>
                <w:lang w:val="en-US"/>
              </w:rPr>
              <w:t>10</w:t>
            </w:r>
          </w:p>
        </w:tc>
        <w:tc>
          <w:tcPr>
            <w:tcW w:w="1312" w:type="dxa"/>
            <w:hideMark/>
          </w:tcPr>
          <w:p w14:paraId="259C08F9"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r w:rsidRPr="00084942">
              <w:rPr>
                <w:rFonts w:ascii="Arial" w:hAnsi="Arial" w:cs="Arial"/>
                <w:noProof/>
                <w:lang w:val="en-US"/>
              </w:rPr>
              <w:t> 0.826</w:t>
            </w:r>
          </w:p>
        </w:tc>
        <w:tc>
          <w:tcPr>
            <w:tcW w:w="1300" w:type="dxa"/>
            <w:hideMark/>
          </w:tcPr>
          <w:p w14:paraId="6E110BC6"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r w:rsidRPr="00084942">
              <w:rPr>
                <w:rFonts w:ascii="Arial" w:hAnsi="Arial" w:cs="Arial"/>
                <w:noProof/>
                <w:lang w:val="en-US"/>
              </w:rPr>
              <w:t>9.912</w:t>
            </w:r>
          </w:p>
        </w:tc>
        <w:tc>
          <w:tcPr>
            <w:tcW w:w="1240" w:type="dxa"/>
            <w:hideMark/>
          </w:tcPr>
          <w:p w14:paraId="1EFDAA89"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r w:rsidRPr="00084942">
              <w:rPr>
                <w:rFonts w:ascii="Arial" w:hAnsi="Arial" w:cs="Arial"/>
                <w:noProof/>
                <w:lang w:val="en-US"/>
              </w:rPr>
              <w:t>4.956</w:t>
            </w:r>
          </w:p>
        </w:tc>
        <w:tc>
          <w:tcPr>
            <w:tcW w:w="1143" w:type="dxa"/>
            <w:hideMark/>
          </w:tcPr>
          <w:p w14:paraId="04840A23"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r w:rsidRPr="00084942">
              <w:rPr>
                <w:rFonts w:ascii="Arial" w:hAnsi="Arial" w:cs="Arial"/>
                <w:noProof/>
                <w:lang w:val="en-US"/>
              </w:rPr>
              <w:t>8.26 </w:t>
            </w:r>
          </w:p>
        </w:tc>
      </w:tr>
      <w:tr w:rsidR="003712FA" w:rsidRPr="00084942" w14:paraId="057706A5" w14:textId="77777777" w:rsidTr="00705B7B">
        <w:trPr>
          <w:trHeight w:val="307"/>
        </w:trPr>
        <w:tc>
          <w:tcPr>
            <w:cnfStyle w:val="001000000000" w:firstRow="0" w:lastRow="0" w:firstColumn="1" w:lastColumn="0" w:oddVBand="0" w:evenVBand="0" w:oddHBand="0" w:evenHBand="0" w:firstRowFirstColumn="0" w:firstRowLastColumn="0" w:lastRowFirstColumn="0" w:lastRowLastColumn="0"/>
            <w:tcW w:w="1049" w:type="dxa"/>
            <w:hideMark/>
          </w:tcPr>
          <w:p w14:paraId="17BE0B89" w14:textId="77777777" w:rsidR="003712FA" w:rsidRPr="00084942" w:rsidRDefault="003712FA" w:rsidP="003712FA">
            <w:pPr>
              <w:spacing w:after="160"/>
              <w:jc w:val="center"/>
              <w:rPr>
                <w:rFonts w:ascii="Arial" w:hAnsi="Arial" w:cs="Arial"/>
                <w:noProof/>
                <w:lang w:val="en-US"/>
              </w:rPr>
            </w:pPr>
            <w:r w:rsidRPr="00084942">
              <w:rPr>
                <w:rFonts w:ascii="Arial" w:hAnsi="Arial" w:cs="Arial"/>
                <w:noProof/>
                <w:lang w:val="en-US"/>
              </w:rPr>
              <w:t>3</w:t>
            </w:r>
          </w:p>
        </w:tc>
        <w:tc>
          <w:tcPr>
            <w:tcW w:w="1053" w:type="dxa"/>
            <w:hideMark/>
          </w:tcPr>
          <w:p w14:paraId="70CD48B4"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14</w:t>
            </w:r>
          </w:p>
        </w:tc>
        <w:tc>
          <w:tcPr>
            <w:tcW w:w="1053" w:type="dxa"/>
            <w:hideMark/>
          </w:tcPr>
          <w:p w14:paraId="0E6B1B9A"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6</w:t>
            </w:r>
          </w:p>
        </w:tc>
        <w:tc>
          <w:tcPr>
            <w:tcW w:w="1053" w:type="dxa"/>
            <w:hideMark/>
          </w:tcPr>
          <w:p w14:paraId="3E0EA050"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20</w:t>
            </w:r>
          </w:p>
        </w:tc>
        <w:tc>
          <w:tcPr>
            <w:tcW w:w="1312" w:type="dxa"/>
            <w:hideMark/>
          </w:tcPr>
          <w:p w14:paraId="5228EDD6"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 0.751</w:t>
            </w:r>
          </w:p>
        </w:tc>
        <w:tc>
          <w:tcPr>
            <w:tcW w:w="1300" w:type="dxa"/>
            <w:hideMark/>
          </w:tcPr>
          <w:p w14:paraId="0738FD3E"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10.514</w:t>
            </w:r>
          </w:p>
        </w:tc>
        <w:tc>
          <w:tcPr>
            <w:tcW w:w="1240" w:type="dxa"/>
            <w:hideMark/>
          </w:tcPr>
          <w:p w14:paraId="3057E67A"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4.506</w:t>
            </w:r>
          </w:p>
        </w:tc>
        <w:tc>
          <w:tcPr>
            <w:tcW w:w="1143" w:type="dxa"/>
            <w:hideMark/>
          </w:tcPr>
          <w:p w14:paraId="37319D94"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15.02 </w:t>
            </w:r>
          </w:p>
        </w:tc>
      </w:tr>
      <w:tr w:rsidR="003712FA" w:rsidRPr="00084942" w14:paraId="1B218D56" w14:textId="77777777" w:rsidTr="00705B7B">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049" w:type="dxa"/>
            <w:hideMark/>
          </w:tcPr>
          <w:p w14:paraId="42468D2E" w14:textId="77777777" w:rsidR="003712FA" w:rsidRPr="00084942" w:rsidRDefault="003712FA" w:rsidP="003712FA">
            <w:pPr>
              <w:spacing w:after="160"/>
              <w:jc w:val="center"/>
              <w:rPr>
                <w:rFonts w:ascii="Arial" w:hAnsi="Arial" w:cs="Arial"/>
                <w:noProof/>
                <w:lang w:val="en-US"/>
              </w:rPr>
            </w:pPr>
            <w:r w:rsidRPr="00084942">
              <w:rPr>
                <w:rFonts w:ascii="Arial" w:hAnsi="Arial" w:cs="Arial"/>
                <w:noProof/>
                <w:lang w:val="en-US"/>
              </w:rPr>
              <w:t>4</w:t>
            </w:r>
          </w:p>
        </w:tc>
        <w:tc>
          <w:tcPr>
            <w:tcW w:w="1053" w:type="dxa"/>
            <w:hideMark/>
          </w:tcPr>
          <w:p w14:paraId="27A3021E"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r w:rsidRPr="00084942">
              <w:rPr>
                <w:rFonts w:ascii="Arial" w:hAnsi="Arial" w:cs="Arial"/>
                <w:noProof/>
                <w:lang w:val="en-US"/>
              </w:rPr>
              <w:t>10</w:t>
            </w:r>
          </w:p>
        </w:tc>
        <w:tc>
          <w:tcPr>
            <w:tcW w:w="1053" w:type="dxa"/>
            <w:hideMark/>
          </w:tcPr>
          <w:p w14:paraId="3394FBA9"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r w:rsidRPr="00084942">
              <w:rPr>
                <w:rFonts w:ascii="Arial" w:hAnsi="Arial" w:cs="Arial"/>
                <w:noProof/>
                <w:lang w:val="en-US"/>
              </w:rPr>
              <w:t>6</w:t>
            </w:r>
          </w:p>
        </w:tc>
        <w:tc>
          <w:tcPr>
            <w:tcW w:w="1053" w:type="dxa"/>
            <w:hideMark/>
          </w:tcPr>
          <w:p w14:paraId="75875629"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r w:rsidRPr="00084942">
              <w:rPr>
                <w:rFonts w:ascii="Arial" w:hAnsi="Arial" w:cs="Arial"/>
                <w:noProof/>
                <w:lang w:val="en-US"/>
              </w:rPr>
              <w:t>25</w:t>
            </w:r>
          </w:p>
        </w:tc>
        <w:tc>
          <w:tcPr>
            <w:tcW w:w="1312" w:type="dxa"/>
            <w:hideMark/>
          </w:tcPr>
          <w:p w14:paraId="640165F1"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r w:rsidRPr="00084942">
              <w:rPr>
                <w:rFonts w:ascii="Arial" w:hAnsi="Arial" w:cs="Arial"/>
                <w:noProof/>
                <w:lang w:val="en-US"/>
              </w:rPr>
              <w:t> 0.683</w:t>
            </w:r>
          </w:p>
        </w:tc>
        <w:tc>
          <w:tcPr>
            <w:tcW w:w="1300" w:type="dxa"/>
            <w:hideMark/>
          </w:tcPr>
          <w:p w14:paraId="24B0C2EB"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r w:rsidRPr="00084942">
              <w:rPr>
                <w:rFonts w:ascii="Arial" w:hAnsi="Arial" w:cs="Arial"/>
                <w:noProof/>
                <w:lang w:val="en-US"/>
              </w:rPr>
              <w:t>6.83</w:t>
            </w:r>
          </w:p>
        </w:tc>
        <w:tc>
          <w:tcPr>
            <w:tcW w:w="1240" w:type="dxa"/>
            <w:hideMark/>
          </w:tcPr>
          <w:p w14:paraId="2C326838"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r w:rsidRPr="00084942">
              <w:rPr>
                <w:rFonts w:ascii="Arial" w:hAnsi="Arial" w:cs="Arial"/>
                <w:noProof/>
                <w:lang w:val="en-US"/>
              </w:rPr>
              <w:t>4.098</w:t>
            </w:r>
          </w:p>
        </w:tc>
        <w:tc>
          <w:tcPr>
            <w:tcW w:w="1143" w:type="dxa"/>
            <w:hideMark/>
          </w:tcPr>
          <w:p w14:paraId="24D504B0"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noProof/>
                <w:lang w:val="en-US"/>
              </w:rPr>
            </w:pPr>
            <w:r w:rsidRPr="00084942">
              <w:rPr>
                <w:rFonts w:ascii="Arial" w:hAnsi="Arial" w:cs="Arial"/>
                <w:noProof/>
                <w:lang w:val="en-US"/>
              </w:rPr>
              <w:t>17.075 </w:t>
            </w:r>
          </w:p>
        </w:tc>
      </w:tr>
      <w:tr w:rsidR="003712FA" w:rsidRPr="00084942" w14:paraId="61C67CFD" w14:textId="77777777" w:rsidTr="00705B7B">
        <w:trPr>
          <w:trHeight w:val="307"/>
        </w:trPr>
        <w:tc>
          <w:tcPr>
            <w:cnfStyle w:val="001000000000" w:firstRow="0" w:lastRow="0" w:firstColumn="1" w:lastColumn="0" w:oddVBand="0" w:evenVBand="0" w:oddHBand="0" w:evenHBand="0" w:firstRowFirstColumn="0" w:firstRowLastColumn="0" w:lastRowFirstColumn="0" w:lastRowLastColumn="0"/>
            <w:tcW w:w="1049" w:type="dxa"/>
            <w:hideMark/>
          </w:tcPr>
          <w:p w14:paraId="7137D4F6" w14:textId="77777777" w:rsidR="003712FA" w:rsidRPr="00084942" w:rsidRDefault="003712FA" w:rsidP="003712FA">
            <w:pPr>
              <w:spacing w:after="160"/>
              <w:jc w:val="center"/>
              <w:rPr>
                <w:rFonts w:ascii="Arial" w:hAnsi="Arial" w:cs="Arial"/>
                <w:noProof/>
                <w:lang w:val="en-US"/>
              </w:rPr>
            </w:pPr>
            <w:r w:rsidRPr="00084942">
              <w:rPr>
                <w:rFonts w:ascii="Arial" w:hAnsi="Arial" w:cs="Arial"/>
                <w:noProof/>
                <w:lang w:val="en-US"/>
              </w:rPr>
              <w:t>5</w:t>
            </w:r>
          </w:p>
        </w:tc>
        <w:tc>
          <w:tcPr>
            <w:tcW w:w="1053" w:type="dxa"/>
            <w:hideMark/>
          </w:tcPr>
          <w:p w14:paraId="05F1CE77"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8</w:t>
            </w:r>
          </w:p>
        </w:tc>
        <w:tc>
          <w:tcPr>
            <w:tcW w:w="1053" w:type="dxa"/>
            <w:hideMark/>
          </w:tcPr>
          <w:p w14:paraId="288A70B1"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6</w:t>
            </w:r>
          </w:p>
        </w:tc>
        <w:tc>
          <w:tcPr>
            <w:tcW w:w="1053" w:type="dxa"/>
            <w:hideMark/>
          </w:tcPr>
          <w:p w14:paraId="6211F863"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15</w:t>
            </w:r>
          </w:p>
        </w:tc>
        <w:tc>
          <w:tcPr>
            <w:tcW w:w="1312" w:type="dxa"/>
            <w:hideMark/>
          </w:tcPr>
          <w:p w14:paraId="6672CFBF"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 0.620</w:t>
            </w:r>
          </w:p>
        </w:tc>
        <w:tc>
          <w:tcPr>
            <w:tcW w:w="1300" w:type="dxa"/>
            <w:hideMark/>
          </w:tcPr>
          <w:p w14:paraId="5D98ADCC"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4.96</w:t>
            </w:r>
          </w:p>
        </w:tc>
        <w:tc>
          <w:tcPr>
            <w:tcW w:w="1240" w:type="dxa"/>
            <w:hideMark/>
          </w:tcPr>
          <w:p w14:paraId="45505C07"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3.72</w:t>
            </w:r>
          </w:p>
        </w:tc>
        <w:tc>
          <w:tcPr>
            <w:tcW w:w="1143" w:type="dxa"/>
            <w:hideMark/>
          </w:tcPr>
          <w:p w14:paraId="36E7481E"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noProof/>
                <w:lang w:val="en-US"/>
              </w:rPr>
            </w:pPr>
            <w:r w:rsidRPr="00084942">
              <w:rPr>
                <w:rFonts w:ascii="Arial" w:hAnsi="Arial" w:cs="Arial"/>
                <w:noProof/>
                <w:lang w:val="en-US"/>
              </w:rPr>
              <w:t> 9.3</w:t>
            </w:r>
          </w:p>
        </w:tc>
      </w:tr>
      <w:tr w:rsidR="003712FA" w:rsidRPr="00084942" w14:paraId="75DC119D" w14:textId="77777777" w:rsidTr="00705B7B">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049" w:type="dxa"/>
            <w:hideMark/>
          </w:tcPr>
          <w:p w14:paraId="16B5EACD" w14:textId="77777777" w:rsidR="003712FA" w:rsidRPr="00084942" w:rsidRDefault="003712FA" w:rsidP="003712FA">
            <w:pPr>
              <w:spacing w:after="160"/>
              <w:jc w:val="center"/>
              <w:rPr>
                <w:rFonts w:ascii="Arial" w:hAnsi="Arial" w:cs="Arial"/>
                <w:noProof/>
                <w:lang w:val="en-US"/>
              </w:rPr>
            </w:pPr>
            <w:r w:rsidRPr="00084942">
              <w:rPr>
                <w:rFonts w:ascii="Arial" w:hAnsi="Arial" w:cs="Arial"/>
                <w:noProof/>
                <w:lang w:val="en-US"/>
              </w:rPr>
              <w:t>Total</w:t>
            </w:r>
          </w:p>
        </w:tc>
        <w:tc>
          <w:tcPr>
            <w:tcW w:w="1053" w:type="dxa"/>
            <w:hideMark/>
          </w:tcPr>
          <w:p w14:paraId="5BFD7BBC"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b/>
                <w:bCs/>
                <w:noProof/>
                <w:lang w:val="en-US"/>
              </w:rPr>
            </w:pPr>
            <w:r w:rsidRPr="00084942">
              <w:rPr>
                <w:rFonts w:ascii="Arial" w:hAnsi="Arial" w:cs="Arial"/>
                <w:b/>
                <w:bCs/>
                <w:noProof/>
                <w:lang w:val="en-US"/>
              </w:rPr>
              <w:t> 54</w:t>
            </w:r>
          </w:p>
        </w:tc>
        <w:tc>
          <w:tcPr>
            <w:tcW w:w="1053" w:type="dxa"/>
            <w:hideMark/>
          </w:tcPr>
          <w:p w14:paraId="2680BD28"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b/>
                <w:bCs/>
                <w:noProof/>
                <w:lang w:val="en-US"/>
              </w:rPr>
            </w:pPr>
            <w:r w:rsidRPr="00084942">
              <w:rPr>
                <w:rFonts w:ascii="Arial" w:hAnsi="Arial" w:cs="Arial"/>
                <w:b/>
                <w:bCs/>
                <w:noProof/>
                <w:lang w:val="en-US"/>
              </w:rPr>
              <w:t> 30</w:t>
            </w:r>
          </w:p>
        </w:tc>
        <w:tc>
          <w:tcPr>
            <w:tcW w:w="1053" w:type="dxa"/>
            <w:hideMark/>
          </w:tcPr>
          <w:p w14:paraId="33E5638D"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b/>
                <w:bCs/>
                <w:noProof/>
                <w:lang w:val="en-US"/>
              </w:rPr>
            </w:pPr>
            <w:r w:rsidRPr="00084942">
              <w:rPr>
                <w:rFonts w:ascii="Arial" w:hAnsi="Arial" w:cs="Arial"/>
                <w:b/>
                <w:bCs/>
                <w:noProof/>
                <w:lang w:val="en-US"/>
              </w:rPr>
              <w:t>75 </w:t>
            </w:r>
          </w:p>
        </w:tc>
        <w:tc>
          <w:tcPr>
            <w:tcW w:w="1312" w:type="dxa"/>
            <w:hideMark/>
          </w:tcPr>
          <w:p w14:paraId="0228DEA9"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b/>
                <w:bCs/>
                <w:noProof/>
                <w:lang w:val="en-US"/>
              </w:rPr>
            </w:pPr>
            <w:r w:rsidRPr="00084942">
              <w:rPr>
                <w:rFonts w:ascii="Arial" w:hAnsi="Arial" w:cs="Arial"/>
                <w:b/>
                <w:bCs/>
                <w:noProof/>
                <w:lang w:val="en-US"/>
              </w:rPr>
              <w:t> 1</w:t>
            </w:r>
          </w:p>
        </w:tc>
        <w:tc>
          <w:tcPr>
            <w:tcW w:w="1300" w:type="dxa"/>
            <w:hideMark/>
          </w:tcPr>
          <w:p w14:paraId="74F2A2FA"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b/>
                <w:bCs/>
                <w:noProof/>
                <w:lang w:val="en-US"/>
              </w:rPr>
            </w:pPr>
            <w:r w:rsidRPr="00084942">
              <w:rPr>
                <w:rFonts w:ascii="Arial" w:hAnsi="Arial" w:cs="Arial"/>
                <w:b/>
                <w:bCs/>
                <w:noProof/>
                <w:lang w:val="en-US"/>
              </w:rPr>
              <w:t> 41.306</w:t>
            </w:r>
          </w:p>
        </w:tc>
        <w:tc>
          <w:tcPr>
            <w:tcW w:w="1240" w:type="dxa"/>
            <w:hideMark/>
          </w:tcPr>
          <w:p w14:paraId="1B6349C2"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b/>
                <w:bCs/>
                <w:noProof/>
                <w:lang w:val="en-US"/>
              </w:rPr>
            </w:pPr>
            <w:r w:rsidRPr="00084942">
              <w:rPr>
                <w:rFonts w:ascii="Arial" w:hAnsi="Arial" w:cs="Arial"/>
                <w:b/>
                <w:bCs/>
                <w:noProof/>
                <w:lang w:val="en-US"/>
              </w:rPr>
              <w:t>22.734 </w:t>
            </w:r>
          </w:p>
        </w:tc>
        <w:tc>
          <w:tcPr>
            <w:tcW w:w="1143" w:type="dxa"/>
            <w:hideMark/>
          </w:tcPr>
          <w:p w14:paraId="4B116853" w14:textId="77777777" w:rsidR="003712FA" w:rsidRPr="00084942" w:rsidRDefault="003712FA" w:rsidP="003712F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b/>
                <w:bCs/>
                <w:noProof/>
                <w:lang w:val="en-US"/>
              </w:rPr>
            </w:pPr>
            <w:r w:rsidRPr="00084942">
              <w:rPr>
                <w:rFonts w:ascii="Arial" w:hAnsi="Arial" w:cs="Arial"/>
                <w:b/>
                <w:bCs/>
                <w:noProof/>
                <w:lang w:val="en-US"/>
              </w:rPr>
              <w:t> 54.2</w:t>
            </w:r>
          </w:p>
        </w:tc>
      </w:tr>
      <w:tr w:rsidR="003712FA" w:rsidRPr="00084942" w14:paraId="4F709C52" w14:textId="77777777" w:rsidTr="00705B7B">
        <w:trPr>
          <w:trHeight w:val="307"/>
        </w:trPr>
        <w:tc>
          <w:tcPr>
            <w:cnfStyle w:val="001000000000" w:firstRow="0" w:lastRow="0" w:firstColumn="1" w:lastColumn="0" w:oddVBand="0" w:evenVBand="0" w:oddHBand="0" w:evenHBand="0" w:firstRowFirstColumn="0" w:firstRowLastColumn="0" w:lastRowFirstColumn="0" w:lastRowLastColumn="0"/>
            <w:tcW w:w="1049" w:type="dxa"/>
          </w:tcPr>
          <w:p w14:paraId="169CAF98" w14:textId="77777777" w:rsidR="003712FA" w:rsidRPr="00084942" w:rsidRDefault="003712FA" w:rsidP="003712FA">
            <w:pPr>
              <w:spacing w:after="160"/>
              <w:jc w:val="center"/>
              <w:rPr>
                <w:rFonts w:ascii="Arial" w:hAnsi="Arial" w:cs="Arial"/>
                <w:noProof/>
                <w:lang w:val="en-US"/>
              </w:rPr>
            </w:pPr>
            <w:r w:rsidRPr="00084942">
              <w:rPr>
                <w:rFonts w:ascii="Arial" w:hAnsi="Arial" w:cs="Arial"/>
                <w:noProof/>
                <w:lang w:val="en-US"/>
              </w:rPr>
              <w:t>NPV</w:t>
            </w:r>
          </w:p>
        </w:tc>
        <w:tc>
          <w:tcPr>
            <w:tcW w:w="1053" w:type="dxa"/>
          </w:tcPr>
          <w:p w14:paraId="140921EE"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b/>
                <w:bCs/>
                <w:noProof/>
                <w:lang w:val="en-US"/>
              </w:rPr>
            </w:pPr>
          </w:p>
        </w:tc>
        <w:tc>
          <w:tcPr>
            <w:tcW w:w="1053" w:type="dxa"/>
          </w:tcPr>
          <w:p w14:paraId="3D67546B"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b/>
                <w:bCs/>
                <w:noProof/>
                <w:lang w:val="en-US"/>
              </w:rPr>
            </w:pPr>
          </w:p>
        </w:tc>
        <w:tc>
          <w:tcPr>
            <w:tcW w:w="1053" w:type="dxa"/>
          </w:tcPr>
          <w:p w14:paraId="401E661C"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b/>
                <w:bCs/>
                <w:noProof/>
                <w:lang w:val="en-US"/>
              </w:rPr>
            </w:pPr>
          </w:p>
        </w:tc>
        <w:tc>
          <w:tcPr>
            <w:tcW w:w="1312" w:type="dxa"/>
          </w:tcPr>
          <w:p w14:paraId="694026D2"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b/>
                <w:bCs/>
                <w:noProof/>
                <w:lang w:val="en-US"/>
              </w:rPr>
            </w:pPr>
          </w:p>
        </w:tc>
        <w:tc>
          <w:tcPr>
            <w:tcW w:w="1300" w:type="dxa"/>
          </w:tcPr>
          <w:p w14:paraId="5D1E40A5"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b/>
                <w:bCs/>
                <w:noProof/>
                <w:lang w:val="en-US"/>
              </w:rPr>
            </w:pPr>
            <w:r w:rsidRPr="00084942">
              <w:rPr>
                <w:rFonts w:ascii="Arial" w:hAnsi="Arial" w:cs="Arial"/>
                <w:b/>
                <w:bCs/>
                <w:noProof/>
                <w:lang w:val="en-US"/>
              </w:rPr>
              <w:t>1.306</w:t>
            </w:r>
          </w:p>
        </w:tc>
        <w:tc>
          <w:tcPr>
            <w:tcW w:w="1240" w:type="dxa"/>
          </w:tcPr>
          <w:p w14:paraId="6CA2EB88"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b/>
                <w:bCs/>
                <w:noProof/>
                <w:lang w:val="en-US"/>
              </w:rPr>
            </w:pPr>
            <w:r w:rsidRPr="00084942">
              <w:rPr>
                <w:rFonts w:ascii="Arial" w:hAnsi="Arial" w:cs="Arial"/>
                <w:b/>
                <w:bCs/>
                <w:noProof/>
                <w:lang w:val="en-US"/>
              </w:rPr>
              <w:t>-7.266</w:t>
            </w:r>
          </w:p>
        </w:tc>
        <w:tc>
          <w:tcPr>
            <w:tcW w:w="1143" w:type="dxa"/>
          </w:tcPr>
          <w:p w14:paraId="4132A855" w14:textId="77777777" w:rsidR="003712FA" w:rsidRPr="00084942" w:rsidRDefault="003712FA" w:rsidP="003712F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b/>
                <w:bCs/>
                <w:noProof/>
                <w:lang w:val="en-US"/>
              </w:rPr>
            </w:pPr>
            <w:r w:rsidRPr="00084942">
              <w:rPr>
                <w:rFonts w:ascii="Arial" w:hAnsi="Arial" w:cs="Arial"/>
                <w:b/>
                <w:bCs/>
                <w:noProof/>
                <w:lang w:val="en-US"/>
              </w:rPr>
              <w:t>4.2</w:t>
            </w:r>
          </w:p>
        </w:tc>
      </w:tr>
    </w:tbl>
    <w:p w14:paraId="0495822C" w14:textId="31CD4651" w:rsidR="00EB1B3A" w:rsidRPr="00084942" w:rsidRDefault="00EB1B3A" w:rsidP="00EB1B3A">
      <w:pPr>
        <w:jc w:val="center"/>
        <w:rPr>
          <w:rFonts w:ascii="Arial" w:hAnsi="Arial" w:cs="Arial"/>
        </w:rPr>
      </w:pPr>
    </w:p>
    <w:p w14:paraId="54BE053B" w14:textId="090AA004" w:rsidR="00BD0364" w:rsidRPr="00084942" w:rsidRDefault="00BD0364" w:rsidP="00BD0364">
      <w:pPr>
        <w:jc w:val="center"/>
        <w:rPr>
          <w:rFonts w:ascii="Arial" w:hAnsi="Arial" w:cs="Arial"/>
          <w:b/>
          <w:bCs/>
        </w:rPr>
      </w:pPr>
      <w:r w:rsidRPr="00084942">
        <w:rPr>
          <w:rFonts w:ascii="Arial" w:hAnsi="Arial" w:cs="Arial"/>
          <w:b/>
          <w:bCs/>
        </w:rPr>
        <w:t xml:space="preserve">Figure 4: </w:t>
      </w:r>
      <w:r w:rsidR="00084942" w:rsidRPr="00084942">
        <w:rPr>
          <w:rFonts w:ascii="Arial" w:hAnsi="Arial" w:cs="Arial"/>
          <w:b/>
          <w:bCs/>
        </w:rPr>
        <w:t>N.P.V Calculation</w:t>
      </w:r>
    </w:p>
    <w:p w14:paraId="414D7CEA" w14:textId="67D1A3D5" w:rsidR="00BD0364" w:rsidRPr="00084942" w:rsidRDefault="00BD0364" w:rsidP="00EB1B3A">
      <w:pPr>
        <w:jc w:val="center"/>
        <w:rPr>
          <w:rFonts w:ascii="Arial" w:hAnsi="Arial" w:cs="Arial"/>
        </w:rPr>
      </w:pPr>
      <w:r w:rsidRPr="00084942">
        <w:rPr>
          <w:rFonts w:ascii="Arial" w:hAnsi="Arial" w:cs="Arial"/>
        </w:rPr>
        <w:t xml:space="preserve">(Source: </w:t>
      </w:r>
      <w:r w:rsidR="00084942" w:rsidRPr="00084942">
        <w:rPr>
          <w:rFonts w:ascii="Arial" w:hAnsi="Arial" w:cs="Arial"/>
        </w:rPr>
        <w:t>Self</w:t>
      </w:r>
      <w:r w:rsidRPr="00084942">
        <w:rPr>
          <w:rFonts w:ascii="Arial" w:hAnsi="Arial" w:cs="Arial"/>
        </w:rPr>
        <w:t>)</w:t>
      </w:r>
    </w:p>
    <w:p w14:paraId="240A9529" w14:textId="77777777" w:rsidR="00F53B44" w:rsidRPr="00084942" w:rsidRDefault="00F53B44" w:rsidP="00F53B44">
      <w:pPr>
        <w:rPr>
          <w:rFonts w:ascii="Arial" w:hAnsi="Arial" w:cs="Arial"/>
          <w:lang w:val="en-US"/>
        </w:rPr>
      </w:pPr>
      <w:bookmarkStart w:id="19" w:name="_Hlk214118874"/>
      <w:r w:rsidRPr="00084942">
        <w:rPr>
          <w:rFonts w:ascii="Arial" w:hAnsi="Arial" w:cs="Arial"/>
          <w:lang w:val="en-US"/>
        </w:rPr>
        <w:t>PI equals present value of inflows divided by initial outlay:</w:t>
      </w:r>
    </w:p>
    <w:p w14:paraId="414AF390" w14:textId="77777777" w:rsidR="00F53B44" w:rsidRPr="00084942" w:rsidRDefault="00F53B44" w:rsidP="00F53B44">
      <w:pPr>
        <w:rPr>
          <w:rFonts w:ascii="Arial" w:hAnsi="Arial" w:cs="Arial"/>
          <w:lang w:val="en-US"/>
        </w:rPr>
      </w:pPr>
      <w:r w:rsidRPr="00084942">
        <w:rPr>
          <w:rFonts w:ascii="Arial" w:hAnsi="Arial" w:cs="Arial"/>
          <w:lang w:val="en-US"/>
        </w:rPr>
        <w:t xml:space="preserve">A: </w:t>
      </w:r>
      <m:oMath>
        <m:r>
          <w:rPr>
            <w:rFonts w:ascii="Cambria Math" w:hAnsi="Cambria Math" w:cs="Arial"/>
            <w:lang w:val="en-US"/>
          </w:rPr>
          <m:t>41.32</m:t>
        </m:r>
        <m:r>
          <m:rPr>
            <m:sty m:val="p"/>
          </m:rPr>
          <w:rPr>
            <w:rFonts w:ascii="Cambria Math" w:hAnsi="Cambria Math" w:cs="Arial"/>
            <w:lang w:val="en-US"/>
          </w:rPr>
          <m:t>/</m:t>
        </m:r>
        <m:r>
          <w:rPr>
            <w:rFonts w:ascii="Cambria Math" w:hAnsi="Cambria Math" w:cs="Arial"/>
            <w:lang w:val="en-US"/>
          </w:rPr>
          <m:t>40=1.03</m:t>
        </m:r>
      </m:oMath>
      <w:r w:rsidRPr="00084942">
        <w:rPr>
          <w:rFonts w:ascii="Arial" w:hAnsi="Arial" w:cs="Arial"/>
          <w:lang w:val="en-US"/>
        </w:rPr>
        <w:t>(PI 0.03),</w:t>
      </w:r>
    </w:p>
    <w:p w14:paraId="6339B09F" w14:textId="77777777" w:rsidR="00F53B44" w:rsidRPr="00084942" w:rsidRDefault="00F53B44" w:rsidP="00F53B44">
      <w:pPr>
        <w:rPr>
          <w:rFonts w:ascii="Arial" w:hAnsi="Arial" w:cs="Arial"/>
          <w:lang w:val="en-US"/>
        </w:rPr>
      </w:pPr>
      <w:r w:rsidRPr="00084942">
        <w:rPr>
          <w:rFonts w:ascii="Arial" w:hAnsi="Arial" w:cs="Arial"/>
          <w:lang w:val="en-US"/>
        </w:rPr>
        <w:t xml:space="preserve">B: </w:t>
      </w:r>
      <m:oMath>
        <m:r>
          <w:rPr>
            <w:rFonts w:ascii="Cambria Math" w:hAnsi="Cambria Math" w:cs="Arial"/>
            <w:lang w:val="en-US"/>
          </w:rPr>
          <m:t>22.74</m:t>
        </m:r>
        <m:r>
          <m:rPr>
            <m:sty m:val="p"/>
          </m:rPr>
          <w:rPr>
            <w:rFonts w:ascii="Cambria Math" w:hAnsi="Cambria Math" w:cs="Arial"/>
            <w:lang w:val="en-US"/>
          </w:rPr>
          <m:t>/</m:t>
        </m:r>
        <m:r>
          <w:rPr>
            <w:rFonts w:ascii="Cambria Math" w:hAnsi="Cambria Math" w:cs="Arial"/>
            <w:lang w:val="en-US"/>
          </w:rPr>
          <m:t>30=0.76</m:t>
        </m:r>
      </m:oMath>
      <w:r w:rsidRPr="00084942">
        <w:rPr>
          <w:rFonts w:ascii="Arial" w:hAnsi="Arial" w:cs="Arial"/>
          <w:lang w:val="en-US"/>
        </w:rPr>
        <w:t>(PI -0.22),</w:t>
      </w:r>
    </w:p>
    <w:p w14:paraId="45091E89" w14:textId="7AE5F6CB" w:rsidR="00F53B44" w:rsidRPr="00084942" w:rsidRDefault="00F53B44" w:rsidP="00F53B44">
      <w:pPr>
        <w:rPr>
          <w:rFonts w:ascii="Arial" w:hAnsi="Arial" w:cs="Arial"/>
          <w:lang w:val="en-US"/>
        </w:rPr>
      </w:pPr>
      <w:r w:rsidRPr="00084942">
        <w:rPr>
          <w:rFonts w:ascii="Arial" w:hAnsi="Arial" w:cs="Arial"/>
          <w:lang w:val="en-US"/>
        </w:rPr>
        <w:t xml:space="preserve">C: </w:t>
      </w:r>
      <m:oMath>
        <m:r>
          <w:rPr>
            <w:rFonts w:ascii="Cambria Math" w:hAnsi="Cambria Math" w:cs="Arial"/>
            <w:lang w:val="en-US"/>
          </w:rPr>
          <m:t>54.23</m:t>
        </m:r>
        <m:r>
          <m:rPr>
            <m:sty m:val="p"/>
          </m:rPr>
          <w:rPr>
            <w:rFonts w:ascii="Cambria Math" w:hAnsi="Cambria Math" w:cs="Arial"/>
            <w:lang w:val="en-US"/>
          </w:rPr>
          <m:t>/</m:t>
        </m:r>
        <m:r>
          <w:rPr>
            <w:rFonts w:ascii="Cambria Math" w:hAnsi="Cambria Math" w:cs="Arial"/>
            <w:lang w:val="en-US"/>
          </w:rPr>
          <m:t>50=1.08</m:t>
        </m:r>
      </m:oMath>
      <w:r w:rsidRPr="00084942">
        <w:rPr>
          <w:rFonts w:ascii="Arial" w:hAnsi="Arial" w:cs="Arial"/>
          <w:lang w:val="en-US"/>
        </w:rPr>
        <w:t>(PI 0.08).</w:t>
      </w:r>
    </w:p>
    <w:p w14:paraId="09E5430B" w14:textId="77777777" w:rsidR="00F53B44" w:rsidRPr="00084942" w:rsidRDefault="00F53B44" w:rsidP="00F53B44">
      <w:pPr>
        <w:rPr>
          <w:rFonts w:ascii="Arial" w:hAnsi="Arial" w:cs="Arial"/>
          <w:lang w:val="en-US"/>
        </w:rPr>
      </w:pPr>
      <w:r w:rsidRPr="00084942">
        <w:rPr>
          <w:rFonts w:ascii="Arial" w:hAnsi="Arial" w:cs="Arial"/>
          <w:lang w:val="en-US"/>
        </w:rPr>
        <w:t>IRR is the discount rate where NPV becomes zero; IRR values are 11.3%, 0% and 12.7% for A, B and C.</w:t>
      </w:r>
    </w:p>
    <w:p w14:paraId="56E18AB3" w14:textId="77777777" w:rsidR="00F53B44" w:rsidRPr="00084942" w:rsidRDefault="00F53B44" w:rsidP="00F53B44">
      <w:pPr>
        <w:rPr>
          <w:rFonts w:ascii="Arial" w:hAnsi="Arial" w:cs="Arial"/>
          <w:lang w:val="en-US"/>
        </w:rPr>
      </w:pPr>
      <w:r w:rsidRPr="00084942">
        <w:rPr>
          <w:rFonts w:ascii="Arial" w:hAnsi="Arial" w:cs="Arial"/>
          <w:lang w:val="en-US"/>
        </w:rPr>
        <w:t>Payback uses cumulative undiscounted cash flows.</w:t>
      </w:r>
    </w:p>
    <w:p w14:paraId="26CCBFAE" w14:textId="77777777" w:rsidR="00F53B44" w:rsidRPr="00084942" w:rsidRDefault="00F53B44" w:rsidP="00F53B44">
      <w:pPr>
        <w:rPr>
          <w:rFonts w:ascii="Arial" w:hAnsi="Arial" w:cs="Arial"/>
          <w:lang w:val="en-US"/>
        </w:rPr>
      </w:pPr>
      <w:r w:rsidRPr="00084942">
        <w:rPr>
          <w:rFonts w:ascii="Arial" w:hAnsi="Arial" w:cs="Arial"/>
          <w:lang w:val="en-US"/>
        </w:rPr>
        <w:t xml:space="preserve">A: </w:t>
      </w:r>
      <m:oMath>
        <m:r>
          <w:rPr>
            <w:rFonts w:ascii="Cambria Math" w:hAnsi="Cambria Math" w:cs="Arial"/>
            <w:lang w:val="en-US"/>
          </w:rPr>
          <m:t>3+(40-36)</m:t>
        </m:r>
        <m:r>
          <m:rPr>
            <m:sty m:val="p"/>
          </m:rPr>
          <w:rPr>
            <w:rFonts w:ascii="Cambria Math" w:hAnsi="Cambria Math" w:cs="Arial"/>
            <w:lang w:val="en-US"/>
          </w:rPr>
          <m:t>/</m:t>
        </m:r>
        <m:r>
          <w:rPr>
            <w:rFonts w:ascii="Cambria Math" w:hAnsi="Cambria Math" w:cs="Arial"/>
            <w:lang w:val="en-US"/>
          </w:rPr>
          <m:t>10=3.4</m:t>
        </m:r>
      </m:oMath>
      <w:r w:rsidRPr="00084942">
        <w:rPr>
          <w:rFonts w:ascii="Arial" w:hAnsi="Arial" w:cs="Arial"/>
          <w:lang w:val="en-US"/>
        </w:rPr>
        <w:t>years,</w:t>
      </w:r>
    </w:p>
    <w:p w14:paraId="7018256F" w14:textId="77777777" w:rsidR="00F53B44" w:rsidRPr="00084942" w:rsidRDefault="00F53B44" w:rsidP="00F53B44">
      <w:pPr>
        <w:rPr>
          <w:rFonts w:ascii="Arial" w:hAnsi="Arial" w:cs="Arial"/>
          <w:lang w:val="en-US"/>
        </w:rPr>
      </w:pPr>
      <w:r w:rsidRPr="00084942">
        <w:rPr>
          <w:rFonts w:ascii="Arial" w:hAnsi="Arial" w:cs="Arial"/>
          <w:lang w:val="en-US"/>
        </w:rPr>
        <w:t>B: 5 years,</w:t>
      </w:r>
    </w:p>
    <w:p w14:paraId="3B49A53C" w14:textId="5AAB1381" w:rsidR="00F53B44" w:rsidRPr="00084942" w:rsidRDefault="00F53B44" w:rsidP="00F53B44">
      <w:pPr>
        <w:rPr>
          <w:rFonts w:ascii="Arial" w:hAnsi="Arial" w:cs="Arial"/>
          <w:lang w:val="en-US"/>
        </w:rPr>
      </w:pPr>
      <w:r w:rsidRPr="00084942">
        <w:rPr>
          <w:rFonts w:ascii="Arial" w:hAnsi="Arial" w:cs="Arial"/>
          <w:lang w:val="en-US"/>
        </w:rPr>
        <w:t xml:space="preserve">C: </w:t>
      </w:r>
      <m:oMath>
        <m:r>
          <w:rPr>
            <w:rFonts w:ascii="Cambria Math" w:hAnsi="Cambria Math" w:cs="Arial"/>
            <w:lang w:val="en-US"/>
          </w:rPr>
          <m:t>3+(50-35)</m:t>
        </m:r>
        <m:r>
          <m:rPr>
            <m:sty m:val="p"/>
          </m:rPr>
          <w:rPr>
            <w:rFonts w:ascii="Cambria Math" w:hAnsi="Cambria Math" w:cs="Arial"/>
            <w:lang w:val="en-US"/>
          </w:rPr>
          <m:t>/</m:t>
        </m:r>
        <m:r>
          <w:rPr>
            <w:rFonts w:ascii="Cambria Math" w:hAnsi="Cambria Math" w:cs="Arial"/>
            <w:lang w:val="en-US"/>
          </w:rPr>
          <m:t>25=3.6</m:t>
        </m:r>
      </m:oMath>
      <w:r w:rsidRPr="00084942">
        <w:rPr>
          <w:rFonts w:ascii="Arial" w:hAnsi="Arial" w:cs="Arial"/>
          <w:lang w:val="en-US"/>
        </w:rPr>
        <w:t>years.</w:t>
      </w:r>
    </w:p>
    <w:p w14:paraId="47E6A35B" w14:textId="447510AA" w:rsidR="008660D9" w:rsidRPr="00084942" w:rsidRDefault="008660D9" w:rsidP="008660D9">
      <w:pPr>
        <w:rPr>
          <w:rFonts w:ascii="Arial" w:hAnsi="Arial" w:cs="Arial"/>
          <w:lang w:val="en-US"/>
        </w:rPr>
      </w:pPr>
      <w:r w:rsidRPr="00084942">
        <w:rPr>
          <w:rFonts w:ascii="Arial" w:hAnsi="Arial" w:cs="Arial"/>
          <w:lang w:val="en-US"/>
        </w:rPr>
        <w:t>ARR is a ratio of average accounting profit to average investment; reported are values of -26%, -40% and -20% (Harrigan and Wing, 2021).</w:t>
      </w:r>
    </w:p>
    <w:p w14:paraId="33CAE249" w14:textId="47127F9F" w:rsidR="00EB1B3A" w:rsidRPr="00084942" w:rsidRDefault="008660D9" w:rsidP="008660D9">
      <w:pPr>
        <w:rPr>
          <w:rFonts w:ascii="Arial" w:hAnsi="Arial" w:cs="Arial"/>
        </w:rPr>
      </w:pPr>
      <w:r w:rsidRPr="00084942">
        <w:rPr>
          <w:rFonts w:ascii="Arial" w:hAnsi="Arial" w:cs="Arial"/>
          <w:lang w:val="en-US"/>
        </w:rPr>
        <w:t xml:space="preserve">A critical analysis of the appraisal reveals that Projects A and C pass the 10 percent hurdle but yield small NPVs and have little buffer against forecast errors. Project B kills the value </w:t>
      </w:r>
      <w:r w:rsidRPr="00084942">
        <w:rPr>
          <w:rFonts w:ascii="Arial" w:hAnsi="Arial" w:cs="Arial"/>
          <w:lang w:val="en-US"/>
        </w:rPr>
        <w:lastRenderedPageBreak/>
        <w:t>with negative NPV and PI. Project C Back loaded cash flows increase the risk of liquidity considering that General Electronics has a poor cash position</w:t>
      </w:r>
      <w:r w:rsidR="00C951AD" w:rsidRPr="00084942">
        <w:rPr>
          <w:rFonts w:ascii="Arial" w:hAnsi="Arial" w:cs="Arial"/>
        </w:rPr>
        <w:t xml:space="preserve"> </w:t>
      </w:r>
      <w:r w:rsidR="00F53B44" w:rsidRPr="00084942">
        <w:rPr>
          <w:rFonts w:ascii="Arial" w:hAnsi="Arial" w:cs="Arial"/>
        </w:rPr>
        <w:t>(</w:t>
      </w:r>
      <w:r w:rsidR="000B2757" w:rsidRPr="00084942">
        <w:rPr>
          <w:rFonts w:ascii="Arial" w:hAnsi="Arial" w:cs="Arial"/>
        </w:rPr>
        <w:t>Manta, 2022).</w:t>
      </w:r>
    </w:p>
    <w:p w14:paraId="0957C8F0" w14:textId="69E25052" w:rsidR="00EB1B3A" w:rsidRPr="00084942" w:rsidRDefault="00EB1B3A" w:rsidP="00BA7DA5">
      <w:pPr>
        <w:pStyle w:val="Heading2"/>
        <w:rPr>
          <w:rFonts w:cs="Arial"/>
        </w:rPr>
      </w:pPr>
      <w:bookmarkStart w:id="20" w:name="_Toc213680189"/>
      <w:bookmarkEnd w:id="19"/>
      <w:r w:rsidRPr="00084942">
        <w:rPr>
          <w:rFonts w:cs="Arial"/>
        </w:rPr>
        <w:t>Capital-Rationing Decision</w:t>
      </w:r>
      <w:bookmarkEnd w:id="20"/>
      <w:r w:rsidRPr="00084942">
        <w:rPr>
          <w:rFonts w:cs="Arial"/>
        </w:rPr>
        <w:t xml:space="preserve"> </w:t>
      </w:r>
    </w:p>
    <w:p w14:paraId="24A1B809" w14:textId="77777777" w:rsidR="000B2757" w:rsidRPr="00084942" w:rsidRDefault="000B2757" w:rsidP="000B2757">
      <w:pPr>
        <w:rPr>
          <w:rFonts w:ascii="Arial" w:hAnsi="Arial" w:cs="Arial"/>
        </w:rPr>
      </w:pPr>
      <w:r w:rsidRPr="00084942">
        <w:rPr>
          <w:rFonts w:ascii="Arial" w:hAnsi="Arial" w:cs="Arial"/>
        </w:rPr>
        <w:t xml:space="preserve">The capital limit of 60 million requires one to be keen on their selection of the projects so that they can make the most of them and also so that their liquidity is not jeopardized. The combinations available in the project indicate that the joint investment of the Project A and Project B will amount to cost of £70 million and will be higher than the budget. Project B + Project C would cost 80 million and will not be able to exist either. Only individual investments in Project A that is in 40 million and Project C that is in 50 million are subject to the capital limit. </w:t>
      </w:r>
    </w:p>
    <w:p w14:paraId="6B1DF30E" w14:textId="5EB02A59" w:rsidR="000B2757" w:rsidRPr="00084942" w:rsidRDefault="000B2757" w:rsidP="000B2757">
      <w:pPr>
        <w:rPr>
          <w:rFonts w:ascii="Arial" w:hAnsi="Arial" w:cs="Arial"/>
        </w:rPr>
      </w:pPr>
      <w:r w:rsidRPr="00084942">
        <w:rPr>
          <w:rFonts w:ascii="Arial" w:hAnsi="Arial" w:cs="Arial"/>
        </w:rPr>
        <w:t xml:space="preserve">Project C has the highest internal rate of return but its cash flows are back-loaded and place greater liquidity pressure in the first years of operation. This delay could worsen the financial position of General Electronics with its current ratio of 1.53 and negative interest coverage of -4.5. Project A is, however, a more balanced financial picture with a more predictable cash inflow and a sooner recovery point. </w:t>
      </w:r>
      <w:proofErr w:type="spellStart"/>
      <w:r w:rsidR="001F6B7D" w:rsidRPr="00084942">
        <w:rPr>
          <w:rFonts w:ascii="Arial" w:hAnsi="Arial" w:cs="Arial"/>
        </w:rPr>
        <w:t>Its</w:t>
      </w:r>
      <w:proofErr w:type="spellEnd"/>
      <w:r w:rsidRPr="00084942">
        <w:rPr>
          <w:rFonts w:ascii="Arial" w:hAnsi="Arial" w:cs="Arial"/>
        </w:rPr>
        <w:t xml:space="preserve"> payback period is a little bit higher than project C but its financing risk is lower and can thus be applied in an environment with limited cash supply.</w:t>
      </w:r>
    </w:p>
    <w:p w14:paraId="3DA8D2E2" w14:textId="77024C5B" w:rsidR="00B26AC6" w:rsidRPr="00084942" w:rsidRDefault="000B2757" w:rsidP="000B2757">
      <w:pPr>
        <w:rPr>
          <w:rFonts w:ascii="Arial" w:hAnsi="Arial" w:cs="Arial"/>
        </w:rPr>
      </w:pPr>
      <w:r w:rsidRPr="00084942">
        <w:rPr>
          <w:rFonts w:ascii="Arial" w:hAnsi="Arial" w:cs="Arial"/>
        </w:rPr>
        <w:t>Project A is therefore the optimal investment choice within the capital budget of 60 million. It helps the short-term stabilisation goal of the firm, offers a realistic risk level and is more liquid. Project C can be re-examined at the other times when there is more liquidity and when the business interest is in strategic expansion.</w:t>
      </w:r>
    </w:p>
    <w:p w14:paraId="3F8682F5" w14:textId="572711A5" w:rsidR="00EB1B3A" w:rsidRPr="00084942" w:rsidRDefault="00EB1B3A" w:rsidP="00BA7DA5">
      <w:pPr>
        <w:pStyle w:val="Heading2"/>
        <w:rPr>
          <w:rFonts w:cs="Arial"/>
        </w:rPr>
      </w:pPr>
      <w:bookmarkStart w:id="21" w:name="_Toc213680190"/>
      <w:r w:rsidRPr="00084942">
        <w:rPr>
          <w:rFonts w:cs="Arial"/>
        </w:rPr>
        <w:t>Post-Investment Governance</w:t>
      </w:r>
      <w:bookmarkEnd w:id="21"/>
      <w:r w:rsidRPr="00084942">
        <w:rPr>
          <w:rFonts w:cs="Arial"/>
        </w:rPr>
        <w:t xml:space="preserve"> </w:t>
      </w:r>
    </w:p>
    <w:p w14:paraId="6295084D" w14:textId="3B0F47A4" w:rsidR="003300FE" w:rsidRPr="00084942" w:rsidRDefault="003300FE" w:rsidP="003300FE">
      <w:pPr>
        <w:rPr>
          <w:rFonts w:ascii="Arial" w:hAnsi="Arial" w:cs="Arial"/>
        </w:rPr>
      </w:pPr>
      <w:r w:rsidRPr="00084942">
        <w:rPr>
          <w:rFonts w:ascii="Arial" w:hAnsi="Arial" w:cs="Arial"/>
        </w:rPr>
        <w:t>The governance organization is significant to observe that the desired outcome is achieved through the assistance of the investment made within the broader system of turnaround. It should adopt a stage-gate funding approach, where capital is released in tranches, based on the achievement of milestones (</w:t>
      </w:r>
      <w:proofErr w:type="spellStart"/>
      <w:r w:rsidRPr="00084942">
        <w:rPr>
          <w:rFonts w:ascii="Arial" w:hAnsi="Arial" w:cs="Arial"/>
        </w:rPr>
        <w:t>Gasela</w:t>
      </w:r>
      <w:proofErr w:type="spellEnd"/>
      <w:r w:rsidRPr="00084942">
        <w:rPr>
          <w:rFonts w:ascii="Arial" w:hAnsi="Arial" w:cs="Arial"/>
        </w:rPr>
        <w:t xml:space="preserve">, 2022). Project A could include prototype validation, ramp up, and market penetration thresholds. </w:t>
      </w:r>
    </w:p>
    <w:p w14:paraId="0A6C5D0C" w14:textId="77777777" w:rsidR="003300FE" w:rsidRPr="00084942" w:rsidRDefault="003300FE" w:rsidP="003300FE">
      <w:pPr>
        <w:rPr>
          <w:rFonts w:ascii="Arial" w:hAnsi="Arial" w:cs="Arial"/>
        </w:rPr>
      </w:pPr>
      <w:r w:rsidRPr="00084942">
        <w:rPr>
          <w:rFonts w:ascii="Arial" w:hAnsi="Arial" w:cs="Arial"/>
        </w:rPr>
        <w:t xml:space="preserve">The net cash flow and the return on capital employed (ROCE), the payback variance, and the contribution margin are key performance indicators (KPIs) that should be monitored </w:t>
      </w:r>
      <w:r w:rsidRPr="00084942">
        <w:rPr>
          <w:rFonts w:ascii="Arial" w:hAnsi="Arial" w:cs="Arial"/>
        </w:rPr>
        <w:lastRenderedPageBreak/>
        <w:t>on the performance dashboard. The performance targets include positive NPV in year 3, ROCE of 15 percent, and 0.3 cash conversion ratio. Variance limits will be set to 10 percent variance on cost variance and schedule variance to activate management review and contingency measures.</w:t>
      </w:r>
    </w:p>
    <w:p w14:paraId="15C5CDA1" w14:textId="009D9AD3" w:rsidR="004E4855" w:rsidRPr="00084942" w:rsidRDefault="003300FE" w:rsidP="003300FE">
      <w:pPr>
        <w:rPr>
          <w:rFonts w:ascii="Arial" w:hAnsi="Arial" w:cs="Arial"/>
        </w:rPr>
      </w:pPr>
      <w:r w:rsidRPr="00084942">
        <w:rPr>
          <w:rFonts w:ascii="Arial" w:hAnsi="Arial" w:cs="Arial"/>
        </w:rPr>
        <w:t xml:space="preserve">His financial model of the project will be filled out and the sensitivity analysis will be performed in detail and the variables that will be tested will be sales volume, cost inflation and altering the exchange rates (Davids, 2023). The mitigation mechanisms exist in part in the form of forward contracts concerning key components, supplier diversification and insurance against key operational risks. Open reporting and quarterly reporting must be introduced to inform the Board and shareholders about investment performance. </w:t>
      </w:r>
    </w:p>
    <w:p w14:paraId="196E0429" w14:textId="019BB6B4" w:rsidR="000D07C9" w:rsidRPr="00084942" w:rsidRDefault="000D07C9">
      <w:pPr>
        <w:spacing w:line="259" w:lineRule="auto"/>
        <w:jc w:val="left"/>
        <w:rPr>
          <w:rFonts w:ascii="Arial" w:hAnsi="Arial" w:cs="Arial"/>
        </w:rPr>
      </w:pPr>
      <w:r w:rsidRPr="00084942">
        <w:rPr>
          <w:rFonts w:ascii="Arial" w:hAnsi="Arial" w:cs="Arial"/>
        </w:rPr>
        <w:br w:type="page"/>
      </w:r>
    </w:p>
    <w:p w14:paraId="4DBCC505" w14:textId="3666622F" w:rsidR="00AB6C66" w:rsidRPr="00084942" w:rsidRDefault="000D07C9" w:rsidP="00B7582F">
      <w:pPr>
        <w:pStyle w:val="Heading1"/>
        <w:rPr>
          <w:rFonts w:cs="Arial"/>
        </w:rPr>
      </w:pPr>
      <w:bookmarkStart w:id="22" w:name="_Toc213680191"/>
      <w:r w:rsidRPr="00084942">
        <w:rPr>
          <w:rFonts w:cs="Arial"/>
        </w:rPr>
        <w:lastRenderedPageBreak/>
        <w:t>References</w:t>
      </w:r>
      <w:bookmarkEnd w:id="22"/>
    </w:p>
    <w:p w14:paraId="4D0A94B2" w14:textId="77777777" w:rsidR="00917B87" w:rsidRPr="00084942" w:rsidRDefault="00917B87" w:rsidP="00917B87">
      <w:pPr>
        <w:rPr>
          <w:rFonts w:ascii="Arial" w:hAnsi="Arial" w:cs="Arial"/>
        </w:rPr>
      </w:pPr>
      <w:r w:rsidRPr="00084942">
        <w:rPr>
          <w:rFonts w:ascii="Arial" w:hAnsi="Arial" w:cs="Arial"/>
        </w:rPr>
        <w:t xml:space="preserve">Aithal, P.S., 2023. Anticipated attributes of chief executive officers based on newly developed </w:t>
      </w:r>
      <w:proofErr w:type="spellStart"/>
      <w:r w:rsidRPr="00084942">
        <w:rPr>
          <w:rFonts w:ascii="Arial" w:hAnsi="Arial" w:cs="Arial"/>
        </w:rPr>
        <w:t>ceo</w:t>
      </w:r>
      <w:proofErr w:type="spellEnd"/>
      <w:r w:rsidRPr="00084942">
        <w:rPr>
          <w:rFonts w:ascii="Arial" w:hAnsi="Arial" w:cs="Arial"/>
        </w:rPr>
        <w:t xml:space="preserve"> matrix. </w:t>
      </w:r>
      <w:r w:rsidRPr="00084942">
        <w:rPr>
          <w:rFonts w:ascii="Arial" w:hAnsi="Arial" w:cs="Arial"/>
          <w:i/>
          <w:iCs/>
        </w:rPr>
        <w:t>International Journal of Applied Engineering and Management Letters (IJAEML)</w:t>
      </w:r>
      <w:r w:rsidRPr="00084942">
        <w:rPr>
          <w:rFonts w:ascii="Arial" w:hAnsi="Arial" w:cs="Arial"/>
        </w:rPr>
        <w:t>, </w:t>
      </w:r>
      <w:r w:rsidRPr="00084942">
        <w:rPr>
          <w:rFonts w:ascii="Arial" w:hAnsi="Arial" w:cs="Arial"/>
          <w:i/>
          <w:iCs/>
        </w:rPr>
        <w:t>7</w:t>
      </w:r>
      <w:r w:rsidRPr="00084942">
        <w:rPr>
          <w:rFonts w:ascii="Arial" w:hAnsi="Arial" w:cs="Arial"/>
        </w:rPr>
        <w:t>(4), pp.216-248.</w:t>
      </w:r>
    </w:p>
    <w:p w14:paraId="29F75AB0" w14:textId="77777777" w:rsidR="00917B87" w:rsidRPr="00084942" w:rsidRDefault="00917B87" w:rsidP="00917B87">
      <w:pPr>
        <w:rPr>
          <w:rFonts w:ascii="Arial" w:hAnsi="Arial" w:cs="Arial"/>
        </w:rPr>
      </w:pPr>
      <w:proofErr w:type="spellStart"/>
      <w:r w:rsidRPr="00084942">
        <w:rPr>
          <w:rFonts w:ascii="Arial" w:hAnsi="Arial" w:cs="Arial"/>
        </w:rPr>
        <w:t>Burgelman</w:t>
      </w:r>
      <w:proofErr w:type="spellEnd"/>
      <w:r w:rsidRPr="00084942">
        <w:rPr>
          <w:rFonts w:ascii="Arial" w:hAnsi="Arial" w:cs="Arial"/>
        </w:rPr>
        <w:t xml:space="preserve">, R.A., </w:t>
      </w:r>
      <w:proofErr w:type="spellStart"/>
      <w:r w:rsidRPr="00084942">
        <w:rPr>
          <w:rFonts w:ascii="Arial" w:hAnsi="Arial" w:cs="Arial"/>
        </w:rPr>
        <w:t>Snihur</w:t>
      </w:r>
      <w:proofErr w:type="spellEnd"/>
      <w:r w:rsidRPr="00084942">
        <w:rPr>
          <w:rFonts w:ascii="Arial" w:hAnsi="Arial" w:cs="Arial"/>
        </w:rPr>
        <w:t xml:space="preserve">, Y. and Thomas, L.D., 2022. Why </w:t>
      </w:r>
      <w:proofErr w:type="spellStart"/>
      <w:r w:rsidRPr="00084942">
        <w:rPr>
          <w:rFonts w:ascii="Arial" w:hAnsi="Arial" w:cs="Arial"/>
        </w:rPr>
        <w:t>multibusiness</w:t>
      </w:r>
      <w:proofErr w:type="spellEnd"/>
      <w:r w:rsidRPr="00084942">
        <w:rPr>
          <w:rFonts w:ascii="Arial" w:hAnsi="Arial" w:cs="Arial"/>
        </w:rPr>
        <w:t xml:space="preserve"> corporations split: CEO strategizing as the ecosystem evolves. </w:t>
      </w:r>
      <w:r w:rsidRPr="00084942">
        <w:rPr>
          <w:rFonts w:ascii="Arial" w:hAnsi="Arial" w:cs="Arial"/>
          <w:i/>
          <w:iCs/>
        </w:rPr>
        <w:t>Journal of Management</w:t>
      </w:r>
      <w:r w:rsidRPr="00084942">
        <w:rPr>
          <w:rFonts w:ascii="Arial" w:hAnsi="Arial" w:cs="Arial"/>
        </w:rPr>
        <w:t>, </w:t>
      </w:r>
      <w:r w:rsidRPr="00084942">
        <w:rPr>
          <w:rFonts w:ascii="Arial" w:hAnsi="Arial" w:cs="Arial"/>
          <w:i/>
          <w:iCs/>
        </w:rPr>
        <w:t>48</w:t>
      </w:r>
      <w:r w:rsidRPr="00084942">
        <w:rPr>
          <w:rFonts w:ascii="Arial" w:hAnsi="Arial" w:cs="Arial"/>
        </w:rPr>
        <w:t>(7), pp.2108-2151.</w:t>
      </w:r>
    </w:p>
    <w:p w14:paraId="115EEC9B" w14:textId="77777777" w:rsidR="00917B87" w:rsidRPr="00084942" w:rsidRDefault="00917B87" w:rsidP="00917B87">
      <w:pPr>
        <w:rPr>
          <w:rFonts w:ascii="Arial" w:hAnsi="Arial" w:cs="Arial"/>
        </w:rPr>
      </w:pPr>
      <w:r w:rsidRPr="00084942">
        <w:rPr>
          <w:rFonts w:ascii="Arial" w:hAnsi="Arial" w:cs="Arial"/>
        </w:rPr>
        <w:t>Canals, J., 2021. Choosing the Firm's Future: The Role of the Board of Directors in Corporate Strategy.</w:t>
      </w:r>
    </w:p>
    <w:p w14:paraId="01A7A18C" w14:textId="77777777" w:rsidR="00917B87" w:rsidRPr="00084942" w:rsidRDefault="00917B87" w:rsidP="00917B87">
      <w:pPr>
        <w:rPr>
          <w:rFonts w:ascii="Arial" w:hAnsi="Arial" w:cs="Arial"/>
        </w:rPr>
      </w:pPr>
      <w:r w:rsidRPr="00084942">
        <w:rPr>
          <w:rFonts w:ascii="Arial" w:hAnsi="Arial" w:cs="Arial"/>
        </w:rPr>
        <w:t>Davids, D.J., 2023. An examination of the corporate governance failures and challenges at key South African SOEs and the implications on enterprise efficiency: A case study of Eskom.</w:t>
      </w:r>
    </w:p>
    <w:p w14:paraId="16ED23EC" w14:textId="77777777" w:rsidR="00917B87" w:rsidRPr="00084942" w:rsidRDefault="00917B87" w:rsidP="00917B87">
      <w:pPr>
        <w:rPr>
          <w:rFonts w:ascii="Arial" w:hAnsi="Arial" w:cs="Arial"/>
        </w:rPr>
      </w:pPr>
      <w:r w:rsidRPr="00084942">
        <w:rPr>
          <w:rFonts w:ascii="Arial" w:hAnsi="Arial" w:cs="Arial"/>
        </w:rPr>
        <w:t>Friedman, H.H., 2025. From Risk to Resilience: How a Chief Ethics Officer Strengthens Business Strategy.</w:t>
      </w:r>
    </w:p>
    <w:p w14:paraId="2287C0B8" w14:textId="77777777" w:rsidR="00917B87" w:rsidRPr="00084942" w:rsidRDefault="00917B87" w:rsidP="00917B87">
      <w:pPr>
        <w:rPr>
          <w:rFonts w:ascii="Arial" w:hAnsi="Arial" w:cs="Arial"/>
        </w:rPr>
      </w:pPr>
      <w:proofErr w:type="spellStart"/>
      <w:r w:rsidRPr="00084942">
        <w:rPr>
          <w:rFonts w:ascii="Arial" w:hAnsi="Arial" w:cs="Arial"/>
        </w:rPr>
        <w:t>Gasela</w:t>
      </w:r>
      <w:proofErr w:type="spellEnd"/>
      <w:r w:rsidRPr="00084942">
        <w:rPr>
          <w:rFonts w:ascii="Arial" w:hAnsi="Arial" w:cs="Arial"/>
        </w:rPr>
        <w:t xml:space="preserve">, M.M., 2021. Strategy implementation in South African public entities between 2006 and 2016: Does leadership impact on performance during strategy </w:t>
      </w:r>
      <w:proofErr w:type="gramStart"/>
      <w:r w:rsidRPr="00084942">
        <w:rPr>
          <w:rFonts w:ascii="Arial" w:hAnsi="Arial" w:cs="Arial"/>
        </w:rPr>
        <w:t>implementation?.</w:t>
      </w:r>
      <w:proofErr w:type="gramEnd"/>
      <w:r w:rsidRPr="00084942">
        <w:rPr>
          <w:rFonts w:ascii="Arial" w:hAnsi="Arial" w:cs="Arial"/>
        </w:rPr>
        <w:t> </w:t>
      </w:r>
      <w:r w:rsidRPr="00084942">
        <w:rPr>
          <w:rFonts w:ascii="Arial" w:hAnsi="Arial" w:cs="Arial"/>
          <w:i/>
          <w:iCs/>
        </w:rPr>
        <w:t>Africa’s Public Service Delivery and Performance Review</w:t>
      </w:r>
      <w:r w:rsidRPr="00084942">
        <w:rPr>
          <w:rFonts w:ascii="Arial" w:hAnsi="Arial" w:cs="Arial"/>
        </w:rPr>
        <w:t>, </w:t>
      </w:r>
      <w:r w:rsidRPr="00084942">
        <w:rPr>
          <w:rFonts w:ascii="Arial" w:hAnsi="Arial" w:cs="Arial"/>
          <w:i/>
          <w:iCs/>
        </w:rPr>
        <w:t>9</w:t>
      </w:r>
      <w:r w:rsidRPr="00084942">
        <w:rPr>
          <w:rFonts w:ascii="Arial" w:hAnsi="Arial" w:cs="Arial"/>
        </w:rPr>
        <w:t>(1), p.562.</w:t>
      </w:r>
    </w:p>
    <w:p w14:paraId="4CF929B9" w14:textId="77777777" w:rsidR="00917B87" w:rsidRPr="00084942" w:rsidRDefault="00917B87" w:rsidP="00917B87">
      <w:pPr>
        <w:rPr>
          <w:rFonts w:ascii="Arial" w:hAnsi="Arial" w:cs="Arial"/>
        </w:rPr>
      </w:pPr>
      <w:proofErr w:type="spellStart"/>
      <w:r w:rsidRPr="00084942">
        <w:rPr>
          <w:rFonts w:ascii="Arial" w:hAnsi="Arial" w:cs="Arial"/>
        </w:rPr>
        <w:t>Gasela</w:t>
      </w:r>
      <w:proofErr w:type="spellEnd"/>
      <w:r w:rsidRPr="00084942">
        <w:rPr>
          <w:rFonts w:ascii="Arial" w:hAnsi="Arial" w:cs="Arial"/>
        </w:rPr>
        <w:t>, M.M., 2022. Unmasking the influence of corporate controls on organisational performance during strategy implementation: A case of eight South African public entities. </w:t>
      </w:r>
      <w:r w:rsidRPr="00084942">
        <w:rPr>
          <w:rFonts w:ascii="Arial" w:hAnsi="Arial" w:cs="Arial"/>
          <w:i/>
          <w:iCs/>
        </w:rPr>
        <w:t>Africa’s Public Service Delivery and Performance Review</w:t>
      </w:r>
      <w:r w:rsidRPr="00084942">
        <w:rPr>
          <w:rFonts w:ascii="Arial" w:hAnsi="Arial" w:cs="Arial"/>
        </w:rPr>
        <w:t>, </w:t>
      </w:r>
      <w:r w:rsidRPr="00084942">
        <w:rPr>
          <w:rFonts w:ascii="Arial" w:hAnsi="Arial" w:cs="Arial"/>
          <w:i/>
          <w:iCs/>
        </w:rPr>
        <w:t>10</w:t>
      </w:r>
      <w:r w:rsidRPr="00084942">
        <w:rPr>
          <w:rFonts w:ascii="Arial" w:hAnsi="Arial" w:cs="Arial"/>
        </w:rPr>
        <w:t>(1), p.561.</w:t>
      </w:r>
    </w:p>
    <w:p w14:paraId="0DC27C5C" w14:textId="77777777" w:rsidR="00917B87" w:rsidRPr="00084942" w:rsidRDefault="00917B87" w:rsidP="00917B87">
      <w:pPr>
        <w:rPr>
          <w:rFonts w:ascii="Arial" w:hAnsi="Arial" w:cs="Arial"/>
        </w:rPr>
      </w:pPr>
      <w:r w:rsidRPr="00084942">
        <w:rPr>
          <w:rFonts w:ascii="Arial" w:hAnsi="Arial" w:cs="Arial"/>
        </w:rPr>
        <w:t xml:space="preserve">GE, 2025. </w:t>
      </w:r>
      <w:r w:rsidRPr="00084942">
        <w:rPr>
          <w:rFonts w:ascii="Arial" w:hAnsi="Arial" w:cs="Arial"/>
          <w:i/>
          <w:iCs/>
        </w:rPr>
        <w:t>Home</w:t>
      </w:r>
      <w:r w:rsidRPr="00084942">
        <w:rPr>
          <w:rFonts w:ascii="Arial" w:hAnsi="Arial" w:cs="Arial"/>
        </w:rPr>
        <w:t xml:space="preserve">. Available at: </w:t>
      </w:r>
      <w:hyperlink r:id="rId13" w:history="1">
        <w:r w:rsidRPr="00084942">
          <w:rPr>
            <w:rStyle w:val="Hyperlink"/>
            <w:rFonts w:ascii="Arial" w:hAnsi="Arial" w:cs="Arial"/>
            <w:color w:val="000000" w:themeColor="text1"/>
          </w:rPr>
          <w:t>https://www.ge.com/</w:t>
        </w:r>
      </w:hyperlink>
      <w:r w:rsidRPr="00084942">
        <w:rPr>
          <w:rFonts w:ascii="Arial" w:hAnsi="Arial" w:cs="Arial"/>
        </w:rPr>
        <w:t xml:space="preserve"> [Accessed on: 10.11.2025]</w:t>
      </w:r>
    </w:p>
    <w:p w14:paraId="79297EA1" w14:textId="77777777" w:rsidR="00917B87" w:rsidRPr="00084942" w:rsidRDefault="00917B87" w:rsidP="00917B87">
      <w:pPr>
        <w:rPr>
          <w:rFonts w:ascii="Arial" w:hAnsi="Arial" w:cs="Arial"/>
        </w:rPr>
      </w:pPr>
      <w:r w:rsidRPr="00084942">
        <w:rPr>
          <w:rFonts w:ascii="Arial" w:hAnsi="Arial" w:cs="Arial"/>
        </w:rPr>
        <w:t>Good, C., 2024. </w:t>
      </w:r>
      <w:r w:rsidRPr="00084942">
        <w:rPr>
          <w:rFonts w:ascii="Arial" w:hAnsi="Arial" w:cs="Arial"/>
          <w:i/>
          <w:iCs/>
        </w:rPr>
        <w:t>Financial Sustainability in Private Colleges and Universities; Measuring Return on Net Assets and Assessing Business Strategy</w:t>
      </w:r>
      <w:r w:rsidRPr="00084942">
        <w:rPr>
          <w:rFonts w:ascii="Arial" w:hAnsi="Arial" w:cs="Arial"/>
        </w:rPr>
        <w:t>. University of Pennsylvania.</w:t>
      </w:r>
    </w:p>
    <w:p w14:paraId="47EBE2F2" w14:textId="77777777" w:rsidR="00917B87" w:rsidRPr="00084942" w:rsidRDefault="00917B87" w:rsidP="00917B87">
      <w:pPr>
        <w:rPr>
          <w:rFonts w:ascii="Arial" w:hAnsi="Arial" w:cs="Arial"/>
        </w:rPr>
      </w:pPr>
      <w:r w:rsidRPr="00084942">
        <w:rPr>
          <w:rFonts w:ascii="Arial" w:hAnsi="Arial" w:cs="Arial"/>
        </w:rPr>
        <w:t>Graham, J.R., Grennan, J., Harvey, C.R. and Rajgopal, S., 2023. Corporate culture in a new era: Views from the C-suite. </w:t>
      </w:r>
      <w:r w:rsidRPr="00084942">
        <w:rPr>
          <w:rFonts w:ascii="Arial" w:hAnsi="Arial" w:cs="Arial"/>
          <w:i/>
          <w:iCs/>
        </w:rPr>
        <w:t>Available at SSRN 4714093</w:t>
      </w:r>
      <w:r w:rsidRPr="00084942">
        <w:rPr>
          <w:rFonts w:ascii="Arial" w:hAnsi="Arial" w:cs="Arial"/>
        </w:rPr>
        <w:t>.</w:t>
      </w:r>
    </w:p>
    <w:p w14:paraId="3F6E2C84" w14:textId="77777777" w:rsidR="00917B87" w:rsidRPr="00084942" w:rsidRDefault="00917B87" w:rsidP="00917B87">
      <w:pPr>
        <w:rPr>
          <w:rFonts w:ascii="Arial" w:hAnsi="Arial" w:cs="Arial"/>
        </w:rPr>
      </w:pPr>
      <w:r w:rsidRPr="00084942">
        <w:rPr>
          <w:rFonts w:ascii="Arial" w:hAnsi="Arial" w:cs="Arial"/>
        </w:rPr>
        <w:lastRenderedPageBreak/>
        <w:t>Harrigan, K.R. and Wing, B.M., 2021. Corporate renewal and turnaround of troubled businesses: The private equity advantage. </w:t>
      </w:r>
      <w:r w:rsidRPr="00084942">
        <w:rPr>
          <w:rFonts w:ascii="Arial" w:hAnsi="Arial" w:cs="Arial"/>
          <w:i/>
          <w:iCs/>
        </w:rPr>
        <w:t>Strategic Management Review</w:t>
      </w:r>
      <w:r w:rsidRPr="00084942">
        <w:rPr>
          <w:rFonts w:ascii="Arial" w:hAnsi="Arial" w:cs="Arial"/>
        </w:rPr>
        <w:t>, </w:t>
      </w:r>
      <w:r w:rsidRPr="00084942">
        <w:rPr>
          <w:rFonts w:ascii="Arial" w:hAnsi="Arial" w:cs="Arial"/>
          <w:i/>
          <w:iCs/>
        </w:rPr>
        <w:t>2</w:t>
      </w:r>
      <w:r w:rsidRPr="00084942">
        <w:rPr>
          <w:rFonts w:ascii="Arial" w:hAnsi="Arial" w:cs="Arial"/>
        </w:rPr>
        <w:t>(2), pp.363-90.</w:t>
      </w:r>
    </w:p>
    <w:p w14:paraId="00AE8C30" w14:textId="77777777" w:rsidR="00917B87" w:rsidRPr="00084942" w:rsidRDefault="00917B87" w:rsidP="00917B87">
      <w:pPr>
        <w:rPr>
          <w:rFonts w:ascii="Arial" w:hAnsi="Arial" w:cs="Arial"/>
        </w:rPr>
      </w:pPr>
      <w:r w:rsidRPr="00084942">
        <w:rPr>
          <w:rFonts w:ascii="Arial" w:hAnsi="Arial" w:cs="Arial"/>
        </w:rPr>
        <w:t xml:space="preserve">Johnson, R.H., 2021. A case study of one small </w:t>
      </w:r>
      <w:proofErr w:type="spellStart"/>
      <w:r w:rsidRPr="00084942">
        <w:rPr>
          <w:rFonts w:ascii="Arial" w:hAnsi="Arial" w:cs="Arial"/>
        </w:rPr>
        <w:t>christian</w:t>
      </w:r>
      <w:proofErr w:type="spellEnd"/>
      <w:r w:rsidRPr="00084942">
        <w:rPr>
          <w:rFonts w:ascii="Arial" w:hAnsi="Arial" w:cs="Arial"/>
        </w:rPr>
        <w:t xml:space="preserve"> college overcoming decline and implementing an institutional turnaround.</w:t>
      </w:r>
    </w:p>
    <w:p w14:paraId="4344C4CF" w14:textId="77777777" w:rsidR="00917B87" w:rsidRPr="00084942" w:rsidRDefault="00917B87" w:rsidP="00917B87">
      <w:pPr>
        <w:rPr>
          <w:rFonts w:ascii="Arial" w:hAnsi="Arial" w:cs="Arial"/>
        </w:rPr>
      </w:pPr>
      <w:r w:rsidRPr="00084942">
        <w:rPr>
          <w:rFonts w:ascii="Arial" w:hAnsi="Arial" w:cs="Arial"/>
        </w:rPr>
        <w:t>Kemppainen, M., 2022. Strategic business portfolio realignment through asset sell-offs: Impact on technology.</w:t>
      </w:r>
    </w:p>
    <w:p w14:paraId="403F1BF5" w14:textId="77777777" w:rsidR="00917B87" w:rsidRPr="00084942" w:rsidRDefault="00917B87" w:rsidP="00917B87">
      <w:pPr>
        <w:rPr>
          <w:rFonts w:ascii="Arial" w:hAnsi="Arial" w:cs="Arial"/>
        </w:rPr>
      </w:pPr>
      <w:r w:rsidRPr="00084942">
        <w:rPr>
          <w:rFonts w:ascii="Arial" w:hAnsi="Arial" w:cs="Arial"/>
        </w:rPr>
        <w:t xml:space="preserve">Latreche, F. and </w:t>
      </w:r>
      <w:proofErr w:type="spellStart"/>
      <w:r w:rsidRPr="00084942">
        <w:rPr>
          <w:rFonts w:ascii="Arial" w:hAnsi="Arial" w:cs="Arial"/>
        </w:rPr>
        <w:t>Berarma</w:t>
      </w:r>
      <w:proofErr w:type="spellEnd"/>
      <w:r w:rsidRPr="00084942">
        <w:rPr>
          <w:rFonts w:ascii="Arial" w:hAnsi="Arial" w:cs="Arial"/>
        </w:rPr>
        <w:t>, F., 2025. The CSFs for the implementation of ERP systems and the potential impact on management control-a case study of the SCAEK company. </w:t>
      </w:r>
      <w:r w:rsidRPr="00084942">
        <w:rPr>
          <w:rFonts w:ascii="Arial" w:hAnsi="Arial" w:cs="Arial"/>
          <w:i/>
          <w:iCs/>
        </w:rPr>
        <w:t>Accounting and Management Information Systems</w:t>
      </w:r>
      <w:r w:rsidRPr="00084942">
        <w:rPr>
          <w:rFonts w:ascii="Arial" w:hAnsi="Arial" w:cs="Arial"/>
        </w:rPr>
        <w:t>, </w:t>
      </w:r>
      <w:r w:rsidRPr="00084942">
        <w:rPr>
          <w:rFonts w:ascii="Arial" w:hAnsi="Arial" w:cs="Arial"/>
          <w:i/>
          <w:iCs/>
        </w:rPr>
        <w:t>24</w:t>
      </w:r>
      <w:r w:rsidRPr="00084942">
        <w:rPr>
          <w:rFonts w:ascii="Arial" w:hAnsi="Arial" w:cs="Arial"/>
        </w:rPr>
        <w:t>(2), pp.298-327.</w:t>
      </w:r>
    </w:p>
    <w:p w14:paraId="50205461" w14:textId="77777777" w:rsidR="00917B87" w:rsidRPr="00084942" w:rsidRDefault="00917B87" w:rsidP="00917B87">
      <w:pPr>
        <w:rPr>
          <w:rFonts w:ascii="Arial" w:hAnsi="Arial" w:cs="Arial"/>
        </w:rPr>
      </w:pPr>
      <w:r w:rsidRPr="00084942">
        <w:rPr>
          <w:rFonts w:ascii="Arial" w:hAnsi="Arial" w:cs="Arial"/>
        </w:rPr>
        <w:t>Manta, O., 2022. Entrepreneurial financing, financial instrument for the mountain economy. </w:t>
      </w:r>
      <w:r w:rsidRPr="00084942">
        <w:rPr>
          <w:rFonts w:ascii="Arial" w:hAnsi="Arial" w:cs="Arial"/>
          <w:i/>
          <w:iCs/>
        </w:rPr>
        <w:t>Available at SSRN 4313097</w:t>
      </w:r>
      <w:r w:rsidRPr="00084942">
        <w:rPr>
          <w:rFonts w:ascii="Arial" w:hAnsi="Arial" w:cs="Arial"/>
        </w:rPr>
        <w:t>.</w:t>
      </w:r>
    </w:p>
    <w:p w14:paraId="0351E6EE" w14:textId="77777777" w:rsidR="00917B87" w:rsidRPr="00084942" w:rsidRDefault="00917B87" w:rsidP="00917B87">
      <w:pPr>
        <w:rPr>
          <w:rFonts w:ascii="Arial" w:hAnsi="Arial" w:cs="Arial"/>
        </w:rPr>
      </w:pPr>
      <w:proofErr w:type="spellStart"/>
      <w:r w:rsidRPr="00084942">
        <w:rPr>
          <w:rFonts w:ascii="Arial" w:hAnsi="Arial" w:cs="Arial"/>
        </w:rPr>
        <w:t>Mpete</w:t>
      </w:r>
      <w:proofErr w:type="spellEnd"/>
      <w:r w:rsidRPr="00084942">
        <w:rPr>
          <w:rFonts w:ascii="Arial" w:hAnsi="Arial" w:cs="Arial"/>
        </w:rPr>
        <w:t>, M. and Maier, C., 2024. Challenges faced by CEOs in executing turnaround strategies in state-owned enterprises in South Africa. </w:t>
      </w:r>
      <w:r w:rsidRPr="00084942">
        <w:rPr>
          <w:rFonts w:ascii="Arial" w:hAnsi="Arial" w:cs="Arial"/>
          <w:i/>
          <w:iCs/>
        </w:rPr>
        <w:t>South African Journal of Business Management</w:t>
      </w:r>
      <w:r w:rsidRPr="00084942">
        <w:rPr>
          <w:rFonts w:ascii="Arial" w:hAnsi="Arial" w:cs="Arial"/>
        </w:rPr>
        <w:t>, </w:t>
      </w:r>
      <w:r w:rsidRPr="00084942">
        <w:rPr>
          <w:rFonts w:ascii="Arial" w:hAnsi="Arial" w:cs="Arial"/>
          <w:i/>
          <w:iCs/>
        </w:rPr>
        <w:t>55</w:t>
      </w:r>
      <w:r w:rsidRPr="00084942">
        <w:rPr>
          <w:rFonts w:ascii="Arial" w:hAnsi="Arial" w:cs="Arial"/>
        </w:rPr>
        <w:t>(1), p.4220.</w:t>
      </w:r>
    </w:p>
    <w:p w14:paraId="7814FC31" w14:textId="77777777" w:rsidR="00917B87" w:rsidRPr="00084942" w:rsidRDefault="00917B87" w:rsidP="00917B87">
      <w:pPr>
        <w:rPr>
          <w:rFonts w:ascii="Arial" w:hAnsi="Arial" w:cs="Arial"/>
        </w:rPr>
      </w:pPr>
      <w:r w:rsidRPr="00084942">
        <w:rPr>
          <w:rFonts w:ascii="Arial" w:hAnsi="Arial" w:cs="Arial"/>
        </w:rPr>
        <w:t xml:space="preserve">Presley, J., 2022. An analytical framework to diagnose the financial challenges facing small private liberal arts colleges and specific turnaround strategies for those </w:t>
      </w:r>
      <w:proofErr w:type="spellStart"/>
      <w:r w:rsidRPr="00084942">
        <w:rPr>
          <w:rFonts w:ascii="Arial" w:hAnsi="Arial" w:cs="Arial"/>
        </w:rPr>
        <w:t>insitutions</w:t>
      </w:r>
      <w:proofErr w:type="spellEnd"/>
      <w:r w:rsidRPr="00084942">
        <w:rPr>
          <w:rFonts w:ascii="Arial" w:hAnsi="Arial" w:cs="Arial"/>
        </w:rPr>
        <w:t>. </w:t>
      </w:r>
      <w:r w:rsidRPr="00084942">
        <w:rPr>
          <w:rFonts w:ascii="Arial" w:hAnsi="Arial" w:cs="Arial"/>
          <w:i/>
          <w:iCs/>
        </w:rPr>
        <w:t xml:space="preserve">Unpublished PhD dissertation, Scranton: University of Scranton. Retrieved from https://search. </w:t>
      </w:r>
      <w:proofErr w:type="spellStart"/>
      <w:r w:rsidRPr="00084942">
        <w:rPr>
          <w:rFonts w:ascii="Arial" w:hAnsi="Arial" w:cs="Arial"/>
          <w:i/>
          <w:iCs/>
        </w:rPr>
        <w:t>proquest</w:t>
      </w:r>
      <w:proofErr w:type="spellEnd"/>
      <w:r w:rsidRPr="00084942">
        <w:rPr>
          <w:rFonts w:ascii="Arial" w:hAnsi="Arial" w:cs="Arial"/>
          <w:i/>
          <w:iCs/>
        </w:rPr>
        <w:t>. com/</w:t>
      </w:r>
      <w:proofErr w:type="spellStart"/>
      <w:r w:rsidRPr="00084942">
        <w:rPr>
          <w:rFonts w:ascii="Arial" w:hAnsi="Arial" w:cs="Arial"/>
          <w:i/>
          <w:iCs/>
        </w:rPr>
        <w:t>openview</w:t>
      </w:r>
      <w:proofErr w:type="spellEnd"/>
      <w:r w:rsidRPr="00084942">
        <w:rPr>
          <w:rFonts w:ascii="Arial" w:hAnsi="Arial" w:cs="Arial"/>
          <w:i/>
          <w:iCs/>
        </w:rPr>
        <w:t>/0987a 14f40c12aac52302e8b4ece</w:t>
      </w:r>
      <w:r w:rsidRPr="00084942">
        <w:rPr>
          <w:rFonts w:ascii="Arial" w:hAnsi="Arial" w:cs="Arial"/>
        </w:rPr>
        <w:t>, </w:t>
      </w:r>
      <w:r w:rsidRPr="00084942">
        <w:rPr>
          <w:rFonts w:ascii="Arial" w:hAnsi="Arial" w:cs="Arial"/>
          <w:i/>
          <w:iCs/>
        </w:rPr>
        <w:t>7134</w:t>
      </w:r>
      <w:r w:rsidRPr="00084942">
        <w:rPr>
          <w:rFonts w:ascii="Arial" w:hAnsi="Arial" w:cs="Arial"/>
        </w:rPr>
        <w:t>(1).</w:t>
      </w:r>
    </w:p>
    <w:p w14:paraId="581BEBCC" w14:textId="77777777" w:rsidR="00917B87" w:rsidRPr="00084942" w:rsidRDefault="00917B87" w:rsidP="00917B87">
      <w:pPr>
        <w:rPr>
          <w:rFonts w:ascii="Arial" w:hAnsi="Arial" w:cs="Arial"/>
        </w:rPr>
      </w:pPr>
      <w:r w:rsidRPr="00084942">
        <w:rPr>
          <w:rFonts w:ascii="Arial" w:hAnsi="Arial" w:cs="Arial"/>
        </w:rPr>
        <w:t>Van der Waldt, G., Fourie, D. and Malan, C., 2024. Implementing auditor-general annual recommendations in South African municipalities: A situational analysis. </w:t>
      </w:r>
      <w:r w:rsidRPr="00084942">
        <w:rPr>
          <w:rFonts w:ascii="Arial" w:hAnsi="Arial" w:cs="Arial"/>
          <w:i/>
          <w:iCs/>
        </w:rPr>
        <w:t>Public Money &amp; Management</w:t>
      </w:r>
      <w:r w:rsidRPr="00084942">
        <w:rPr>
          <w:rFonts w:ascii="Arial" w:hAnsi="Arial" w:cs="Arial"/>
        </w:rPr>
        <w:t>, </w:t>
      </w:r>
      <w:r w:rsidRPr="00084942">
        <w:rPr>
          <w:rFonts w:ascii="Arial" w:hAnsi="Arial" w:cs="Arial"/>
          <w:i/>
          <w:iCs/>
        </w:rPr>
        <w:t>44</w:t>
      </w:r>
      <w:r w:rsidRPr="00084942">
        <w:rPr>
          <w:rFonts w:ascii="Arial" w:hAnsi="Arial" w:cs="Arial"/>
        </w:rPr>
        <w:t>(7), pp.617-627.</w:t>
      </w:r>
    </w:p>
    <w:p w14:paraId="4231D597" w14:textId="77777777" w:rsidR="00917B87" w:rsidRPr="00084942" w:rsidRDefault="00917B87" w:rsidP="00917B87">
      <w:pPr>
        <w:rPr>
          <w:rFonts w:ascii="Arial" w:hAnsi="Arial" w:cs="Arial"/>
        </w:rPr>
      </w:pPr>
      <w:r w:rsidRPr="00084942">
        <w:rPr>
          <w:rFonts w:ascii="Arial" w:hAnsi="Arial" w:cs="Arial"/>
        </w:rPr>
        <w:t>Vinokurova, N. and Kapoor, R., 2023. Kodak’s surprisingly long journey towards strategic renewal: a half century of exploring digital transformation that culminated in failure. </w:t>
      </w:r>
      <w:r w:rsidRPr="00084942">
        <w:rPr>
          <w:rFonts w:ascii="Arial" w:hAnsi="Arial" w:cs="Arial"/>
          <w:i/>
          <w:iCs/>
        </w:rPr>
        <w:t>Available at SSRN 4373683</w:t>
      </w:r>
      <w:r w:rsidRPr="00084942">
        <w:rPr>
          <w:rFonts w:ascii="Arial" w:hAnsi="Arial" w:cs="Arial"/>
        </w:rPr>
        <w:t>.</w:t>
      </w:r>
    </w:p>
    <w:p w14:paraId="0CDBCB97" w14:textId="77777777" w:rsidR="00917B87" w:rsidRPr="00084942" w:rsidRDefault="00917B87" w:rsidP="00917B87">
      <w:pPr>
        <w:rPr>
          <w:rFonts w:ascii="Arial" w:hAnsi="Arial" w:cs="Arial"/>
        </w:rPr>
      </w:pPr>
      <w:r w:rsidRPr="00084942">
        <w:rPr>
          <w:rFonts w:ascii="Arial" w:hAnsi="Arial" w:cs="Arial"/>
        </w:rPr>
        <w:lastRenderedPageBreak/>
        <w:t>White, S. and Trejo-Pech, C.J., 2022. Farmer Brothers Company Proxy Contest: A Corporate Governance Case Study. </w:t>
      </w:r>
      <w:r w:rsidRPr="00084942">
        <w:rPr>
          <w:rFonts w:ascii="Arial" w:hAnsi="Arial" w:cs="Arial"/>
          <w:i/>
          <w:iCs/>
        </w:rPr>
        <w:t>International Journal on Food System Dynamics</w:t>
      </w:r>
      <w:r w:rsidRPr="00084942">
        <w:rPr>
          <w:rFonts w:ascii="Arial" w:hAnsi="Arial" w:cs="Arial"/>
        </w:rPr>
        <w:t>, </w:t>
      </w:r>
      <w:r w:rsidRPr="00084942">
        <w:rPr>
          <w:rFonts w:ascii="Arial" w:hAnsi="Arial" w:cs="Arial"/>
          <w:i/>
          <w:iCs/>
        </w:rPr>
        <w:t>13</w:t>
      </w:r>
      <w:r w:rsidRPr="00084942">
        <w:rPr>
          <w:rFonts w:ascii="Arial" w:hAnsi="Arial" w:cs="Arial"/>
        </w:rPr>
        <w:t>(1), pp.100-114.</w:t>
      </w:r>
    </w:p>
    <w:p w14:paraId="671E0924" w14:textId="77777777" w:rsidR="00917B87" w:rsidRPr="00084942" w:rsidRDefault="00917B87" w:rsidP="00917B87">
      <w:pPr>
        <w:rPr>
          <w:rFonts w:ascii="Arial" w:hAnsi="Arial" w:cs="Arial"/>
        </w:rPr>
      </w:pPr>
      <w:r w:rsidRPr="00084942">
        <w:rPr>
          <w:rFonts w:ascii="Arial" w:hAnsi="Arial" w:cs="Arial"/>
        </w:rPr>
        <w:t>Zamil, M.H., Mohiuddin, M. and Mamun, M.N.H., 2024. Business intelligence systems in finance and accounting: A review of real-time dashboarding using Power BI &amp; Tableau. </w:t>
      </w:r>
      <w:r w:rsidRPr="00084942">
        <w:rPr>
          <w:rFonts w:ascii="Arial" w:hAnsi="Arial" w:cs="Arial"/>
          <w:i/>
          <w:iCs/>
        </w:rPr>
        <w:t>American Journal of Scholarly Research and Innovation</w:t>
      </w:r>
      <w:r w:rsidRPr="00084942">
        <w:rPr>
          <w:rFonts w:ascii="Arial" w:hAnsi="Arial" w:cs="Arial"/>
        </w:rPr>
        <w:t>, </w:t>
      </w:r>
      <w:r w:rsidRPr="00084942">
        <w:rPr>
          <w:rFonts w:ascii="Arial" w:hAnsi="Arial" w:cs="Arial"/>
          <w:i/>
          <w:iCs/>
        </w:rPr>
        <w:t>3</w:t>
      </w:r>
      <w:r w:rsidRPr="00084942">
        <w:rPr>
          <w:rFonts w:ascii="Arial" w:hAnsi="Arial" w:cs="Arial"/>
        </w:rPr>
        <w:t>(02), pp.52-79.</w:t>
      </w:r>
    </w:p>
    <w:p w14:paraId="4FD94A5C" w14:textId="75A1F975" w:rsidR="000D359F" w:rsidRPr="00084942" w:rsidRDefault="00917B87">
      <w:pPr>
        <w:rPr>
          <w:rFonts w:ascii="Arial" w:hAnsi="Arial" w:cs="Arial"/>
        </w:rPr>
      </w:pPr>
      <w:r w:rsidRPr="00084942">
        <w:rPr>
          <w:rFonts w:ascii="Arial" w:hAnsi="Arial" w:cs="Arial"/>
        </w:rPr>
        <w:t>Zhu, B., 2025. The Impact of Artificial Intelligence on Accounting: Challenges and Opportunities in the Digital Era.</w:t>
      </w:r>
    </w:p>
    <w:p w14:paraId="6CD66C3C" w14:textId="77777777" w:rsidR="006443B0" w:rsidRPr="00084942" w:rsidRDefault="006443B0">
      <w:pPr>
        <w:spacing w:line="259" w:lineRule="auto"/>
        <w:jc w:val="left"/>
        <w:rPr>
          <w:rFonts w:ascii="Arial" w:eastAsiaTheme="majorEastAsia" w:hAnsi="Arial" w:cs="Arial"/>
          <w:b/>
          <w:szCs w:val="40"/>
        </w:rPr>
      </w:pPr>
      <w:bookmarkStart w:id="23" w:name="_Toc213680192"/>
      <w:r w:rsidRPr="00084942">
        <w:rPr>
          <w:rFonts w:ascii="Arial" w:hAnsi="Arial" w:cs="Arial"/>
        </w:rPr>
        <w:br w:type="page"/>
      </w:r>
    </w:p>
    <w:p w14:paraId="7A539400" w14:textId="6835A3B6" w:rsidR="000D359F" w:rsidRPr="00084942" w:rsidRDefault="000D359F" w:rsidP="00777DE6">
      <w:pPr>
        <w:pStyle w:val="Heading1"/>
        <w:rPr>
          <w:rFonts w:cs="Arial"/>
        </w:rPr>
      </w:pPr>
      <w:r w:rsidRPr="00084942">
        <w:rPr>
          <w:rFonts w:cs="Arial"/>
        </w:rPr>
        <w:lastRenderedPageBreak/>
        <w:t>Appendix</w:t>
      </w:r>
      <w:bookmarkEnd w:id="23"/>
    </w:p>
    <w:p w14:paraId="372E45B9" w14:textId="1742D5D9" w:rsidR="00D61DD9" w:rsidRPr="00084942" w:rsidRDefault="00D61DD9" w:rsidP="00BA7DA5">
      <w:pPr>
        <w:pStyle w:val="Heading2"/>
        <w:rPr>
          <w:rFonts w:cs="Arial"/>
        </w:rPr>
      </w:pPr>
      <w:r w:rsidRPr="00084942">
        <w:rPr>
          <w:rFonts w:cs="Arial"/>
        </w:rPr>
        <w:t>Ratio analysis</w:t>
      </w:r>
    </w:p>
    <w:p w14:paraId="0F1DD822" w14:textId="77777777" w:rsidR="0019175B" w:rsidRPr="00084942" w:rsidRDefault="0019175B" w:rsidP="0019175B">
      <w:pPr>
        <w:spacing w:line="259" w:lineRule="auto"/>
        <w:jc w:val="center"/>
        <w:rPr>
          <w:rFonts w:ascii="Arial" w:hAnsi="Arial" w:cs="Arial"/>
        </w:rPr>
      </w:pPr>
      <w:r w:rsidRPr="00084942">
        <w:rPr>
          <w:rFonts w:ascii="Arial" w:hAnsi="Arial" w:cs="Arial"/>
          <w:noProof/>
        </w:rPr>
        <w:drawing>
          <wp:inline distT="0" distB="0" distL="0" distR="0" wp14:anchorId="1F24E470" wp14:editId="58D74CDE">
            <wp:extent cx="5321300" cy="5262880"/>
            <wp:effectExtent l="0" t="0" r="0" b="0"/>
            <wp:docPr id="2415893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21300" cy="5262880"/>
                    </a:xfrm>
                    <a:prstGeom prst="rect">
                      <a:avLst/>
                    </a:prstGeom>
                    <a:noFill/>
                    <a:ln>
                      <a:noFill/>
                    </a:ln>
                  </pic:spPr>
                </pic:pic>
              </a:graphicData>
            </a:graphic>
          </wp:inline>
        </w:drawing>
      </w:r>
    </w:p>
    <w:p w14:paraId="677884CD" w14:textId="4D59D79E" w:rsidR="00D61DD9" w:rsidRPr="00084942" w:rsidRDefault="00363CC0" w:rsidP="00BA7DA5">
      <w:pPr>
        <w:pStyle w:val="Heading2"/>
        <w:rPr>
          <w:rFonts w:cs="Arial"/>
        </w:rPr>
      </w:pPr>
      <w:r w:rsidRPr="00084942">
        <w:rPr>
          <w:rFonts w:cs="Arial"/>
        </w:rPr>
        <w:lastRenderedPageBreak/>
        <w:t>Altman Z-Score</w:t>
      </w:r>
    </w:p>
    <w:p w14:paraId="48F30967" w14:textId="77777777" w:rsidR="0019175B" w:rsidRPr="00084942" w:rsidRDefault="0019175B" w:rsidP="0019175B">
      <w:pPr>
        <w:spacing w:line="259" w:lineRule="auto"/>
        <w:jc w:val="center"/>
        <w:rPr>
          <w:rFonts w:ascii="Arial" w:hAnsi="Arial" w:cs="Arial"/>
        </w:rPr>
      </w:pPr>
      <w:r w:rsidRPr="00084942">
        <w:rPr>
          <w:rFonts w:ascii="Arial" w:hAnsi="Arial" w:cs="Arial"/>
          <w:noProof/>
        </w:rPr>
        <w:drawing>
          <wp:inline distT="0" distB="0" distL="0" distR="0" wp14:anchorId="500D5757" wp14:editId="33A412AB">
            <wp:extent cx="5943600" cy="1970405"/>
            <wp:effectExtent l="0" t="0" r="0" b="0"/>
            <wp:docPr id="3386820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1970405"/>
                    </a:xfrm>
                    <a:prstGeom prst="rect">
                      <a:avLst/>
                    </a:prstGeom>
                    <a:noFill/>
                    <a:ln>
                      <a:noFill/>
                    </a:ln>
                  </pic:spPr>
                </pic:pic>
              </a:graphicData>
            </a:graphic>
          </wp:inline>
        </w:drawing>
      </w:r>
    </w:p>
    <w:p w14:paraId="30C4143C" w14:textId="24F674D9" w:rsidR="00363CC0" w:rsidRPr="00084942" w:rsidRDefault="00363CC0" w:rsidP="00BA7DA5">
      <w:pPr>
        <w:pStyle w:val="Heading2"/>
        <w:rPr>
          <w:rFonts w:cs="Arial"/>
        </w:rPr>
      </w:pPr>
      <w:r w:rsidRPr="00084942">
        <w:rPr>
          <w:rFonts w:cs="Arial"/>
        </w:rPr>
        <w:t>Working capital &amp; CCC</w:t>
      </w:r>
    </w:p>
    <w:p w14:paraId="1160CBD7" w14:textId="77777777" w:rsidR="0019175B" w:rsidRPr="00084942" w:rsidRDefault="0019175B" w:rsidP="0019175B">
      <w:pPr>
        <w:spacing w:line="259" w:lineRule="auto"/>
        <w:jc w:val="center"/>
        <w:rPr>
          <w:rFonts w:ascii="Arial" w:hAnsi="Arial" w:cs="Arial"/>
        </w:rPr>
      </w:pPr>
      <w:r w:rsidRPr="00084942">
        <w:rPr>
          <w:rFonts w:ascii="Arial" w:hAnsi="Arial" w:cs="Arial"/>
          <w:noProof/>
        </w:rPr>
        <w:drawing>
          <wp:inline distT="0" distB="0" distL="0" distR="0" wp14:anchorId="08A35E27" wp14:editId="5AD3A25D">
            <wp:extent cx="5116830" cy="3141980"/>
            <wp:effectExtent l="0" t="0" r="7620" b="1270"/>
            <wp:docPr id="1254559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16830" cy="3141980"/>
                    </a:xfrm>
                    <a:prstGeom prst="rect">
                      <a:avLst/>
                    </a:prstGeom>
                    <a:noFill/>
                    <a:ln>
                      <a:noFill/>
                    </a:ln>
                  </pic:spPr>
                </pic:pic>
              </a:graphicData>
            </a:graphic>
          </wp:inline>
        </w:drawing>
      </w:r>
    </w:p>
    <w:p w14:paraId="700CE9E9" w14:textId="15937498" w:rsidR="000D07C9" w:rsidRPr="00084942" w:rsidRDefault="00AD5E89" w:rsidP="00084942">
      <w:pPr>
        <w:pStyle w:val="Heading2"/>
        <w:rPr>
          <w:rFonts w:cs="Arial"/>
        </w:rPr>
      </w:pPr>
      <w:r w:rsidRPr="00084942">
        <w:rPr>
          <w:rFonts w:cs="Arial"/>
        </w:rPr>
        <w:t>Investment Appraisal</w:t>
      </w:r>
    </w:p>
    <w:tbl>
      <w:tblPr>
        <w:tblStyle w:val="PlainTable1"/>
        <w:tblpPr w:leftFromText="180" w:rightFromText="180" w:vertAnchor="text" w:horzAnchor="page" w:tblpX="1627" w:tblpY="492"/>
        <w:tblW w:w="8597" w:type="dxa"/>
        <w:tblLook w:val="04A0" w:firstRow="1" w:lastRow="0" w:firstColumn="1" w:lastColumn="0" w:noHBand="0" w:noVBand="1"/>
      </w:tblPr>
      <w:tblGrid>
        <w:gridCol w:w="963"/>
        <w:gridCol w:w="1738"/>
        <w:gridCol w:w="899"/>
        <w:gridCol w:w="839"/>
        <w:gridCol w:w="1587"/>
        <w:gridCol w:w="818"/>
        <w:gridCol w:w="1753"/>
      </w:tblGrid>
      <w:tr w:rsidR="00D51F0C" w:rsidRPr="00084942" w14:paraId="69016F4E" w14:textId="77777777" w:rsidTr="00084942">
        <w:trPr>
          <w:cnfStyle w:val="100000000000" w:firstRow="1" w:lastRow="0" w:firstColumn="0" w:lastColumn="0" w:oddVBand="0" w:evenVBand="0" w:oddHBand="0" w:evenHBand="0" w:firstRowFirstColumn="0" w:firstRowLastColumn="0" w:lastRowFirstColumn="0" w:lastRowLastColumn="0"/>
          <w:trHeight w:val="1956"/>
        </w:trPr>
        <w:tc>
          <w:tcPr>
            <w:cnfStyle w:val="001000000000" w:firstRow="0" w:lastRow="0" w:firstColumn="1" w:lastColumn="0" w:oddVBand="0" w:evenVBand="0" w:oddHBand="0" w:evenHBand="0" w:firstRowFirstColumn="0" w:firstRowLastColumn="0" w:lastRowFirstColumn="0" w:lastRowLastColumn="0"/>
            <w:tcW w:w="0" w:type="auto"/>
            <w:hideMark/>
          </w:tcPr>
          <w:p w14:paraId="6062384A" w14:textId="77777777" w:rsidR="00D51F0C" w:rsidRPr="00084942" w:rsidRDefault="00D51F0C" w:rsidP="007D0BF7">
            <w:pPr>
              <w:jc w:val="center"/>
              <w:rPr>
                <w:rFonts w:ascii="Arial" w:hAnsi="Arial" w:cs="Arial"/>
                <w:sz w:val="22"/>
                <w:szCs w:val="22"/>
              </w:rPr>
            </w:pPr>
            <w:r w:rsidRPr="00084942">
              <w:rPr>
                <w:rFonts w:ascii="Arial" w:hAnsi="Arial" w:cs="Arial"/>
                <w:sz w:val="22"/>
                <w:szCs w:val="22"/>
              </w:rPr>
              <w:t>Project</w:t>
            </w:r>
          </w:p>
        </w:tc>
        <w:tc>
          <w:tcPr>
            <w:tcW w:w="0" w:type="auto"/>
            <w:hideMark/>
          </w:tcPr>
          <w:p w14:paraId="33165E74" w14:textId="77777777" w:rsidR="00D51F0C" w:rsidRPr="00084942" w:rsidRDefault="00D51F0C" w:rsidP="007D0BF7">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84942">
              <w:rPr>
                <w:rFonts w:ascii="Arial" w:hAnsi="Arial" w:cs="Arial"/>
                <w:sz w:val="22"/>
                <w:szCs w:val="22"/>
              </w:rPr>
              <w:t>Initial Investment (£m)</w:t>
            </w:r>
          </w:p>
        </w:tc>
        <w:tc>
          <w:tcPr>
            <w:tcW w:w="0" w:type="auto"/>
            <w:hideMark/>
          </w:tcPr>
          <w:p w14:paraId="7C324D5F" w14:textId="77777777" w:rsidR="00D51F0C" w:rsidRPr="00084942" w:rsidRDefault="00D51F0C" w:rsidP="007D0BF7">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84942">
              <w:rPr>
                <w:rFonts w:ascii="Arial" w:hAnsi="Arial" w:cs="Arial"/>
                <w:sz w:val="22"/>
                <w:szCs w:val="22"/>
              </w:rPr>
              <w:t>NPV (£m)</w:t>
            </w:r>
          </w:p>
        </w:tc>
        <w:tc>
          <w:tcPr>
            <w:tcW w:w="0" w:type="auto"/>
            <w:hideMark/>
          </w:tcPr>
          <w:p w14:paraId="30CF2F6C" w14:textId="77777777" w:rsidR="00D51F0C" w:rsidRPr="00084942" w:rsidRDefault="00D51F0C" w:rsidP="007D0BF7">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84942">
              <w:rPr>
                <w:rFonts w:ascii="Arial" w:hAnsi="Arial" w:cs="Arial"/>
                <w:sz w:val="22"/>
                <w:szCs w:val="22"/>
              </w:rPr>
              <w:t>IRR (%)</w:t>
            </w:r>
          </w:p>
        </w:tc>
        <w:tc>
          <w:tcPr>
            <w:tcW w:w="0" w:type="auto"/>
            <w:hideMark/>
          </w:tcPr>
          <w:p w14:paraId="175B0A18" w14:textId="77777777" w:rsidR="00D51F0C" w:rsidRPr="00084942" w:rsidRDefault="00D51F0C" w:rsidP="007D0BF7">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84942">
              <w:rPr>
                <w:rFonts w:ascii="Arial" w:hAnsi="Arial" w:cs="Arial"/>
                <w:sz w:val="22"/>
                <w:szCs w:val="22"/>
              </w:rPr>
              <w:t>Payback Period (Years)</w:t>
            </w:r>
          </w:p>
        </w:tc>
        <w:tc>
          <w:tcPr>
            <w:tcW w:w="0" w:type="auto"/>
            <w:hideMark/>
          </w:tcPr>
          <w:p w14:paraId="1A9EF59D" w14:textId="77777777" w:rsidR="00D51F0C" w:rsidRPr="00084942" w:rsidRDefault="00D51F0C" w:rsidP="007D0BF7">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84942">
              <w:rPr>
                <w:rFonts w:ascii="Arial" w:hAnsi="Arial" w:cs="Arial"/>
                <w:sz w:val="22"/>
                <w:szCs w:val="22"/>
              </w:rPr>
              <w:t>ARR (%)</w:t>
            </w:r>
          </w:p>
        </w:tc>
        <w:tc>
          <w:tcPr>
            <w:tcW w:w="0" w:type="auto"/>
            <w:hideMark/>
          </w:tcPr>
          <w:p w14:paraId="5F415908" w14:textId="77777777" w:rsidR="00D51F0C" w:rsidRPr="00084942" w:rsidRDefault="00D51F0C" w:rsidP="007D0BF7">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84942">
              <w:rPr>
                <w:rFonts w:ascii="Arial" w:hAnsi="Arial" w:cs="Arial"/>
                <w:sz w:val="22"/>
                <w:szCs w:val="22"/>
              </w:rPr>
              <w:t>Profitability Index (PI)</w:t>
            </w:r>
          </w:p>
        </w:tc>
      </w:tr>
      <w:tr w:rsidR="00D51F0C" w:rsidRPr="00084942" w14:paraId="7F18B651" w14:textId="77777777" w:rsidTr="00084942">
        <w:trPr>
          <w:cnfStyle w:val="000000100000" w:firstRow="0" w:lastRow="0" w:firstColumn="0" w:lastColumn="0" w:oddVBand="0" w:evenVBand="0" w:oddHBand="1" w:evenHBand="0" w:firstRowFirstColumn="0" w:firstRowLastColumn="0" w:lastRowFirstColumn="0" w:lastRowLastColumn="0"/>
          <w:trHeight w:val="941"/>
        </w:trPr>
        <w:tc>
          <w:tcPr>
            <w:cnfStyle w:val="001000000000" w:firstRow="0" w:lastRow="0" w:firstColumn="1" w:lastColumn="0" w:oddVBand="0" w:evenVBand="0" w:oddHBand="0" w:evenHBand="0" w:firstRowFirstColumn="0" w:firstRowLastColumn="0" w:lastRowFirstColumn="0" w:lastRowLastColumn="0"/>
            <w:tcW w:w="0" w:type="auto"/>
            <w:hideMark/>
          </w:tcPr>
          <w:p w14:paraId="7717F6A6" w14:textId="77777777" w:rsidR="00D51F0C" w:rsidRPr="00084942" w:rsidRDefault="00D51F0C" w:rsidP="007D0BF7">
            <w:pPr>
              <w:jc w:val="center"/>
              <w:rPr>
                <w:rFonts w:ascii="Arial" w:hAnsi="Arial" w:cs="Arial"/>
                <w:sz w:val="22"/>
                <w:szCs w:val="22"/>
              </w:rPr>
            </w:pPr>
            <w:r w:rsidRPr="00084942">
              <w:rPr>
                <w:rFonts w:ascii="Arial" w:hAnsi="Arial" w:cs="Arial"/>
                <w:sz w:val="22"/>
                <w:szCs w:val="22"/>
              </w:rPr>
              <w:lastRenderedPageBreak/>
              <w:t>A</w:t>
            </w:r>
          </w:p>
        </w:tc>
        <w:tc>
          <w:tcPr>
            <w:tcW w:w="0" w:type="auto"/>
            <w:hideMark/>
          </w:tcPr>
          <w:p w14:paraId="6D5E2D0C" w14:textId="77777777" w:rsidR="00D51F0C" w:rsidRPr="00084942" w:rsidRDefault="00D51F0C" w:rsidP="007D0BF7">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84942">
              <w:rPr>
                <w:rFonts w:ascii="Arial" w:hAnsi="Arial" w:cs="Arial"/>
                <w:sz w:val="22"/>
                <w:szCs w:val="22"/>
              </w:rPr>
              <w:t>40</w:t>
            </w:r>
          </w:p>
        </w:tc>
        <w:tc>
          <w:tcPr>
            <w:tcW w:w="0" w:type="auto"/>
            <w:hideMark/>
          </w:tcPr>
          <w:p w14:paraId="50F31108" w14:textId="77777777" w:rsidR="00D51F0C" w:rsidRPr="00084942" w:rsidRDefault="00D51F0C" w:rsidP="007D0BF7">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84942">
              <w:rPr>
                <w:rFonts w:ascii="Arial" w:hAnsi="Arial" w:cs="Arial"/>
                <w:b/>
                <w:bCs/>
                <w:sz w:val="22"/>
                <w:szCs w:val="22"/>
              </w:rPr>
              <w:t>1.306</w:t>
            </w:r>
          </w:p>
        </w:tc>
        <w:tc>
          <w:tcPr>
            <w:tcW w:w="0" w:type="auto"/>
            <w:hideMark/>
          </w:tcPr>
          <w:p w14:paraId="17E13A7F" w14:textId="77777777" w:rsidR="00D51F0C" w:rsidRPr="00084942" w:rsidRDefault="00D51F0C" w:rsidP="007D0BF7">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84942">
              <w:rPr>
                <w:rFonts w:ascii="Arial" w:hAnsi="Arial" w:cs="Arial"/>
                <w:b/>
                <w:bCs/>
                <w:sz w:val="22"/>
                <w:szCs w:val="22"/>
              </w:rPr>
              <w:t>11.33</w:t>
            </w:r>
          </w:p>
        </w:tc>
        <w:tc>
          <w:tcPr>
            <w:tcW w:w="0" w:type="auto"/>
            <w:hideMark/>
          </w:tcPr>
          <w:p w14:paraId="368DE4C4" w14:textId="77777777" w:rsidR="00D51F0C" w:rsidRPr="00084942" w:rsidRDefault="00D51F0C" w:rsidP="007D0BF7">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84942">
              <w:rPr>
                <w:rFonts w:ascii="Arial" w:hAnsi="Arial" w:cs="Arial"/>
                <w:b/>
                <w:bCs/>
                <w:sz w:val="22"/>
                <w:szCs w:val="22"/>
              </w:rPr>
              <w:t>3.40</w:t>
            </w:r>
          </w:p>
        </w:tc>
        <w:tc>
          <w:tcPr>
            <w:tcW w:w="0" w:type="auto"/>
            <w:hideMark/>
          </w:tcPr>
          <w:p w14:paraId="7C8E09BE" w14:textId="26949468" w:rsidR="00D51F0C" w:rsidRPr="00084942" w:rsidRDefault="00BE6F8B" w:rsidP="007D0BF7">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b/>
                <w:bCs/>
                <w:sz w:val="22"/>
                <w:szCs w:val="22"/>
              </w:rPr>
              <w:t>-26</w:t>
            </w:r>
          </w:p>
        </w:tc>
        <w:tc>
          <w:tcPr>
            <w:tcW w:w="0" w:type="auto"/>
            <w:hideMark/>
          </w:tcPr>
          <w:p w14:paraId="7018B65B" w14:textId="77777777" w:rsidR="00D51F0C" w:rsidRPr="00084942" w:rsidRDefault="00D51F0C" w:rsidP="007D0BF7">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84942">
              <w:rPr>
                <w:rFonts w:ascii="Arial" w:hAnsi="Arial" w:cs="Arial"/>
                <w:b/>
                <w:bCs/>
                <w:sz w:val="22"/>
                <w:szCs w:val="22"/>
              </w:rPr>
              <w:t>1.03</w:t>
            </w:r>
          </w:p>
        </w:tc>
      </w:tr>
      <w:tr w:rsidR="00D51F0C" w:rsidRPr="00084942" w14:paraId="2B0BA750" w14:textId="77777777" w:rsidTr="00084942">
        <w:trPr>
          <w:trHeight w:val="978"/>
        </w:trPr>
        <w:tc>
          <w:tcPr>
            <w:cnfStyle w:val="001000000000" w:firstRow="0" w:lastRow="0" w:firstColumn="1" w:lastColumn="0" w:oddVBand="0" w:evenVBand="0" w:oddHBand="0" w:evenHBand="0" w:firstRowFirstColumn="0" w:firstRowLastColumn="0" w:lastRowFirstColumn="0" w:lastRowLastColumn="0"/>
            <w:tcW w:w="0" w:type="auto"/>
            <w:hideMark/>
          </w:tcPr>
          <w:p w14:paraId="72174BF7" w14:textId="77777777" w:rsidR="00D51F0C" w:rsidRPr="00084942" w:rsidRDefault="00D51F0C" w:rsidP="007D0BF7">
            <w:pPr>
              <w:jc w:val="center"/>
              <w:rPr>
                <w:rFonts w:ascii="Arial" w:hAnsi="Arial" w:cs="Arial"/>
                <w:sz w:val="22"/>
                <w:szCs w:val="22"/>
              </w:rPr>
            </w:pPr>
            <w:r w:rsidRPr="00084942">
              <w:rPr>
                <w:rFonts w:ascii="Arial" w:hAnsi="Arial" w:cs="Arial"/>
                <w:sz w:val="22"/>
                <w:szCs w:val="22"/>
              </w:rPr>
              <w:t>B</w:t>
            </w:r>
          </w:p>
        </w:tc>
        <w:tc>
          <w:tcPr>
            <w:tcW w:w="0" w:type="auto"/>
            <w:hideMark/>
          </w:tcPr>
          <w:p w14:paraId="02CA3D64" w14:textId="77777777" w:rsidR="00D51F0C" w:rsidRPr="00084942" w:rsidRDefault="00D51F0C" w:rsidP="007D0BF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84942">
              <w:rPr>
                <w:rFonts w:ascii="Arial" w:hAnsi="Arial" w:cs="Arial"/>
                <w:sz w:val="22"/>
                <w:szCs w:val="22"/>
              </w:rPr>
              <w:t>30</w:t>
            </w:r>
          </w:p>
        </w:tc>
        <w:tc>
          <w:tcPr>
            <w:tcW w:w="0" w:type="auto"/>
            <w:hideMark/>
          </w:tcPr>
          <w:p w14:paraId="23A1E625" w14:textId="77777777" w:rsidR="00D51F0C" w:rsidRPr="00084942" w:rsidRDefault="00D51F0C" w:rsidP="007D0BF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84942">
              <w:rPr>
                <w:rFonts w:ascii="Arial" w:hAnsi="Arial" w:cs="Arial"/>
                <w:b/>
                <w:bCs/>
                <w:sz w:val="22"/>
                <w:szCs w:val="22"/>
              </w:rPr>
              <w:t>-7.266</w:t>
            </w:r>
          </w:p>
        </w:tc>
        <w:tc>
          <w:tcPr>
            <w:tcW w:w="0" w:type="auto"/>
            <w:hideMark/>
          </w:tcPr>
          <w:p w14:paraId="1506D17E" w14:textId="77777777" w:rsidR="00D51F0C" w:rsidRPr="00084942" w:rsidRDefault="00D51F0C" w:rsidP="007D0BF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84942">
              <w:rPr>
                <w:rFonts w:ascii="Arial" w:hAnsi="Arial" w:cs="Arial"/>
                <w:b/>
                <w:bCs/>
                <w:sz w:val="22"/>
                <w:szCs w:val="22"/>
              </w:rPr>
              <w:t>0.0</w:t>
            </w:r>
          </w:p>
        </w:tc>
        <w:tc>
          <w:tcPr>
            <w:tcW w:w="0" w:type="auto"/>
            <w:hideMark/>
          </w:tcPr>
          <w:p w14:paraId="419F9428" w14:textId="77777777" w:rsidR="00D51F0C" w:rsidRPr="00084942" w:rsidRDefault="00D51F0C" w:rsidP="007D0BF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84942">
              <w:rPr>
                <w:rFonts w:ascii="Arial" w:hAnsi="Arial" w:cs="Arial"/>
                <w:b/>
                <w:bCs/>
                <w:sz w:val="22"/>
                <w:szCs w:val="22"/>
              </w:rPr>
              <w:t>5</w:t>
            </w:r>
          </w:p>
        </w:tc>
        <w:tc>
          <w:tcPr>
            <w:tcW w:w="0" w:type="auto"/>
            <w:hideMark/>
          </w:tcPr>
          <w:p w14:paraId="2203A404" w14:textId="1E12FC16" w:rsidR="00D51F0C" w:rsidRPr="00084942" w:rsidRDefault="00BE6F8B" w:rsidP="007D0BF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b/>
                <w:bCs/>
                <w:sz w:val="22"/>
                <w:szCs w:val="22"/>
              </w:rPr>
              <w:t>-40</w:t>
            </w:r>
          </w:p>
        </w:tc>
        <w:tc>
          <w:tcPr>
            <w:tcW w:w="0" w:type="auto"/>
            <w:hideMark/>
          </w:tcPr>
          <w:p w14:paraId="00B7ECFF" w14:textId="77777777" w:rsidR="00D51F0C" w:rsidRPr="00084942" w:rsidRDefault="00D51F0C" w:rsidP="007D0BF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84942">
              <w:rPr>
                <w:rFonts w:ascii="Arial" w:hAnsi="Arial" w:cs="Arial"/>
                <w:b/>
                <w:bCs/>
                <w:sz w:val="22"/>
                <w:szCs w:val="22"/>
              </w:rPr>
              <w:t>0.758</w:t>
            </w:r>
          </w:p>
        </w:tc>
      </w:tr>
      <w:tr w:rsidR="00D51F0C" w:rsidRPr="00084942" w14:paraId="462827AF" w14:textId="77777777" w:rsidTr="00084942">
        <w:trPr>
          <w:cnfStyle w:val="000000100000" w:firstRow="0" w:lastRow="0" w:firstColumn="0" w:lastColumn="0" w:oddVBand="0" w:evenVBand="0" w:oddHBand="1" w:evenHBand="0" w:firstRowFirstColumn="0" w:firstRowLastColumn="0" w:lastRowFirstColumn="0" w:lastRowLastColumn="0"/>
          <w:trHeight w:val="978"/>
        </w:trPr>
        <w:tc>
          <w:tcPr>
            <w:cnfStyle w:val="001000000000" w:firstRow="0" w:lastRow="0" w:firstColumn="1" w:lastColumn="0" w:oddVBand="0" w:evenVBand="0" w:oddHBand="0" w:evenHBand="0" w:firstRowFirstColumn="0" w:firstRowLastColumn="0" w:lastRowFirstColumn="0" w:lastRowLastColumn="0"/>
            <w:tcW w:w="0" w:type="auto"/>
            <w:hideMark/>
          </w:tcPr>
          <w:p w14:paraId="791E7623" w14:textId="77777777" w:rsidR="00D51F0C" w:rsidRPr="00084942" w:rsidRDefault="00D51F0C" w:rsidP="007D0BF7">
            <w:pPr>
              <w:jc w:val="center"/>
              <w:rPr>
                <w:rFonts w:ascii="Arial" w:hAnsi="Arial" w:cs="Arial"/>
                <w:sz w:val="22"/>
                <w:szCs w:val="22"/>
              </w:rPr>
            </w:pPr>
            <w:r w:rsidRPr="00084942">
              <w:rPr>
                <w:rFonts w:ascii="Arial" w:hAnsi="Arial" w:cs="Arial"/>
                <w:sz w:val="22"/>
                <w:szCs w:val="22"/>
              </w:rPr>
              <w:t>C</w:t>
            </w:r>
          </w:p>
        </w:tc>
        <w:tc>
          <w:tcPr>
            <w:tcW w:w="0" w:type="auto"/>
            <w:hideMark/>
          </w:tcPr>
          <w:p w14:paraId="20A70C66" w14:textId="77777777" w:rsidR="00D51F0C" w:rsidRPr="00084942" w:rsidRDefault="00D51F0C" w:rsidP="007D0BF7">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84942">
              <w:rPr>
                <w:rFonts w:ascii="Arial" w:hAnsi="Arial" w:cs="Arial"/>
                <w:sz w:val="22"/>
                <w:szCs w:val="22"/>
              </w:rPr>
              <w:t>50</w:t>
            </w:r>
          </w:p>
        </w:tc>
        <w:tc>
          <w:tcPr>
            <w:tcW w:w="0" w:type="auto"/>
            <w:hideMark/>
          </w:tcPr>
          <w:p w14:paraId="43936186" w14:textId="77777777" w:rsidR="00D51F0C" w:rsidRPr="00084942" w:rsidRDefault="00D51F0C" w:rsidP="007D0BF7">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84942">
              <w:rPr>
                <w:rFonts w:ascii="Arial" w:hAnsi="Arial" w:cs="Arial"/>
                <w:b/>
                <w:bCs/>
                <w:sz w:val="22"/>
                <w:szCs w:val="22"/>
              </w:rPr>
              <w:t>4.2</w:t>
            </w:r>
          </w:p>
        </w:tc>
        <w:tc>
          <w:tcPr>
            <w:tcW w:w="0" w:type="auto"/>
            <w:hideMark/>
          </w:tcPr>
          <w:p w14:paraId="08111B90" w14:textId="77777777" w:rsidR="00D51F0C" w:rsidRPr="00084942" w:rsidRDefault="00D51F0C" w:rsidP="007D0BF7">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84942">
              <w:rPr>
                <w:rFonts w:ascii="Arial" w:hAnsi="Arial" w:cs="Arial"/>
                <w:b/>
                <w:bCs/>
                <w:sz w:val="22"/>
                <w:szCs w:val="22"/>
              </w:rPr>
              <w:t>12.37</w:t>
            </w:r>
          </w:p>
        </w:tc>
        <w:tc>
          <w:tcPr>
            <w:tcW w:w="0" w:type="auto"/>
            <w:hideMark/>
          </w:tcPr>
          <w:p w14:paraId="135B1A8A" w14:textId="77777777" w:rsidR="00D51F0C" w:rsidRPr="00084942" w:rsidRDefault="00D51F0C" w:rsidP="007D0BF7">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84942">
              <w:rPr>
                <w:rFonts w:ascii="Arial" w:hAnsi="Arial" w:cs="Arial"/>
                <w:b/>
                <w:bCs/>
                <w:sz w:val="22"/>
                <w:szCs w:val="22"/>
              </w:rPr>
              <w:t>3.60</w:t>
            </w:r>
          </w:p>
        </w:tc>
        <w:tc>
          <w:tcPr>
            <w:tcW w:w="0" w:type="auto"/>
            <w:hideMark/>
          </w:tcPr>
          <w:p w14:paraId="2915CE97" w14:textId="626C80A6" w:rsidR="00D51F0C" w:rsidRPr="00084942" w:rsidRDefault="00BE6F8B" w:rsidP="007D0BF7">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b/>
                <w:bCs/>
                <w:sz w:val="22"/>
                <w:szCs w:val="22"/>
              </w:rPr>
              <w:t>-20</w:t>
            </w:r>
          </w:p>
        </w:tc>
        <w:tc>
          <w:tcPr>
            <w:tcW w:w="0" w:type="auto"/>
            <w:hideMark/>
          </w:tcPr>
          <w:p w14:paraId="44A34202" w14:textId="77777777" w:rsidR="00D51F0C" w:rsidRPr="00084942" w:rsidRDefault="00D51F0C" w:rsidP="007D0BF7">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84942">
              <w:rPr>
                <w:rFonts w:ascii="Arial" w:hAnsi="Arial" w:cs="Arial"/>
                <w:b/>
                <w:bCs/>
                <w:sz w:val="22"/>
                <w:szCs w:val="22"/>
              </w:rPr>
              <w:t>1.085</w:t>
            </w:r>
          </w:p>
        </w:tc>
      </w:tr>
    </w:tbl>
    <w:p w14:paraId="27AE2F88" w14:textId="77777777" w:rsidR="00D51F0C" w:rsidRPr="00084942" w:rsidRDefault="00D51F0C" w:rsidP="00E03007">
      <w:pPr>
        <w:spacing w:line="259" w:lineRule="auto"/>
        <w:jc w:val="center"/>
        <w:rPr>
          <w:rFonts w:ascii="Arial" w:hAnsi="Arial" w:cs="Arial"/>
        </w:rPr>
      </w:pPr>
    </w:p>
    <w:p w14:paraId="6AAC2A1A" w14:textId="77777777" w:rsidR="00D51F0C" w:rsidRPr="00084942" w:rsidRDefault="00D51F0C" w:rsidP="00BA7DA5">
      <w:pPr>
        <w:pStyle w:val="Heading2"/>
        <w:rPr>
          <w:rFonts w:cs="Arial"/>
        </w:rPr>
      </w:pPr>
    </w:p>
    <w:p w14:paraId="2395A711" w14:textId="77777777" w:rsidR="00D51F0C" w:rsidRPr="00084942" w:rsidRDefault="00D51F0C" w:rsidP="00BA7DA5">
      <w:pPr>
        <w:pStyle w:val="Heading2"/>
        <w:rPr>
          <w:rFonts w:cs="Arial"/>
        </w:rPr>
      </w:pPr>
    </w:p>
    <w:p w14:paraId="7708CB57" w14:textId="69D821CD" w:rsidR="008F7F78" w:rsidRPr="00084942" w:rsidRDefault="008F7F78" w:rsidP="00BA7DA5">
      <w:pPr>
        <w:pStyle w:val="Heading2"/>
        <w:rPr>
          <w:rFonts w:cs="Arial"/>
        </w:rPr>
      </w:pPr>
      <w:r w:rsidRPr="00084942">
        <w:rPr>
          <w:rFonts w:cs="Arial"/>
        </w:rPr>
        <w:t>Income statement</w:t>
      </w:r>
    </w:p>
    <w:tbl>
      <w:tblPr>
        <w:tblW w:w="9080" w:type="dxa"/>
        <w:tblLook w:val="04A0" w:firstRow="1" w:lastRow="0" w:firstColumn="1" w:lastColumn="0" w:noHBand="0" w:noVBand="1"/>
      </w:tblPr>
      <w:tblGrid>
        <w:gridCol w:w="3320"/>
        <w:gridCol w:w="960"/>
        <w:gridCol w:w="1012"/>
        <w:gridCol w:w="1012"/>
        <w:gridCol w:w="1012"/>
        <w:gridCol w:w="1012"/>
        <w:gridCol w:w="1012"/>
      </w:tblGrid>
      <w:tr w:rsidR="008F7F78" w:rsidRPr="00084942" w14:paraId="4034A3A8" w14:textId="77777777" w:rsidTr="008F7F78">
        <w:trPr>
          <w:trHeight w:val="420"/>
        </w:trPr>
        <w:tc>
          <w:tcPr>
            <w:tcW w:w="3320" w:type="dxa"/>
            <w:tcBorders>
              <w:top w:val="nil"/>
              <w:left w:val="nil"/>
              <w:bottom w:val="nil"/>
              <w:right w:val="nil"/>
            </w:tcBorders>
            <w:noWrap/>
            <w:vAlign w:val="bottom"/>
            <w:hideMark/>
          </w:tcPr>
          <w:p w14:paraId="3F58DB39" w14:textId="77777777" w:rsidR="008F7F78" w:rsidRPr="00084942" w:rsidRDefault="008F7F78" w:rsidP="008F7F78">
            <w:pPr>
              <w:spacing w:after="0" w:line="240" w:lineRule="auto"/>
              <w:jc w:val="left"/>
              <w:rPr>
                <w:rFonts w:ascii="Arial" w:eastAsia="Times New Roman" w:hAnsi="Arial" w:cs="Arial"/>
                <w:color w:val="auto"/>
                <w:kern w:val="0"/>
                <w:sz w:val="20"/>
                <w:szCs w:val="24"/>
                <w:lang w:val="en-US"/>
                <w14:ligatures w14:val="none"/>
              </w:rPr>
            </w:pPr>
          </w:p>
        </w:tc>
        <w:tc>
          <w:tcPr>
            <w:tcW w:w="960" w:type="dxa"/>
            <w:tcBorders>
              <w:top w:val="nil"/>
              <w:left w:val="nil"/>
              <w:bottom w:val="nil"/>
              <w:right w:val="nil"/>
            </w:tcBorders>
            <w:noWrap/>
            <w:vAlign w:val="bottom"/>
            <w:hideMark/>
          </w:tcPr>
          <w:p w14:paraId="4EDEFCC3" w14:textId="77777777" w:rsidR="008F7F78" w:rsidRPr="00084942" w:rsidRDefault="008F7F78" w:rsidP="008F7F78">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nil"/>
            </w:tcBorders>
            <w:noWrap/>
            <w:vAlign w:val="bottom"/>
            <w:hideMark/>
          </w:tcPr>
          <w:p w14:paraId="5B93A39F" w14:textId="77777777" w:rsidR="008F7F78" w:rsidRPr="00084942" w:rsidRDefault="008F7F78" w:rsidP="008F7F78">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nil"/>
            </w:tcBorders>
            <w:noWrap/>
            <w:vAlign w:val="bottom"/>
            <w:hideMark/>
          </w:tcPr>
          <w:p w14:paraId="49F90259" w14:textId="77777777" w:rsidR="008F7F78" w:rsidRPr="00084942" w:rsidRDefault="008F7F78" w:rsidP="008F7F78">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nil"/>
            </w:tcBorders>
            <w:noWrap/>
            <w:vAlign w:val="bottom"/>
            <w:hideMark/>
          </w:tcPr>
          <w:p w14:paraId="70DBE646" w14:textId="77777777" w:rsidR="008F7F78" w:rsidRPr="00084942" w:rsidRDefault="008F7F78" w:rsidP="008F7F78">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nil"/>
            </w:tcBorders>
            <w:noWrap/>
            <w:vAlign w:val="bottom"/>
            <w:hideMark/>
          </w:tcPr>
          <w:p w14:paraId="3F1DF262" w14:textId="77777777" w:rsidR="008F7F78" w:rsidRPr="00084942" w:rsidRDefault="008F7F78" w:rsidP="008F7F78">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nil"/>
            </w:tcBorders>
            <w:noWrap/>
            <w:vAlign w:val="bottom"/>
            <w:hideMark/>
          </w:tcPr>
          <w:p w14:paraId="7AE86341" w14:textId="77777777" w:rsidR="008F7F78" w:rsidRPr="00084942" w:rsidRDefault="008F7F78" w:rsidP="008F7F78">
            <w:pPr>
              <w:spacing w:after="0" w:line="240" w:lineRule="auto"/>
              <w:jc w:val="left"/>
              <w:rPr>
                <w:rFonts w:ascii="Arial" w:eastAsia="Times New Roman" w:hAnsi="Arial" w:cs="Arial"/>
                <w:color w:val="auto"/>
                <w:kern w:val="0"/>
                <w:sz w:val="20"/>
                <w:szCs w:val="20"/>
                <w:lang w:val="en-US"/>
                <w14:ligatures w14:val="none"/>
              </w:rPr>
            </w:pPr>
          </w:p>
        </w:tc>
      </w:tr>
      <w:tr w:rsidR="008F7F78" w:rsidRPr="00084942" w14:paraId="7163EDA5" w14:textId="77777777" w:rsidTr="008F7F78">
        <w:trPr>
          <w:trHeight w:val="300"/>
        </w:trPr>
        <w:tc>
          <w:tcPr>
            <w:tcW w:w="3320" w:type="dxa"/>
            <w:tcBorders>
              <w:top w:val="single" w:sz="8" w:space="0" w:color="auto"/>
              <w:left w:val="single" w:sz="8" w:space="0" w:color="auto"/>
              <w:bottom w:val="single" w:sz="4" w:space="0" w:color="auto"/>
              <w:right w:val="single" w:sz="4" w:space="0" w:color="auto"/>
            </w:tcBorders>
            <w:shd w:val="clear" w:color="000000" w:fill="DA9694"/>
            <w:noWrap/>
            <w:vAlign w:val="bottom"/>
            <w:hideMark/>
          </w:tcPr>
          <w:p w14:paraId="3E77455D" w14:textId="77777777" w:rsidR="008F7F78" w:rsidRPr="00084942" w:rsidRDefault="008F7F78" w:rsidP="008F7F78">
            <w:pPr>
              <w:spacing w:after="0" w:line="240" w:lineRule="auto"/>
              <w:jc w:val="lef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Income Statement</w:t>
            </w:r>
          </w:p>
        </w:tc>
        <w:tc>
          <w:tcPr>
            <w:tcW w:w="960" w:type="dxa"/>
            <w:tcBorders>
              <w:top w:val="single" w:sz="8" w:space="0" w:color="auto"/>
              <w:left w:val="nil"/>
              <w:bottom w:val="single" w:sz="4" w:space="0" w:color="auto"/>
              <w:right w:val="single" w:sz="4" w:space="0" w:color="auto"/>
            </w:tcBorders>
            <w:shd w:val="clear" w:color="000000" w:fill="DA9694"/>
            <w:noWrap/>
            <w:vAlign w:val="bottom"/>
            <w:hideMark/>
          </w:tcPr>
          <w:p w14:paraId="00ACD8C1" w14:textId="77777777" w:rsidR="008F7F78" w:rsidRPr="00084942" w:rsidRDefault="008F7F78" w:rsidP="008F7F78">
            <w:pPr>
              <w:spacing w:after="0" w:line="240" w:lineRule="auto"/>
              <w:jc w:val="lef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Unit: £m</w:t>
            </w:r>
          </w:p>
        </w:tc>
        <w:tc>
          <w:tcPr>
            <w:tcW w:w="960" w:type="dxa"/>
            <w:tcBorders>
              <w:top w:val="single" w:sz="8" w:space="0" w:color="auto"/>
              <w:left w:val="nil"/>
              <w:bottom w:val="single" w:sz="4" w:space="0" w:color="auto"/>
              <w:right w:val="single" w:sz="4" w:space="0" w:color="auto"/>
            </w:tcBorders>
            <w:shd w:val="clear" w:color="000000" w:fill="DA9694"/>
            <w:noWrap/>
            <w:vAlign w:val="bottom"/>
            <w:hideMark/>
          </w:tcPr>
          <w:p w14:paraId="02042109" w14:textId="77777777" w:rsidR="008F7F78" w:rsidRPr="00084942" w:rsidRDefault="008F7F78" w:rsidP="008F7F78">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2020</w:t>
            </w:r>
          </w:p>
        </w:tc>
        <w:tc>
          <w:tcPr>
            <w:tcW w:w="960" w:type="dxa"/>
            <w:tcBorders>
              <w:top w:val="single" w:sz="8" w:space="0" w:color="auto"/>
              <w:left w:val="nil"/>
              <w:bottom w:val="single" w:sz="4" w:space="0" w:color="auto"/>
              <w:right w:val="single" w:sz="4" w:space="0" w:color="auto"/>
            </w:tcBorders>
            <w:shd w:val="clear" w:color="000000" w:fill="DA9694"/>
            <w:noWrap/>
            <w:vAlign w:val="bottom"/>
            <w:hideMark/>
          </w:tcPr>
          <w:p w14:paraId="7373FD3B" w14:textId="77777777" w:rsidR="008F7F78" w:rsidRPr="00084942" w:rsidRDefault="008F7F78" w:rsidP="008F7F78">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2021</w:t>
            </w:r>
          </w:p>
        </w:tc>
        <w:tc>
          <w:tcPr>
            <w:tcW w:w="960" w:type="dxa"/>
            <w:tcBorders>
              <w:top w:val="single" w:sz="8" w:space="0" w:color="auto"/>
              <w:left w:val="nil"/>
              <w:bottom w:val="single" w:sz="4" w:space="0" w:color="auto"/>
              <w:right w:val="single" w:sz="4" w:space="0" w:color="auto"/>
            </w:tcBorders>
            <w:shd w:val="clear" w:color="000000" w:fill="DA9694"/>
            <w:noWrap/>
            <w:vAlign w:val="bottom"/>
            <w:hideMark/>
          </w:tcPr>
          <w:p w14:paraId="43C6B728" w14:textId="77777777" w:rsidR="008F7F78" w:rsidRPr="00084942" w:rsidRDefault="008F7F78" w:rsidP="008F7F78">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2022</w:t>
            </w:r>
          </w:p>
        </w:tc>
        <w:tc>
          <w:tcPr>
            <w:tcW w:w="960" w:type="dxa"/>
            <w:tcBorders>
              <w:top w:val="single" w:sz="8" w:space="0" w:color="auto"/>
              <w:left w:val="nil"/>
              <w:bottom w:val="single" w:sz="4" w:space="0" w:color="auto"/>
              <w:right w:val="single" w:sz="4" w:space="0" w:color="auto"/>
            </w:tcBorders>
            <w:shd w:val="clear" w:color="000000" w:fill="DA9694"/>
            <w:noWrap/>
            <w:vAlign w:val="bottom"/>
            <w:hideMark/>
          </w:tcPr>
          <w:p w14:paraId="396D4848" w14:textId="77777777" w:rsidR="008F7F78" w:rsidRPr="00084942" w:rsidRDefault="008F7F78" w:rsidP="008F7F78">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2023</w:t>
            </w:r>
          </w:p>
        </w:tc>
        <w:tc>
          <w:tcPr>
            <w:tcW w:w="960" w:type="dxa"/>
            <w:tcBorders>
              <w:top w:val="single" w:sz="8" w:space="0" w:color="auto"/>
              <w:left w:val="nil"/>
              <w:bottom w:val="single" w:sz="4" w:space="0" w:color="auto"/>
              <w:right w:val="single" w:sz="8" w:space="0" w:color="auto"/>
            </w:tcBorders>
            <w:shd w:val="clear" w:color="000000" w:fill="DA9694"/>
            <w:noWrap/>
            <w:vAlign w:val="bottom"/>
            <w:hideMark/>
          </w:tcPr>
          <w:p w14:paraId="307AC853" w14:textId="77777777" w:rsidR="008F7F78" w:rsidRPr="00084942" w:rsidRDefault="008F7F78" w:rsidP="008F7F78">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2024</w:t>
            </w:r>
          </w:p>
        </w:tc>
      </w:tr>
      <w:tr w:rsidR="008F7F78" w:rsidRPr="00084942" w14:paraId="705634E4" w14:textId="77777777" w:rsidTr="008F7F78">
        <w:trPr>
          <w:trHeight w:val="300"/>
        </w:trPr>
        <w:tc>
          <w:tcPr>
            <w:tcW w:w="3320" w:type="dxa"/>
            <w:tcBorders>
              <w:top w:val="nil"/>
              <w:left w:val="single" w:sz="8" w:space="0" w:color="auto"/>
              <w:bottom w:val="nil"/>
              <w:right w:val="nil"/>
            </w:tcBorders>
            <w:noWrap/>
            <w:vAlign w:val="bottom"/>
            <w:hideMark/>
          </w:tcPr>
          <w:p w14:paraId="21A0B673"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Net sales</w:t>
            </w:r>
          </w:p>
        </w:tc>
        <w:tc>
          <w:tcPr>
            <w:tcW w:w="960" w:type="dxa"/>
            <w:tcBorders>
              <w:top w:val="nil"/>
              <w:left w:val="nil"/>
              <w:bottom w:val="nil"/>
              <w:right w:val="nil"/>
            </w:tcBorders>
            <w:noWrap/>
            <w:vAlign w:val="bottom"/>
            <w:hideMark/>
          </w:tcPr>
          <w:p w14:paraId="2D8415A6"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3F3F39CD"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614,680</w:t>
            </w:r>
          </w:p>
        </w:tc>
        <w:tc>
          <w:tcPr>
            <w:tcW w:w="960" w:type="dxa"/>
            <w:tcBorders>
              <w:top w:val="nil"/>
              <w:left w:val="nil"/>
              <w:bottom w:val="nil"/>
              <w:right w:val="nil"/>
            </w:tcBorders>
            <w:noWrap/>
            <w:vAlign w:val="bottom"/>
            <w:hideMark/>
          </w:tcPr>
          <w:p w14:paraId="779945A9"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601,602</w:t>
            </w:r>
          </w:p>
        </w:tc>
        <w:tc>
          <w:tcPr>
            <w:tcW w:w="960" w:type="dxa"/>
            <w:tcBorders>
              <w:top w:val="nil"/>
              <w:left w:val="nil"/>
              <w:bottom w:val="nil"/>
              <w:right w:val="nil"/>
            </w:tcBorders>
            <w:noWrap/>
            <w:vAlign w:val="bottom"/>
            <w:hideMark/>
          </w:tcPr>
          <w:p w14:paraId="4E125C94"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542,751</w:t>
            </w:r>
          </w:p>
        </w:tc>
        <w:tc>
          <w:tcPr>
            <w:tcW w:w="960" w:type="dxa"/>
            <w:tcBorders>
              <w:top w:val="nil"/>
              <w:left w:val="nil"/>
              <w:bottom w:val="nil"/>
              <w:right w:val="nil"/>
            </w:tcBorders>
            <w:noWrap/>
            <w:vAlign w:val="bottom"/>
            <w:hideMark/>
          </w:tcPr>
          <w:p w14:paraId="31768118"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420,457</w:t>
            </w:r>
          </w:p>
        </w:tc>
        <w:tc>
          <w:tcPr>
            <w:tcW w:w="960" w:type="dxa"/>
            <w:tcBorders>
              <w:top w:val="nil"/>
              <w:left w:val="nil"/>
              <w:bottom w:val="nil"/>
              <w:right w:val="single" w:sz="8" w:space="0" w:color="auto"/>
            </w:tcBorders>
            <w:noWrap/>
            <w:vAlign w:val="bottom"/>
            <w:hideMark/>
          </w:tcPr>
          <w:p w14:paraId="2A433BB4"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394,879</w:t>
            </w:r>
          </w:p>
        </w:tc>
      </w:tr>
      <w:tr w:rsidR="008F7F78" w:rsidRPr="00084942" w14:paraId="1A63BBB9" w14:textId="77777777" w:rsidTr="008F7F78">
        <w:trPr>
          <w:trHeight w:val="300"/>
        </w:trPr>
        <w:tc>
          <w:tcPr>
            <w:tcW w:w="3320" w:type="dxa"/>
            <w:tcBorders>
              <w:top w:val="nil"/>
              <w:left w:val="single" w:sz="8" w:space="0" w:color="auto"/>
              <w:bottom w:val="nil"/>
              <w:right w:val="nil"/>
            </w:tcBorders>
            <w:noWrap/>
            <w:vAlign w:val="bottom"/>
            <w:hideMark/>
          </w:tcPr>
          <w:p w14:paraId="3637FA20"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Cost of sales</w:t>
            </w:r>
          </w:p>
        </w:tc>
        <w:tc>
          <w:tcPr>
            <w:tcW w:w="960" w:type="dxa"/>
            <w:tcBorders>
              <w:top w:val="nil"/>
              <w:left w:val="nil"/>
              <w:bottom w:val="nil"/>
              <w:right w:val="nil"/>
            </w:tcBorders>
            <w:noWrap/>
            <w:vAlign w:val="bottom"/>
            <w:hideMark/>
          </w:tcPr>
          <w:p w14:paraId="1C837BAA"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7B2BDAA8"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-438,424</w:t>
            </w:r>
          </w:p>
        </w:tc>
        <w:tc>
          <w:tcPr>
            <w:tcW w:w="960" w:type="dxa"/>
            <w:tcBorders>
              <w:top w:val="nil"/>
              <w:left w:val="nil"/>
              <w:bottom w:val="nil"/>
              <w:right w:val="nil"/>
            </w:tcBorders>
            <w:noWrap/>
            <w:vAlign w:val="bottom"/>
            <w:hideMark/>
          </w:tcPr>
          <w:p w14:paraId="5C705E2F"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-428,586</w:t>
            </w:r>
          </w:p>
        </w:tc>
        <w:tc>
          <w:tcPr>
            <w:tcW w:w="960" w:type="dxa"/>
            <w:tcBorders>
              <w:top w:val="nil"/>
              <w:left w:val="nil"/>
              <w:bottom w:val="nil"/>
              <w:right w:val="nil"/>
            </w:tcBorders>
            <w:noWrap/>
            <w:vAlign w:val="bottom"/>
            <w:hideMark/>
          </w:tcPr>
          <w:p w14:paraId="5DDA145A"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-390,459</w:t>
            </w:r>
          </w:p>
        </w:tc>
        <w:tc>
          <w:tcPr>
            <w:tcW w:w="960" w:type="dxa"/>
            <w:tcBorders>
              <w:top w:val="nil"/>
              <w:left w:val="nil"/>
              <w:bottom w:val="nil"/>
              <w:right w:val="nil"/>
            </w:tcBorders>
            <w:noWrap/>
            <w:vAlign w:val="bottom"/>
            <w:hideMark/>
          </w:tcPr>
          <w:p w14:paraId="124BB463"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-322,897</w:t>
            </w:r>
          </w:p>
        </w:tc>
        <w:tc>
          <w:tcPr>
            <w:tcW w:w="960" w:type="dxa"/>
            <w:tcBorders>
              <w:top w:val="nil"/>
              <w:left w:val="nil"/>
              <w:bottom w:val="nil"/>
              <w:right w:val="single" w:sz="8" w:space="0" w:color="auto"/>
            </w:tcBorders>
            <w:noWrap/>
            <w:vAlign w:val="bottom"/>
            <w:hideMark/>
          </w:tcPr>
          <w:p w14:paraId="7D53FED2"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-280,885</w:t>
            </w:r>
          </w:p>
        </w:tc>
      </w:tr>
      <w:tr w:rsidR="008F7F78" w:rsidRPr="00084942" w14:paraId="4CCC8AE1" w14:textId="77777777" w:rsidTr="008F7F78">
        <w:trPr>
          <w:trHeight w:val="300"/>
        </w:trPr>
        <w:tc>
          <w:tcPr>
            <w:tcW w:w="3320" w:type="dxa"/>
            <w:tcBorders>
              <w:top w:val="nil"/>
              <w:left w:val="single" w:sz="8" w:space="0" w:color="auto"/>
              <w:bottom w:val="nil"/>
              <w:right w:val="nil"/>
            </w:tcBorders>
            <w:noWrap/>
            <w:vAlign w:val="bottom"/>
            <w:hideMark/>
          </w:tcPr>
          <w:p w14:paraId="7F255E60"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Gross profit</w:t>
            </w:r>
          </w:p>
        </w:tc>
        <w:tc>
          <w:tcPr>
            <w:tcW w:w="960" w:type="dxa"/>
            <w:tcBorders>
              <w:top w:val="nil"/>
              <w:left w:val="nil"/>
              <w:bottom w:val="nil"/>
              <w:right w:val="nil"/>
            </w:tcBorders>
            <w:noWrap/>
            <w:vAlign w:val="bottom"/>
            <w:hideMark/>
          </w:tcPr>
          <w:p w14:paraId="57A29597"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1351A07E"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176,256</w:t>
            </w:r>
          </w:p>
        </w:tc>
        <w:tc>
          <w:tcPr>
            <w:tcW w:w="960" w:type="dxa"/>
            <w:tcBorders>
              <w:top w:val="nil"/>
              <w:left w:val="nil"/>
              <w:bottom w:val="nil"/>
              <w:right w:val="nil"/>
            </w:tcBorders>
            <w:noWrap/>
            <w:vAlign w:val="bottom"/>
            <w:hideMark/>
          </w:tcPr>
          <w:p w14:paraId="3D86C50F"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173,016</w:t>
            </w:r>
          </w:p>
        </w:tc>
        <w:tc>
          <w:tcPr>
            <w:tcW w:w="960" w:type="dxa"/>
            <w:tcBorders>
              <w:top w:val="nil"/>
              <w:left w:val="nil"/>
              <w:bottom w:val="nil"/>
              <w:right w:val="nil"/>
            </w:tcBorders>
            <w:noWrap/>
            <w:vAlign w:val="bottom"/>
            <w:hideMark/>
          </w:tcPr>
          <w:p w14:paraId="7642AEA2"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152,292</w:t>
            </w:r>
          </w:p>
        </w:tc>
        <w:tc>
          <w:tcPr>
            <w:tcW w:w="960" w:type="dxa"/>
            <w:tcBorders>
              <w:top w:val="nil"/>
              <w:left w:val="nil"/>
              <w:bottom w:val="nil"/>
              <w:right w:val="nil"/>
            </w:tcBorders>
            <w:noWrap/>
            <w:vAlign w:val="bottom"/>
            <w:hideMark/>
          </w:tcPr>
          <w:p w14:paraId="7732630D"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97,560</w:t>
            </w:r>
          </w:p>
        </w:tc>
        <w:tc>
          <w:tcPr>
            <w:tcW w:w="960" w:type="dxa"/>
            <w:tcBorders>
              <w:top w:val="nil"/>
              <w:left w:val="nil"/>
              <w:bottom w:val="nil"/>
              <w:right w:val="single" w:sz="8" w:space="0" w:color="auto"/>
            </w:tcBorders>
            <w:noWrap/>
            <w:vAlign w:val="bottom"/>
            <w:hideMark/>
          </w:tcPr>
          <w:p w14:paraId="630EE0A2"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113,994</w:t>
            </w:r>
          </w:p>
        </w:tc>
      </w:tr>
      <w:tr w:rsidR="008F7F78" w:rsidRPr="00084942" w14:paraId="6520203E" w14:textId="77777777" w:rsidTr="008F7F78">
        <w:trPr>
          <w:trHeight w:val="300"/>
        </w:trPr>
        <w:tc>
          <w:tcPr>
            <w:tcW w:w="3320" w:type="dxa"/>
            <w:tcBorders>
              <w:top w:val="nil"/>
              <w:left w:val="single" w:sz="8" w:space="0" w:color="auto"/>
              <w:bottom w:val="nil"/>
              <w:right w:val="nil"/>
            </w:tcBorders>
            <w:noWrap/>
            <w:vAlign w:val="bottom"/>
            <w:hideMark/>
          </w:tcPr>
          <w:p w14:paraId="5DF8C662"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Operating expenses</w:t>
            </w:r>
          </w:p>
        </w:tc>
        <w:tc>
          <w:tcPr>
            <w:tcW w:w="960" w:type="dxa"/>
            <w:tcBorders>
              <w:top w:val="nil"/>
              <w:left w:val="nil"/>
              <w:bottom w:val="nil"/>
              <w:right w:val="nil"/>
            </w:tcBorders>
            <w:noWrap/>
            <w:vAlign w:val="bottom"/>
            <w:hideMark/>
          </w:tcPr>
          <w:p w14:paraId="2BDF85FA"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3923A2A2"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-138,989</w:t>
            </w:r>
          </w:p>
        </w:tc>
        <w:tc>
          <w:tcPr>
            <w:tcW w:w="960" w:type="dxa"/>
            <w:tcBorders>
              <w:top w:val="nil"/>
              <w:left w:val="nil"/>
              <w:bottom w:val="nil"/>
              <w:right w:val="nil"/>
            </w:tcBorders>
            <w:noWrap/>
            <w:vAlign w:val="bottom"/>
            <w:hideMark/>
          </w:tcPr>
          <w:p w14:paraId="27230063"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-149,763</w:t>
            </w:r>
          </w:p>
        </w:tc>
        <w:tc>
          <w:tcPr>
            <w:tcW w:w="960" w:type="dxa"/>
            <w:tcBorders>
              <w:top w:val="nil"/>
              <w:left w:val="nil"/>
              <w:bottom w:val="nil"/>
              <w:right w:val="nil"/>
            </w:tcBorders>
            <w:noWrap/>
            <w:vAlign w:val="bottom"/>
            <w:hideMark/>
          </w:tcPr>
          <w:p w14:paraId="04D2A026"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-137,744</w:t>
            </w:r>
          </w:p>
        </w:tc>
        <w:tc>
          <w:tcPr>
            <w:tcW w:w="960" w:type="dxa"/>
            <w:tcBorders>
              <w:top w:val="nil"/>
              <w:left w:val="nil"/>
              <w:bottom w:val="nil"/>
              <w:right w:val="nil"/>
            </w:tcBorders>
            <w:noWrap/>
            <w:vAlign w:val="bottom"/>
            <w:hideMark/>
          </w:tcPr>
          <w:p w14:paraId="1F567E8A"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-182,861</w:t>
            </w:r>
          </w:p>
        </w:tc>
        <w:tc>
          <w:tcPr>
            <w:tcW w:w="960" w:type="dxa"/>
            <w:tcBorders>
              <w:top w:val="nil"/>
              <w:left w:val="nil"/>
              <w:bottom w:val="nil"/>
              <w:right w:val="single" w:sz="8" w:space="0" w:color="auto"/>
            </w:tcBorders>
            <w:noWrap/>
            <w:vAlign w:val="bottom"/>
            <w:hideMark/>
          </w:tcPr>
          <w:p w14:paraId="54413877"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-129,291</w:t>
            </w:r>
          </w:p>
        </w:tc>
      </w:tr>
      <w:tr w:rsidR="008F7F78" w:rsidRPr="00084942" w14:paraId="2A5602D1" w14:textId="77777777" w:rsidTr="008F7F78">
        <w:trPr>
          <w:trHeight w:val="300"/>
        </w:trPr>
        <w:tc>
          <w:tcPr>
            <w:tcW w:w="3320" w:type="dxa"/>
            <w:tcBorders>
              <w:top w:val="nil"/>
              <w:left w:val="single" w:sz="8" w:space="0" w:color="auto"/>
              <w:bottom w:val="nil"/>
              <w:right w:val="nil"/>
            </w:tcBorders>
            <w:noWrap/>
            <w:vAlign w:val="bottom"/>
            <w:hideMark/>
          </w:tcPr>
          <w:p w14:paraId="1C81E3C3"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Operating income</w:t>
            </w:r>
          </w:p>
        </w:tc>
        <w:tc>
          <w:tcPr>
            <w:tcW w:w="960" w:type="dxa"/>
            <w:tcBorders>
              <w:top w:val="nil"/>
              <w:left w:val="nil"/>
              <w:bottom w:val="nil"/>
              <w:right w:val="nil"/>
            </w:tcBorders>
            <w:noWrap/>
            <w:vAlign w:val="bottom"/>
            <w:hideMark/>
          </w:tcPr>
          <w:p w14:paraId="3E0B5F45"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5552B315"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37,267</w:t>
            </w:r>
          </w:p>
        </w:tc>
        <w:tc>
          <w:tcPr>
            <w:tcW w:w="960" w:type="dxa"/>
            <w:tcBorders>
              <w:top w:val="nil"/>
              <w:left w:val="nil"/>
              <w:bottom w:val="nil"/>
              <w:right w:val="nil"/>
            </w:tcBorders>
            <w:noWrap/>
            <w:vAlign w:val="bottom"/>
            <w:hideMark/>
          </w:tcPr>
          <w:p w14:paraId="60ACFE60"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23,253</w:t>
            </w:r>
          </w:p>
        </w:tc>
        <w:tc>
          <w:tcPr>
            <w:tcW w:w="960" w:type="dxa"/>
            <w:tcBorders>
              <w:top w:val="nil"/>
              <w:left w:val="nil"/>
              <w:bottom w:val="nil"/>
              <w:right w:val="nil"/>
            </w:tcBorders>
            <w:noWrap/>
            <w:vAlign w:val="bottom"/>
            <w:hideMark/>
          </w:tcPr>
          <w:p w14:paraId="67A7893B"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14,548</w:t>
            </w:r>
          </w:p>
        </w:tc>
        <w:tc>
          <w:tcPr>
            <w:tcW w:w="960" w:type="dxa"/>
            <w:tcBorders>
              <w:top w:val="nil"/>
              <w:left w:val="nil"/>
              <w:bottom w:val="nil"/>
              <w:right w:val="nil"/>
            </w:tcBorders>
            <w:noWrap/>
            <w:vAlign w:val="bottom"/>
            <w:hideMark/>
          </w:tcPr>
          <w:p w14:paraId="21488CE7"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-85,301</w:t>
            </w:r>
          </w:p>
        </w:tc>
        <w:tc>
          <w:tcPr>
            <w:tcW w:w="960" w:type="dxa"/>
            <w:tcBorders>
              <w:top w:val="nil"/>
              <w:left w:val="nil"/>
              <w:bottom w:val="nil"/>
              <w:right w:val="single" w:sz="8" w:space="0" w:color="auto"/>
            </w:tcBorders>
            <w:noWrap/>
            <w:vAlign w:val="bottom"/>
            <w:hideMark/>
          </w:tcPr>
          <w:p w14:paraId="7752460B"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-15,297</w:t>
            </w:r>
          </w:p>
        </w:tc>
      </w:tr>
      <w:tr w:rsidR="008F7F78" w:rsidRPr="00084942" w14:paraId="18D2EC54" w14:textId="77777777" w:rsidTr="008F7F78">
        <w:trPr>
          <w:trHeight w:val="300"/>
        </w:trPr>
        <w:tc>
          <w:tcPr>
            <w:tcW w:w="3320" w:type="dxa"/>
            <w:tcBorders>
              <w:top w:val="nil"/>
              <w:left w:val="single" w:sz="8" w:space="0" w:color="auto"/>
              <w:bottom w:val="nil"/>
              <w:right w:val="nil"/>
            </w:tcBorders>
            <w:noWrap/>
            <w:vAlign w:val="bottom"/>
            <w:hideMark/>
          </w:tcPr>
          <w:p w14:paraId="40B6D847"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Interest income (expenses)</w:t>
            </w:r>
          </w:p>
        </w:tc>
        <w:tc>
          <w:tcPr>
            <w:tcW w:w="960" w:type="dxa"/>
            <w:tcBorders>
              <w:top w:val="nil"/>
              <w:left w:val="nil"/>
              <w:bottom w:val="nil"/>
              <w:right w:val="nil"/>
            </w:tcBorders>
            <w:noWrap/>
            <w:vAlign w:val="bottom"/>
            <w:hideMark/>
          </w:tcPr>
          <w:p w14:paraId="4193F927"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64CA3371"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-1,422</w:t>
            </w:r>
          </w:p>
        </w:tc>
        <w:tc>
          <w:tcPr>
            <w:tcW w:w="960" w:type="dxa"/>
            <w:tcBorders>
              <w:top w:val="nil"/>
              <w:left w:val="nil"/>
              <w:bottom w:val="nil"/>
              <w:right w:val="nil"/>
            </w:tcBorders>
            <w:noWrap/>
            <w:vAlign w:val="bottom"/>
            <w:hideMark/>
          </w:tcPr>
          <w:p w14:paraId="3C2473EE"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-566</w:t>
            </w:r>
          </w:p>
        </w:tc>
        <w:tc>
          <w:tcPr>
            <w:tcW w:w="960" w:type="dxa"/>
            <w:tcBorders>
              <w:top w:val="nil"/>
              <w:left w:val="nil"/>
              <w:bottom w:val="nil"/>
              <w:right w:val="nil"/>
            </w:tcBorders>
            <w:noWrap/>
            <w:vAlign w:val="bottom"/>
            <w:hideMark/>
          </w:tcPr>
          <w:p w14:paraId="5D80514B"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-2,200</w:t>
            </w:r>
          </w:p>
        </w:tc>
        <w:tc>
          <w:tcPr>
            <w:tcW w:w="960" w:type="dxa"/>
            <w:tcBorders>
              <w:top w:val="nil"/>
              <w:left w:val="nil"/>
              <w:bottom w:val="nil"/>
              <w:right w:val="nil"/>
            </w:tcBorders>
            <w:noWrap/>
            <w:vAlign w:val="bottom"/>
            <w:hideMark/>
          </w:tcPr>
          <w:p w14:paraId="1EBB904D"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-4,332</w:t>
            </w:r>
          </w:p>
        </w:tc>
        <w:tc>
          <w:tcPr>
            <w:tcW w:w="960" w:type="dxa"/>
            <w:tcBorders>
              <w:top w:val="nil"/>
              <w:left w:val="nil"/>
              <w:bottom w:val="nil"/>
              <w:right w:val="single" w:sz="8" w:space="0" w:color="auto"/>
            </w:tcBorders>
            <w:noWrap/>
            <w:vAlign w:val="bottom"/>
            <w:hideMark/>
          </w:tcPr>
          <w:p w14:paraId="1C9B9C96"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-3,361</w:t>
            </w:r>
          </w:p>
        </w:tc>
      </w:tr>
      <w:tr w:rsidR="008F7F78" w:rsidRPr="00084942" w14:paraId="2D6E72FD" w14:textId="77777777" w:rsidTr="008F7F78">
        <w:trPr>
          <w:trHeight w:val="300"/>
        </w:trPr>
        <w:tc>
          <w:tcPr>
            <w:tcW w:w="3320" w:type="dxa"/>
            <w:tcBorders>
              <w:top w:val="nil"/>
              <w:left w:val="single" w:sz="8" w:space="0" w:color="auto"/>
              <w:bottom w:val="nil"/>
              <w:right w:val="nil"/>
            </w:tcBorders>
            <w:noWrap/>
            <w:vAlign w:val="bottom"/>
            <w:hideMark/>
          </w:tcPr>
          <w:p w14:paraId="6EC11114"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Other income (expenses)</w:t>
            </w:r>
          </w:p>
        </w:tc>
        <w:tc>
          <w:tcPr>
            <w:tcW w:w="960" w:type="dxa"/>
            <w:tcBorders>
              <w:top w:val="nil"/>
              <w:left w:val="nil"/>
              <w:bottom w:val="nil"/>
              <w:right w:val="nil"/>
            </w:tcBorders>
            <w:noWrap/>
            <w:vAlign w:val="bottom"/>
            <w:hideMark/>
          </w:tcPr>
          <w:p w14:paraId="7FB91FCD"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7C05FF45"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8,060</w:t>
            </w:r>
          </w:p>
        </w:tc>
        <w:tc>
          <w:tcPr>
            <w:tcW w:w="960" w:type="dxa"/>
            <w:tcBorders>
              <w:top w:val="nil"/>
              <w:left w:val="nil"/>
              <w:bottom w:val="nil"/>
              <w:right w:val="nil"/>
            </w:tcBorders>
            <w:noWrap/>
            <w:vAlign w:val="bottom"/>
            <w:hideMark/>
          </w:tcPr>
          <w:p w14:paraId="0D1EE764"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-6,607</w:t>
            </w:r>
          </w:p>
        </w:tc>
        <w:tc>
          <w:tcPr>
            <w:tcW w:w="960" w:type="dxa"/>
            <w:tcBorders>
              <w:top w:val="nil"/>
              <w:left w:val="nil"/>
              <w:bottom w:val="nil"/>
              <w:right w:val="nil"/>
            </w:tcBorders>
            <w:noWrap/>
            <w:vAlign w:val="bottom"/>
            <w:hideMark/>
          </w:tcPr>
          <w:p w14:paraId="759F9B66"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-955</w:t>
            </w:r>
          </w:p>
        </w:tc>
        <w:tc>
          <w:tcPr>
            <w:tcW w:w="960" w:type="dxa"/>
            <w:tcBorders>
              <w:top w:val="nil"/>
              <w:left w:val="nil"/>
              <w:bottom w:val="nil"/>
              <w:right w:val="nil"/>
            </w:tcBorders>
            <w:noWrap/>
            <w:vAlign w:val="bottom"/>
            <w:hideMark/>
          </w:tcPr>
          <w:p w14:paraId="0719A17A"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-2,621</w:t>
            </w:r>
          </w:p>
        </w:tc>
        <w:tc>
          <w:tcPr>
            <w:tcW w:w="960" w:type="dxa"/>
            <w:tcBorders>
              <w:top w:val="nil"/>
              <w:left w:val="nil"/>
              <w:bottom w:val="nil"/>
              <w:right w:val="single" w:sz="8" w:space="0" w:color="auto"/>
            </w:tcBorders>
            <w:noWrap/>
            <w:vAlign w:val="bottom"/>
            <w:hideMark/>
          </w:tcPr>
          <w:p w14:paraId="7D547DE3"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60</w:t>
            </w:r>
          </w:p>
        </w:tc>
      </w:tr>
      <w:tr w:rsidR="008F7F78" w:rsidRPr="00084942" w14:paraId="507CD1EA" w14:textId="77777777" w:rsidTr="008F7F78">
        <w:trPr>
          <w:trHeight w:val="300"/>
        </w:trPr>
        <w:tc>
          <w:tcPr>
            <w:tcW w:w="3320" w:type="dxa"/>
            <w:tcBorders>
              <w:top w:val="nil"/>
              <w:left w:val="single" w:sz="8" w:space="0" w:color="auto"/>
              <w:bottom w:val="nil"/>
              <w:right w:val="nil"/>
            </w:tcBorders>
            <w:noWrap/>
            <w:vAlign w:val="bottom"/>
            <w:hideMark/>
          </w:tcPr>
          <w:p w14:paraId="013E21C4"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Income before tax</w:t>
            </w:r>
          </w:p>
        </w:tc>
        <w:tc>
          <w:tcPr>
            <w:tcW w:w="960" w:type="dxa"/>
            <w:tcBorders>
              <w:top w:val="nil"/>
              <w:left w:val="nil"/>
              <w:bottom w:val="nil"/>
              <w:right w:val="nil"/>
            </w:tcBorders>
            <w:noWrap/>
            <w:vAlign w:val="bottom"/>
            <w:hideMark/>
          </w:tcPr>
          <w:p w14:paraId="47A2051D"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2DAB0A1F"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43,905</w:t>
            </w:r>
          </w:p>
        </w:tc>
        <w:tc>
          <w:tcPr>
            <w:tcW w:w="960" w:type="dxa"/>
            <w:tcBorders>
              <w:top w:val="nil"/>
              <w:left w:val="nil"/>
              <w:bottom w:val="nil"/>
              <w:right w:val="nil"/>
            </w:tcBorders>
            <w:noWrap/>
            <w:vAlign w:val="bottom"/>
            <w:hideMark/>
          </w:tcPr>
          <w:p w14:paraId="15B00B60"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16,080</w:t>
            </w:r>
          </w:p>
        </w:tc>
        <w:tc>
          <w:tcPr>
            <w:tcW w:w="960" w:type="dxa"/>
            <w:tcBorders>
              <w:top w:val="nil"/>
              <w:left w:val="nil"/>
              <w:bottom w:val="nil"/>
              <w:right w:val="nil"/>
            </w:tcBorders>
            <w:noWrap/>
            <w:vAlign w:val="bottom"/>
            <w:hideMark/>
          </w:tcPr>
          <w:p w14:paraId="1DB119A0"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11,393</w:t>
            </w:r>
          </w:p>
        </w:tc>
        <w:tc>
          <w:tcPr>
            <w:tcW w:w="960" w:type="dxa"/>
            <w:tcBorders>
              <w:top w:val="nil"/>
              <w:left w:val="nil"/>
              <w:bottom w:val="nil"/>
              <w:right w:val="nil"/>
            </w:tcBorders>
            <w:noWrap/>
            <w:vAlign w:val="bottom"/>
            <w:hideMark/>
          </w:tcPr>
          <w:p w14:paraId="2E30C7FF"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-92,254</w:t>
            </w:r>
          </w:p>
        </w:tc>
        <w:tc>
          <w:tcPr>
            <w:tcW w:w="960" w:type="dxa"/>
            <w:tcBorders>
              <w:top w:val="nil"/>
              <w:left w:val="nil"/>
              <w:bottom w:val="nil"/>
              <w:right w:val="single" w:sz="8" w:space="0" w:color="auto"/>
            </w:tcBorders>
            <w:noWrap/>
            <w:vAlign w:val="bottom"/>
            <w:hideMark/>
          </w:tcPr>
          <w:p w14:paraId="2075564F"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-18,598</w:t>
            </w:r>
          </w:p>
        </w:tc>
      </w:tr>
      <w:tr w:rsidR="008F7F78" w:rsidRPr="00084942" w14:paraId="3F3C5271" w14:textId="77777777" w:rsidTr="008F7F78">
        <w:trPr>
          <w:trHeight w:val="300"/>
        </w:trPr>
        <w:tc>
          <w:tcPr>
            <w:tcW w:w="3320" w:type="dxa"/>
            <w:tcBorders>
              <w:top w:val="nil"/>
              <w:left w:val="single" w:sz="8" w:space="0" w:color="auto"/>
              <w:bottom w:val="nil"/>
              <w:right w:val="nil"/>
            </w:tcBorders>
            <w:noWrap/>
            <w:vAlign w:val="bottom"/>
            <w:hideMark/>
          </w:tcPr>
          <w:p w14:paraId="5F8DE735"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Income taxes</w:t>
            </w:r>
          </w:p>
        </w:tc>
        <w:tc>
          <w:tcPr>
            <w:tcW w:w="960" w:type="dxa"/>
            <w:tcBorders>
              <w:top w:val="nil"/>
              <w:left w:val="nil"/>
              <w:bottom w:val="nil"/>
              <w:right w:val="nil"/>
            </w:tcBorders>
            <w:noWrap/>
            <w:vAlign w:val="bottom"/>
            <w:hideMark/>
          </w:tcPr>
          <w:p w14:paraId="61EBB6FE"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2AD806D7"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-5,333</w:t>
            </w:r>
          </w:p>
        </w:tc>
        <w:tc>
          <w:tcPr>
            <w:tcW w:w="960" w:type="dxa"/>
            <w:tcBorders>
              <w:top w:val="nil"/>
              <w:left w:val="nil"/>
              <w:bottom w:val="nil"/>
              <w:right w:val="nil"/>
            </w:tcBorders>
            <w:noWrap/>
            <w:vAlign w:val="bottom"/>
            <w:hideMark/>
          </w:tcPr>
          <w:p w14:paraId="3C8B3468"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-10,779</w:t>
            </w:r>
          </w:p>
        </w:tc>
        <w:tc>
          <w:tcPr>
            <w:tcW w:w="960" w:type="dxa"/>
            <w:tcBorders>
              <w:top w:val="nil"/>
              <w:left w:val="nil"/>
              <w:bottom w:val="nil"/>
              <w:right w:val="nil"/>
            </w:tcBorders>
            <w:noWrap/>
            <w:vAlign w:val="bottom"/>
            <w:hideMark/>
          </w:tcPr>
          <w:p w14:paraId="43664C81"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-10,986</w:t>
            </w:r>
          </w:p>
        </w:tc>
        <w:tc>
          <w:tcPr>
            <w:tcW w:w="960" w:type="dxa"/>
            <w:tcBorders>
              <w:top w:val="nil"/>
              <w:left w:val="nil"/>
              <w:bottom w:val="nil"/>
              <w:right w:val="nil"/>
            </w:tcBorders>
            <w:noWrap/>
            <w:vAlign w:val="bottom"/>
            <w:hideMark/>
          </w:tcPr>
          <w:p w14:paraId="4691B8B8"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-5,984</w:t>
            </w:r>
          </w:p>
        </w:tc>
        <w:tc>
          <w:tcPr>
            <w:tcW w:w="960" w:type="dxa"/>
            <w:tcBorders>
              <w:top w:val="nil"/>
              <w:left w:val="nil"/>
              <w:bottom w:val="nil"/>
              <w:right w:val="single" w:sz="8" w:space="0" w:color="auto"/>
            </w:tcBorders>
            <w:noWrap/>
            <w:vAlign w:val="bottom"/>
            <w:hideMark/>
          </w:tcPr>
          <w:p w14:paraId="5F684C19"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-5,431</w:t>
            </w:r>
          </w:p>
        </w:tc>
      </w:tr>
      <w:tr w:rsidR="008F7F78" w:rsidRPr="00084942" w14:paraId="7897B90F" w14:textId="77777777" w:rsidTr="008F7F78">
        <w:trPr>
          <w:trHeight w:val="300"/>
        </w:trPr>
        <w:tc>
          <w:tcPr>
            <w:tcW w:w="3320" w:type="dxa"/>
            <w:tcBorders>
              <w:top w:val="nil"/>
              <w:left w:val="single" w:sz="8" w:space="0" w:color="auto"/>
              <w:bottom w:val="nil"/>
              <w:right w:val="nil"/>
            </w:tcBorders>
            <w:noWrap/>
            <w:vAlign w:val="bottom"/>
            <w:hideMark/>
          </w:tcPr>
          <w:p w14:paraId="0833A075"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Net income</w:t>
            </w:r>
          </w:p>
        </w:tc>
        <w:tc>
          <w:tcPr>
            <w:tcW w:w="960" w:type="dxa"/>
            <w:tcBorders>
              <w:top w:val="nil"/>
              <w:left w:val="nil"/>
              <w:bottom w:val="nil"/>
              <w:right w:val="nil"/>
            </w:tcBorders>
            <w:noWrap/>
            <w:vAlign w:val="bottom"/>
            <w:hideMark/>
          </w:tcPr>
          <w:p w14:paraId="3F9F4F18"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5DAA1419"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38,572</w:t>
            </w:r>
          </w:p>
        </w:tc>
        <w:tc>
          <w:tcPr>
            <w:tcW w:w="960" w:type="dxa"/>
            <w:tcBorders>
              <w:top w:val="nil"/>
              <w:left w:val="nil"/>
              <w:bottom w:val="nil"/>
              <w:right w:val="nil"/>
            </w:tcBorders>
            <w:noWrap/>
            <w:vAlign w:val="bottom"/>
            <w:hideMark/>
          </w:tcPr>
          <w:p w14:paraId="60D1EEC1"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5,301</w:t>
            </w:r>
          </w:p>
        </w:tc>
        <w:tc>
          <w:tcPr>
            <w:tcW w:w="960" w:type="dxa"/>
            <w:tcBorders>
              <w:top w:val="nil"/>
              <w:left w:val="nil"/>
              <w:bottom w:val="nil"/>
              <w:right w:val="nil"/>
            </w:tcBorders>
            <w:noWrap/>
            <w:vAlign w:val="bottom"/>
            <w:hideMark/>
          </w:tcPr>
          <w:p w14:paraId="70C13CA0"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407</w:t>
            </w:r>
          </w:p>
        </w:tc>
        <w:tc>
          <w:tcPr>
            <w:tcW w:w="960" w:type="dxa"/>
            <w:tcBorders>
              <w:top w:val="nil"/>
              <w:left w:val="nil"/>
              <w:bottom w:val="nil"/>
              <w:right w:val="nil"/>
            </w:tcBorders>
            <w:noWrap/>
            <w:vAlign w:val="bottom"/>
            <w:hideMark/>
          </w:tcPr>
          <w:p w14:paraId="403FB026"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-98,238</w:t>
            </w:r>
          </w:p>
        </w:tc>
        <w:tc>
          <w:tcPr>
            <w:tcW w:w="960" w:type="dxa"/>
            <w:tcBorders>
              <w:top w:val="nil"/>
              <w:left w:val="nil"/>
              <w:bottom w:val="nil"/>
              <w:right w:val="single" w:sz="8" w:space="0" w:color="auto"/>
            </w:tcBorders>
            <w:noWrap/>
            <w:vAlign w:val="bottom"/>
            <w:hideMark/>
          </w:tcPr>
          <w:p w14:paraId="66557C8A"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-24,029</w:t>
            </w:r>
          </w:p>
        </w:tc>
      </w:tr>
      <w:tr w:rsidR="008F7F78" w:rsidRPr="00084942" w14:paraId="28861C61" w14:textId="77777777" w:rsidTr="008F7F78">
        <w:trPr>
          <w:trHeight w:val="300"/>
        </w:trPr>
        <w:tc>
          <w:tcPr>
            <w:tcW w:w="3320" w:type="dxa"/>
            <w:tcBorders>
              <w:top w:val="nil"/>
              <w:left w:val="single" w:sz="8" w:space="0" w:color="auto"/>
              <w:bottom w:val="nil"/>
              <w:right w:val="nil"/>
            </w:tcBorders>
            <w:noWrap/>
            <w:vAlign w:val="bottom"/>
            <w:hideMark/>
          </w:tcPr>
          <w:p w14:paraId="6FA3691C"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 </w:t>
            </w:r>
          </w:p>
        </w:tc>
        <w:tc>
          <w:tcPr>
            <w:tcW w:w="960" w:type="dxa"/>
            <w:tcBorders>
              <w:top w:val="nil"/>
              <w:left w:val="nil"/>
              <w:bottom w:val="nil"/>
              <w:right w:val="nil"/>
            </w:tcBorders>
            <w:noWrap/>
            <w:vAlign w:val="bottom"/>
            <w:hideMark/>
          </w:tcPr>
          <w:p w14:paraId="6B045054"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1F8A9BC8" w14:textId="77777777" w:rsidR="008F7F78" w:rsidRPr="00084942" w:rsidRDefault="008F7F78" w:rsidP="008F7F78">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nil"/>
            </w:tcBorders>
            <w:noWrap/>
            <w:vAlign w:val="bottom"/>
            <w:hideMark/>
          </w:tcPr>
          <w:p w14:paraId="23870579" w14:textId="77777777" w:rsidR="008F7F78" w:rsidRPr="00084942" w:rsidRDefault="008F7F78" w:rsidP="008F7F78">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nil"/>
            </w:tcBorders>
            <w:noWrap/>
            <w:vAlign w:val="bottom"/>
            <w:hideMark/>
          </w:tcPr>
          <w:p w14:paraId="0DE9C72E" w14:textId="77777777" w:rsidR="008F7F78" w:rsidRPr="00084942" w:rsidRDefault="008F7F78" w:rsidP="008F7F78">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nil"/>
            </w:tcBorders>
            <w:noWrap/>
            <w:vAlign w:val="bottom"/>
            <w:hideMark/>
          </w:tcPr>
          <w:p w14:paraId="5C8AE97B" w14:textId="77777777" w:rsidR="008F7F78" w:rsidRPr="00084942" w:rsidRDefault="008F7F78" w:rsidP="008F7F78">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single" w:sz="8" w:space="0" w:color="auto"/>
            </w:tcBorders>
            <w:noWrap/>
            <w:vAlign w:val="bottom"/>
            <w:hideMark/>
          </w:tcPr>
          <w:p w14:paraId="582BEF3F"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 </w:t>
            </w:r>
          </w:p>
        </w:tc>
      </w:tr>
      <w:tr w:rsidR="008F7F78" w:rsidRPr="00084942" w14:paraId="389A3E0A" w14:textId="77777777" w:rsidTr="008F7F78">
        <w:trPr>
          <w:trHeight w:val="300"/>
        </w:trPr>
        <w:tc>
          <w:tcPr>
            <w:tcW w:w="3320" w:type="dxa"/>
            <w:tcBorders>
              <w:top w:val="single" w:sz="4" w:space="0" w:color="auto"/>
              <w:left w:val="single" w:sz="8" w:space="0" w:color="auto"/>
              <w:bottom w:val="single" w:sz="4" w:space="0" w:color="auto"/>
              <w:right w:val="single" w:sz="4" w:space="0" w:color="auto"/>
            </w:tcBorders>
            <w:shd w:val="clear" w:color="000000" w:fill="92CDDC"/>
            <w:noWrap/>
            <w:vAlign w:val="bottom"/>
            <w:hideMark/>
          </w:tcPr>
          <w:p w14:paraId="3BFB7C92" w14:textId="77777777" w:rsidR="008F7F78" w:rsidRPr="00084942" w:rsidRDefault="008F7F78" w:rsidP="008F7F78">
            <w:pPr>
              <w:spacing w:after="0" w:line="240" w:lineRule="auto"/>
              <w:jc w:val="lef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EPS &amp; Shares</w:t>
            </w:r>
          </w:p>
        </w:tc>
        <w:tc>
          <w:tcPr>
            <w:tcW w:w="960" w:type="dxa"/>
            <w:tcBorders>
              <w:top w:val="single" w:sz="4" w:space="0" w:color="auto"/>
              <w:left w:val="nil"/>
              <w:bottom w:val="single" w:sz="4" w:space="0" w:color="auto"/>
              <w:right w:val="single" w:sz="4" w:space="0" w:color="auto"/>
            </w:tcBorders>
            <w:shd w:val="clear" w:color="000000" w:fill="92CDDC"/>
            <w:noWrap/>
            <w:vAlign w:val="bottom"/>
            <w:hideMark/>
          </w:tcPr>
          <w:p w14:paraId="39E6C3E2" w14:textId="77777777" w:rsidR="008F7F78" w:rsidRPr="00084942" w:rsidRDefault="008F7F78" w:rsidP="008F7F78">
            <w:pPr>
              <w:spacing w:after="0" w:line="240" w:lineRule="auto"/>
              <w:jc w:val="lef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Unit: £m</w:t>
            </w:r>
          </w:p>
        </w:tc>
        <w:tc>
          <w:tcPr>
            <w:tcW w:w="960" w:type="dxa"/>
            <w:tcBorders>
              <w:top w:val="single" w:sz="4" w:space="0" w:color="auto"/>
              <w:left w:val="nil"/>
              <w:bottom w:val="single" w:sz="4" w:space="0" w:color="auto"/>
              <w:right w:val="single" w:sz="4" w:space="0" w:color="auto"/>
            </w:tcBorders>
            <w:shd w:val="clear" w:color="000000" w:fill="92CDDC"/>
            <w:noWrap/>
            <w:vAlign w:val="bottom"/>
            <w:hideMark/>
          </w:tcPr>
          <w:p w14:paraId="64F57C95" w14:textId="77777777" w:rsidR="008F7F78" w:rsidRPr="00084942" w:rsidRDefault="008F7F78" w:rsidP="008F7F78">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2020</w:t>
            </w:r>
          </w:p>
        </w:tc>
        <w:tc>
          <w:tcPr>
            <w:tcW w:w="960" w:type="dxa"/>
            <w:tcBorders>
              <w:top w:val="single" w:sz="4" w:space="0" w:color="auto"/>
              <w:left w:val="nil"/>
              <w:bottom w:val="single" w:sz="4" w:space="0" w:color="auto"/>
              <w:right w:val="single" w:sz="4" w:space="0" w:color="auto"/>
            </w:tcBorders>
            <w:shd w:val="clear" w:color="000000" w:fill="92CDDC"/>
            <w:noWrap/>
            <w:vAlign w:val="bottom"/>
            <w:hideMark/>
          </w:tcPr>
          <w:p w14:paraId="38B944E9" w14:textId="77777777" w:rsidR="008F7F78" w:rsidRPr="00084942" w:rsidRDefault="008F7F78" w:rsidP="008F7F78">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2021</w:t>
            </w:r>
          </w:p>
        </w:tc>
        <w:tc>
          <w:tcPr>
            <w:tcW w:w="960" w:type="dxa"/>
            <w:tcBorders>
              <w:top w:val="single" w:sz="4" w:space="0" w:color="auto"/>
              <w:left w:val="nil"/>
              <w:bottom w:val="single" w:sz="4" w:space="0" w:color="auto"/>
              <w:right w:val="single" w:sz="4" w:space="0" w:color="auto"/>
            </w:tcBorders>
            <w:shd w:val="clear" w:color="000000" w:fill="92CDDC"/>
            <w:noWrap/>
            <w:vAlign w:val="bottom"/>
            <w:hideMark/>
          </w:tcPr>
          <w:p w14:paraId="36955DE3" w14:textId="77777777" w:rsidR="008F7F78" w:rsidRPr="00084942" w:rsidRDefault="008F7F78" w:rsidP="008F7F78">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2022</w:t>
            </w:r>
          </w:p>
        </w:tc>
        <w:tc>
          <w:tcPr>
            <w:tcW w:w="960" w:type="dxa"/>
            <w:tcBorders>
              <w:top w:val="single" w:sz="4" w:space="0" w:color="auto"/>
              <w:left w:val="nil"/>
              <w:bottom w:val="single" w:sz="4" w:space="0" w:color="auto"/>
              <w:right w:val="single" w:sz="4" w:space="0" w:color="auto"/>
            </w:tcBorders>
            <w:shd w:val="clear" w:color="000000" w:fill="92CDDC"/>
            <w:noWrap/>
            <w:vAlign w:val="bottom"/>
            <w:hideMark/>
          </w:tcPr>
          <w:p w14:paraId="1B3F8CA2" w14:textId="77777777" w:rsidR="008F7F78" w:rsidRPr="00084942" w:rsidRDefault="008F7F78" w:rsidP="008F7F78">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2023</w:t>
            </w:r>
          </w:p>
        </w:tc>
        <w:tc>
          <w:tcPr>
            <w:tcW w:w="960" w:type="dxa"/>
            <w:tcBorders>
              <w:top w:val="single" w:sz="4" w:space="0" w:color="auto"/>
              <w:left w:val="nil"/>
              <w:bottom w:val="single" w:sz="4" w:space="0" w:color="auto"/>
              <w:right w:val="single" w:sz="8" w:space="0" w:color="auto"/>
            </w:tcBorders>
            <w:shd w:val="clear" w:color="000000" w:fill="92CDDC"/>
            <w:noWrap/>
            <w:vAlign w:val="bottom"/>
            <w:hideMark/>
          </w:tcPr>
          <w:p w14:paraId="7002DB0C" w14:textId="77777777" w:rsidR="008F7F78" w:rsidRPr="00084942" w:rsidRDefault="008F7F78" w:rsidP="008F7F78">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2024</w:t>
            </w:r>
          </w:p>
        </w:tc>
      </w:tr>
      <w:tr w:rsidR="008F7F78" w:rsidRPr="00084942" w14:paraId="43CC4475" w14:textId="77777777" w:rsidTr="008F7F78">
        <w:trPr>
          <w:trHeight w:val="300"/>
        </w:trPr>
        <w:tc>
          <w:tcPr>
            <w:tcW w:w="3320" w:type="dxa"/>
            <w:tcBorders>
              <w:top w:val="nil"/>
              <w:left w:val="single" w:sz="8" w:space="0" w:color="auto"/>
              <w:bottom w:val="nil"/>
              <w:right w:val="nil"/>
            </w:tcBorders>
            <w:noWrap/>
            <w:vAlign w:val="bottom"/>
            <w:hideMark/>
          </w:tcPr>
          <w:p w14:paraId="104AE804"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Basic EPS (£)</w:t>
            </w:r>
          </w:p>
        </w:tc>
        <w:tc>
          <w:tcPr>
            <w:tcW w:w="960" w:type="dxa"/>
            <w:tcBorders>
              <w:top w:val="nil"/>
              <w:left w:val="nil"/>
              <w:bottom w:val="nil"/>
              <w:right w:val="nil"/>
            </w:tcBorders>
            <w:noWrap/>
            <w:vAlign w:val="bottom"/>
            <w:hideMark/>
          </w:tcPr>
          <w:p w14:paraId="24B3A7E3"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1B3C7F6A"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w:t>
            </w:r>
          </w:p>
        </w:tc>
        <w:tc>
          <w:tcPr>
            <w:tcW w:w="960" w:type="dxa"/>
            <w:tcBorders>
              <w:top w:val="nil"/>
              <w:left w:val="nil"/>
              <w:bottom w:val="nil"/>
              <w:right w:val="nil"/>
            </w:tcBorders>
            <w:noWrap/>
            <w:vAlign w:val="bottom"/>
            <w:hideMark/>
          </w:tcPr>
          <w:p w14:paraId="7AF0D813"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0</w:t>
            </w:r>
          </w:p>
        </w:tc>
        <w:tc>
          <w:tcPr>
            <w:tcW w:w="960" w:type="dxa"/>
            <w:tcBorders>
              <w:top w:val="nil"/>
              <w:left w:val="nil"/>
              <w:bottom w:val="nil"/>
              <w:right w:val="nil"/>
            </w:tcBorders>
            <w:noWrap/>
            <w:vAlign w:val="bottom"/>
            <w:hideMark/>
          </w:tcPr>
          <w:p w14:paraId="049E578D"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0</w:t>
            </w:r>
          </w:p>
        </w:tc>
        <w:tc>
          <w:tcPr>
            <w:tcW w:w="960" w:type="dxa"/>
            <w:tcBorders>
              <w:top w:val="nil"/>
              <w:left w:val="nil"/>
              <w:bottom w:val="nil"/>
              <w:right w:val="nil"/>
            </w:tcBorders>
            <w:noWrap/>
            <w:vAlign w:val="bottom"/>
            <w:hideMark/>
          </w:tcPr>
          <w:p w14:paraId="49917F6F"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-8</w:t>
            </w:r>
          </w:p>
        </w:tc>
        <w:tc>
          <w:tcPr>
            <w:tcW w:w="960" w:type="dxa"/>
            <w:tcBorders>
              <w:top w:val="nil"/>
              <w:left w:val="nil"/>
              <w:bottom w:val="nil"/>
              <w:right w:val="single" w:sz="8" w:space="0" w:color="auto"/>
            </w:tcBorders>
            <w:noWrap/>
            <w:vAlign w:val="bottom"/>
            <w:hideMark/>
          </w:tcPr>
          <w:p w14:paraId="6DD29C8A"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w:t>
            </w:r>
          </w:p>
        </w:tc>
      </w:tr>
      <w:tr w:rsidR="008F7F78" w:rsidRPr="00084942" w14:paraId="50C7B477" w14:textId="77777777" w:rsidTr="008F7F78">
        <w:trPr>
          <w:trHeight w:val="300"/>
        </w:trPr>
        <w:tc>
          <w:tcPr>
            <w:tcW w:w="3320" w:type="dxa"/>
            <w:tcBorders>
              <w:top w:val="nil"/>
              <w:left w:val="single" w:sz="8" w:space="0" w:color="auto"/>
              <w:bottom w:val="nil"/>
              <w:right w:val="nil"/>
            </w:tcBorders>
            <w:noWrap/>
            <w:vAlign w:val="bottom"/>
            <w:hideMark/>
          </w:tcPr>
          <w:p w14:paraId="0E6B0CC1"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Diluted EPS (£)</w:t>
            </w:r>
          </w:p>
        </w:tc>
        <w:tc>
          <w:tcPr>
            <w:tcW w:w="960" w:type="dxa"/>
            <w:tcBorders>
              <w:top w:val="nil"/>
              <w:left w:val="nil"/>
              <w:bottom w:val="nil"/>
              <w:right w:val="nil"/>
            </w:tcBorders>
            <w:noWrap/>
            <w:vAlign w:val="bottom"/>
            <w:hideMark/>
          </w:tcPr>
          <w:p w14:paraId="3BD51032"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77DB1DF6"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w:t>
            </w:r>
          </w:p>
        </w:tc>
        <w:tc>
          <w:tcPr>
            <w:tcW w:w="960" w:type="dxa"/>
            <w:tcBorders>
              <w:top w:val="nil"/>
              <w:left w:val="nil"/>
              <w:bottom w:val="nil"/>
              <w:right w:val="nil"/>
            </w:tcBorders>
            <w:noWrap/>
            <w:vAlign w:val="bottom"/>
            <w:hideMark/>
          </w:tcPr>
          <w:p w14:paraId="2C19515E"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0</w:t>
            </w:r>
          </w:p>
        </w:tc>
        <w:tc>
          <w:tcPr>
            <w:tcW w:w="960" w:type="dxa"/>
            <w:tcBorders>
              <w:top w:val="nil"/>
              <w:left w:val="nil"/>
              <w:bottom w:val="nil"/>
              <w:right w:val="nil"/>
            </w:tcBorders>
            <w:noWrap/>
            <w:vAlign w:val="bottom"/>
            <w:hideMark/>
          </w:tcPr>
          <w:p w14:paraId="6253454F"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0</w:t>
            </w:r>
          </w:p>
        </w:tc>
        <w:tc>
          <w:tcPr>
            <w:tcW w:w="960" w:type="dxa"/>
            <w:tcBorders>
              <w:top w:val="nil"/>
              <w:left w:val="nil"/>
              <w:bottom w:val="nil"/>
              <w:right w:val="nil"/>
            </w:tcBorders>
            <w:noWrap/>
            <w:vAlign w:val="bottom"/>
            <w:hideMark/>
          </w:tcPr>
          <w:p w14:paraId="2F96D073"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-8</w:t>
            </w:r>
          </w:p>
        </w:tc>
        <w:tc>
          <w:tcPr>
            <w:tcW w:w="960" w:type="dxa"/>
            <w:tcBorders>
              <w:top w:val="nil"/>
              <w:left w:val="nil"/>
              <w:bottom w:val="nil"/>
              <w:right w:val="single" w:sz="8" w:space="0" w:color="auto"/>
            </w:tcBorders>
            <w:noWrap/>
            <w:vAlign w:val="bottom"/>
            <w:hideMark/>
          </w:tcPr>
          <w:p w14:paraId="47C7A312"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w:t>
            </w:r>
          </w:p>
        </w:tc>
      </w:tr>
      <w:tr w:rsidR="008F7F78" w:rsidRPr="00084942" w14:paraId="05C386D3" w14:textId="77777777" w:rsidTr="008F7F78">
        <w:trPr>
          <w:trHeight w:val="300"/>
        </w:trPr>
        <w:tc>
          <w:tcPr>
            <w:tcW w:w="3320" w:type="dxa"/>
            <w:tcBorders>
              <w:top w:val="nil"/>
              <w:left w:val="single" w:sz="8" w:space="0" w:color="auto"/>
              <w:bottom w:val="nil"/>
              <w:right w:val="nil"/>
            </w:tcBorders>
            <w:noWrap/>
            <w:vAlign w:val="bottom"/>
            <w:hideMark/>
          </w:tcPr>
          <w:p w14:paraId="18632BA6"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Basic shares (m)</w:t>
            </w:r>
          </w:p>
        </w:tc>
        <w:tc>
          <w:tcPr>
            <w:tcW w:w="960" w:type="dxa"/>
            <w:tcBorders>
              <w:top w:val="nil"/>
              <w:left w:val="nil"/>
              <w:bottom w:val="nil"/>
              <w:right w:val="nil"/>
            </w:tcBorders>
            <w:noWrap/>
            <w:vAlign w:val="bottom"/>
            <w:hideMark/>
          </w:tcPr>
          <w:p w14:paraId="2F8E40CB"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7F587C24"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13,893</w:t>
            </w:r>
          </w:p>
        </w:tc>
        <w:tc>
          <w:tcPr>
            <w:tcW w:w="960" w:type="dxa"/>
            <w:tcBorders>
              <w:top w:val="nil"/>
              <w:left w:val="nil"/>
              <w:bottom w:val="nil"/>
              <w:right w:val="nil"/>
            </w:tcBorders>
            <w:noWrap/>
            <w:vAlign w:val="bottom"/>
            <w:hideMark/>
          </w:tcPr>
          <w:p w14:paraId="009F6D77"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13,465</w:t>
            </w:r>
          </w:p>
        </w:tc>
        <w:tc>
          <w:tcPr>
            <w:tcW w:w="960" w:type="dxa"/>
            <w:tcBorders>
              <w:top w:val="nil"/>
              <w:left w:val="nil"/>
              <w:bottom w:val="nil"/>
              <w:right w:val="nil"/>
            </w:tcBorders>
            <w:noWrap/>
            <w:vAlign w:val="bottom"/>
            <w:hideMark/>
          </w:tcPr>
          <w:p w14:paraId="7F370F6C"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12,703</w:t>
            </w:r>
          </w:p>
        </w:tc>
        <w:tc>
          <w:tcPr>
            <w:tcW w:w="960" w:type="dxa"/>
            <w:tcBorders>
              <w:top w:val="nil"/>
              <w:left w:val="nil"/>
              <w:bottom w:val="nil"/>
              <w:right w:val="nil"/>
            </w:tcBorders>
            <w:noWrap/>
            <w:vAlign w:val="bottom"/>
            <w:hideMark/>
          </w:tcPr>
          <w:p w14:paraId="7E578DFB"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12,855</w:t>
            </w:r>
          </w:p>
        </w:tc>
        <w:tc>
          <w:tcPr>
            <w:tcW w:w="960" w:type="dxa"/>
            <w:tcBorders>
              <w:top w:val="nil"/>
              <w:left w:val="nil"/>
              <w:bottom w:val="nil"/>
              <w:right w:val="single" w:sz="8" w:space="0" w:color="auto"/>
            </w:tcBorders>
            <w:noWrap/>
            <w:vAlign w:val="bottom"/>
            <w:hideMark/>
          </w:tcPr>
          <w:p w14:paraId="7FEEC333"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12,959</w:t>
            </w:r>
          </w:p>
        </w:tc>
      </w:tr>
      <w:tr w:rsidR="008F7F78" w:rsidRPr="00084942" w14:paraId="0828E409" w14:textId="77777777" w:rsidTr="008F7F78">
        <w:trPr>
          <w:trHeight w:val="315"/>
        </w:trPr>
        <w:tc>
          <w:tcPr>
            <w:tcW w:w="3320" w:type="dxa"/>
            <w:tcBorders>
              <w:top w:val="nil"/>
              <w:left w:val="single" w:sz="8" w:space="0" w:color="auto"/>
              <w:bottom w:val="single" w:sz="8" w:space="0" w:color="auto"/>
              <w:right w:val="nil"/>
            </w:tcBorders>
            <w:noWrap/>
            <w:vAlign w:val="bottom"/>
            <w:hideMark/>
          </w:tcPr>
          <w:p w14:paraId="3917F38A"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Diluted shares (m)</w:t>
            </w:r>
          </w:p>
        </w:tc>
        <w:tc>
          <w:tcPr>
            <w:tcW w:w="960" w:type="dxa"/>
            <w:tcBorders>
              <w:top w:val="nil"/>
              <w:left w:val="nil"/>
              <w:bottom w:val="single" w:sz="8" w:space="0" w:color="auto"/>
              <w:right w:val="nil"/>
            </w:tcBorders>
            <w:noWrap/>
            <w:vAlign w:val="bottom"/>
            <w:hideMark/>
          </w:tcPr>
          <w:p w14:paraId="66E6D963" w14:textId="77777777" w:rsidR="008F7F78" w:rsidRPr="00084942" w:rsidRDefault="008F7F78" w:rsidP="008F7F78">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 </w:t>
            </w:r>
          </w:p>
        </w:tc>
        <w:tc>
          <w:tcPr>
            <w:tcW w:w="960" w:type="dxa"/>
            <w:tcBorders>
              <w:top w:val="nil"/>
              <w:left w:val="nil"/>
              <w:bottom w:val="single" w:sz="8" w:space="0" w:color="auto"/>
              <w:right w:val="nil"/>
            </w:tcBorders>
            <w:noWrap/>
            <w:vAlign w:val="bottom"/>
            <w:hideMark/>
          </w:tcPr>
          <w:p w14:paraId="412E8627"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14,166</w:t>
            </w:r>
          </w:p>
        </w:tc>
        <w:tc>
          <w:tcPr>
            <w:tcW w:w="960" w:type="dxa"/>
            <w:tcBorders>
              <w:top w:val="nil"/>
              <w:left w:val="nil"/>
              <w:bottom w:val="single" w:sz="8" w:space="0" w:color="auto"/>
              <w:right w:val="nil"/>
            </w:tcBorders>
            <w:noWrap/>
            <w:vAlign w:val="bottom"/>
            <w:hideMark/>
          </w:tcPr>
          <w:p w14:paraId="30DD622E"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13,742</w:t>
            </w:r>
          </w:p>
        </w:tc>
        <w:tc>
          <w:tcPr>
            <w:tcW w:w="960" w:type="dxa"/>
            <w:tcBorders>
              <w:top w:val="nil"/>
              <w:left w:val="nil"/>
              <w:bottom w:val="single" w:sz="8" w:space="0" w:color="auto"/>
              <w:right w:val="nil"/>
            </w:tcBorders>
            <w:noWrap/>
            <w:vAlign w:val="bottom"/>
            <w:hideMark/>
          </w:tcPr>
          <w:p w14:paraId="380C5AA6"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12,779</w:t>
            </w:r>
          </w:p>
        </w:tc>
        <w:tc>
          <w:tcPr>
            <w:tcW w:w="960" w:type="dxa"/>
            <w:tcBorders>
              <w:top w:val="nil"/>
              <w:left w:val="nil"/>
              <w:bottom w:val="single" w:sz="8" w:space="0" w:color="auto"/>
              <w:right w:val="nil"/>
            </w:tcBorders>
            <w:noWrap/>
            <w:vAlign w:val="bottom"/>
            <w:hideMark/>
          </w:tcPr>
          <w:p w14:paraId="4CFE6746"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12,855</w:t>
            </w:r>
          </w:p>
        </w:tc>
        <w:tc>
          <w:tcPr>
            <w:tcW w:w="960" w:type="dxa"/>
            <w:tcBorders>
              <w:top w:val="nil"/>
              <w:left w:val="nil"/>
              <w:bottom w:val="single" w:sz="8" w:space="0" w:color="auto"/>
              <w:right w:val="single" w:sz="8" w:space="0" w:color="auto"/>
            </w:tcBorders>
            <w:noWrap/>
            <w:vAlign w:val="bottom"/>
            <w:hideMark/>
          </w:tcPr>
          <w:p w14:paraId="56CCC185" w14:textId="77777777" w:rsidR="008F7F78" w:rsidRPr="00084942" w:rsidRDefault="008F7F78" w:rsidP="008F7F78">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12,959</w:t>
            </w:r>
          </w:p>
        </w:tc>
      </w:tr>
    </w:tbl>
    <w:p w14:paraId="723DF9A6" w14:textId="77777777" w:rsidR="000B3E16" w:rsidRPr="00084942" w:rsidRDefault="000B3E16" w:rsidP="00E03007">
      <w:pPr>
        <w:spacing w:line="259" w:lineRule="auto"/>
        <w:jc w:val="center"/>
        <w:rPr>
          <w:rFonts w:ascii="Arial" w:hAnsi="Arial" w:cs="Arial"/>
        </w:rPr>
      </w:pPr>
    </w:p>
    <w:p w14:paraId="6981A7CE" w14:textId="559FE5C1" w:rsidR="008F7F78" w:rsidRPr="00084942" w:rsidRDefault="000B3E16" w:rsidP="00BA7DA5">
      <w:pPr>
        <w:pStyle w:val="Heading2"/>
        <w:rPr>
          <w:rFonts w:cs="Arial"/>
        </w:rPr>
      </w:pPr>
      <w:r w:rsidRPr="00084942">
        <w:rPr>
          <w:rFonts w:cs="Arial"/>
        </w:rPr>
        <w:t>Balance sheet</w:t>
      </w:r>
    </w:p>
    <w:tbl>
      <w:tblPr>
        <w:tblW w:w="9080" w:type="dxa"/>
        <w:tblLook w:val="04A0" w:firstRow="1" w:lastRow="0" w:firstColumn="1" w:lastColumn="0" w:noHBand="0" w:noVBand="1"/>
      </w:tblPr>
      <w:tblGrid>
        <w:gridCol w:w="3320"/>
        <w:gridCol w:w="960"/>
        <w:gridCol w:w="1012"/>
        <w:gridCol w:w="1012"/>
        <w:gridCol w:w="1012"/>
        <w:gridCol w:w="1012"/>
        <w:gridCol w:w="1012"/>
      </w:tblGrid>
      <w:tr w:rsidR="000B3E16" w:rsidRPr="00084942" w14:paraId="687E3A22" w14:textId="77777777" w:rsidTr="000B3E16">
        <w:trPr>
          <w:trHeight w:val="300"/>
        </w:trPr>
        <w:tc>
          <w:tcPr>
            <w:tcW w:w="3320" w:type="dxa"/>
            <w:tcBorders>
              <w:top w:val="single" w:sz="8" w:space="0" w:color="auto"/>
              <w:left w:val="single" w:sz="8" w:space="0" w:color="auto"/>
              <w:bottom w:val="single" w:sz="4" w:space="0" w:color="auto"/>
              <w:right w:val="single" w:sz="4" w:space="0" w:color="auto"/>
            </w:tcBorders>
            <w:shd w:val="clear" w:color="000000" w:fill="C4D79B"/>
            <w:noWrap/>
            <w:vAlign w:val="bottom"/>
            <w:hideMark/>
          </w:tcPr>
          <w:p w14:paraId="351E4429" w14:textId="77777777" w:rsidR="000B3E16" w:rsidRPr="00084942" w:rsidRDefault="000B3E16" w:rsidP="000B3E16">
            <w:pPr>
              <w:spacing w:after="0" w:line="240" w:lineRule="auto"/>
              <w:jc w:val="lef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Balance Sheet - Assets</w:t>
            </w:r>
          </w:p>
        </w:tc>
        <w:tc>
          <w:tcPr>
            <w:tcW w:w="960" w:type="dxa"/>
            <w:tcBorders>
              <w:top w:val="single" w:sz="8" w:space="0" w:color="auto"/>
              <w:left w:val="nil"/>
              <w:bottom w:val="single" w:sz="4" w:space="0" w:color="auto"/>
              <w:right w:val="single" w:sz="4" w:space="0" w:color="auto"/>
            </w:tcBorders>
            <w:shd w:val="clear" w:color="000000" w:fill="C4D79B"/>
            <w:noWrap/>
            <w:vAlign w:val="bottom"/>
            <w:hideMark/>
          </w:tcPr>
          <w:p w14:paraId="6529B188" w14:textId="77777777" w:rsidR="000B3E16" w:rsidRPr="00084942" w:rsidRDefault="000B3E16" w:rsidP="000B3E16">
            <w:pPr>
              <w:spacing w:after="0" w:line="240" w:lineRule="auto"/>
              <w:jc w:val="lef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Unit: £m</w:t>
            </w:r>
          </w:p>
        </w:tc>
        <w:tc>
          <w:tcPr>
            <w:tcW w:w="960" w:type="dxa"/>
            <w:tcBorders>
              <w:top w:val="single" w:sz="8" w:space="0" w:color="auto"/>
              <w:left w:val="nil"/>
              <w:bottom w:val="single" w:sz="4" w:space="0" w:color="auto"/>
              <w:right w:val="single" w:sz="4" w:space="0" w:color="auto"/>
            </w:tcBorders>
            <w:shd w:val="clear" w:color="000000" w:fill="C4D79B"/>
            <w:noWrap/>
            <w:vAlign w:val="bottom"/>
            <w:hideMark/>
          </w:tcPr>
          <w:p w14:paraId="0B8CAA0B" w14:textId="77777777" w:rsidR="000B3E16" w:rsidRPr="00084942" w:rsidRDefault="000B3E16" w:rsidP="000B3E16">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2020</w:t>
            </w:r>
          </w:p>
        </w:tc>
        <w:tc>
          <w:tcPr>
            <w:tcW w:w="960" w:type="dxa"/>
            <w:tcBorders>
              <w:top w:val="single" w:sz="8" w:space="0" w:color="auto"/>
              <w:left w:val="nil"/>
              <w:bottom w:val="single" w:sz="4" w:space="0" w:color="auto"/>
              <w:right w:val="single" w:sz="4" w:space="0" w:color="auto"/>
            </w:tcBorders>
            <w:shd w:val="clear" w:color="000000" w:fill="C4D79B"/>
            <w:noWrap/>
            <w:vAlign w:val="bottom"/>
            <w:hideMark/>
          </w:tcPr>
          <w:p w14:paraId="2E64103C" w14:textId="77777777" w:rsidR="000B3E16" w:rsidRPr="00084942" w:rsidRDefault="000B3E16" w:rsidP="000B3E16">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2021</w:t>
            </w:r>
          </w:p>
        </w:tc>
        <w:tc>
          <w:tcPr>
            <w:tcW w:w="960" w:type="dxa"/>
            <w:tcBorders>
              <w:top w:val="single" w:sz="8" w:space="0" w:color="auto"/>
              <w:left w:val="nil"/>
              <w:bottom w:val="single" w:sz="4" w:space="0" w:color="auto"/>
              <w:right w:val="single" w:sz="4" w:space="0" w:color="auto"/>
            </w:tcBorders>
            <w:shd w:val="clear" w:color="000000" w:fill="C4D79B"/>
            <w:noWrap/>
            <w:vAlign w:val="bottom"/>
            <w:hideMark/>
          </w:tcPr>
          <w:p w14:paraId="4FCF9607" w14:textId="77777777" w:rsidR="000B3E16" w:rsidRPr="00084942" w:rsidRDefault="000B3E16" w:rsidP="000B3E16">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2022</w:t>
            </w:r>
          </w:p>
        </w:tc>
        <w:tc>
          <w:tcPr>
            <w:tcW w:w="960" w:type="dxa"/>
            <w:tcBorders>
              <w:top w:val="single" w:sz="8" w:space="0" w:color="auto"/>
              <w:left w:val="nil"/>
              <w:bottom w:val="single" w:sz="4" w:space="0" w:color="auto"/>
              <w:right w:val="single" w:sz="4" w:space="0" w:color="auto"/>
            </w:tcBorders>
            <w:shd w:val="clear" w:color="000000" w:fill="C4D79B"/>
            <w:noWrap/>
            <w:vAlign w:val="bottom"/>
            <w:hideMark/>
          </w:tcPr>
          <w:p w14:paraId="69BB6847" w14:textId="77777777" w:rsidR="000B3E16" w:rsidRPr="00084942" w:rsidRDefault="000B3E16" w:rsidP="000B3E16">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2023</w:t>
            </w:r>
          </w:p>
        </w:tc>
        <w:tc>
          <w:tcPr>
            <w:tcW w:w="960" w:type="dxa"/>
            <w:tcBorders>
              <w:top w:val="single" w:sz="8" w:space="0" w:color="auto"/>
              <w:left w:val="nil"/>
              <w:bottom w:val="single" w:sz="4" w:space="0" w:color="auto"/>
              <w:right w:val="single" w:sz="8" w:space="0" w:color="auto"/>
            </w:tcBorders>
            <w:shd w:val="clear" w:color="000000" w:fill="C4D79B"/>
            <w:noWrap/>
            <w:vAlign w:val="bottom"/>
            <w:hideMark/>
          </w:tcPr>
          <w:p w14:paraId="559C4E8C" w14:textId="77777777" w:rsidR="000B3E16" w:rsidRPr="00084942" w:rsidRDefault="000B3E16" w:rsidP="000B3E16">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2024</w:t>
            </w:r>
          </w:p>
        </w:tc>
      </w:tr>
      <w:tr w:rsidR="000B3E16" w:rsidRPr="00084942" w14:paraId="39697139" w14:textId="77777777" w:rsidTr="000B3E16">
        <w:trPr>
          <w:trHeight w:val="300"/>
        </w:trPr>
        <w:tc>
          <w:tcPr>
            <w:tcW w:w="3320" w:type="dxa"/>
            <w:tcBorders>
              <w:top w:val="nil"/>
              <w:left w:val="single" w:sz="8" w:space="0" w:color="auto"/>
              <w:bottom w:val="nil"/>
              <w:right w:val="nil"/>
            </w:tcBorders>
            <w:noWrap/>
            <w:vAlign w:val="bottom"/>
            <w:hideMark/>
          </w:tcPr>
          <w:p w14:paraId="4D890C0F"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Cash &amp; equivalents</w:t>
            </w:r>
          </w:p>
        </w:tc>
        <w:tc>
          <w:tcPr>
            <w:tcW w:w="960" w:type="dxa"/>
            <w:tcBorders>
              <w:top w:val="nil"/>
              <w:left w:val="nil"/>
              <w:bottom w:val="nil"/>
              <w:right w:val="nil"/>
            </w:tcBorders>
            <w:noWrap/>
            <w:vAlign w:val="bottom"/>
            <w:hideMark/>
          </w:tcPr>
          <w:p w14:paraId="1DA06FE5"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2EF172DE"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57,153</w:t>
            </w:r>
          </w:p>
        </w:tc>
        <w:tc>
          <w:tcPr>
            <w:tcW w:w="960" w:type="dxa"/>
            <w:tcBorders>
              <w:top w:val="nil"/>
              <w:left w:val="nil"/>
              <w:bottom w:val="nil"/>
              <w:right w:val="nil"/>
            </w:tcBorders>
            <w:noWrap/>
            <w:vAlign w:val="bottom"/>
            <w:hideMark/>
          </w:tcPr>
          <w:p w14:paraId="7FD07DD8"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60,813</w:t>
            </w:r>
          </w:p>
        </w:tc>
        <w:tc>
          <w:tcPr>
            <w:tcW w:w="960" w:type="dxa"/>
            <w:tcBorders>
              <w:top w:val="nil"/>
              <w:left w:val="nil"/>
              <w:bottom w:val="nil"/>
              <w:right w:val="nil"/>
            </w:tcBorders>
            <w:noWrap/>
            <w:vAlign w:val="bottom"/>
            <w:hideMark/>
          </w:tcPr>
          <w:p w14:paraId="7C78C771"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66,740</w:t>
            </w:r>
          </w:p>
        </w:tc>
        <w:tc>
          <w:tcPr>
            <w:tcW w:w="960" w:type="dxa"/>
            <w:tcBorders>
              <w:top w:val="nil"/>
              <w:left w:val="nil"/>
              <w:bottom w:val="nil"/>
              <w:right w:val="nil"/>
            </w:tcBorders>
            <w:noWrap/>
            <w:vAlign w:val="bottom"/>
            <w:hideMark/>
          </w:tcPr>
          <w:p w14:paraId="4088438B"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42,751</w:t>
            </w:r>
          </w:p>
        </w:tc>
        <w:tc>
          <w:tcPr>
            <w:tcW w:w="960" w:type="dxa"/>
            <w:tcBorders>
              <w:top w:val="nil"/>
              <w:left w:val="nil"/>
              <w:bottom w:val="nil"/>
              <w:right w:val="single" w:sz="8" w:space="0" w:color="auto"/>
            </w:tcBorders>
            <w:noWrap/>
            <w:vAlign w:val="bottom"/>
            <w:hideMark/>
          </w:tcPr>
          <w:p w14:paraId="46941153"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26,783</w:t>
            </w:r>
          </w:p>
        </w:tc>
      </w:tr>
      <w:tr w:rsidR="000B3E16" w:rsidRPr="00084942" w14:paraId="5221CBBC" w14:textId="77777777" w:rsidTr="000B3E16">
        <w:trPr>
          <w:trHeight w:val="300"/>
        </w:trPr>
        <w:tc>
          <w:tcPr>
            <w:tcW w:w="3320" w:type="dxa"/>
            <w:tcBorders>
              <w:top w:val="nil"/>
              <w:left w:val="single" w:sz="8" w:space="0" w:color="auto"/>
              <w:bottom w:val="nil"/>
              <w:right w:val="nil"/>
            </w:tcBorders>
            <w:noWrap/>
            <w:vAlign w:val="bottom"/>
            <w:hideMark/>
          </w:tcPr>
          <w:p w14:paraId="1D2969E8"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Accounts receivable</w:t>
            </w:r>
          </w:p>
        </w:tc>
        <w:tc>
          <w:tcPr>
            <w:tcW w:w="960" w:type="dxa"/>
            <w:tcBorders>
              <w:top w:val="nil"/>
              <w:left w:val="nil"/>
              <w:bottom w:val="nil"/>
              <w:right w:val="nil"/>
            </w:tcBorders>
            <w:noWrap/>
            <w:vAlign w:val="bottom"/>
            <w:hideMark/>
          </w:tcPr>
          <w:p w14:paraId="58D0A6B9"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5798DEF2"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129,433</w:t>
            </w:r>
          </w:p>
        </w:tc>
        <w:tc>
          <w:tcPr>
            <w:tcW w:w="960" w:type="dxa"/>
            <w:tcBorders>
              <w:top w:val="nil"/>
              <w:left w:val="nil"/>
              <w:bottom w:val="nil"/>
              <w:right w:val="nil"/>
            </w:tcBorders>
            <w:noWrap/>
            <w:vAlign w:val="bottom"/>
            <w:hideMark/>
          </w:tcPr>
          <w:p w14:paraId="1EADDEA8"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129,215</w:t>
            </w:r>
          </w:p>
        </w:tc>
        <w:tc>
          <w:tcPr>
            <w:tcW w:w="960" w:type="dxa"/>
            <w:tcBorders>
              <w:top w:val="nil"/>
              <w:left w:val="nil"/>
              <w:bottom w:val="nil"/>
              <w:right w:val="nil"/>
            </w:tcBorders>
            <w:noWrap/>
            <w:vAlign w:val="bottom"/>
            <w:hideMark/>
          </w:tcPr>
          <w:p w14:paraId="0F43865C"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112,346</w:t>
            </w:r>
          </w:p>
        </w:tc>
        <w:tc>
          <w:tcPr>
            <w:tcW w:w="960" w:type="dxa"/>
            <w:tcBorders>
              <w:top w:val="nil"/>
              <w:left w:val="nil"/>
              <w:bottom w:val="nil"/>
              <w:right w:val="nil"/>
            </w:tcBorders>
            <w:noWrap/>
            <w:vAlign w:val="bottom"/>
            <w:hideMark/>
          </w:tcPr>
          <w:p w14:paraId="2C863B29"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112,596</w:t>
            </w:r>
          </w:p>
        </w:tc>
        <w:tc>
          <w:tcPr>
            <w:tcW w:w="960" w:type="dxa"/>
            <w:tcBorders>
              <w:top w:val="nil"/>
              <w:left w:val="nil"/>
              <w:bottom w:val="nil"/>
              <w:right w:val="single" w:sz="8" w:space="0" w:color="auto"/>
            </w:tcBorders>
            <w:noWrap/>
            <w:vAlign w:val="bottom"/>
            <w:hideMark/>
          </w:tcPr>
          <w:p w14:paraId="34984F2A"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114,182</w:t>
            </w:r>
          </w:p>
        </w:tc>
      </w:tr>
      <w:tr w:rsidR="000B3E16" w:rsidRPr="00084942" w14:paraId="7AA752CD" w14:textId="77777777" w:rsidTr="000B3E16">
        <w:trPr>
          <w:trHeight w:val="300"/>
        </w:trPr>
        <w:tc>
          <w:tcPr>
            <w:tcW w:w="3320" w:type="dxa"/>
            <w:tcBorders>
              <w:top w:val="nil"/>
              <w:left w:val="single" w:sz="8" w:space="0" w:color="auto"/>
              <w:bottom w:val="nil"/>
              <w:right w:val="nil"/>
            </w:tcBorders>
            <w:noWrap/>
            <w:vAlign w:val="bottom"/>
            <w:hideMark/>
          </w:tcPr>
          <w:p w14:paraId="7591BE17"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Contract assets</w:t>
            </w:r>
          </w:p>
        </w:tc>
        <w:tc>
          <w:tcPr>
            <w:tcW w:w="960" w:type="dxa"/>
            <w:tcBorders>
              <w:top w:val="nil"/>
              <w:left w:val="nil"/>
              <w:bottom w:val="nil"/>
              <w:right w:val="nil"/>
            </w:tcBorders>
            <w:noWrap/>
            <w:vAlign w:val="bottom"/>
            <w:hideMark/>
          </w:tcPr>
          <w:p w14:paraId="73366D8A"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0A154AA3"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9,685</w:t>
            </w:r>
          </w:p>
        </w:tc>
        <w:tc>
          <w:tcPr>
            <w:tcW w:w="960" w:type="dxa"/>
            <w:tcBorders>
              <w:top w:val="nil"/>
              <w:left w:val="nil"/>
              <w:bottom w:val="nil"/>
              <w:right w:val="nil"/>
            </w:tcBorders>
            <w:noWrap/>
            <w:vAlign w:val="bottom"/>
            <w:hideMark/>
          </w:tcPr>
          <w:p w14:paraId="6DDCFA4C"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5,012</w:t>
            </w:r>
          </w:p>
        </w:tc>
        <w:tc>
          <w:tcPr>
            <w:tcW w:w="960" w:type="dxa"/>
            <w:tcBorders>
              <w:top w:val="nil"/>
              <w:left w:val="nil"/>
              <w:bottom w:val="nil"/>
              <w:right w:val="nil"/>
            </w:tcBorders>
            <w:noWrap/>
            <w:vAlign w:val="bottom"/>
            <w:hideMark/>
          </w:tcPr>
          <w:p w14:paraId="517B2075"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7,996</w:t>
            </w:r>
          </w:p>
        </w:tc>
        <w:tc>
          <w:tcPr>
            <w:tcW w:w="960" w:type="dxa"/>
            <w:tcBorders>
              <w:top w:val="nil"/>
              <w:left w:val="nil"/>
              <w:bottom w:val="nil"/>
              <w:right w:val="nil"/>
            </w:tcBorders>
            <w:noWrap/>
            <w:vAlign w:val="bottom"/>
            <w:hideMark/>
          </w:tcPr>
          <w:p w14:paraId="7B99033D"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4,240</w:t>
            </w:r>
          </w:p>
        </w:tc>
        <w:tc>
          <w:tcPr>
            <w:tcW w:w="960" w:type="dxa"/>
            <w:tcBorders>
              <w:top w:val="nil"/>
              <w:left w:val="nil"/>
              <w:bottom w:val="nil"/>
              <w:right w:val="single" w:sz="8" w:space="0" w:color="auto"/>
            </w:tcBorders>
            <w:noWrap/>
            <w:vAlign w:val="bottom"/>
            <w:hideMark/>
          </w:tcPr>
          <w:p w14:paraId="381E3A17"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10,346</w:t>
            </w:r>
          </w:p>
        </w:tc>
      </w:tr>
      <w:tr w:rsidR="000B3E16" w:rsidRPr="00084942" w14:paraId="4C3CC430" w14:textId="77777777" w:rsidTr="000B3E16">
        <w:trPr>
          <w:trHeight w:val="300"/>
        </w:trPr>
        <w:tc>
          <w:tcPr>
            <w:tcW w:w="3320" w:type="dxa"/>
            <w:tcBorders>
              <w:top w:val="nil"/>
              <w:left w:val="single" w:sz="8" w:space="0" w:color="auto"/>
              <w:bottom w:val="nil"/>
              <w:right w:val="nil"/>
            </w:tcBorders>
            <w:noWrap/>
            <w:vAlign w:val="bottom"/>
            <w:hideMark/>
          </w:tcPr>
          <w:p w14:paraId="0020897F"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Inventories</w:t>
            </w:r>
          </w:p>
        </w:tc>
        <w:tc>
          <w:tcPr>
            <w:tcW w:w="960" w:type="dxa"/>
            <w:tcBorders>
              <w:top w:val="nil"/>
              <w:left w:val="nil"/>
              <w:bottom w:val="nil"/>
              <w:right w:val="nil"/>
            </w:tcBorders>
            <w:noWrap/>
            <w:vAlign w:val="bottom"/>
            <w:hideMark/>
          </w:tcPr>
          <w:p w14:paraId="7B478CE6"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02F54381"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120,430</w:t>
            </w:r>
          </w:p>
        </w:tc>
        <w:tc>
          <w:tcPr>
            <w:tcW w:w="960" w:type="dxa"/>
            <w:tcBorders>
              <w:top w:val="nil"/>
              <w:left w:val="nil"/>
              <w:bottom w:val="nil"/>
              <w:right w:val="nil"/>
            </w:tcBorders>
            <w:noWrap/>
            <w:vAlign w:val="bottom"/>
            <w:hideMark/>
          </w:tcPr>
          <w:p w14:paraId="162B559A"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134,469</w:t>
            </w:r>
          </w:p>
        </w:tc>
        <w:tc>
          <w:tcPr>
            <w:tcW w:w="960" w:type="dxa"/>
            <w:tcBorders>
              <w:top w:val="nil"/>
              <w:left w:val="nil"/>
              <w:bottom w:val="nil"/>
              <w:right w:val="nil"/>
            </w:tcBorders>
            <w:noWrap/>
            <w:vAlign w:val="bottom"/>
            <w:hideMark/>
          </w:tcPr>
          <w:p w14:paraId="177FAF18"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140,181</w:t>
            </w:r>
          </w:p>
        </w:tc>
        <w:tc>
          <w:tcPr>
            <w:tcW w:w="960" w:type="dxa"/>
            <w:tcBorders>
              <w:top w:val="nil"/>
              <w:left w:val="nil"/>
              <w:bottom w:val="nil"/>
              <w:right w:val="nil"/>
            </w:tcBorders>
            <w:noWrap/>
            <w:vAlign w:val="bottom"/>
            <w:hideMark/>
          </w:tcPr>
          <w:p w14:paraId="186CF467"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88,273</w:t>
            </w:r>
          </w:p>
        </w:tc>
        <w:tc>
          <w:tcPr>
            <w:tcW w:w="960" w:type="dxa"/>
            <w:tcBorders>
              <w:top w:val="nil"/>
              <w:left w:val="nil"/>
              <w:bottom w:val="nil"/>
              <w:right w:val="single" w:sz="8" w:space="0" w:color="auto"/>
            </w:tcBorders>
            <w:noWrap/>
            <w:vAlign w:val="bottom"/>
            <w:hideMark/>
          </w:tcPr>
          <w:p w14:paraId="26E8CE3D"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79,355</w:t>
            </w:r>
          </w:p>
        </w:tc>
      </w:tr>
      <w:tr w:rsidR="000B3E16" w:rsidRPr="00084942" w14:paraId="529AB115" w14:textId="77777777" w:rsidTr="000B3E16">
        <w:trPr>
          <w:trHeight w:val="300"/>
        </w:trPr>
        <w:tc>
          <w:tcPr>
            <w:tcW w:w="3320" w:type="dxa"/>
            <w:tcBorders>
              <w:top w:val="nil"/>
              <w:left w:val="single" w:sz="8" w:space="0" w:color="auto"/>
              <w:bottom w:val="nil"/>
              <w:right w:val="nil"/>
            </w:tcBorders>
            <w:noWrap/>
            <w:vAlign w:val="bottom"/>
            <w:hideMark/>
          </w:tcPr>
          <w:p w14:paraId="523F50F5"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Other current assets</w:t>
            </w:r>
          </w:p>
        </w:tc>
        <w:tc>
          <w:tcPr>
            <w:tcW w:w="960" w:type="dxa"/>
            <w:tcBorders>
              <w:top w:val="nil"/>
              <w:left w:val="nil"/>
              <w:bottom w:val="nil"/>
              <w:right w:val="nil"/>
            </w:tcBorders>
            <w:noWrap/>
            <w:vAlign w:val="bottom"/>
            <w:hideMark/>
          </w:tcPr>
          <w:p w14:paraId="6211B9F1"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5D1744D1"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0</w:t>
            </w:r>
          </w:p>
        </w:tc>
        <w:tc>
          <w:tcPr>
            <w:tcW w:w="960" w:type="dxa"/>
            <w:tcBorders>
              <w:top w:val="nil"/>
              <w:left w:val="nil"/>
              <w:bottom w:val="nil"/>
              <w:right w:val="nil"/>
            </w:tcBorders>
            <w:noWrap/>
            <w:vAlign w:val="bottom"/>
            <w:hideMark/>
          </w:tcPr>
          <w:p w14:paraId="60B7DFD7"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0</w:t>
            </w:r>
          </w:p>
        </w:tc>
        <w:tc>
          <w:tcPr>
            <w:tcW w:w="960" w:type="dxa"/>
            <w:tcBorders>
              <w:top w:val="nil"/>
              <w:left w:val="nil"/>
              <w:bottom w:val="nil"/>
              <w:right w:val="nil"/>
            </w:tcBorders>
            <w:noWrap/>
            <w:vAlign w:val="bottom"/>
            <w:hideMark/>
          </w:tcPr>
          <w:p w14:paraId="091313C0"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0</w:t>
            </w:r>
          </w:p>
        </w:tc>
        <w:tc>
          <w:tcPr>
            <w:tcW w:w="960" w:type="dxa"/>
            <w:tcBorders>
              <w:top w:val="nil"/>
              <w:left w:val="nil"/>
              <w:bottom w:val="nil"/>
              <w:right w:val="nil"/>
            </w:tcBorders>
            <w:noWrap/>
            <w:vAlign w:val="bottom"/>
            <w:hideMark/>
          </w:tcPr>
          <w:p w14:paraId="3BE95BA8"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7,325</w:t>
            </w:r>
          </w:p>
        </w:tc>
        <w:tc>
          <w:tcPr>
            <w:tcW w:w="960" w:type="dxa"/>
            <w:tcBorders>
              <w:top w:val="nil"/>
              <w:left w:val="nil"/>
              <w:bottom w:val="nil"/>
              <w:right w:val="single" w:sz="8" w:space="0" w:color="auto"/>
            </w:tcBorders>
            <w:noWrap/>
            <w:vAlign w:val="bottom"/>
            <w:hideMark/>
          </w:tcPr>
          <w:p w14:paraId="026E0AA3"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9,478</w:t>
            </w:r>
          </w:p>
        </w:tc>
      </w:tr>
      <w:tr w:rsidR="000B3E16" w:rsidRPr="00084942" w14:paraId="50C90AAB" w14:textId="77777777" w:rsidTr="000B3E16">
        <w:trPr>
          <w:trHeight w:val="300"/>
        </w:trPr>
        <w:tc>
          <w:tcPr>
            <w:tcW w:w="3320" w:type="dxa"/>
            <w:tcBorders>
              <w:top w:val="nil"/>
              <w:left w:val="single" w:sz="8" w:space="0" w:color="auto"/>
              <w:bottom w:val="nil"/>
              <w:right w:val="nil"/>
            </w:tcBorders>
            <w:noWrap/>
            <w:vAlign w:val="bottom"/>
            <w:hideMark/>
          </w:tcPr>
          <w:p w14:paraId="1388505F"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lastRenderedPageBreak/>
              <w:t>Income tax receivable</w:t>
            </w:r>
          </w:p>
        </w:tc>
        <w:tc>
          <w:tcPr>
            <w:tcW w:w="960" w:type="dxa"/>
            <w:tcBorders>
              <w:top w:val="nil"/>
              <w:left w:val="nil"/>
              <w:bottom w:val="nil"/>
              <w:right w:val="nil"/>
            </w:tcBorders>
            <w:noWrap/>
            <w:vAlign w:val="bottom"/>
            <w:hideMark/>
          </w:tcPr>
          <w:p w14:paraId="6F7FF98B"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1B9529B5"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3,314</w:t>
            </w:r>
          </w:p>
        </w:tc>
        <w:tc>
          <w:tcPr>
            <w:tcW w:w="960" w:type="dxa"/>
            <w:tcBorders>
              <w:top w:val="nil"/>
              <w:left w:val="nil"/>
              <w:bottom w:val="nil"/>
              <w:right w:val="nil"/>
            </w:tcBorders>
            <w:noWrap/>
            <w:vAlign w:val="bottom"/>
            <w:hideMark/>
          </w:tcPr>
          <w:p w14:paraId="446DC0EC"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348</w:t>
            </w:r>
          </w:p>
        </w:tc>
        <w:tc>
          <w:tcPr>
            <w:tcW w:w="960" w:type="dxa"/>
            <w:tcBorders>
              <w:top w:val="nil"/>
              <w:left w:val="nil"/>
              <w:bottom w:val="nil"/>
              <w:right w:val="nil"/>
            </w:tcBorders>
            <w:noWrap/>
            <w:vAlign w:val="bottom"/>
            <w:hideMark/>
          </w:tcPr>
          <w:p w14:paraId="418EF21B"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4,130</w:t>
            </w:r>
          </w:p>
        </w:tc>
        <w:tc>
          <w:tcPr>
            <w:tcW w:w="960" w:type="dxa"/>
            <w:tcBorders>
              <w:top w:val="nil"/>
              <w:left w:val="nil"/>
              <w:bottom w:val="nil"/>
              <w:right w:val="nil"/>
            </w:tcBorders>
            <w:noWrap/>
            <w:vAlign w:val="bottom"/>
            <w:hideMark/>
          </w:tcPr>
          <w:p w14:paraId="23EABD84"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3,666</w:t>
            </w:r>
          </w:p>
        </w:tc>
        <w:tc>
          <w:tcPr>
            <w:tcW w:w="960" w:type="dxa"/>
            <w:tcBorders>
              <w:top w:val="nil"/>
              <w:left w:val="nil"/>
              <w:bottom w:val="nil"/>
              <w:right w:val="single" w:sz="8" w:space="0" w:color="auto"/>
            </w:tcBorders>
            <w:noWrap/>
            <w:vAlign w:val="bottom"/>
            <w:hideMark/>
          </w:tcPr>
          <w:p w14:paraId="7F754445"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2,350</w:t>
            </w:r>
          </w:p>
        </w:tc>
      </w:tr>
      <w:tr w:rsidR="000B3E16" w:rsidRPr="00084942" w14:paraId="255EB84B" w14:textId="77777777" w:rsidTr="000B3E16">
        <w:trPr>
          <w:trHeight w:val="315"/>
        </w:trPr>
        <w:tc>
          <w:tcPr>
            <w:tcW w:w="3320" w:type="dxa"/>
            <w:tcBorders>
              <w:top w:val="nil"/>
              <w:left w:val="single" w:sz="8" w:space="0" w:color="auto"/>
              <w:bottom w:val="nil"/>
              <w:right w:val="nil"/>
            </w:tcBorders>
            <w:noWrap/>
            <w:vAlign w:val="bottom"/>
            <w:hideMark/>
          </w:tcPr>
          <w:p w14:paraId="4BAB28D9"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Total current assets</w:t>
            </w:r>
          </w:p>
        </w:tc>
        <w:tc>
          <w:tcPr>
            <w:tcW w:w="960" w:type="dxa"/>
            <w:tcBorders>
              <w:top w:val="nil"/>
              <w:left w:val="nil"/>
              <w:bottom w:val="nil"/>
              <w:right w:val="nil"/>
            </w:tcBorders>
            <w:noWrap/>
            <w:vAlign w:val="bottom"/>
            <w:hideMark/>
          </w:tcPr>
          <w:p w14:paraId="004AE7CD"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54AB4437"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326,843</w:t>
            </w:r>
          </w:p>
        </w:tc>
        <w:tc>
          <w:tcPr>
            <w:tcW w:w="960" w:type="dxa"/>
            <w:tcBorders>
              <w:top w:val="nil"/>
              <w:left w:val="nil"/>
              <w:bottom w:val="nil"/>
              <w:right w:val="nil"/>
            </w:tcBorders>
            <w:noWrap/>
            <w:vAlign w:val="bottom"/>
            <w:hideMark/>
          </w:tcPr>
          <w:p w14:paraId="4964DA48"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337,146</w:t>
            </w:r>
          </w:p>
        </w:tc>
        <w:tc>
          <w:tcPr>
            <w:tcW w:w="960" w:type="dxa"/>
            <w:tcBorders>
              <w:top w:val="nil"/>
              <w:left w:val="nil"/>
              <w:bottom w:val="nil"/>
              <w:right w:val="nil"/>
            </w:tcBorders>
            <w:noWrap/>
            <w:vAlign w:val="bottom"/>
            <w:hideMark/>
          </w:tcPr>
          <w:p w14:paraId="3D16DE63"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338,040</w:t>
            </w:r>
          </w:p>
        </w:tc>
        <w:tc>
          <w:tcPr>
            <w:tcW w:w="960" w:type="dxa"/>
            <w:tcBorders>
              <w:top w:val="nil"/>
              <w:left w:val="nil"/>
              <w:bottom w:val="nil"/>
              <w:right w:val="nil"/>
            </w:tcBorders>
            <w:noWrap/>
            <w:vAlign w:val="bottom"/>
            <w:hideMark/>
          </w:tcPr>
          <w:p w14:paraId="315E5AD3"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258,851</w:t>
            </w:r>
          </w:p>
        </w:tc>
        <w:tc>
          <w:tcPr>
            <w:tcW w:w="960" w:type="dxa"/>
            <w:tcBorders>
              <w:top w:val="nil"/>
              <w:left w:val="nil"/>
              <w:bottom w:val="nil"/>
              <w:right w:val="single" w:sz="8" w:space="0" w:color="auto"/>
            </w:tcBorders>
            <w:noWrap/>
            <w:vAlign w:val="bottom"/>
            <w:hideMark/>
          </w:tcPr>
          <w:p w14:paraId="0BCF28D9"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242,494</w:t>
            </w:r>
          </w:p>
        </w:tc>
      </w:tr>
      <w:tr w:rsidR="000B3E16" w:rsidRPr="00084942" w14:paraId="1E8751BE" w14:textId="77777777" w:rsidTr="000B3E16">
        <w:trPr>
          <w:trHeight w:val="300"/>
        </w:trPr>
        <w:tc>
          <w:tcPr>
            <w:tcW w:w="3320" w:type="dxa"/>
            <w:tcBorders>
              <w:top w:val="nil"/>
              <w:left w:val="single" w:sz="8" w:space="0" w:color="auto"/>
              <w:bottom w:val="nil"/>
              <w:right w:val="nil"/>
            </w:tcBorders>
            <w:noWrap/>
            <w:vAlign w:val="bottom"/>
            <w:hideMark/>
          </w:tcPr>
          <w:p w14:paraId="3DD0D636"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PP&amp;E, net</w:t>
            </w:r>
          </w:p>
        </w:tc>
        <w:tc>
          <w:tcPr>
            <w:tcW w:w="960" w:type="dxa"/>
            <w:tcBorders>
              <w:top w:val="nil"/>
              <w:left w:val="nil"/>
              <w:bottom w:val="nil"/>
              <w:right w:val="nil"/>
            </w:tcBorders>
            <w:noWrap/>
            <w:vAlign w:val="bottom"/>
            <w:hideMark/>
          </w:tcPr>
          <w:p w14:paraId="0FB69B9A"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6B7C2F72"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87,285</w:t>
            </w:r>
          </w:p>
        </w:tc>
        <w:tc>
          <w:tcPr>
            <w:tcW w:w="960" w:type="dxa"/>
            <w:tcBorders>
              <w:top w:val="nil"/>
              <w:left w:val="nil"/>
              <w:bottom w:val="nil"/>
              <w:right w:val="nil"/>
            </w:tcBorders>
            <w:noWrap/>
            <w:vAlign w:val="bottom"/>
            <w:hideMark/>
          </w:tcPr>
          <w:p w14:paraId="163513B7"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74,647</w:t>
            </w:r>
          </w:p>
        </w:tc>
        <w:tc>
          <w:tcPr>
            <w:tcW w:w="960" w:type="dxa"/>
            <w:tcBorders>
              <w:top w:val="nil"/>
              <w:left w:val="nil"/>
              <w:bottom w:val="nil"/>
              <w:right w:val="nil"/>
            </w:tcBorders>
            <w:noWrap/>
            <w:vAlign w:val="bottom"/>
            <w:hideMark/>
          </w:tcPr>
          <w:p w14:paraId="0D420B28"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62,791</w:t>
            </w:r>
          </w:p>
        </w:tc>
        <w:tc>
          <w:tcPr>
            <w:tcW w:w="960" w:type="dxa"/>
            <w:tcBorders>
              <w:top w:val="nil"/>
              <w:left w:val="nil"/>
              <w:bottom w:val="nil"/>
              <w:right w:val="nil"/>
            </w:tcBorders>
            <w:noWrap/>
            <w:vAlign w:val="bottom"/>
            <w:hideMark/>
          </w:tcPr>
          <w:p w14:paraId="39B2AF6F"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44,619</w:t>
            </w:r>
          </w:p>
        </w:tc>
        <w:tc>
          <w:tcPr>
            <w:tcW w:w="960" w:type="dxa"/>
            <w:tcBorders>
              <w:top w:val="nil"/>
              <w:left w:val="nil"/>
              <w:bottom w:val="nil"/>
              <w:right w:val="single" w:sz="8" w:space="0" w:color="auto"/>
            </w:tcBorders>
            <w:noWrap/>
            <w:vAlign w:val="bottom"/>
            <w:hideMark/>
          </w:tcPr>
          <w:p w14:paraId="17010E1E"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34,207</w:t>
            </w:r>
          </w:p>
        </w:tc>
      </w:tr>
      <w:tr w:rsidR="000B3E16" w:rsidRPr="00084942" w14:paraId="6332E76B" w14:textId="77777777" w:rsidTr="000B3E16">
        <w:trPr>
          <w:trHeight w:val="300"/>
        </w:trPr>
        <w:tc>
          <w:tcPr>
            <w:tcW w:w="3320" w:type="dxa"/>
            <w:tcBorders>
              <w:top w:val="nil"/>
              <w:left w:val="single" w:sz="8" w:space="0" w:color="auto"/>
              <w:bottom w:val="nil"/>
              <w:right w:val="nil"/>
            </w:tcBorders>
            <w:noWrap/>
            <w:vAlign w:val="bottom"/>
            <w:hideMark/>
          </w:tcPr>
          <w:p w14:paraId="4857AC62"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Intangible assets</w:t>
            </w:r>
          </w:p>
        </w:tc>
        <w:tc>
          <w:tcPr>
            <w:tcW w:w="960" w:type="dxa"/>
            <w:tcBorders>
              <w:top w:val="nil"/>
              <w:left w:val="nil"/>
              <w:bottom w:val="nil"/>
              <w:right w:val="nil"/>
            </w:tcBorders>
            <w:noWrap/>
            <w:vAlign w:val="bottom"/>
            <w:hideMark/>
          </w:tcPr>
          <w:p w14:paraId="667CF494"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62BFCED2"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19,710</w:t>
            </w:r>
          </w:p>
        </w:tc>
        <w:tc>
          <w:tcPr>
            <w:tcW w:w="960" w:type="dxa"/>
            <w:tcBorders>
              <w:top w:val="nil"/>
              <w:left w:val="nil"/>
              <w:bottom w:val="nil"/>
              <w:right w:val="nil"/>
            </w:tcBorders>
            <w:noWrap/>
            <w:vAlign w:val="bottom"/>
            <w:hideMark/>
          </w:tcPr>
          <w:p w14:paraId="736E2E32"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20,169</w:t>
            </w:r>
          </w:p>
        </w:tc>
        <w:tc>
          <w:tcPr>
            <w:tcW w:w="960" w:type="dxa"/>
            <w:tcBorders>
              <w:top w:val="nil"/>
              <w:left w:val="nil"/>
              <w:bottom w:val="nil"/>
              <w:right w:val="nil"/>
            </w:tcBorders>
            <w:noWrap/>
            <w:vAlign w:val="bottom"/>
            <w:hideMark/>
          </w:tcPr>
          <w:p w14:paraId="64EF212F"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24,470</w:t>
            </w:r>
          </w:p>
        </w:tc>
        <w:tc>
          <w:tcPr>
            <w:tcW w:w="960" w:type="dxa"/>
            <w:tcBorders>
              <w:top w:val="nil"/>
              <w:left w:val="nil"/>
              <w:bottom w:val="nil"/>
              <w:right w:val="nil"/>
            </w:tcBorders>
            <w:noWrap/>
            <w:vAlign w:val="bottom"/>
            <w:hideMark/>
          </w:tcPr>
          <w:p w14:paraId="44D8ED01"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25,349</w:t>
            </w:r>
          </w:p>
        </w:tc>
        <w:tc>
          <w:tcPr>
            <w:tcW w:w="960" w:type="dxa"/>
            <w:tcBorders>
              <w:top w:val="nil"/>
              <w:left w:val="nil"/>
              <w:bottom w:val="nil"/>
              <w:right w:val="single" w:sz="8" w:space="0" w:color="auto"/>
            </w:tcBorders>
            <w:noWrap/>
            <w:vAlign w:val="bottom"/>
            <w:hideMark/>
          </w:tcPr>
          <w:p w14:paraId="51090C8A"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24,038</w:t>
            </w:r>
          </w:p>
        </w:tc>
      </w:tr>
      <w:tr w:rsidR="000B3E16" w:rsidRPr="00084942" w14:paraId="0AA886BA" w14:textId="77777777" w:rsidTr="000B3E16">
        <w:trPr>
          <w:trHeight w:val="300"/>
        </w:trPr>
        <w:tc>
          <w:tcPr>
            <w:tcW w:w="3320" w:type="dxa"/>
            <w:tcBorders>
              <w:top w:val="nil"/>
              <w:left w:val="single" w:sz="8" w:space="0" w:color="auto"/>
              <w:bottom w:val="nil"/>
              <w:right w:val="nil"/>
            </w:tcBorders>
            <w:noWrap/>
            <w:vAlign w:val="bottom"/>
            <w:hideMark/>
          </w:tcPr>
          <w:p w14:paraId="32E4D32E"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Right-of-use assets</w:t>
            </w:r>
          </w:p>
        </w:tc>
        <w:tc>
          <w:tcPr>
            <w:tcW w:w="960" w:type="dxa"/>
            <w:tcBorders>
              <w:top w:val="nil"/>
              <w:left w:val="nil"/>
              <w:bottom w:val="nil"/>
              <w:right w:val="nil"/>
            </w:tcBorders>
            <w:noWrap/>
            <w:vAlign w:val="bottom"/>
            <w:hideMark/>
          </w:tcPr>
          <w:p w14:paraId="0F86675A"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3237A0CB"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19,522</w:t>
            </w:r>
          </w:p>
        </w:tc>
        <w:tc>
          <w:tcPr>
            <w:tcW w:w="960" w:type="dxa"/>
            <w:tcBorders>
              <w:top w:val="nil"/>
              <w:left w:val="nil"/>
              <w:bottom w:val="nil"/>
              <w:right w:val="nil"/>
            </w:tcBorders>
            <w:noWrap/>
            <w:vAlign w:val="bottom"/>
            <w:hideMark/>
          </w:tcPr>
          <w:p w14:paraId="1B204EF6"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19,847</w:t>
            </w:r>
          </w:p>
        </w:tc>
        <w:tc>
          <w:tcPr>
            <w:tcW w:w="960" w:type="dxa"/>
            <w:tcBorders>
              <w:top w:val="nil"/>
              <w:left w:val="nil"/>
              <w:bottom w:val="nil"/>
              <w:right w:val="nil"/>
            </w:tcBorders>
            <w:noWrap/>
            <w:vAlign w:val="bottom"/>
            <w:hideMark/>
          </w:tcPr>
          <w:p w14:paraId="4181E438"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21,599</w:t>
            </w:r>
          </w:p>
        </w:tc>
        <w:tc>
          <w:tcPr>
            <w:tcW w:w="960" w:type="dxa"/>
            <w:tcBorders>
              <w:top w:val="nil"/>
              <w:left w:val="nil"/>
              <w:bottom w:val="nil"/>
              <w:right w:val="nil"/>
            </w:tcBorders>
            <w:noWrap/>
            <w:vAlign w:val="bottom"/>
            <w:hideMark/>
          </w:tcPr>
          <w:p w14:paraId="2F1D22AB"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18,693</w:t>
            </w:r>
          </w:p>
        </w:tc>
        <w:tc>
          <w:tcPr>
            <w:tcW w:w="960" w:type="dxa"/>
            <w:tcBorders>
              <w:top w:val="nil"/>
              <w:left w:val="nil"/>
              <w:bottom w:val="nil"/>
              <w:right w:val="single" w:sz="8" w:space="0" w:color="auto"/>
            </w:tcBorders>
            <w:noWrap/>
            <w:vAlign w:val="bottom"/>
            <w:hideMark/>
          </w:tcPr>
          <w:p w14:paraId="0BC7CA4C"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14,322</w:t>
            </w:r>
          </w:p>
        </w:tc>
      </w:tr>
      <w:tr w:rsidR="000B3E16" w:rsidRPr="00084942" w14:paraId="25411D60" w14:textId="77777777" w:rsidTr="000B3E16">
        <w:trPr>
          <w:trHeight w:val="300"/>
        </w:trPr>
        <w:tc>
          <w:tcPr>
            <w:tcW w:w="3320" w:type="dxa"/>
            <w:tcBorders>
              <w:top w:val="nil"/>
              <w:left w:val="single" w:sz="8" w:space="0" w:color="auto"/>
              <w:bottom w:val="nil"/>
              <w:right w:val="nil"/>
            </w:tcBorders>
            <w:noWrap/>
            <w:vAlign w:val="bottom"/>
            <w:hideMark/>
          </w:tcPr>
          <w:p w14:paraId="7E453B20"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Deferred tax assets</w:t>
            </w:r>
          </w:p>
        </w:tc>
        <w:tc>
          <w:tcPr>
            <w:tcW w:w="960" w:type="dxa"/>
            <w:tcBorders>
              <w:top w:val="nil"/>
              <w:left w:val="nil"/>
              <w:bottom w:val="nil"/>
              <w:right w:val="nil"/>
            </w:tcBorders>
            <w:noWrap/>
            <w:vAlign w:val="bottom"/>
            <w:hideMark/>
          </w:tcPr>
          <w:p w14:paraId="40FA2540"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5773CE02"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5,564</w:t>
            </w:r>
          </w:p>
        </w:tc>
        <w:tc>
          <w:tcPr>
            <w:tcW w:w="960" w:type="dxa"/>
            <w:tcBorders>
              <w:top w:val="nil"/>
              <w:left w:val="nil"/>
              <w:bottom w:val="nil"/>
              <w:right w:val="nil"/>
            </w:tcBorders>
            <w:noWrap/>
            <w:vAlign w:val="bottom"/>
            <w:hideMark/>
          </w:tcPr>
          <w:p w14:paraId="10B300B1"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7,729</w:t>
            </w:r>
          </w:p>
        </w:tc>
        <w:tc>
          <w:tcPr>
            <w:tcW w:w="960" w:type="dxa"/>
            <w:tcBorders>
              <w:top w:val="nil"/>
              <w:left w:val="nil"/>
              <w:bottom w:val="nil"/>
              <w:right w:val="nil"/>
            </w:tcBorders>
            <w:noWrap/>
            <w:vAlign w:val="bottom"/>
            <w:hideMark/>
          </w:tcPr>
          <w:p w14:paraId="3E2E313C"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6,242</w:t>
            </w:r>
          </w:p>
        </w:tc>
        <w:tc>
          <w:tcPr>
            <w:tcW w:w="960" w:type="dxa"/>
            <w:tcBorders>
              <w:top w:val="nil"/>
              <w:left w:val="nil"/>
              <w:bottom w:val="nil"/>
              <w:right w:val="nil"/>
            </w:tcBorders>
            <w:noWrap/>
            <w:vAlign w:val="bottom"/>
            <w:hideMark/>
          </w:tcPr>
          <w:p w14:paraId="0D23A7B6"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6,787</w:t>
            </w:r>
          </w:p>
        </w:tc>
        <w:tc>
          <w:tcPr>
            <w:tcW w:w="960" w:type="dxa"/>
            <w:tcBorders>
              <w:top w:val="nil"/>
              <w:left w:val="nil"/>
              <w:bottom w:val="nil"/>
              <w:right w:val="single" w:sz="8" w:space="0" w:color="auto"/>
            </w:tcBorders>
            <w:noWrap/>
            <w:vAlign w:val="bottom"/>
            <w:hideMark/>
          </w:tcPr>
          <w:p w14:paraId="2BE5AD96"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6,425</w:t>
            </w:r>
          </w:p>
        </w:tc>
      </w:tr>
      <w:tr w:rsidR="000B3E16" w:rsidRPr="00084942" w14:paraId="292AA351" w14:textId="77777777" w:rsidTr="000B3E16">
        <w:trPr>
          <w:trHeight w:val="300"/>
        </w:trPr>
        <w:tc>
          <w:tcPr>
            <w:tcW w:w="3320" w:type="dxa"/>
            <w:tcBorders>
              <w:top w:val="nil"/>
              <w:left w:val="single" w:sz="8" w:space="0" w:color="auto"/>
              <w:bottom w:val="nil"/>
              <w:right w:val="nil"/>
            </w:tcBorders>
            <w:noWrap/>
            <w:vAlign w:val="bottom"/>
            <w:hideMark/>
          </w:tcPr>
          <w:p w14:paraId="4E10A319"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Other assets</w:t>
            </w:r>
          </w:p>
        </w:tc>
        <w:tc>
          <w:tcPr>
            <w:tcW w:w="960" w:type="dxa"/>
            <w:tcBorders>
              <w:top w:val="nil"/>
              <w:left w:val="nil"/>
              <w:bottom w:val="nil"/>
              <w:right w:val="nil"/>
            </w:tcBorders>
            <w:noWrap/>
            <w:vAlign w:val="bottom"/>
            <w:hideMark/>
          </w:tcPr>
          <w:p w14:paraId="6F4DCAE6"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166DCB13"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2,752</w:t>
            </w:r>
          </w:p>
        </w:tc>
        <w:tc>
          <w:tcPr>
            <w:tcW w:w="960" w:type="dxa"/>
            <w:tcBorders>
              <w:top w:val="nil"/>
              <w:left w:val="nil"/>
              <w:bottom w:val="nil"/>
              <w:right w:val="nil"/>
            </w:tcBorders>
            <w:noWrap/>
            <w:vAlign w:val="bottom"/>
            <w:hideMark/>
          </w:tcPr>
          <w:p w14:paraId="0D145293"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2,347</w:t>
            </w:r>
          </w:p>
        </w:tc>
        <w:tc>
          <w:tcPr>
            <w:tcW w:w="960" w:type="dxa"/>
            <w:tcBorders>
              <w:top w:val="nil"/>
              <w:left w:val="nil"/>
              <w:bottom w:val="nil"/>
              <w:right w:val="nil"/>
            </w:tcBorders>
            <w:noWrap/>
            <w:vAlign w:val="bottom"/>
            <w:hideMark/>
          </w:tcPr>
          <w:p w14:paraId="5FB08D7E"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1,936</w:t>
            </w:r>
          </w:p>
        </w:tc>
        <w:tc>
          <w:tcPr>
            <w:tcW w:w="960" w:type="dxa"/>
            <w:tcBorders>
              <w:top w:val="nil"/>
              <w:left w:val="nil"/>
              <w:bottom w:val="nil"/>
              <w:right w:val="nil"/>
            </w:tcBorders>
            <w:noWrap/>
            <w:vAlign w:val="bottom"/>
            <w:hideMark/>
          </w:tcPr>
          <w:p w14:paraId="13310E8A"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1,573</w:t>
            </w:r>
          </w:p>
        </w:tc>
        <w:tc>
          <w:tcPr>
            <w:tcW w:w="960" w:type="dxa"/>
            <w:tcBorders>
              <w:top w:val="nil"/>
              <w:left w:val="nil"/>
              <w:bottom w:val="nil"/>
              <w:right w:val="single" w:sz="8" w:space="0" w:color="auto"/>
            </w:tcBorders>
            <w:noWrap/>
            <w:vAlign w:val="bottom"/>
            <w:hideMark/>
          </w:tcPr>
          <w:p w14:paraId="5C078FF5"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1,868</w:t>
            </w:r>
          </w:p>
        </w:tc>
      </w:tr>
      <w:tr w:rsidR="000B3E16" w:rsidRPr="00084942" w14:paraId="2789D23B" w14:textId="77777777" w:rsidTr="000B3E16">
        <w:trPr>
          <w:trHeight w:val="300"/>
        </w:trPr>
        <w:tc>
          <w:tcPr>
            <w:tcW w:w="3320" w:type="dxa"/>
            <w:tcBorders>
              <w:top w:val="nil"/>
              <w:left w:val="single" w:sz="8" w:space="0" w:color="auto"/>
              <w:bottom w:val="nil"/>
              <w:right w:val="nil"/>
            </w:tcBorders>
            <w:noWrap/>
            <w:vAlign w:val="bottom"/>
            <w:hideMark/>
          </w:tcPr>
          <w:p w14:paraId="63C810D2"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Total assets</w:t>
            </w:r>
          </w:p>
        </w:tc>
        <w:tc>
          <w:tcPr>
            <w:tcW w:w="960" w:type="dxa"/>
            <w:tcBorders>
              <w:top w:val="nil"/>
              <w:left w:val="nil"/>
              <w:bottom w:val="nil"/>
              <w:right w:val="nil"/>
            </w:tcBorders>
            <w:noWrap/>
            <w:vAlign w:val="bottom"/>
            <w:hideMark/>
          </w:tcPr>
          <w:p w14:paraId="0D3A438D"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0F3E23FC"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510,290</w:t>
            </w:r>
          </w:p>
        </w:tc>
        <w:tc>
          <w:tcPr>
            <w:tcW w:w="960" w:type="dxa"/>
            <w:tcBorders>
              <w:top w:val="nil"/>
              <w:left w:val="nil"/>
              <w:bottom w:val="nil"/>
              <w:right w:val="nil"/>
            </w:tcBorders>
            <w:noWrap/>
            <w:vAlign w:val="bottom"/>
            <w:hideMark/>
          </w:tcPr>
          <w:p w14:paraId="5DF73105"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510,348</w:t>
            </w:r>
          </w:p>
        </w:tc>
        <w:tc>
          <w:tcPr>
            <w:tcW w:w="960" w:type="dxa"/>
            <w:tcBorders>
              <w:top w:val="nil"/>
              <w:left w:val="nil"/>
              <w:bottom w:val="nil"/>
              <w:right w:val="nil"/>
            </w:tcBorders>
            <w:noWrap/>
            <w:vAlign w:val="bottom"/>
            <w:hideMark/>
          </w:tcPr>
          <w:p w14:paraId="6F2068AD"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504,163</w:t>
            </w:r>
          </w:p>
        </w:tc>
        <w:tc>
          <w:tcPr>
            <w:tcW w:w="960" w:type="dxa"/>
            <w:tcBorders>
              <w:top w:val="nil"/>
              <w:left w:val="nil"/>
              <w:bottom w:val="nil"/>
              <w:right w:val="nil"/>
            </w:tcBorders>
            <w:noWrap/>
            <w:vAlign w:val="bottom"/>
            <w:hideMark/>
          </w:tcPr>
          <w:p w14:paraId="495CA936"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355,872</w:t>
            </w:r>
          </w:p>
        </w:tc>
        <w:tc>
          <w:tcPr>
            <w:tcW w:w="960" w:type="dxa"/>
            <w:tcBorders>
              <w:top w:val="nil"/>
              <w:left w:val="nil"/>
              <w:bottom w:val="nil"/>
              <w:right w:val="single" w:sz="8" w:space="0" w:color="auto"/>
            </w:tcBorders>
            <w:noWrap/>
            <w:vAlign w:val="bottom"/>
            <w:hideMark/>
          </w:tcPr>
          <w:p w14:paraId="02D459E8"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323,354</w:t>
            </w:r>
          </w:p>
        </w:tc>
      </w:tr>
      <w:tr w:rsidR="000B3E16" w:rsidRPr="00084942" w14:paraId="12B07400" w14:textId="77777777" w:rsidTr="000B3E16">
        <w:trPr>
          <w:trHeight w:val="300"/>
        </w:trPr>
        <w:tc>
          <w:tcPr>
            <w:tcW w:w="3320" w:type="dxa"/>
            <w:tcBorders>
              <w:top w:val="nil"/>
              <w:left w:val="single" w:sz="8" w:space="0" w:color="auto"/>
              <w:bottom w:val="nil"/>
              <w:right w:val="nil"/>
            </w:tcBorders>
            <w:noWrap/>
            <w:vAlign w:val="bottom"/>
            <w:hideMark/>
          </w:tcPr>
          <w:p w14:paraId="6D52D6B5"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 </w:t>
            </w:r>
          </w:p>
        </w:tc>
        <w:tc>
          <w:tcPr>
            <w:tcW w:w="960" w:type="dxa"/>
            <w:tcBorders>
              <w:top w:val="nil"/>
              <w:left w:val="nil"/>
              <w:bottom w:val="nil"/>
              <w:right w:val="nil"/>
            </w:tcBorders>
            <w:noWrap/>
            <w:vAlign w:val="bottom"/>
            <w:hideMark/>
          </w:tcPr>
          <w:p w14:paraId="1E03D438"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13F12291" w14:textId="77777777" w:rsidR="000B3E16" w:rsidRPr="00084942" w:rsidRDefault="000B3E16" w:rsidP="000B3E16">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nil"/>
            </w:tcBorders>
            <w:noWrap/>
            <w:vAlign w:val="bottom"/>
            <w:hideMark/>
          </w:tcPr>
          <w:p w14:paraId="24C7CD53" w14:textId="77777777" w:rsidR="000B3E16" w:rsidRPr="00084942" w:rsidRDefault="000B3E16" w:rsidP="000B3E16">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nil"/>
            </w:tcBorders>
            <w:noWrap/>
            <w:vAlign w:val="bottom"/>
            <w:hideMark/>
          </w:tcPr>
          <w:p w14:paraId="201CA8EB" w14:textId="77777777" w:rsidR="000B3E16" w:rsidRPr="00084942" w:rsidRDefault="000B3E16" w:rsidP="000B3E16">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nil"/>
            </w:tcBorders>
            <w:noWrap/>
            <w:vAlign w:val="bottom"/>
            <w:hideMark/>
          </w:tcPr>
          <w:p w14:paraId="068908F4" w14:textId="77777777" w:rsidR="000B3E16" w:rsidRPr="00084942" w:rsidRDefault="000B3E16" w:rsidP="000B3E16">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single" w:sz="8" w:space="0" w:color="auto"/>
            </w:tcBorders>
            <w:noWrap/>
            <w:vAlign w:val="bottom"/>
            <w:hideMark/>
          </w:tcPr>
          <w:p w14:paraId="52293A5A"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 </w:t>
            </w:r>
          </w:p>
        </w:tc>
      </w:tr>
      <w:tr w:rsidR="000B3E16" w:rsidRPr="00084942" w14:paraId="077E58D3" w14:textId="77777777" w:rsidTr="000B3E16">
        <w:trPr>
          <w:trHeight w:val="300"/>
        </w:trPr>
        <w:tc>
          <w:tcPr>
            <w:tcW w:w="3320" w:type="dxa"/>
            <w:tcBorders>
              <w:top w:val="single" w:sz="4" w:space="0" w:color="auto"/>
              <w:left w:val="single" w:sz="8" w:space="0" w:color="auto"/>
              <w:bottom w:val="single" w:sz="4" w:space="0" w:color="auto"/>
              <w:right w:val="single" w:sz="4" w:space="0" w:color="auto"/>
            </w:tcBorders>
            <w:shd w:val="clear" w:color="000000" w:fill="B1A0C7"/>
            <w:noWrap/>
            <w:vAlign w:val="bottom"/>
            <w:hideMark/>
          </w:tcPr>
          <w:p w14:paraId="165EEDA8" w14:textId="77777777" w:rsidR="000B3E16" w:rsidRPr="00084942" w:rsidRDefault="000B3E16" w:rsidP="000B3E16">
            <w:pPr>
              <w:spacing w:after="0" w:line="240" w:lineRule="auto"/>
              <w:jc w:val="lef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Balance Sheet - Liabilities</w:t>
            </w:r>
          </w:p>
        </w:tc>
        <w:tc>
          <w:tcPr>
            <w:tcW w:w="960" w:type="dxa"/>
            <w:tcBorders>
              <w:top w:val="single" w:sz="4" w:space="0" w:color="auto"/>
              <w:left w:val="nil"/>
              <w:bottom w:val="single" w:sz="4" w:space="0" w:color="auto"/>
              <w:right w:val="single" w:sz="4" w:space="0" w:color="auto"/>
            </w:tcBorders>
            <w:shd w:val="clear" w:color="000000" w:fill="B1A0C7"/>
            <w:noWrap/>
            <w:vAlign w:val="bottom"/>
            <w:hideMark/>
          </w:tcPr>
          <w:p w14:paraId="52D00EB6" w14:textId="77777777" w:rsidR="000B3E16" w:rsidRPr="00084942" w:rsidRDefault="000B3E16" w:rsidP="000B3E16">
            <w:pPr>
              <w:spacing w:after="0" w:line="240" w:lineRule="auto"/>
              <w:jc w:val="lef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Unit: £m</w:t>
            </w:r>
          </w:p>
        </w:tc>
        <w:tc>
          <w:tcPr>
            <w:tcW w:w="960" w:type="dxa"/>
            <w:tcBorders>
              <w:top w:val="single" w:sz="4" w:space="0" w:color="auto"/>
              <w:left w:val="nil"/>
              <w:bottom w:val="single" w:sz="4" w:space="0" w:color="auto"/>
              <w:right w:val="single" w:sz="4" w:space="0" w:color="auto"/>
            </w:tcBorders>
            <w:shd w:val="clear" w:color="000000" w:fill="B1A0C7"/>
            <w:noWrap/>
            <w:vAlign w:val="bottom"/>
            <w:hideMark/>
          </w:tcPr>
          <w:p w14:paraId="12D13D4D" w14:textId="77777777" w:rsidR="000B3E16" w:rsidRPr="00084942" w:rsidRDefault="000B3E16" w:rsidP="000B3E16">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2020</w:t>
            </w:r>
          </w:p>
        </w:tc>
        <w:tc>
          <w:tcPr>
            <w:tcW w:w="960" w:type="dxa"/>
            <w:tcBorders>
              <w:top w:val="single" w:sz="4" w:space="0" w:color="auto"/>
              <w:left w:val="nil"/>
              <w:bottom w:val="single" w:sz="4" w:space="0" w:color="auto"/>
              <w:right w:val="single" w:sz="4" w:space="0" w:color="auto"/>
            </w:tcBorders>
            <w:shd w:val="clear" w:color="000000" w:fill="B1A0C7"/>
            <w:noWrap/>
            <w:vAlign w:val="bottom"/>
            <w:hideMark/>
          </w:tcPr>
          <w:p w14:paraId="00297D02" w14:textId="77777777" w:rsidR="000B3E16" w:rsidRPr="00084942" w:rsidRDefault="000B3E16" w:rsidP="000B3E16">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2021</w:t>
            </w:r>
          </w:p>
        </w:tc>
        <w:tc>
          <w:tcPr>
            <w:tcW w:w="960" w:type="dxa"/>
            <w:tcBorders>
              <w:top w:val="single" w:sz="4" w:space="0" w:color="auto"/>
              <w:left w:val="nil"/>
              <w:bottom w:val="single" w:sz="4" w:space="0" w:color="auto"/>
              <w:right w:val="single" w:sz="4" w:space="0" w:color="auto"/>
            </w:tcBorders>
            <w:shd w:val="clear" w:color="000000" w:fill="B1A0C7"/>
            <w:noWrap/>
            <w:vAlign w:val="bottom"/>
            <w:hideMark/>
          </w:tcPr>
          <w:p w14:paraId="52AD5485" w14:textId="77777777" w:rsidR="000B3E16" w:rsidRPr="00084942" w:rsidRDefault="000B3E16" w:rsidP="000B3E16">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2022</w:t>
            </w:r>
          </w:p>
        </w:tc>
        <w:tc>
          <w:tcPr>
            <w:tcW w:w="960" w:type="dxa"/>
            <w:tcBorders>
              <w:top w:val="single" w:sz="4" w:space="0" w:color="auto"/>
              <w:left w:val="nil"/>
              <w:bottom w:val="single" w:sz="4" w:space="0" w:color="auto"/>
              <w:right w:val="single" w:sz="4" w:space="0" w:color="auto"/>
            </w:tcBorders>
            <w:shd w:val="clear" w:color="000000" w:fill="B1A0C7"/>
            <w:noWrap/>
            <w:vAlign w:val="bottom"/>
            <w:hideMark/>
          </w:tcPr>
          <w:p w14:paraId="5E906542" w14:textId="77777777" w:rsidR="000B3E16" w:rsidRPr="00084942" w:rsidRDefault="000B3E16" w:rsidP="000B3E16">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2023</w:t>
            </w:r>
          </w:p>
        </w:tc>
        <w:tc>
          <w:tcPr>
            <w:tcW w:w="960" w:type="dxa"/>
            <w:tcBorders>
              <w:top w:val="single" w:sz="4" w:space="0" w:color="auto"/>
              <w:left w:val="nil"/>
              <w:bottom w:val="single" w:sz="4" w:space="0" w:color="auto"/>
              <w:right w:val="single" w:sz="8" w:space="0" w:color="auto"/>
            </w:tcBorders>
            <w:shd w:val="clear" w:color="000000" w:fill="B1A0C7"/>
            <w:noWrap/>
            <w:vAlign w:val="bottom"/>
            <w:hideMark/>
          </w:tcPr>
          <w:p w14:paraId="64896F43" w14:textId="77777777" w:rsidR="000B3E16" w:rsidRPr="00084942" w:rsidRDefault="000B3E16" w:rsidP="000B3E16">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2024</w:t>
            </w:r>
          </w:p>
        </w:tc>
      </w:tr>
      <w:tr w:rsidR="000B3E16" w:rsidRPr="00084942" w14:paraId="5D585003" w14:textId="77777777" w:rsidTr="000B3E16">
        <w:trPr>
          <w:trHeight w:val="300"/>
        </w:trPr>
        <w:tc>
          <w:tcPr>
            <w:tcW w:w="3320" w:type="dxa"/>
            <w:tcBorders>
              <w:top w:val="nil"/>
              <w:left w:val="single" w:sz="8" w:space="0" w:color="auto"/>
              <w:bottom w:val="nil"/>
              <w:right w:val="nil"/>
            </w:tcBorders>
            <w:noWrap/>
            <w:vAlign w:val="bottom"/>
            <w:hideMark/>
          </w:tcPr>
          <w:p w14:paraId="15225752"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Accounts payable</w:t>
            </w:r>
          </w:p>
        </w:tc>
        <w:tc>
          <w:tcPr>
            <w:tcW w:w="960" w:type="dxa"/>
            <w:tcBorders>
              <w:top w:val="nil"/>
              <w:left w:val="nil"/>
              <w:bottom w:val="nil"/>
              <w:right w:val="nil"/>
            </w:tcBorders>
            <w:noWrap/>
            <w:vAlign w:val="bottom"/>
            <w:hideMark/>
          </w:tcPr>
          <w:p w14:paraId="617C8EE6"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0282EA8B"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83,229</w:t>
            </w:r>
          </w:p>
        </w:tc>
        <w:tc>
          <w:tcPr>
            <w:tcW w:w="960" w:type="dxa"/>
            <w:tcBorders>
              <w:top w:val="nil"/>
              <w:left w:val="nil"/>
              <w:bottom w:val="nil"/>
              <w:right w:val="nil"/>
            </w:tcBorders>
            <w:noWrap/>
            <w:vAlign w:val="bottom"/>
            <w:hideMark/>
          </w:tcPr>
          <w:p w14:paraId="736C99EE"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92,707</w:t>
            </w:r>
          </w:p>
        </w:tc>
        <w:tc>
          <w:tcPr>
            <w:tcW w:w="960" w:type="dxa"/>
            <w:tcBorders>
              <w:top w:val="nil"/>
              <w:left w:val="nil"/>
              <w:bottom w:val="nil"/>
              <w:right w:val="nil"/>
            </w:tcBorders>
            <w:noWrap/>
            <w:vAlign w:val="bottom"/>
            <w:hideMark/>
          </w:tcPr>
          <w:p w14:paraId="285A2B96"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71,373</w:t>
            </w:r>
          </w:p>
        </w:tc>
        <w:tc>
          <w:tcPr>
            <w:tcW w:w="960" w:type="dxa"/>
            <w:tcBorders>
              <w:top w:val="nil"/>
              <w:left w:val="nil"/>
              <w:bottom w:val="nil"/>
              <w:right w:val="nil"/>
            </w:tcBorders>
            <w:noWrap/>
            <w:vAlign w:val="bottom"/>
            <w:hideMark/>
          </w:tcPr>
          <w:p w14:paraId="2646E818"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57,033</w:t>
            </w:r>
          </w:p>
        </w:tc>
        <w:tc>
          <w:tcPr>
            <w:tcW w:w="960" w:type="dxa"/>
            <w:tcBorders>
              <w:top w:val="nil"/>
              <w:left w:val="nil"/>
              <w:bottom w:val="nil"/>
              <w:right w:val="single" w:sz="8" w:space="0" w:color="auto"/>
            </w:tcBorders>
            <w:noWrap/>
            <w:vAlign w:val="bottom"/>
            <w:hideMark/>
          </w:tcPr>
          <w:p w14:paraId="0942A8F4"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72,031</w:t>
            </w:r>
          </w:p>
        </w:tc>
      </w:tr>
      <w:tr w:rsidR="000B3E16" w:rsidRPr="00084942" w14:paraId="3164F10F" w14:textId="77777777" w:rsidTr="000B3E16">
        <w:trPr>
          <w:trHeight w:val="300"/>
        </w:trPr>
        <w:tc>
          <w:tcPr>
            <w:tcW w:w="3320" w:type="dxa"/>
            <w:tcBorders>
              <w:top w:val="nil"/>
              <w:left w:val="single" w:sz="8" w:space="0" w:color="auto"/>
              <w:bottom w:val="nil"/>
              <w:right w:val="nil"/>
            </w:tcBorders>
            <w:noWrap/>
            <w:vAlign w:val="bottom"/>
            <w:hideMark/>
          </w:tcPr>
          <w:p w14:paraId="200265D9"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Lines of credit</w:t>
            </w:r>
          </w:p>
        </w:tc>
        <w:tc>
          <w:tcPr>
            <w:tcW w:w="960" w:type="dxa"/>
            <w:tcBorders>
              <w:top w:val="nil"/>
              <w:left w:val="nil"/>
              <w:bottom w:val="nil"/>
              <w:right w:val="nil"/>
            </w:tcBorders>
            <w:noWrap/>
            <w:vAlign w:val="bottom"/>
            <w:hideMark/>
          </w:tcPr>
          <w:p w14:paraId="1709F8BF"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749872BA"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20,000</w:t>
            </w:r>
          </w:p>
        </w:tc>
        <w:tc>
          <w:tcPr>
            <w:tcW w:w="960" w:type="dxa"/>
            <w:tcBorders>
              <w:top w:val="nil"/>
              <w:left w:val="nil"/>
              <w:bottom w:val="nil"/>
              <w:right w:val="nil"/>
            </w:tcBorders>
            <w:noWrap/>
            <w:vAlign w:val="bottom"/>
            <w:hideMark/>
          </w:tcPr>
          <w:p w14:paraId="17764461"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56,000</w:t>
            </w:r>
          </w:p>
        </w:tc>
        <w:tc>
          <w:tcPr>
            <w:tcW w:w="960" w:type="dxa"/>
            <w:tcBorders>
              <w:top w:val="nil"/>
              <w:left w:val="nil"/>
              <w:bottom w:val="nil"/>
              <w:right w:val="nil"/>
            </w:tcBorders>
            <w:noWrap/>
            <w:vAlign w:val="bottom"/>
            <w:hideMark/>
          </w:tcPr>
          <w:p w14:paraId="2F2A0BFD"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88,000</w:t>
            </w:r>
          </w:p>
        </w:tc>
        <w:tc>
          <w:tcPr>
            <w:tcW w:w="960" w:type="dxa"/>
            <w:tcBorders>
              <w:top w:val="nil"/>
              <w:left w:val="nil"/>
              <w:bottom w:val="nil"/>
              <w:right w:val="nil"/>
            </w:tcBorders>
            <w:noWrap/>
            <w:vAlign w:val="bottom"/>
            <w:hideMark/>
          </w:tcPr>
          <w:p w14:paraId="7B1ABF13"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55,000</w:t>
            </w:r>
          </w:p>
        </w:tc>
        <w:tc>
          <w:tcPr>
            <w:tcW w:w="960" w:type="dxa"/>
            <w:tcBorders>
              <w:top w:val="nil"/>
              <w:left w:val="nil"/>
              <w:bottom w:val="nil"/>
              <w:right w:val="single" w:sz="8" w:space="0" w:color="auto"/>
            </w:tcBorders>
            <w:noWrap/>
            <w:vAlign w:val="bottom"/>
            <w:hideMark/>
          </w:tcPr>
          <w:p w14:paraId="4C2137C2"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36,960</w:t>
            </w:r>
          </w:p>
        </w:tc>
      </w:tr>
      <w:tr w:rsidR="000B3E16" w:rsidRPr="00084942" w14:paraId="3B024816" w14:textId="77777777" w:rsidTr="000B3E16">
        <w:trPr>
          <w:trHeight w:val="300"/>
        </w:trPr>
        <w:tc>
          <w:tcPr>
            <w:tcW w:w="3320" w:type="dxa"/>
            <w:tcBorders>
              <w:top w:val="nil"/>
              <w:left w:val="single" w:sz="8" w:space="0" w:color="auto"/>
              <w:bottom w:val="nil"/>
              <w:right w:val="nil"/>
            </w:tcBorders>
            <w:noWrap/>
            <w:vAlign w:val="bottom"/>
            <w:hideMark/>
          </w:tcPr>
          <w:p w14:paraId="08808F4A"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Accrued compensation</w:t>
            </w:r>
          </w:p>
        </w:tc>
        <w:tc>
          <w:tcPr>
            <w:tcW w:w="960" w:type="dxa"/>
            <w:tcBorders>
              <w:top w:val="nil"/>
              <w:left w:val="nil"/>
              <w:bottom w:val="nil"/>
              <w:right w:val="nil"/>
            </w:tcBorders>
            <w:noWrap/>
            <w:vAlign w:val="bottom"/>
            <w:hideMark/>
          </w:tcPr>
          <w:p w14:paraId="4705BE42"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4260C28B"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28,931</w:t>
            </w:r>
          </w:p>
        </w:tc>
        <w:tc>
          <w:tcPr>
            <w:tcW w:w="960" w:type="dxa"/>
            <w:tcBorders>
              <w:top w:val="nil"/>
              <w:left w:val="nil"/>
              <w:bottom w:val="nil"/>
              <w:right w:val="nil"/>
            </w:tcBorders>
            <w:noWrap/>
            <w:vAlign w:val="bottom"/>
            <w:hideMark/>
          </w:tcPr>
          <w:p w14:paraId="15141CCD"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24,217</w:t>
            </w:r>
          </w:p>
        </w:tc>
        <w:tc>
          <w:tcPr>
            <w:tcW w:w="960" w:type="dxa"/>
            <w:tcBorders>
              <w:top w:val="nil"/>
              <w:left w:val="nil"/>
              <w:bottom w:val="nil"/>
              <w:right w:val="nil"/>
            </w:tcBorders>
            <w:noWrap/>
            <w:vAlign w:val="bottom"/>
            <w:hideMark/>
          </w:tcPr>
          <w:p w14:paraId="3FA190D5"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20,904</w:t>
            </w:r>
          </w:p>
        </w:tc>
        <w:tc>
          <w:tcPr>
            <w:tcW w:w="960" w:type="dxa"/>
            <w:tcBorders>
              <w:top w:val="nil"/>
              <w:left w:val="nil"/>
              <w:bottom w:val="nil"/>
              <w:right w:val="nil"/>
            </w:tcBorders>
            <w:noWrap/>
            <w:vAlign w:val="bottom"/>
            <w:hideMark/>
          </w:tcPr>
          <w:p w14:paraId="343E033C"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20,305</w:t>
            </w:r>
          </w:p>
        </w:tc>
        <w:tc>
          <w:tcPr>
            <w:tcW w:w="960" w:type="dxa"/>
            <w:tcBorders>
              <w:top w:val="nil"/>
              <w:left w:val="nil"/>
              <w:bottom w:val="nil"/>
              <w:right w:val="single" w:sz="8" w:space="0" w:color="auto"/>
            </w:tcBorders>
            <w:noWrap/>
            <w:vAlign w:val="bottom"/>
            <w:hideMark/>
          </w:tcPr>
          <w:p w14:paraId="4A0EF60E"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20,927</w:t>
            </w:r>
          </w:p>
        </w:tc>
      </w:tr>
      <w:tr w:rsidR="000B3E16" w:rsidRPr="00084942" w14:paraId="195AC0DF" w14:textId="77777777" w:rsidTr="000B3E16">
        <w:trPr>
          <w:trHeight w:val="300"/>
        </w:trPr>
        <w:tc>
          <w:tcPr>
            <w:tcW w:w="3320" w:type="dxa"/>
            <w:tcBorders>
              <w:top w:val="nil"/>
              <w:left w:val="single" w:sz="8" w:space="0" w:color="auto"/>
              <w:bottom w:val="nil"/>
              <w:right w:val="nil"/>
            </w:tcBorders>
            <w:noWrap/>
            <w:vAlign w:val="bottom"/>
            <w:hideMark/>
          </w:tcPr>
          <w:p w14:paraId="61943507"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Accrued discounts/rebates/royalties</w:t>
            </w:r>
          </w:p>
        </w:tc>
        <w:tc>
          <w:tcPr>
            <w:tcW w:w="960" w:type="dxa"/>
            <w:tcBorders>
              <w:top w:val="nil"/>
              <w:left w:val="nil"/>
              <w:bottom w:val="nil"/>
              <w:right w:val="nil"/>
            </w:tcBorders>
            <w:noWrap/>
            <w:vAlign w:val="bottom"/>
            <w:hideMark/>
          </w:tcPr>
          <w:p w14:paraId="0DC340DC"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169C004E"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10,758</w:t>
            </w:r>
          </w:p>
        </w:tc>
        <w:tc>
          <w:tcPr>
            <w:tcW w:w="960" w:type="dxa"/>
            <w:tcBorders>
              <w:top w:val="nil"/>
              <w:left w:val="nil"/>
              <w:bottom w:val="nil"/>
              <w:right w:val="nil"/>
            </w:tcBorders>
            <w:noWrap/>
            <w:vAlign w:val="bottom"/>
            <w:hideMark/>
          </w:tcPr>
          <w:p w14:paraId="79C475A4"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9,286</w:t>
            </w:r>
          </w:p>
        </w:tc>
        <w:tc>
          <w:tcPr>
            <w:tcW w:w="960" w:type="dxa"/>
            <w:tcBorders>
              <w:top w:val="nil"/>
              <w:left w:val="nil"/>
              <w:bottom w:val="nil"/>
              <w:right w:val="nil"/>
            </w:tcBorders>
            <w:noWrap/>
            <w:vAlign w:val="bottom"/>
            <w:hideMark/>
          </w:tcPr>
          <w:p w14:paraId="00E21575"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6,477</w:t>
            </w:r>
          </w:p>
        </w:tc>
        <w:tc>
          <w:tcPr>
            <w:tcW w:w="960" w:type="dxa"/>
            <w:tcBorders>
              <w:top w:val="nil"/>
              <w:left w:val="nil"/>
              <w:bottom w:val="nil"/>
              <w:right w:val="nil"/>
            </w:tcBorders>
            <w:noWrap/>
            <w:vAlign w:val="bottom"/>
            <w:hideMark/>
          </w:tcPr>
          <w:p w14:paraId="7C5DED29"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5,796</w:t>
            </w:r>
          </w:p>
        </w:tc>
        <w:tc>
          <w:tcPr>
            <w:tcW w:w="960" w:type="dxa"/>
            <w:tcBorders>
              <w:top w:val="nil"/>
              <w:left w:val="nil"/>
              <w:bottom w:val="nil"/>
              <w:right w:val="single" w:sz="8" w:space="0" w:color="auto"/>
            </w:tcBorders>
            <w:noWrap/>
            <w:vAlign w:val="bottom"/>
            <w:hideMark/>
          </w:tcPr>
          <w:p w14:paraId="3A603EEC"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5,204</w:t>
            </w:r>
          </w:p>
        </w:tc>
      </w:tr>
      <w:tr w:rsidR="000B3E16" w:rsidRPr="00084942" w14:paraId="586ED52E" w14:textId="77777777" w:rsidTr="000B3E16">
        <w:trPr>
          <w:trHeight w:val="300"/>
        </w:trPr>
        <w:tc>
          <w:tcPr>
            <w:tcW w:w="3320" w:type="dxa"/>
            <w:tcBorders>
              <w:top w:val="nil"/>
              <w:left w:val="single" w:sz="8" w:space="0" w:color="auto"/>
              <w:bottom w:val="nil"/>
              <w:right w:val="nil"/>
            </w:tcBorders>
            <w:noWrap/>
            <w:vAlign w:val="bottom"/>
            <w:hideMark/>
          </w:tcPr>
          <w:p w14:paraId="49A5FC62"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Other accrued liabilities</w:t>
            </w:r>
          </w:p>
        </w:tc>
        <w:tc>
          <w:tcPr>
            <w:tcW w:w="960" w:type="dxa"/>
            <w:tcBorders>
              <w:top w:val="nil"/>
              <w:left w:val="nil"/>
              <w:bottom w:val="nil"/>
              <w:right w:val="nil"/>
            </w:tcBorders>
            <w:noWrap/>
            <w:vAlign w:val="bottom"/>
            <w:hideMark/>
          </w:tcPr>
          <w:p w14:paraId="7FD01F7A"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6E549064"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33,057</w:t>
            </w:r>
          </w:p>
        </w:tc>
        <w:tc>
          <w:tcPr>
            <w:tcW w:w="960" w:type="dxa"/>
            <w:tcBorders>
              <w:top w:val="nil"/>
              <w:left w:val="nil"/>
              <w:bottom w:val="nil"/>
              <w:right w:val="nil"/>
            </w:tcBorders>
            <w:noWrap/>
            <w:vAlign w:val="bottom"/>
            <w:hideMark/>
          </w:tcPr>
          <w:p w14:paraId="3D343CF2"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30,840</w:t>
            </w:r>
          </w:p>
        </w:tc>
        <w:tc>
          <w:tcPr>
            <w:tcW w:w="960" w:type="dxa"/>
            <w:tcBorders>
              <w:top w:val="nil"/>
              <w:left w:val="nil"/>
              <w:bottom w:val="nil"/>
              <w:right w:val="nil"/>
            </w:tcBorders>
            <w:noWrap/>
            <w:vAlign w:val="bottom"/>
            <w:hideMark/>
          </w:tcPr>
          <w:p w14:paraId="1812EA0E"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24,134</w:t>
            </w:r>
          </w:p>
        </w:tc>
        <w:tc>
          <w:tcPr>
            <w:tcW w:w="960" w:type="dxa"/>
            <w:tcBorders>
              <w:top w:val="nil"/>
              <w:left w:val="nil"/>
              <w:bottom w:val="nil"/>
              <w:right w:val="nil"/>
            </w:tcBorders>
            <w:noWrap/>
            <w:vAlign w:val="bottom"/>
            <w:hideMark/>
          </w:tcPr>
          <w:p w14:paraId="28A9E245"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21,181</w:t>
            </w:r>
          </w:p>
        </w:tc>
        <w:tc>
          <w:tcPr>
            <w:tcW w:w="960" w:type="dxa"/>
            <w:tcBorders>
              <w:top w:val="nil"/>
              <w:left w:val="nil"/>
              <w:bottom w:val="nil"/>
              <w:right w:val="single" w:sz="8" w:space="0" w:color="auto"/>
            </w:tcBorders>
            <w:noWrap/>
            <w:vAlign w:val="bottom"/>
            <w:hideMark/>
          </w:tcPr>
          <w:p w14:paraId="185A39F9"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21,008</w:t>
            </w:r>
          </w:p>
        </w:tc>
      </w:tr>
      <w:tr w:rsidR="000B3E16" w:rsidRPr="00084942" w14:paraId="149C2484" w14:textId="77777777" w:rsidTr="000B3E16">
        <w:trPr>
          <w:trHeight w:val="300"/>
        </w:trPr>
        <w:tc>
          <w:tcPr>
            <w:tcW w:w="3320" w:type="dxa"/>
            <w:tcBorders>
              <w:top w:val="nil"/>
              <w:left w:val="single" w:sz="8" w:space="0" w:color="auto"/>
              <w:bottom w:val="nil"/>
              <w:right w:val="nil"/>
            </w:tcBorders>
            <w:noWrap/>
            <w:vAlign w:val="bottom"/>
            <w:hideMark/>
          </w:tcPr>
          <w:p w14:paraId="2EF529BE"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Total current liabilities</w:t>
            </w:r>
          </w:p>
        </w:tc>
        <w:tc>
          <w:tcPr>
            <w:tcW w:w="960" w:type="dxa"/>
            <w:tcBorders>
              <w:top w:val="nil"/>
              <w:left w:val="nil"/>
              <w:bottom w:val="nil"/>
              <w:right w:val="nil"/>
            </w:tcBorders>
            <w:noWrap/>
            <w:vAlign w:val="bottom"/>
            <w:hideMark/>
          </w:tcPr>
          <w:p w14:paraId="0E4F244F"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0D30ACB7"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179,510</w:t>
            </w:r>
          </w:p>
        </w:tc>
        <w:tc>
          <w:tcPr>
            <w:tcW w:w="960" w:type="dxa"/>
            <w:tcBorders>
              <w:top w:val="nil"/>
              <w:left w:val="nil"/>
              <w:bottom w:val="nil"/>
              <w:right w:val="nil"/>
            </w:tcBorders>
            <w:noWrap/>
            <w:vAlign w:val="bottom"/>
            <w:hideMark/>
          </w:tcPr>
          <w:p w14:paraId="1F5E9CEF"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216,787</w:t>
            </w:r>
          </w:p>
        </w:tc>
        <w:tc>
          <w:tcPr>
            <w:tcW w:w="960" w:type="dxa"/>
            <w:tcBorders>
              <w:top w:val="nil"/>
              <w:left w:val="nil"/>
              <w:bottom w:val="nil"/>
              <w:right w:val="nil"/>
            </w:tcBorders>
            <w:noWrap/>
            <w:vAlign w:val="bottom"/>
            <w:hideMark/>
          </w:tcPr>
          <w:p w14:paraId="0BB735FF"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216,473</w:t>
            </w:r>
          </w:p>
        </w:tc>
        <w:tc>
          <w:tcPr>
            <w:tcW w:w="960" w:type="dxa"/>
            <w:tcBorders>
              <w:top w:val="nil"/>
              <w:left w:val="nil"/>
              <w:bottom w:val="nil"/>
              <w:right w:val="nil"/>
            </w:tcBorders>
            <w:noWrap/>
            <w:vAlign w:val="bottom"/>
            <w:hideMark/>
          </w:tcPr>
          <w:p w14:paraId="0E9F41D2"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161,148</w:t>
            </w:r>
          </w:p>
        </w:tc>
        <w:tc>
          <w:tcPr>
            <w:tcW w:w="960" w:type="dxa"/>
            <w:tcBorders>
              <w:top w:val="nil"/>
              <w:left w:val="nil"/>
              <w:bottom w:val="nil"/>
              <w:right w:val="single" w:sz="8" w:space="0" w:color="auto"/>
            </w:tcBorders>
            <w:noWrap/>
            <w:vAlign w:val="bottom"/>
            <w:hideMark/>
          </w:tcPr>
          <w:p w14:paraId="0EACC206"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158,291</w:t>
            </w:r>
          </w:p>
        </w:tc>
      </w:tr>
      <w:tr w:rsidR="000B3E16" w:rsidRPr="00084942" w14:paraId="2BD6D998" w14:textId="77777777" w:rsidTr="000B3E16">
        <w:trPr>
          <w:trHeight w:val="300"/>
        </w:trPr>
        <w:tc>
          <w:tcPr>
            <w:tcW w:w="3320" w:type="dxa"/>
            <w:tcBorders>
              <w:top w:val="nil"/>
              <w:left w:val="single" w:sz="8" w:space="0" w:color="auto"/>
              <w:bottom w:val="nil"/>
              <w:right w:val="nil"/>
            </w:tcBorders>
            <w:noWrap/>
            <w:vAlign w:val="bottom"/>
            <w:hideMark/>
          </w:tcPr>
          <w:p w14:paraId="4531A89B"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Operating lease obligations (LT)</w:t>
            </w:r>
          </w:p>
        </w:tc>
        <w:tc>
          <w:tcPr>
            <w:tcW w:w="960" w:type="dxa"/>
            <w:tcBorders>
              <w:top w:val="nil"/>
              <w:left w:val="nil"/>
              <w:bottom w:val="nil"/>
              <w:right w:val="nil"/>
            </w:tcBorders>
            <w:noWrap/>
            <w:vAlign w:val="bottom"/>
            <w:hideMark/>
          </w:tcPr>
          <w:p w14:paraId="1D1E152F"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261F5B81"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13,681</w:t>
            </w:r>
          </w:p>
        </w:tc>
        <w:tc>
          <w:tcPr>
            <w:tcW w:w="960" w:type="dxa"/>
            <w:tcBorders>
              <w:top w:val="nil"/>
              <w:left w:val="nil"/>
              <w:bottom w:val="nil"/>
              <w:right w:val="nil"/>
            </w:tcBorders>
            <w:noWrap/>
            <w:vAlign w:val="bottom"/>
            <w:hideMark/>
          </w:tcPr>
          <w:p w14:paraId="1C063CE1"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14,266</w:t>
            </w:r>
          </w:p>
        </w:tc>
        <w:tc>
          <w:tcPr>
            <w:tcW w:w="960" w:type="dxa"/>
            <w:tcBorders>
              <w:top w:val="nil"/>
              <w:left w:val="nil"/>
              <w:bottom w:val="nil"/>
              <w:right w:val="nil"/>
            </w:tcBorders>
            <w:noWrap/>
            <w:vAlign w:val="bottom"/>
            <w:hideMark/>
          </w:tcPr>
          <w:p w14:paraId="365A557C"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15,027</w:t>
            </w:r>
          </w:p>
        </w:tc>
        <w:tc>
          <w:tcPr>
            <w:tcW w:w="960" w:type="dxa"/>
            <w:tcBorders>
              <w:top w:val="nil"/>
              <w:left w:val="nil"/>
              <w:bottom w:val="nil"/>
              <w:right w:val="nil"/>
            </w:tcBorders>
            <w:noWrap/>
            <w:vAlign w:val="bottom"/>
            <w:hideMark/>
          </w:tcPr>
          <w:p w14:paraId="428E5668"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12,560</w:t>
            </w:r>
          </w:p>
        </w:tc>
        <w:tc>
          <w:tcPr>
            <w:tcW w:w="960" w:type="dxa"/>
            <w:tcBorders>
              <w:top w:val="nil"/>
              <w:left w:val="nil"/>
              <w:bottom w:val="nil"/>
              <w:right w:val="single" w:sz="8" w:space="0" w:color="auto"/>
            </w:tcBorders>
            <w:noWrap/>
            <w:vAlign w:val="bottom"/>
            <w:hideMark/>
          </w:tcPr>
          <w:p w14:paraId="69959DE2"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9,232</w:t>
            </w:r>
          </w:p>
        </w:tc>
      </w:tr>
      <w:tr w:rsidR="000B3E16" w:rsidRPr="00084942" w14:paraId="55DE4D5D" w14:textId="77777777" w:rsidTr="000B3E16">
        <w:trPr>
          <w:trHeight w:val="300"/>
        </w:trPr>
        <w:tc>
          <w:tcPr>
            <w:tcW w:w="3320" w:type="dxa"/>
            <w:tcBorders>
              <w:top w:val="nil"/>
              <w:left w:val="single" w:sz="8" w:space="0" w:color="auto"/>
              <w:bottom w:val="nil"/>
              <w:right w:val="nil"/>
            </w:tcBorders>
            <w:noWrap/>
            <w:vAlign w:val="bottom"/>
            <w:hideMark/>
          </w:tcPr>
          <w:p w14:paraId="6C6664AC"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Deferred income taxes (LT)</w:t>
            </w:r>
          </w:p>
        </w:tc>
        <w:tc>
          <w:tcPr>
            <w:tcW w:w="960" w:type="dxa"/>
            <w:tcBorders>
              <w:top w:val="nil"/>
              <w:left w:val="nil"/>
              <w:bottom w:val="nil"/>
              <w:right w:val="nil"/>
            </w:tcBorders>
            <w:noWrap/>
            <w:vAlign w:val="bottom"/>
            <w:hideMark/>
          </w:tcPr>
          <w:p w14:paraId="2F310D20"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07D15B2C"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1,913</w:t>
            </w:r>
          </w:p>
        </w:tc>
        <w:tc>
          <w:tcPr>
            <w:tcW w:w="960" w:type="dxa"/>
            <w:tcBorders>
              <w:top w:val="nil"/>
              <w:left w:val="nil"/>
              <w:bottom w:val="nil"/>
              <w:right w:val="nil"/>
            </w:tcBorders>
            <w:noWrap/>
            <w:vAlign w:val="bottom"/>
            <w:hideMark/>
          </w:tcPr>
          <w:p w14:paraId="05A35299"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2,394</w:t>
            </w:r>
          </w:p>
        </w:tc>
        <w:tc>
          <w:tcPr>
            <w:tcW w:w="960" w:type="dxa"/>
            <w:tcBorders>
              <w:top w:val="nil"/>
              <w:left w:val="nil"/>
              <w:bottom w:val="nil"/>
              <w:right w:val="nil"/>
            </w:tcBorders>
            <w:noWrap/>
            <w:vAlign w:val="bottom"/>
            <w:hideMark/>
          </w:tcPr>
          <w:p w14:paraId="65A4601E"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2,724</w:t>
            </w:r>
          </w:p>
        </w:tc>
        <w:tc>
          <w:tcPr>
            <w:tcW w:w="960" w:type="dxa"/>
            <w:tcBorders>
              <w:top w:val="nil"/>
              <w:left w:val="nil"/>
              <w:bottom w:val="nil"/>
              <w:right w:val="nil"/>
            </w:tcBorders>
            <w:noWrap/>
            <w:vAlign w:val="bottom"/>
            <w:hideMark/>
          </w:tcPr>
          <w:p w14:paraId="6E084300"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1,992</w:t>
            </w:r>
          </w:p>
        </w:tc>
        <w:tc>
          <w:tcPr>
            <w:tcW w:w="960" w:type="dxa"/>
            <w:tcBorders>
              <w:top w:val="nil"/>
              <w:left w:val="nil"/>
              <w:bottom w:val="nil"/>
              <w:right w:val="single" w:sz="8" w:space="0" w:color="auto"/>
            </w:tcBorders>
            <w:noWrap/>
            <w:vAlign w:val="bottom"/>
            <w:hideMark/>
          </w:tcPr>
          <w:p w14:paraId="4DFF4A9D"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1,931</w:t>
            </w:r>
          </w:p>
        </w:tc>
      </w:tr>
      <w:tr w:rsidR="000B3E16" w:rsidRPr="00084942" w14:paraId="29ED8A80" w14:textId="77777777" w:rsidTr="000B3E16">
        <w:trPr>
          <w:trHeight w:val="300"/>
        </w:trPr>
        <w:tc>
          <w:tcPr>
            <w:tcW w:w="3320" w:type="dxa"/>
            <w:tcBorders>
              <w:top w:val="nil"/>
              <w:left w:val="single" w:sz="8" w:space="0" w:color="auto"/>
              <w:bottom w:val="nil"/>
              <w:right w:val="nil"/>
            </w:tcBorders>
            <w:noWrap/>
            <w:vAlign w:val="bottom"/>
            <w:hideMark/>
          </w:tcPr>
          <w:p w14:paraId="4C4ACAF1"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Income tax payable (LT)</w:t>
            </w:r>
          </w:p>
        </w:tc>
        <w:tc>
          <w:tcPr>
            <w:tcW w:w="960" w:type="dxa"/>
            <w:tcBorders>
              <w:top w:val="nil"/>
              <w:left w:val="nil"/>
              <w:bottom w:val="nil"/>
              <w:right w:val="nil"/>
            </w:tcBorders>
            <w:noWrap/>
            <w:vAlign w:val="bottom"/>
            <w:hideMark/>
          </w:tcPr>
          <w:p w14:paraId="6C585770"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141F665E"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1,054</w:t>
            </w:r>
          </w:p>
        </w:tc>
        <w:tc>
          <w:tcPr>
            <w:tcW w:w="960" w:type="dxa"/>
            <w:tcBorders>
              <w:top w:val="nil"/>
              <w:left w:val="nil"/>
              <w:bottom w:val="nil"/>
              <w:right w:val="nil"/>
            </w:tcBorders>
            <w:noWrap/>
            <w:vAlign w:val="bottom"/>
            <w:hideMark/>
          </w:tcPr>
          <w:p w14:paraId="13A6CF3C"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939</w:t>
            </w:r>
          </w:p>
        </w:tc>
        <w:tc>
          <w:tcPr>
            <w:tcW w:w="960" w:type="dxa"/>
            <w:tcBorders>
              <w:top w:val="nil"/>
              <w:left w:val="nil"/>
              <w:bottom w:val="nil"/>
              <w:right w:val="nil"/>
            </w:tcBorders>
            <w:noWrap/>
            <w:vAlign w:val="bottom"/>
            <w:hideMark/>
          </w:tcPr>
          <w:p w14:paraId="0168F549"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723</w:t>
            </w:r>
          </w:p>
        </w:tc>
        <w:tc>
          <w:tcPr>
            <w:tcW w:w="960" w:type="dxa"/>
            <w:tcBorders>
              <w:top w:val="nil"/>
              <w:left w:val="nil"/>
              <w:bottom w:val="nil"/>
              <w:right w:val="nil"/>
            </w:tcBorders>
            <w:noWrap/>
            <w:vAlign w:val="bottom"/>
            <w:hideMark/>
          </w:tcPr>
          <w:p w14:paraId="3296A5BF"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435</w:t>
            </w:r>
          </w:p>
        </w:tc>
        <w:tc>
          <w:tcPr>
            <w:tcW w:w="960" w:type="dxa"/>
            <w:tcBorders>
              <w:top w:val="nil"/>
              <w:left w:val="nil"/>
              <w:bottom w:val="nil"/>
              <w:right w:val="single" w:sz="8" w:space="0" w:color="auto"/>
            </w:tcBorders>
            <w:noWrap/>
            <w:vAlign w:val="bottom"/>
            <w:hideMark/>
          </w:tcPr>
          <w:p w14:paraId="58615B04"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72</w:t>
            </w:r>
          </w:p>
        </w:tc>
      </w:tr>
      <w:tr w:rsidR="000B3E16" w:rsidRPr="00084942" w14:paraId="5642D929" w14:textId="77777777" w:rsidTr="000B3E16">
        <w:trPr>
          <w:trHeight w:val="300"/>
        </w:trPr>
        <w:tc>
          <w:tcPr>
            <w:tcW w:w="3320" w:type="dxa"/>
            <w:tcBorders>
              <w:top w:val="nil"/>
              <w:left w:val="single" w:sz="8" w:space="0" w:color="auto"/>
              <w:bottom w:val="nil"/>
              <w:right w:val="nil"/>
            </w:tcBorders>
            <w:noWrap/>
            <w:vAlign w:val="bottom"/>
            <w:hideMark/>
          </w:tcPr>
          <w:p w14:paraId="18E70ACC"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Other long-term liabilities</w:t>
            </w:r>
          </w:p>
        </w:tc>
        <w:tc>
          <w:tcPr>
            <w:tcW w:w="960" w:type="dxa"/>
            <w:tcBorders>
              <w:top w:val="nil"/>
              <w:left w:val="nil"/>
              <w:bottom w:val="nil"/>
              <w:right w:val="nil"/>
            </w:tcBorders>
            <w:noWrap/>
            <w:vAlign w:val="bottom"/>
            <w:hideMark/>
          </w:tcPr>
          <w:p w14:paraId="7295F3B9"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7DB3E236"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539</w:t>
            </w:r>
          </w:p>
        </w:tc>
        <w:tc>
          <w:tcPr>
            <w:tcW w:w="960" w:type="dxa"/>
            <w:tcBorders>
              <w:top w:val="nil"/>
              <w:left w:val="nil"/>
              <w:bottom w:val="nil"/>
              <w:right w:val="nil"/>
            </w:tcBorders>
            <w:noWrap/>
            <w:vAlign w:val="bottom"/>
            <w:hideMark/>
          </w:tcPr>
          <w:p w14:paraId="78FA21EE"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13</w:t>
            </w:r>
          </w:p>
        </w:tc>
        <w:tc>
          <w:tcPr>
            <w:tcW w:w="960" w:type="dxa"/>
            <w:tcBorders>
              <w:top w:val="nil"/>
              <w:left w:val="nil"/>
              <w:bottom w:val="nil"/>
              <w:right w:val="nil"/>
            </w:tcBorders>
            <w:noWrap/>
            <w:vAlign w:val="bottom"/>
            <w:hideMark/>
          </w:tcPr>
          <w:p w14:paraId="2EF4B274"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810</w:t>
            </w:r>
          </w:p>
        </w:tc>
        <w:tc>
          <w:tcPr>
            <w:tcW w:w="960" w:type="dxa"/>
            <w:tcBorders>
              <w:top w:val="nil"/>
              <w:left w:val="nil"/>
              <w:bottom w:val="nil"/>
              <w:right w:val="nil"/>
            </w:tcBorders>
            <w:noWrap/>
            <w:vAlign w:val="bottom"/>
            <w:hideMark/>
          </w:tcPr>
          <w:p w14:paraId="7C6EE3E1"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817</w:t>
            </w:r>
          </w:p>
        </w:tc>
        <w:tc>
          <w:tcPr>
            <w:tcW w:w="960" w:type="dxa"/>
            <w:tcBorders>
              <w:top w:val="nil"/>
              <w:left w:val="nil"/>
              <w:bottom w:val="nil"/>
              <w:right w:val="single" w:sz="8" w:space="0" w:color="auto"/>
            </w:tcBorders>
            <w:noWrap/>
            <w:vAlign w:val="bottom"/>
            <w:hideMark/>
          </w:tcPr>
          <w:p w14:paraId="4529237A"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723</w:t>
            </w:r>
          </w:p>
        </w:tc>
      </w:tr>
      <w:tr w:rsidR="000B3E16" w:rsidRPr="00084942" w14:paraId="0B90EF37" w14:textId="77777777" w:rsidTr="000B3E16">
        <w:trPr>
          <w:trHeight w:val="300"/>
        </w:trPr>
        <w:tc>
          <w:tcPr>
            <w:tcW w:w="3320" w:type="dxa"/>
            <w:tcBorders>
              <w:top w:val="nil"/>
              <w:left w:val="single" w:sz="8" w:space="0" w:color="auto"/>
              <w:bottom w:val="nil"/>
              <w:right w:val="nil"/>
            </w:tcBorders>
            <w:noWrap/>
            <w:vAlign w:val="bottom"/>
            <w:hideMark/>
          </w:tcPr>
          <w:p w14:paraId="5D91CB91"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Total liabilities</w:t>
            </w:r>
          </w:p>
        </w:tc>
        <w:tc>
          <w:tcPr>
            <w:tcW w:w="960" w:type="dxa"/>
            <w:tcBorders>
              <w:top w:val="nil"/>
              <w:left w:val="nil"/>
              <w:bottom w:val="nil"/>
              <w:right w:val="nil"/>
            </w:tcBorders>
            <w:noWrap/>
            <w:vAlign w:val="bottom"/>
            <w:hideMark/>
          </w:tcPr>
          <w:p w14:paraId="3D3B5311"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27EE8167"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196,989</w:t>
            </w:r>
          </w:p>
        </w:tc>
        <w:tc>
          <w:tcPr>
            <w:tcW w:w="960" w:type="dxa"/>
            <w:tcBorders>
              <w:top w:val="nil"/>
              <w:left w:val="nil"/>
              <w:bottom w:val="nil"/>
              <w:right w:val="nil"/>
            </w:tcBorders>
            <w:noWrap/>
            <w:vAlign w:val="bottom"/>
            <w:hideMark/>
          </w:tcPr>
          <w:p w14:paraId="03E7182D"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234,399</w:t>
            </w:r>
          </w:p>
        </w:tc>
        <w:tc>
          <w:tcPr>
            <w:tcW w:w="960" w:type="dxa"/>
            <w:tcBorders>
              <w:top w:val="nil"/>
              <w:left w:val="nil"/>
              <w:bottom w:val="nil"/>
              <w:right w:val="nil"/>
            </w:tcBorders>
            <w:noWrap/>
            <w:vAlign w:val="bottom"/>
            <w:hideMark/>
          </w:tcPr>
          <w:p w14:paraId="53971BF6"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235,757</w:t>
            </w:r>
          </w:p>
        </w:tc>
        <w:tc>
          <w:tcPr>
            <w:tcW w:w="960" w:type="dxa"/>
            <w:tcBorders>
              <w:top w:val="nil"/>
              <w:left w:val="nil"/>
              <w:bottom w:val="nil"/>
              <w:right w:val="nil"/>
            </w:tcBorders>
            <w:noWrap/>
            <w:vAlign w:val="bottom"/>
            <w:hideMark/>
          </w:tcPr>
          <w:p w14:paraId="67188D3F"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176,952</w:t>
            </w:r>
          </w:p>
        </w:tc>
        <w:tc>
          <w:tcPr>
            <w:tcW w:w="960" w:type="dxa"/>
            <w:tcBorders>
              <w:top w:val="nil"/>
              <w:left w:val="nil"/>
              <w:bottom w:val="nil"/>
              <w:right w:val="single" w:sz="8" w:space="0" w:color="auto"/>
            </w:tcBorders>
            <w:noWrap/>
            <w:vAlign w:val="bottom"/>
            <w:hideMark/>
          </w:tcPr>
          <w:p w14:paraId="33EFA4C5"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170,249</w:t>
            </w:r>
          </w:p>
        </w:tc>
      </w:tr>
      <w:tr w:rsidR="000B3E16" w:rsidRPr="00084942" w14:paraId="64695426" w14:textId="77777777" w:rsidTr="000B3E16">
        <w:trPr>
          <w:trHeight w:val="300"/>
        </w:trPr>
        <w:tc>
          <w:tcPr>
            <w:tcW w:w="3320" w:type="dxa"/>
            <w:tcBorders>
              <w:top w:val="nil"/>
              <w:left w:val="single" w:sz="8" w:space="0" w:color="auto"/>
              <w:bottom w:val="nil"/>
              <w:right w:val="nil"/>
            </w:tcBorders>
            <w:noWrap/>
            <w:vAlign w:val="bottom"/>
            <w:hideMark/>
          </w:tcPr>
          <w:p w14:paraId="5235B5B2"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 </w:t>
            </w:r>
          </w:p>
        </w:tc>
        <w:tc>
          <w:tcPr>
            <w:tcW w:w="960" w:type="dxa"/>
            <w:tcBorders>
              <w:top w:val="nil"/>
              <w:left w:val="nil"/>
              <w:bottom w:val="nil"/>
              <w:right w:val="nil"/>
            </w:tcBorders>
            <w:noWrap/>
            <w:vAlign w:val="bottom"/>
            <w:hideMark/>
          </w:tcPr>
          <w:p w14:paraId="718847A6"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1431B148" w14:textId="77777777" w:rsidR="000B3E16" w:rsidRPr="00084942" w:rsidRDefault="000B3E16" w:rsidP="000B3E16">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nil"/>
            </w:tcBorders>
            <w:noWrap/>
            <w:vAlign w:val="bottom"/>
            <w:hideMark/>
          </w:tcPr>
          <w:p w14:paraId="516AC1F1" w14:textId="77777777" w:rsidR="000B3E16" w:rsidRPr="00084942" w:rsidRDefault="000B3E16" w:rsidP="000B3E16">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nil"/>
            </w:tcBorders>
            <w:noWrap/>
            <w:vAlign w:val="bottom"/>
            <w:hideMark/>
          </w:tcPr>
          <w:p w14:paraId="079F0987" w14:textId="77777777" w:rsidR="000B3E16" w:rsidRPr="00084942" w:rsidRDefault="000B3E16" w:rsidP="000B3E16">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nil"/>
            </w:tcBorders>
            <w:noWrap/>
            <w:vAlign w:val="bottom"/>
            <w:hideMark/>
          </w:tcPr>
          <w:p w14:paraId="7B3D44C0" w14:textId="77777777" w:rsidR="000B3E16" w:rsidRPr="00084942" w:rsidRDefault="000B3E16" w:rsidP="000B3E16">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single" w:sz="8" w:space="0" w:color="auto"/>
            </w:tcBorders>
            <w:noWrap/>
            <w:vAlign w:val="bottom"/>
            <w:hideMark/>
          </w:tcPr>
          <w:p w14:paraId="7883693D"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 </w:t>
            </w:r>
          </w:p>
        </w:tc>
      </w:tr>
      <w:tr w:rsidR="000B3E16" w:rsidRPr="00084942" w14:paraId="346F2718" w14:textId="77777777" w:rsidTr="000B3E16">
        <w:trPr>
          <w:trHeight w:val="300"/>
        </w:trPr>
        <w:tc>
          <w:tcPr>
            <w:tcW w:w="3320" w:type="dxa"/>
            <w:tcBorders>
              <w:top w:val="single" w:sz="4" w:space="0" w:color="auto"/>
              <w:left w:val="single" w:sz="8" w:space="0" w:color="auto"/>
              <w:bottom w:val="single" w:sz="4" w:space="0" w:color="auto"/>
              <w:right w:val="single" w:sz="4" w:space="0" w:color="auto"/>
            </w:tcBorders>
            <w:shd w:val="clear" w:color="000000" w:fill="D9E1F2"/>
            <w:noWrap/>
            <w:vAlign w:val="bottom"/>
            <w:hideMark/>
          </w:tcPr>
          <w:p w14:paraId="37CE33E9" w14:textId="77777777" w:rsidR="000B3E16" w:rsidRPr="00084942" w:rsidRDefault="000B3E16" w:rsidP="000B3E16">
            <w:pPr>
              <w:spacing w:after="0" w:line="240" w:lineRule="auto"/>
              <w:jc w:val="lef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Equity</w:t>
            </w:r>
          </w:p>
        </w:tc>
        <w:tc>
          <w:tcPr>
            <w:tcW w:w="960" w:type="dxa"/>
            <w:tcBorders>
              <w:top w:val="single" w:sz="4" w:space="0" w:color="auto"/>
              <w:left w:val="nil"/>
              <w:bottom w:val="single" w:sz="4" w:space="0" w:color="auto"/>
              <w:right w:val="single" w:sz="4" w:space="0" w:color="auto"/>
            </w:tcBorders>
            <w:shd w:val="clear" w:color="000000" w:fill="D9E1F2"/>
            <w:noWrap/>
            <w:vAlign w:val="bottom"/>
            <w:hideMark/>
          </w:tcPr>
          <w:p w14:paraId="7CAA4004" w14:textId="77777777" w:rsidR="000B3E16" w:rsidRPr="00084942" w:rsidRDefault="000B3E16" w:rsidP="000B3E16">
            <w:pPr>
              <w:spacing w:after="0" w:line="240" w:lineRule="auto"/>
              <w:jc w:val="lef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Unit: £m</w:t>
            </w:r>
          </w:p>
        </w:tc>
        <w:tc>
          <w:tcPr>
            <w:tcW w:w="960" w:type="dxa"/>
            <w:tcBorders>
              <w:top w:val="single" w:sz="4" w:space="0" w:color="auto"/>
              <w:left w:val="nil"/>
              <w:bottom w:val="single" w:sz="4" w:space="0" w:color="auto"/>
              <w:right w:val="single" w:sz="4" w:space="0" w:color="auto"/>
            </w:tcBorders>
            <w:shd w:val="clear" w:color="000000" w:fill="D9E1F2"/>
            <w:noWrap/>
            <w:vAlign w:val="bottom"/>
            <w:hideMark/>
          </w:tcPr>
          <w:p w14:paraId="2A66D982" w14:textId="77777777" w:rsidR="000B3E16" w:rsidRPr="00084942" w:rsidRDefault="000B3E16" w:rsidP="000B3E16">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2020</w:t>
            </w:r>
          </w:p>
        </w:tc>
        <w:tc>
          <w:tcPr>
            <w:tcW w:w="960" w:type="dxa"/>
            <w:tcBorders>
              <w:top w:val="single" w:sz="4" w:space="0" w:color="auto"/>
              <w:left w:val="nil"/>
              <w:bottom w:val="single" w:sz="4" w:space="0" w:color="auto"/>
              <w:right w:val="single" w:sz="4" w:space="0" w:color="auto"/>
            </w:tcBorders>
            <w:shd w:val="clear" w:color="000000" w:fill="D9E1F2"/>
            <w:noWrap/>
            <w:vAlign w:val="bottom"/>
            <w:hideMark/>
          </w:tcPr>
          <w:p w14:paraId="46B31409" w14:textId="77777777" w:rsidR="000B3E16" w:rsidRPr="00084942" w:rsidRDefault="000B3E16" w:rsidP="000B3E16">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2021</w:t>
            </w:r>
          </w:p>
        </w:tc>
        <w:tc>
          <w:tcPr>
            <w:tcW w:w="960" w:type="dxa"/>
            <w:tcBorders>
              <w:top w:val="single" w:sz="4" w:space="0" w:color="auto"/>
              <w:left w:val="nil"/>
              <w:bottom w:val="single" w:sz="4" w:space="0" w:color="auto"/>
              <w:right w:val="single" w:sz="4" w:space="0" w:color="auto"/>
            </w:tcBorders>
            <w:shd w:val="clear" w:color="000000" w:fill="D9E1F2"/>
            <w:noWrap/>
            <w:vAlign w:val="bottom"/>
            <w:hideMark/>
          </w:tcPr>
          <w:p w14:paraId="5F1485DE" w14:textId="77777777" w:rsidR="000B3E16" w:rsidRPr="00084942" w:rsidRDefault="000B3E16" w:rsidP="000B3E16">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2022</w:t>
            </w:r>
          </w:p>
        </w:tc>
        <w:tc>
          <w:tcPr>
            <w:tcW w:w="960" w:type="dxa"/>
            <w:tcBorders>
              <w:top w:val="single" w:sz="4" w:space="0" w:color="auto"/>
              <w:left w:val="nil"/>
              <w:bottom w:val="single" w:sz="4" w:space="0" w:color="auto"/>
              <w:right w:val="single" w:sz="4" w:space="0" w:color="auto"/>
            </w:tcBorders>
            <w:shd w:val="clear" w:color="000000" w:fill="D9E1F2"/>
            <w:noWrap/>
            <w:vAlign w:val="bottom"/>
            <w:hideMark/>
          </w:tcPr>
          <w:p w14:paraId="3160855E" w14:textId="77777777" w:rsidR="000B3E16" w:rsidRPr="00084942" w:rsidRDefault="000B3E16" w:rsidP="000B3E16">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2023</w:t>
            </w:r>
          </w:p>
        </w:tc>
        <w:tc>
          <w:tcPr>
            <w:tcW w:w="960" w:type="dxa"/>
            <w:tcBorders>
              <w:top w:val="single" w:sz="4" w:space="0" w:color="auto"/>
              <w:left w:val="nil"/>
              <w:bottom w:val="single" w:sz="4" w:space="0" w:color="auto"/>
              <w:right w:val="single" w:sz="8" w:space="0" w:color="auto"/>
            </w:tcBorders>
            <w:shd w:val="clear" w:color="000000" w:fill="D9E1F2"/>
            <w:noWrap/>
            <w:vAlign w:val="bottom"/>
            <w:hideMark/>
          </w:tcPr>
          <w:p w14:paraId="5EE93A51" w14:textId="77777777" w:rsidR="000B3E16" w:rsidRPr="00084942" w:rsidRDefault="000B3E16" w:rsidP="000B3E16">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2024</w:t>
            </w:r>
          </w:p>
        </w:tc>
      </w:tr>
      <w:tr w:rsidR="000B3E16" w:rsidRPr="00084942" w14:paraId="6E1A821A" w14:textId="77777777" w:rsidTr="000B3E16">
        <w:trPr>
          <w:trHeight w:val="300"/>
        </w:trPr>
        <w:tc>
          <w:tcPr>
            <w:tcW w:w="3320" w:type="dxa"/>
            <w:tcBorders>
              <w:top w:val="nil"/>
              <w:left w:val="single" w:sz="8" w:space="0" w:color="auto"/>
              <w:bottom w:val="nil"/>
              <w:right w:val="nil"/>
            </w:tcBorders>
            <w:noWrap/>
            <w:vAlign w:val="bottom"/>
            <w:hideMark/>
          </w:tcPr>
          <w:p w14:paraId="273B8C40"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Common stock</w:t>
            </w:r>
          </w:p>
        </w:tc>
        <w:tc>
          <w:tcPr>
            <w:tcW w:w="960" w:type="dxa"/>
            <w:tcBorders>
              <w:top w:val="nil"/>
              <w:left w:val="nil"/>
              <w:bottom w:val="nil"/>
              <w:right w:val="nil"/>
            </w:tcBorders>
            <w:noWrap/>
            <w:vAlign w:val="bottom"/>
            <w:hideMark/>
          </w:tcPr>
          <w:p w14:paraId="3280467F"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7E1D4868"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244</w:t>
            </w:r>
          </w:p>
        </w:tc>
        <w:tc>
          <w:tcPr>
            <w:tcW w:w="960" w:type="dxa"/>
            <w:tcBorders>
              <w:top w:val="nil"/>
              <w:left w:val="nil"/>
              <w:bottom w:val="nil"/>
              <w:right w:val="nil"/>
            </w:tcBorders>
            <w:noWrap/>
            <w:vAlign w:val="bottom"/>
            <w:hideMark/>
          </w:tcPr>
          <w:p w14:paraId="446FA88E"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247</w:t>
            </w:r>
          </w:p>
        </w:tc>
        <w:tc>
          <w:tcPr>
            <w:tcW w:w="960" w:type="dxa"/>
            <w:tcBorders>
              <w:top w:val="nil"/>
              <w:left w:val="nil"/>
              <w:bottom w:val="nil"/>
              <w:right w:val="nil"/>
            </w:tcBorders>
            <w:noWrap/>
            <w:vAlign w:val="bottom"/>
            <w:hideMark/>
          </w:tcPr>
          <w:p w14:paraId="0AA22349"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250</w:t>
            </w:r>
          </w:p>
        </w:tc>
        <w:tc>
          <w:tcPr>
            <w:tcW w:w="960" w:type="dxa"/>
            <w:tcBorders>
              <w:top w:val="nil"/>
              <w:left w:val="nil"/>
              <w:bottom w:val="nil"/>
              <w:right w:val="nil"/>
            </w:tcBorders>
            <w:noWrap/>
            <w:vAlign w:val="bottom"/>
            <w:hideMark/>
          </w:tcPr>
          <w:p w14:paraId="093056E1"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253</w:t>
            </w:r>
          </w:p>
        </w:tc>
        <w:tc>
          <w:tcPr>
            <w:tcW w:w="960" w:type="dxa"/>
            <w:tcBorders>
              <w:top w:val="nil"/>
              <w:left w:val="nil"/>
              <w:bottom w:val="nil"/>
              <w:right w:val="single" w:sz="8" w:space="0" w:color="auto"/>
            </w:tcBorders>
            <w:noWrap/>
            <w:vAlign w:val="bottom"/>
            <w:hideMark/>
          </w:tcPr>
          <w:p w14:paraId="1E81A16D"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257</w:t>
            </w:r>
          </w:p>
        </w:tc>
      </w:tr>
      <w:tr w:rsidR="000B3E16" w:rsidRPr="00084942" w14:paraId="6A999B72" w14:textId="77777777" w:rsidTr="000B3E16">
        <w:trPr>
          <w:trHeight w:val="300"/>
        </w:trPr>
        <w:tc>
          <w:tcPr>
            <w:tcW w:w="3320" w:type="dxa"/>
            <w:tcBorders>
              <w:top w:val="nil"/>
              <w:left w:val="single" w:sz="8" w:space="0" w:color="auto"/>
              <w:bottom w:val="nil"/>
              <w:right w:val="nil"/>
            </w:tcBorders>
            <w:noWrap/>
            <w:vAlign w:val="bottom"/>
            <w:hideMark/>
          </w:tcPr>
          <w:p w14:paraId="09FDFF6F"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Paid-in capital</w:t>
            </w:r>
          </w:p>
        </w:tc>
        <w:tc>
          <w:tcPr>
            <w:tcW w:w="960" w:type="dxa"/>
            <w:tcBorders>
              <w:top w:val="nil"/>
              <w:left w:val="nil"/>
              <w:bottom w:val="nil"/>
              <w:right w:val="nil"/>
            </w:tcBorders>
            <w:noWrap/>
            <w:vAlign w:val="bottom"/>
            <w:hideMark/>
          </w:tcPr>
          <w:p w14:paraId="703CECA9"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6C4FF718"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302,084</w:t>
            </w:r>
          </w:p>
        </w:tc>
        <w:tc>
          <w:tcPr>
            <w:tcW w:w="960" w:type="dxa"/>
            <w:tcBorders>
              <w:top w:val="nil"/>
              <w:left w:val="nil"/>
              <w:bottom w:val="nil"/>
              <w:right w:val="nil"/>
            </w:tcBorders>
            <w:noWrap/>
            <w:vAlign w:val="bottom"/>
            <w:hideMark/>
          </w:tcPr>
          <w:p w14:paraId="52C73C8B"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314,094</w:t>
            </w:r>
          </w:p>
        </w:tc>
        <w:tc>
          <w:tcPr>
            <w:tcW w:w="960" w:type="dxa"/>
            <w:tcBorders>
              <w:top w:val="nil"/>
              <w:left w:val="nil"/>
              <w:bottom w:val="nil"/>
              <w:right w:val="nil"/>
            </w:tcBorders>
            <w:noWrap/>
            <w:vAlign w:val="bottom"/>
            <w:hideMark/>
          </w:tcPr>
          <w:p w14:paraId="406A7ED5"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326,839</w:t>
            </w:r>
          </w:p>
        </w:tc>
        <w:tc>
          <w:tcPr>
            <w:tcW w:w="960" w:type="dxa"/>
            <w:tcBorders>
              <w:top w:val="nil"/>
              <w:left w:val="nil"/>
              <w:bottom w:val="nil"/>
              <w:right w:val="nil"/>
            </w:tcBorders>
            <w:noWrap/>
            <w:vAlign w:val="bottom"/>
            <w:hideMark/>
          </w:tcPr>
          <w:p w14:paraId="50907F27"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336,938</w:t>
            </w:r>
          </w:p>
        </w:tc>
        <w:tc>
          <w:tcPr>
            <w:tcW w:w="960" w:type="dxa"/>
            <w:tcBorders>
              <w:top w:val="nil"/>
              <w:left w:val="nil"/>
              <w:bottom w:val="nil"/>
              <w:right w:val="single" w:sz="8" w:space="0" w:color="auto"/>
            </w:tcBorders>
            <w:noWrap/>
            <w:vAlign w:val="bottom"/>
            <w:hideMark/>
          </w:tcPr>
          <w:p w14:paraId="526AE9D6"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344,697</w:t>
            </w:r>
          </w:p>
        </w:tc>
      </w:tr>
      <w:tr w:rsidR="000B3E16" w:rsidRPr="00084942" w14:paraId="260D528F" w14:textId="77777777" w:rsidTr="000B3E16">
        <w:trPr>
          <w:trHeight w:val="300"/>
        </w:trPr>
        <w:tc>
          <w:tcPr>
            <w:tcW w:w="3320" w:type="dxa"/>
            <w:tcBorders>
              <w:top w:val="nil"/>
              <w:left w:val="single" w:sz="8" w:space="0" w:color="auto"/>
              <w:bottom w:val="nil"/>
              <w:right w:val="nil"/>
            </w:tcBorders>
            <w:noWrap/>
            <w:vAlign w:val="bottom"/>
            <w:hideMark/>
          </w:tcPr>
          <w:p w14:paraId="21ED430D"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Treasury stock</w:t>
            </w:r>
          </w:p>
        </w:tc>
        <w:tc>
          <w:tcPr>
            <w:tcW w:w="960" w:type="dxa"/>
            <w:tcBorders>
              <w:top w:val="nil"/>
              <w:left w:val="nil"/>
              <w:bottom w:val="nil"/>
              <w:right w:val="nil"/>
            </w:tcBorders>
            <w:noWrap/>
            <w:vAlign w:val="bottom"/>
            <w:hideMark/>
          </w:tcPr>
          <w:p w14:paraId="26320D03"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6929E3E9"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-295,495</w:t>
            </w:r>
          </w:p>
        </w:tc>
        <w:tc>
          <w:tcPr>
            <w:tcW w:w="960" w:type="dxa"/>
            <w:tcBorders>
              <w:top w:val="nil"/>
              <w:left w:val="nil"/>
              <w:bottom w:val="nil"/>
              <w:right w:val="nil"/>
            </w:tcBorders>
            <w:noWrap/>
            <w:vAlign w:val="bottom"/>
            <w:hideMark/>
          </w:tcPr>
          <w:p w14:paraId="071947DA"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-355,159</w:t>
            </w:r>
          </w:p>
        </w:tc>
        <w:tc>
          <w:tcPr>
            <w:tcW w:w="960" w:type="dxa"/>
            <w:tcBorders>
              <w:top w:val="nil"/>
              <w:left w:val="nil"/>
              <w:bottom w:val="nil"/>
              <w:right w:val="nil"/>
            </w:tcBorders>
            <w:noWrap/>
            <w:vAlign w:val="bottom"/>
            <w:hideMark/>
          </w:tcPr>
          <w:p w14:paraId="6FE62061"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-368,194</w:t>
            </w:r>
          </w:p>
        </w:tc>
        <w:tc>
          <w:tcPr>
            <w:tcW w:w="960" w:type="dxa"/>
            <w:tcBorders>
              <w:top w:val="nil"/>
              <w:left w:val="nil"/>
              <w:bottom w:val="nil"/>
              <w:right w:val="nil"/>
            </w:tcBorders>
            <w:noWrap/>
            <w:vAlign w:val="bottom"/>
            <w:hideMark/>
          </w:tcPr>
          <w:p w14:paraId="6A750D31"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-369,973</w:t>
            </w:r>
          </w:p>
        </w:tc>
        <w:tc>
          <w:tcPr>
            <w:tcW w:w="960" w:type="dxa"/>
            <w:tcBorders>
              <w:top w:val="nil"/>
              <w:left w:val="nil"/>
              <w:bottom w:val="nil"/>
              <w:right w:val="single" w:sz="8" w:space="0" w:color="auto"/>
            </w:tcBorders>
            <w:noWrap/>
            <w:vAlign w:val="bottom"/>
            <w:hideMark/>
          </w:tcPr>
          <w:p w14:paraId="2787F6A1"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-371,930</w:t>
            </w:r>
          </w:p>
        </w:tc>
      </w:tr>
      <w:tr w:rsidR="000B3E16" w:rsidRPr="00084942" w14:paraId="32DCCA23" w14:textId="77777777" w:rsidTr="000B3E16">
        <w:trPr>
          <w:trHeight w:val="300"/>
        </w:trPr>
        <w:tc>
          <w:tcPr>
            <w:tcW w:w="3320" w:type="dxa"/>
            <w:tcBorders>
              <w:top w:val="nil"/>
              <w:left w:val="single" w:sz="8" w:space="0" w:color="auto"/>
              <w:bottom w:val="nil"/>
              <w:right w:val="nil"/>
            </w:tcBorders>
            <w:noWrap/>
            <w:vAlign w:val="bottom"/>
            <w:hideMark/>
          </w:tcPr>
          <w:p w14:paraId="68250A25"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AOCI</w:t>
            </w:r>
          </w:p>
        </w:tc>
        <w:tc>
          <w:tcPr>
            <w:tcW w:w="960" w:type="dxa"/>
            <w:tcBorders>
              <w:top w:val="nil"/>
              <w:left w:val="nil"/>
              <w:bottom w:val="nil"/>
              <w:right w:val="nil"/>
            </w:tcBorders>
            <w:noWrap/>
            <w:vAlign w:val="bottom"/>
            <w:hideMark/>
          </w:tcPr>
          <w:p w14:paraId="7003113E"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40B975A1"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-18,522</w:t>
            </w:r>
          </w:p>
        </w:tc>
        <w:tc>
          <w:tcPr>
            <w:tcW w:w="960" w:type="dxa"/>
            <w:tcBorders>
              <w:top w:val="nil"/>
              <w:left w:val="nil"/>
              <w:bottom w:val="nil"/>
              <w:right w:val="nil"/>
            </w:tcBorders>
            <w:noWrap/>
            <w:vAlign w:val="bottom"/>
            <w:hideMark/>
          </w:tcPr>
          <w:p w14:paraId="25E26FF1"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-13,524</w:t>
            </w:r>
          </w:p>
        </w:tc>
        <w:tc>
          <w:tcPr>
            <w:tcW w:w="960" w:type="dxa"/>
            <w:tcBorders>
              <w:top w:val="nil"/>
              <w:left w:val="nil"/>
              <w:bottom w:val="nil"/>
              <w:right w:val="nil"/>
            </w:tcBorders>
            <w:noWrap/>
            <w:vAlign w:val="bottom"/>
            <w:hideMark/>
          </w:tcPr>
          <w:p w14:paraId="7AED2AD7"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-21,187</w:t>
            </w:r>
          </w:p>
        </w:tc>
        <w:tc>
          <w:tcPr>
            <w:tcW w:w="960" w:type="dxa"/>
            <w:tcBorders>
              <w:top w:val="nil"/>
              <w:left w:val="nil"/>
              <w:bottom w:val="nil"/>
              <w:right w:val="nil"/>
            </w:tcBorders>
            <w:noWrap/>
            <w:vAlign w:val="bottom"/>
            <w:hideMark/>
          </w:tcPr>
          <w:p w14:paraId="77918671"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-20,758</w:t>
            </w:r>
          </w:p>
        </w:tc>
        <w:tc>
          <w:tcPr>
            <w:tcW w:w="960" w:type="dxa"/>
            <w:tcBorders>
              <w:top w:val="nil"/>
              <w:left w:val="nil"/>
              <w:bottom w:val="nil"/>
              <w:right w:val="single" w:sz="8" w:space="0" w:color="auto"/>
            </w:tcBorders>
            <w:noWrap/>
            <w:vAlign w:val="bottom"/>
            <w:hideMark/>
          </w:tcPr>
          <w:p w14:paraId="24DFA57F"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-28,350</w:t>
            </w:r>
          </w:p>
        </w:tc>
      </w:tr>
      <w:tr w:rsidR="000B3E16" w:rsidRPr="00084942" w14:paraId="2452C7B6" w14:textId="77777777" w:rsidTr="000B3E16">
        <w:trPr>
          <w:trHeight w:val="300"/>
        </w:trPr>
        <w:tc>
          <w:tcPr>
            <w:tcW w:w="3320" w:type="dxa"/>
            <w:tcBorders>
              <w:top w:val="nil"/>
              <w:left w:val="single" w:sz="8" w:space="0" w:color="auto"/>
              <w:bottom w:val="nil"/>
              <w:right w:val="nil"/>
            </w:tcBorders>
            <w:noWrap/>
            <w:vAlign w:val="bottom"/>
            <w:hideMark/>
          </w:tcPr>
          <w:p w14:paraId="5B4361C0"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Retained earnings</w:t>
            </w:r>
          </w:p>
        </w:tc>
        <w:tc>
          <w:tcPr>
            <w:tcW w:w="960" w:type="dxa"/>
            <w:tcBorders>
              <w:top w:val="nil"/>
              <w:left w:val="nil"/>
              <w:bottom w:val="nil"/>
              <w:right w:val="nil"/>
            </w:tcBorders>
            <w:noWrap/>
            <w:vAlign w:val="bottom"/>
            <w:hideMark/>
          </w:tcPr>
          <w:p w14:paraId="4309F611"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7031B28E"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324,990</w:t>
            </w:r>
          </w:p>
        </w:tc>
        <w:tc>
          <w:tcPr>
            <w:tcW w:w="960" w:type="dxa"/>
            <w:tcBorders>
              <w:top w:val="nil"/>
              <w:left w:val="nil"/>
              <w:bottom w:val="nil"/>
              <w:right w:val="nil"/>
            </w:tcBorders>
            <w:noWrap/>
            <w:vAlign w:val="bottom"/>
            <w:hideMark/>
          </w:tcPr>
          <w:p w14:paraId="3D9BDD42"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330,291</w:t>
            </w:r>
          </w:p>
        </w:tc>
        <w:tc>
          <w:tcPr>
            <w:tcW w:w="960" w:type="dxa"/>
            <w:tcBorders>
              <w:top w:val="nil"/>
              <w:left w:val="nil"/>
              <w:bottom w:val="nil"/>
              <w:right w:val="nil"/>
            </w:tcBorders>
            <w:noWrap/>
            <w:vAlign w:val="bottom"/>
            <w:hideMark/>
          </w:tcPr>
          <w:p w14:paraId="1F840791"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330,698</w:t>
            </w:r>
          </w:p>
        </w:tc>
        <w:tc>
          <w:tcPr>
            <w:tcW w:w="960" w:type="dxa"/>
            <w:tcBorders>
              <w:top w:val="nil"/>
              <w:left w:val="nil"/>
              <w:bottom w:val="nil"/>
              <w:right w:val="nil"/>
            </w:tcBorders>
            <w:noWrap/>
            <w:vAlign w:val="bottom"/>
            <w:hideMark/>
          </w:tcPr>
          <w:p w14:paraId="2723104E"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232,460</w:t>
            </w:r>
          </w:p>
        </w:tc>
        <w:tc>
          <w:tcPr>
            <w:tcW w:w="960" w:type="dxa"/>
            <w:tcBorders>
              <w:top w:val="nil"/>
              <w:left w:val="nil"/>
              <w:bottom w:val="nil"/>
              <w:right w:val="single" w:sz="8" w:space="0" w:color="auto"/>
            </w:tcBorders>
            <w:noWrap/>
            <w:vAlign w:val="bottom"/>
            <w:hideMark/>
          </w:tcPr>
          <w:p w14:paraId="073556E2"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208,431</w:t>
            </w:r>
          </w:p>
        </w:tc>
      </w:tr>
      <w:tr w:rsidR="000B3E16" w:rsidRPr="00084942" w14:paraId="2BE4599F" w14:textId="77777777" w:rsidTr="000B3E16">
        <w:trPr>
          <w:trHeight w:val="315"/>
        </w:trPr>
        <w:tc>
          <w:tcPr>
            <w:tcW w:w="3320" w:type="dxa"/>
            <w:tcBorders>
              <w:top w:val="nil"/>
              <w:left w:val="single" w:sz="8" w:space="0" w:color="auto"/>
              <w:bottom w:val="single" w:sz="8" w:space="0" w:color="auto"/>
              <w:right w:val="nil"/>
            </w:tcBorders>
            <w:noWrap/>
            <w:vAlign w:val="bottom"/>
            <w:hideMark/>
          </w:tcPr>
          <w:p w14:paraId="16C46005"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Total shareholders’ equity</w:t>
            </w:r>
          </w:p>
        </w:tc>
        <w:tc>
          <w:tcPr>
            <w:tcW w:w="960" w:type="dxa"/>
            <w:tcBorders>
              <w:top w:val="nil"/>
              <w:left w:val="nil"/>
              <w:bottom w:val="single" w:sz="8" w:space="0" w:color="auto"/>
              <w:right w:val="nil"/>
            </w:tcBorders>
            <w:noWrap/>
            <w:vAlign w:val="bottom"/>
            <w:hideMark/>
          </w:tcPr>
          <w:p w14:paraId="06A45D90"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 </w:t>
            </w:r>
          </w:p>
        </w:tc>
        <w:tc>
          <w:tcPr>
            <w:tcW w:w="960" w:type="dxa"/>
            <w:tcBorders>
              <w:top w:val="nil"/>
              <w:left w:val="nil"/>
              <w:bottom w:val="single" w:sz="8" w:space="0" w:color="auto"/>
              <w:right w:val="nil"/>
            </w:tcBorders>
            <w:noWrap/>
            <w:vAlign w:val="bottom"/>
            <w:hideMark/>
          </w:tcPr>
          <w:p w14:paraId="6AA60433"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313,301</w:t>
            </w:r>
          </w:p>
        </w:tc>
        <w:tc>
          <w:tcPr>
            <w:tcW w:w="960" w:type="dxa"/>
            <w:tcBorders>
              <w:top w:val="nil"/>
              <w:left w:val="nil"/>
              <w:bottom w:val="single" w:sz="8" w:space="0" w:color="auto"/>
              <w:right w:val="nil"/>
            </w:tcBorders>
            <w:noWrap/>
            <w:vAlign w:val="bottom"/>
            <w:hideMark/>
          </w:tcPr>
          <w:p w14:paraId="7DFBFCC7"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275,949</w:t>
            </w:r>
          </w:p>
        </w:tc>
        <w:tc>
          <w:tcPr>
            <w:tcW w:w="960" w:type="dxa"/>
            <w:tcBorders>
              <w:top w:val="nil"/>
              <w:left w:val="nil"/>
              <w:bottom w:val="single" w:sz="8" w:space="0" w:color="auto"/>
              <w:right w:val="nil"/>
            </w:tcBorders>
            <w:noWrap/>
            <w:vAlign w:val="bottom"/>
            <w:hideMark/>
          </w:tcPr>
          <w:p w14:paraId="471D5FD8"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268,406</w:t>
            </w:r>
          </w:p>
        </w:tc>
        <w:tc>
          <w:tcPr>
            <w:tcW w:w="960" w:type="dxa"/>
            <w:tcBorders>
              <w:top w:val="nil"/>
              <w:left w:val="nil"/>
              <w:bottom w:val="single" w:sz="8" w:space="0" w:color="auto"/>
              <w:right w:val="nil"/>
            </w:tcBorders>
            <w:noWrap/>
            <w:vAlign w:val="bottom"/>
            <w:hideMark/>
          </w:tcPr>
          <w:p w14:paraId="4CF2BD8E"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178,920</w:t>
            </w:r>
          </w:p>
        </w:tc>
        <w:tc>
          <w:tcPr>
            <w:tcW w:w="960" w:type="dxa"/>
            <w:tcBorders>
              <w:top w:val="nil"/>
              <w:left w:val="nil"/>
              <w:bottom w:val="single" w:sz="8" w:space="0" w:color="auto"/>
              <w:right w:val="single" w:sz="8" w:space="0" w:color="auto"/>
            </w:tcBorders>
            <w:noWrap/>
            <w:vAlign w:val="bottom"/>
            <w:hideMark/>
          </w:tcPr>
          <w:p w14:paraId="175ED37E"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153,105</w:t>
            </w:r>
          </w:p>
        </w:tc>
      </w:tr>
      <w:tr w:rsidR="000B3E16" w:rsidRPr="00084942" w14:paraId="6450CC54" w14:textId="77777777" w:rsidTr="000B3E16">
        <w:trPr>
          <w:trHeight w:val="315"/>
        </w:trPr>
        <w:tc>
          <w:tcPr>
            <w:tcW w:w="3320" w:type="dxa"/>
            <w:tcBorders>
              <w:top w:val="nil"/>
              <w:left w:val="nil"/>
              <w:bottom w:val="nil"/>
              <w:right w:val="nil"/>
            </w:tcBorders>
            <w:noWrap/>
            <w:vAlign w:val="bottom"/>
            <w:hideMark/>
          </w:tcPr>
          <w:p w14:paraId="724F0239"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5C154043" w14:textId="77777777" w:rsidR="000B3E16" w:rsidRPr="00084942" w:rsidRDefault="000B3E16" w:rsidP="000B3E16">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nil"/>
            </w:tcBorders>
            <w:noWrap/>
            <w:vAlign w:val="bottom"/>
            <w:hideMark/>
          </w:tcPr>
          <w:p w14:paraId="364F3869" w14:textId="77777777" w:rsidR="000B3E16" w:rsidRPr="00084942" w:rsidRDefault="000B3E16" w:rsidP="000B3E16">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nil"/>
            </w:tcBorders>
            <w:noWrap/>
            <w:vAlign w:val="bottom"/>
            <w:hideMark/>
          </w:tcPr>
          <w:p w14:paraId="1833E778" w14:textId="77777777" w:rsidR="000B3E16" w:rsidRPr="00084942" w:rsidRDefault="000B3E16" w:rsidP="000B3E16">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nil"/>
            </w:tcBorders>
            <w:noWrap/>
            <w:vAlign w:val="bottom"/>
            <w:hideMark/>
          </w:tcPr>
          <w:p w14:paraId="1A439979" w14:textId="77777777" w:rsidR="000B3E16" w:rsidRPr="00084942" w:rsidRDefault="000B3E16" w:rsidP="000B3E16">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nil"/>
            </w:tcBorders>
            <w:noWrap/>
            <w:vAlign w:val="bottom"/>
            <w:hideMark/>
          </w:tcPr>
          <w:p w14:paraId="2E63773F" w14:textId="77777777" w:rsidR="000B3E16" w:rsidRPr="00084942" w:rsidRDefault="000B3E16" w:rsidP="000B3E16">
            <w:pPr>
              <w:spacing w:after="0" w:line="240" w:lineRule="auto"/>
              <w:jc w:val="left"/>
              <w:rPr>
                <w:rFonts w:ascii="Arial" w:eastAsia="Times New Roman" w:hAnsi="Arial" w:cs="Arial"/>
                <w:color w:val="auto"/>
                <w:kern w:val="0"/>
                <w:sz w:val="20"/>
                <w:szCs w:val="20"/>
                <w:lang w:val="en-US"/>
                <w14:ligatures w14:val="none"/>
              </w:rPr>
            </w:pPr>
          </w:p>
        </w:tc>
        <w:tc>
          <w:tcPr>
            <w:tcW w:w="960" w:type="dxa"/>
            <w:tcBorders>
              <w:top w:val="nil"/>
              <w:left w:val="nil"/>
              <w:bottom w:val="nil"/>
              <w:right w:val="nil"/>
            </w:tcBorders>
            <w:noWrap/>
            <w:vAlign w:val="bottom"/>
            <w:hideMark/>
          </w:tcPr>
          <w:p w14:paraId="38E27FE2" w14:textId="77777777" w:rsidR="000B3E16" w:rsidRPr="00084942" w:rsidRDefault="000B3E16" w:rsidP="000B3E16">
            <w:pPr>
              <w:spacing w:after="0" w:line="240" w:lineRule="auto"/>
              <w:jc w:val="left"/>
              <w:rPr>
                <w:rFonts w:ascii="Arial" w:eastAsia="Times New Roman" w:hAnsi="Arial" w:cs="Arial"/>
                <w:color w:val="auto"/>
                <w:kern w:val="0"/>
                <w:sz w:val="20"/>
                <w:szCs w:val="20"/>
                <w:lang w:val="en-US"/>
                <w14:ligatures w14:val="none"/>
              </w:rPr>
            </w:pPr>
          </w:p>
        </w:tc>
      </w:tr>
      <w:tr w:rsidR="000B3E16" w:rsidRPr="00084942" w14:paraId="69EF0D2C" w14:textId="77777777" w:rsidTr="000B3E16">
        <w:trPr>
          <w:trHeight w:val="300"/>
        </w:trPr>
        <w:tc>
          <w:tcPr>
            <w:tcW w:w="3320" w:type="dxa"/>
            <w:tcBorders>
              <w:top w:val="single" w:sz="8" w:space="0" w:color="auto"/>
              <w:left w:val="single" w:sz="8" w:space="0" w:color="auto"/>
              <w:bottom w:val="single" w:sz="4" w:space="0" w:color="auto"/>
              <w:right w:val="single" w:sz="4" w:space="0" w:color="auto"/>
            </w:tcBorders>
            <w:shd w:val="clear" w:color="000000" w:fill="948A54"/>
            <w:noWrap/>
            <w:vAlign w:val="bottom"/>
            <w:hideMark/>
          </w:tcPr>
          <w:p w14:paraId="0ABB9A72" w14:textId="77777777" w:rsidR="000B3E16" w:rsidRPr="00084942" w:rsidRDefault="000B3E16" w:rsidP="000B3E16">
            <w:pPr>
              <w:spacing w:after="0" w:line="240" w:lineRule="auto"/>
              <w:jc w:val="lef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Cash Flow</w:t>
            </w:r>
          </w:p>
        </w:tc>
        <w:tc>
          <w:tcPr>
            <w:tcW w:w="960" w:type="dxa"/>
            <w:tcBorders>
              <w:top w:val="single" w:sz="8" w:space="0" w:color="auto"/>
              <w:left w:val="nil"/>
              <w:bottom w:val="single" w:sz="4" w:space="0" w:color="auto"/>
              <w:right w:val="single" w:sz="4" w:space="0" w:color="auto"/>
            </w:tcBorders>
            <w:shd w:val="clear" w:color="000000" w:fill="948A54"/>
            <w:noWrap/>
            <w:vAlign w:val="bottom"/>
            <w:hideMark/>
          </w:tcPr>
          <w:p w14:paraId="5A20B86A" w14:textId="77777777" w:rsidR="000B3E16" w:rsidRPr="00084942" w:rsidRDefault="000B3E16" w:rsidP="000B3E16">
            <w:pPr>
              <w:spacing w:after="0" w:line="240" w:lineRule="auto"/>
              <w:jc w:val="lef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Unit: £m</w:t>
            </w:r>
          </w:p>
        </w:tc>
        <w:tc>
          <w:tcPr>
            <w:tcW w:w="960" w:type="dxa"/>
            <w:tcBorders>
              <w:top w:val="single" w:sz="8" w:space="0" w:color="auto"/>
              <w:left w:val="nil"/>
              <w:bottom w:val="single" w:sz="4" w:space="0" w:color="auto"/>
              <w:right w:val="single" w:sz="4" w:space="0" w:color="auto"/>
            </w:tcBorders>
            <w:shd w:val="clear" w:color="000000" w:fill="948A54"/>
            <w:noWrap/>
            <w:vAlign w:val="bottom"/>
            <w:hideMark/>
          </w:tcPr>
          <w:p w14:paraId="344FB2C5" w14:textId="77777777" w:rsidR="000B3E16" w:rsidRPr="00084942" w:rsidRDefault="000B3E16" w:rsidP="000B3E16">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2020</w:t>
            </w:r>
          </w:p>
        </w:tc>
        <w:tc>
          <w:tcPr>
            <w:tcW w:w="960" w:type="dxa"/>
            <w:tcBorders>
              <w:top w:val="single" w:sz="8" w:space="0" w:color="auto"/>
              <w:left w:val="nil"/>
              <w:bottom w:val="single" w:sz="4" w:space="0" w:color="auto"/>
              <w:right w:val="single" w:sz="4" w:space="0" w:color="auto"/>
            </w:tcBorders>
            <w:shd w:val="clear" w:color="000000" w:fill="948A54"/>
            <w:noWrap/>
            <w:vAlign w:val="bottom"/>
            <w:hideMark/>
          </w:tcPr>
          <w:p w14:paraId="7089F77F" w14:textId="77777777" w:rsidR="000B3E16" w:rsidRPr="00084942" w:rsidRDefault="000B3E16" w:rsidP="000B3E16">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2021</w:t>
            </w:r>
          </w:p>
        </w:tc>
        <w:tc>
          <w:tcPr>
            <w:tcW w:w="960" w:type="dxa"/>
            <w:tcBorders>
              <w:top w:val="single" w:sz="8" w:space="0" w:color="auto"/>
              <w:left w:val="nil"/>
              <w:bottom w:val="single" w:sz="4" w:space="0" w:color="auto"/>
              <w:right w:val="single" w:sz="4" w:space="0" w:color="auto"/>
            </w:tcBorders>
            <w:shd w:val="clear" w:color="000000" w:fill="948A54"/>
            <w:noWrap/>
            <w:vAlign w:val="bottom"/>
            <w:hideMark/>
          </w:tcPr>
          <w:p w14:paraId="77E8AB5C" w14:textId="77777777" w:rsidR="000B3E16" w:rsidRPr="00084942" w:rsidRDefault="000B3E16" w:rsidP="000B3E16">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2022</w:t>
            </w:r>
          </w:p>
        </w:tc>
        <w:tc>
          <w:tcPr>
            <w:tcW w:w="960" w:type="dxa"/>
            <w:tcBorders>
              <w:top w:val="single" w:sz="8" w:space="0" w:color="auto"/>
              <w:left w:val="nil"/>
              <w:bottom w:val="single" w:sz="4" w:space="0" w:color="auto"/>
              <w:right w:val="single" w:sz="4" w:space="0" w:color="auto"/>
            </w:tcBorders>
            <w:shd w:val="clear" w:color="000000" w:fill="948A54"/>
            <w:noWrap/>
            <w:vAlign w:val="bottom"/>
            <w:hideMark/>
          </w:tcPr>
          <w:p w14:paraId="3402DBBD" w14:textId="77777777" w:rsidR="000B3E16" w:rsidRPr="00084942" w:rsidRDefault="000B3E16" w:rsidP="000B3E16">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2023</w:t>
            </w:r>
          </w:p>
        </w:tc>
        <w:tc>
          <w:tcPr>
            <w:tcW w:w="960" w:type="dxa"/>
            <w:tcBorders>
              <w:top w:val="single" w:sz="8" w:space="0" w:color="auto"/>
              <w:left w:val="nil"/>
              <w:bottom w:val="single" w:sz="4" w:space="0" w:color="auto"/>
              <w:right w:val="single" w:sz="8" w:space="0" w:color="auto"/>
            </w:tcBorders>
            <w:shd w:val="clear" w:color="000000" w:fill="948A54"/>
            <w:noWrap/>
            <w:vAlign w:val="bottom"/>
            <w:hideMark/>
          </w:tcPr>
          <w:p w14:paraId="6CB4AA1D" w14:textId="77777777" w:rsidR="000B3E16" w:rsidRPr="00084942" w:rsidRDefault="000B3E16" w:rsidP="000B3E16">
            <w:pPr>
              <w:spacing w:after="0" w:line="240" w:lineRule="auto"/>
              <w:jc w:val="right"/>
              <w:rPr>
                <w:rFonts w:ascii="Arial" w:eastAsia="Times New Roman" w:hAnsi="Arial" w:cs="Arial"/>
                <w:b/>
                <w:bCs/>
                <w:color w:val="000000"/>
                <w:kern w:val="0"/>
                <w:sz w:val="22"/>
                <w:lang w:val="en-US"/>
                <w14:ligatures w14:val="none"/>
              </w:rPr>
            </w:pPr>
            <w:r w:rsidRPr="00084942">
              <w:rPr>
                <w:rFonts w:ascii="Arial" w:eastAsia="Times New Roman" w:hAnsi="Arial" w:cs="Arial"/>
                <w:b/>
                <w:bCs/>
                <w:color w:val="000000"/>
                <w:kern w:val="0"/>
                <w:sz w:val="22"/>
                <w:lang w:val="en-US"/>
                <w14:ligatures w14:val="none"/>
              </w:rPr>
              <w:t>2024</w:t>
            </w:r>
          </w:p>
        </w:tc>
      </w:tr>
      <w:tr w:rsidR="000B3E16" w:rsidRPr="00084942" w14:paraId="571FEDBA" w14:textId="77777777" w:rsidTr="000B3E16">
        <w:trPr>
          <w:trHeight w:val="300"/>
        </w:trPr>
        <w:tc>
          <w:tcPr>
            <w:tcW w:w="3320" w:type="dxa"/>
            <w:tcBorders>
              <w:top w:val="nil"/>
              <w:left w:val="single" w:sz="8" w:space="0" w:color="auto"/>
              <w:bottom w:val="nil"/>
              <w:right w:val="nil"/>
            </w:tcBorders>
            <w:noWrap/>
            <w:vAlign w:val="bottom"/>
            <w:hideMark/>
          </w:tcPr>
          <w:p w14:paraId="12D94DE5"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Operating cash flow</w:t>
            </w:r>
          </w:p>
        </w:tc>
        <w:tc>
          <w:tcPr>
            <w:tcW w:w="960" w:type="dxa"/>
            <w:tcBorders>
              <w:top w:val="nil"/>
              <w:left w:val="nil"/>
              <w:bottom w:val="nil"/>
              <w:right w:val="nil"/>
            </w:tcBorders>
            <w:noWrap/>
            <w:vAlign w:val="bottom"/>
            <w:hideMark/>
          </w:tcPr>
          <w:p w14:paraId="358DF5CD"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221B8860"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73,392</w:t>
            </w:r>
          </w:p>
        </w:tc>
        <w:tc>
          <w:tcPr>
            <w:tcW w:w="960" w:type="dxa"/>
            <w:tcBorders>
              <w:top w:val="nil"/>
              <w:left w:val="nil"/>
              <w:bottom w:val="nil"/>
              <w:right w:val="nil"/>
            </w:tcBorders>
            <w:noWrap/>
            <w:vAlign w:val="bottom"/>
            <w:hideMark/>
          </w:tcPr>
          <w:p w14:paraId="154B889E"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40,283</w:t>
            </w:r>
          </w:p>
        </w:tc>
        <w:tc>
          <w:tcPr>
            <w:tcW w:w="960" w:type="dxa"/>
            <w:tcBorders>
              <w:top w:val="nil"/>
              <w:left w:val="nil"/>
              <w:bottom w:val="nil"/>
              <w:right w:val="nil"/>
            </w:tcBorders>
            <w:noWrap/>
            <w:vAlign w:val="bottom"/>
            <w:hideMark/>
          </w:tcPr>
          <w:p w14:paraId="0DC4E2A7"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10,926</w:t>
            </w:r>
          </w:p>
        </w:tc>
        <w:tc>
          <w:tcPr>
            <w:tcW w:w="960" w:type="dxa"/>
            <w:tcBorders>
              <w:top w:val="nil"/>
              <w:left w:val="nil"/>
              <w:bottom w:val="nil"/>
              <w:right w:val="nil"/>
            </w:tcBorders>
            <w:noWrap/>
            <w:vAlign w:val="bottom"/>
            <w:hideMark/>
          </w:tcPr>
          <w:p w14:paraId="5537DE8F"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25,190</w:t>
            </w:r>
          </w:p>
        </w:tc>
        <w:tc>
          <w:tcPr>
            <w:tcW w:w="960" w:type="dxa"/>
            <w:tcBorders>
              <w:top w:val="nil"/>
              <w:left w:val="nil"/>
              <w:bottom w:val="nil"/>
              <w:right w:val="single" w:sz="8" w:space="0" w:color="auto"/>
            </w:tcBorders>
            <w:noWrap/>
            <w:vAlign w:val="bottom"/>
            <w:hideMark/>
          </w:tcPr>
          <w:p w14:paraId="5B61EF23"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14,822</w:t>
            </w:r>
          </w:p>
        </w:tc>
      </w:tr>
      <w:tr w:rsidR="000B3E16" w:rsidRPr="00084942" w14:paraId="118E46AF" w14:textId="77777777" w:rsidTr="000B3E16">
        <w:trPr>
          <w:trHeight w:val="300"/>
        </w:trPr>
        <w:tc>
          <w:tcPr>
            <w:tcW w:w="3320" w:type="dxa"/>
            <w:tcBorders>
              <w:top w:val="nil"/>
              <w:left w:val="single" w:sz="8" w:space="0" w:color="auto"/>
              <w:bottom w:val="nil"/>
              <w:right w:val="nil"/>
            </w:tcBorders>
            <w:noWrap/>
            <w:vAlign w:val="bottom"/>
            <w:hideMark/>
          </w:tcPr>
          <w:p w14:paraId="7EEFD481"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Investing cash flow</w:t>
            </w:r>
          </w:p>
        </w:tc>
        <w:tc>
          <w:tcPr>
            <w:tcW w:w="960" w:type="dxa"/>
            <w:tcBorders>
              <w:top w:val="nil"/>
              <w:left w:val="nil"/>
              <w:bottom w:val="nil"/>
              <w:right w:val="nil"/>
            </w:tcBorders>
            <w:noWrap/>
            <w:vAlign w:val="bottom"/>
            <w:hideMark/>
          </w:tcPr>
          <w:p w14:paraId="51B85432"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2782DB68"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-23,734</w:t>
            </w:r>
          </w:p>
        </w:tc>
        <w:tc>
          <w:tcPr>
            <w:tcW w:w="960" w:type="dxa"/>
            <w:tcBorders>
              <w:top w:val="nil"/>
              <w:left w:val="nil"/>
              <w:bottom w:val="nil"/>
              <w:right w:val="nil"/>
            </w:tcBorders>
            <w:noWrap/>
            <w:vAlign w:val="bottom"/>
            <w:hideMark/>
          </w:tcPr>
          <w:p w14:paraId="6227E511"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-17,041</w:t>
            </w:r>
          </w:p>
        </w:tc>
        <w:tc>
          <w:tcPr>
            <w:tcW w:w="960" w:type="dxa"/>
            <w:tcBorders>
              <w:top w:val="nil"/>
              <w:left w:val="nil"/>
              <w:bottom w:val="nil"/>
              <w:right w:val="nil"/>
            </w:tcBorders>
            <w:noWrap/>
            <w:vAlign w:val="bottom"/>
            <w:hideMark/>
          </w:tcPr>
          <w:p w14:paraId="2F8BB789"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-21,208</w:t>
            </w:r>
          </w:p>
        </w:tc>
        <w:tc>
          <w:tcPr>
            <w:tcW w:w="960" w:type="dxa"/>
            <w:tcBorders>
              <w:top w:val="nil"/>
              <w:left w:val="nil"/>
              <w:bottom w:val="nil"/>
              <w:right w:val="nil"/>
            </w:tcBorders>
            <w:noWrap/>
            <w:vAlign w:val="bottom"/>
            <w:hideMark/>
          </w:tcPr>
          <w:p w14:paraId="1E0CCE00"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-13,877</w:t>
            </w:r>
          </w:p>
        </w:tc>
        <w:tc>
          <w:tcPr>
            <w:tcW w:w="960" w:type="dxa"/>
            <w:tcBorders>
              <w:top w:val="nil"/>
              <w:left w:val="nil"/>
              <w:bottom w:val="nil"/>
              <w:right w:val="single" w:sz="8" w:space="0" w:color="auto"/>
            </w:tcBorders>
            <w:noWrap/>
            <w:vAlign w:val="bottom"/>
            <w:hideMark/>
          </w:tcPr>
          <w:p w14:paraId="6C47978F"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-8,428</w:t>
            </w:r>
          </w:p>
        </w:tc>
      </w:tr>
      <w:tr w:rsidR="000B3E16" w:rsidRPr="00084942" w14:paraId="1FFA2837" w14:textId="77777777" w:rsidTr="000B3E16">
        <w:trPr>
          <w:trHeight w:val="300"/>
        </w:trPr>
        <w:tc>
          <w:tcPr>
            <w:tcW w:w="3320" w:type="dxa"/>
            <w:tcBorders>
              <w:top w:val="nil"/>
              <w:left w:val="single" w:sz="8" w:space="0" w:color="auto"/>
              <w:bottom w:val="nil"/>
              <w:right w:val="nil"/>
            </w:tcBorders>
            <w:noWrap/>
            <w:vAlign w:val="bottom"/>
            <w:hideMark/>
          </w:tcPr>
          <w:p w14:paraId="1A3A5343"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Financing cash flow</w:t>
            </w:r>
          </w:p>
        </w:tc>
        <w:tc>
          <w:tcPr>
            <w:tcW w:w="960" w:type="dxa"/>
            <w:tcBorders>
              <w:top w:val="nil"/>
              <w:left w:val="nil"/>
              <w:bottom w:val="nil"/>
              <w:right w:val="nil"/>
            </w:tcBorders>
            <w:noWrap/>
            <w:vAlign w:val="bottom"/>
            <w:hideMark/>
          </w:tcPr>
          <w:p w14:paraId="4A98E0D8"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65F69E73"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65,964</w:t>
            </w:r>
          </w:p>
        </w:tc>
        <w:tc>
          <w:tcPr>
            <w:tcW w:w="960" w:type="dxa"/>
            <w:tcBorders>
              <w:top w:val="nil"/>
              <w:left w:val="nil"/>
              <w:bottom w:val="nil"/>
              <w:right w:val="nil"/>
            </w:tcBorders>
            <w:noWrap/>
            <w:vAlign w:val="bottom"/>
            <w:hideMark/>
          </w:tcPr>
          <w:p w14:paraId="412995C4"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-22,026</w:t>
            </w:r>
          </w:p>
        </w:tc>
        <w:tc>
          <w:tcPr>
            <w:tcW w:w="960" w:type="dxa"/>
            <w:tcBorders>
              <w:top w:val="nil"/>
              <w:left w:val="nil"/>
              <w:bottom w:val="nil"/>
              <w:right w:val="nil"/>
            </w:tcBorders>
            <w:noWrap/>
            <w:vAlign w:val="bottom"/>
            <w:hideMark/>
          </w:tcPr>
          <w:p w14:paraId="736360EF"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20,501</w:t>
            </w:r>
          </w:p>
        </w:tc>
        <w:tc>
          <w:tcPr>
            <w:tcW w:w="960" w:type="dxa"/>
            <w:tcBorders>
              <w:top w:val="nil"/>
              <w:left w:val="nil"/>
              <w:bottom w:val="nil"/>
              <w:right w:val="nil"/>
            </w:tcBorders>
            <w:noWrap/>
            <w:vAlign w:val="bottom"/>
            <w:hideMark/>
          </w:tcPr>
          <w:p w14:paraId="468A9DC5"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-34,779</w:t>
            </w:r>
          </w:p>
        </w:tc>
        <w:tc>
          <w:tcPr>
            <w:tcW w:w="960" w:type="dxa"/>
            <w:tcBorders>
              <w:top w:val="nil"/>
              <w:left w:val="nil"/>
              <w:bottom w:val="nil"/>
              <w:right w:val="single" w:sz="8" w:space="0" w:color="auto"/>
            </w:tcBorders>
            <w:noWrap/>
            <w:vAlign w:val="bottom"/>
            <w:hideMark/>
          </w:tcPr>
          <w:p w14:paraId="4ED36C9A"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-19,764</w:t>
            </w:r>
          </w:p>
        </w:tc>
      </w:tr>
      <w:tr w:rsidR="000B3E16" w:rsidRPr="00084942" w14:paraId="027B6A7D" w14:textId="77777777" w:rsidTr="000B3E16">
        <w:trPr>
          <w:trHeight w:val="300"/>
        </w:trPr>
        <w:tc>
          <w:tcPr>
            <w:tcW w:w="3320" w:type="dxa"/>
            <w:tcBorders>
              <w:top w:val="nil"/>
              <w:left w:val="single" w:sz="8" w:space="0" w:color="auto"/>
              <w:bottom w:val="nil"/>
              <w:right w:val="nil"/>
            </w:tcBorders>
            <w:noWrap/>
            <w:vAlign w:val="bottom"/>
            <w:hideMark/>
          </w:tcPr>
          <w:p w14:paraId="5AE57868"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Net change in cash</w:t>
            </w:r>
          </w:p>
        </w:tc>
        <w:tc>
          <w:tcPr>
            <w:tcW w:w="960" w:type="dxa"/>
            <w:tcBorders>
              <w:top w:val="nil"/>
              <w:left w:val="nil"/>
              <w:bottom w:val="nil"/>
              <w:right w:val="nil"/>
            </w:tcBorders>
            <w:noWrap/>
            <w:vAlign w:val="bottom"/>
            <w:hideMark/>
          </w:tcPr>
          <w:p w14:paraId="304910FD"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7E1D8044"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-17,149</w:t>
            </w:r>
          </w:p>
        </w:tc>
        <w:tc>
          <w:tcPr>
            <w:tcW w:w="960" w:type="dxa"/>
            <w:tcBorders>
              <w:top w:val="nil"/>
              <w:left w:val="nil"/>
              <w:bottom w:val="nil"/>
              <w:right w:val="nil"/>
            </w:tcBorders>
            <w:noWrap/>
            <w:vAlign w:val="bottom"/>
            <w:hideMark/>
          </w:tcPr>
          <w:p w14:paraId="4CCEA00C"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3,660</w:t>
            </w:r>
          </w:p>
        </w:tc>
        <w:tc>
          <w:tcPr>
            <w:tcW w:w="960" w:type="dxa"/>
            <w:tcBorders>
              <w:top w:val="nil"/>
              <w:left w:val="nil"/>
              <w:bottom w:val="nil"/>
              <w:right w:val="nil"/>
            </w:tcBorders>
            <w:noWrap/>
            <w:vAlign w:val="bottom"/>
            <w:hideMark/>
          </w:tcPr>
          <w:p w14:paraId="2DDEC334"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5,927</w:t>
            </w:r>
          </w:p>
        </w:tc>
        <w:tc>
          <w:tcPr>
            <w:tcW w:w="960" w:type="dxa"/>
            <w:tcBorders>
              <w:top w:val="nil"/>
              <w:left w:val="nil"/>
              <w:bottom w:val="nil"/>
              <w:right w:val="nil"/>
            </w:tcBorders>
            <w:noWrap/>
            <w:vAlign w:val="bottom"/>
            <w:hideMark/>
          </w:tcPr>
          <w:p w14:paraId="55F3695F"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-23,989</w:t>
            </w:r>
          </w:p>
        </w:tc>
        <w:tc>
          <w:tcPr>
            <w:tcW w:w="960" w:type="dxa"/>
            <w:tcBorders>
              <w:top w:val="nil"/>
              <w:left w:val="nil"/>
              <w:bottom w:val="nil"/>
              <w:right w:val="single" w:sz="8" w:space="0" w:color="auto"/>
            </w:tcBorders>
            <w:noWrap/>
            <w:vAlign w:val="bottom"/>
            <w:hideMark/>
          </w:tcPr>
          <w:p w14:paraId="761E464A"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-15,968</w:t>
            </w:r>
          </w:p>
        </w:tc>
      </w:tr>
      <w:tr w:rsidR="000B3E16" w:rsidRPr="00084942" w14:paraId="2E79994F" w14:textId="77777777" w:rsidTr="000B3E16">
        <w:trPr>
          <w:trHeight w:val="300"/>
        </w:trPr>
        <w:tc>
          <w:tcPr>
            <w:tcW w:w="3320" w:type="dxa"/>
            <w:tcBorders>
              <w:top w:val="nil"/>
              <w:left w:val="single" w:sz="8" w:space="0" w:color="auto"/>
              <w:bottom w:val="nil"/>
              <w:right w:val="nil"/>
            </w:tcBorders>
            <w:noWrap/>
            <w:vAlign w:val="bottom"/>
            <w:hideMark/>
          </w:tcPr>
          <w:p w14:paraId="53B0FC93"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Cash at beginning</w:t>
            </w:r>
          </w:p>
        </w:tc>
        <w:tc>
          <w:tcPr>
            <w:tcW w:w="960" w:type="dxa"/>
            <w:tcBorders>
              <w:top w:val="nil"/>
              <w:left w:val="nil"/>
              <w:bottom w:val="nil"/>
              <w:right w:val="nil"/>
            </w:tcBorders>
            <w:noWrap/>
            <w:vAlign w:val="bottom"/>
            <w:hideMark/>
          </w:tcPr>
          <w:p w14:paraId="47D671F7"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p>
        </w:tc>
        <w:tc>
          <w:tcPr>
            <w:tcW w:w="960" w:type="dxa"/>
            <w:tcBorders>
              <w:top w:val="nil"/>
              <w:left w:val="nil"/>
              <w:bottom w:val="nil"/>
              <w:right w:val="nil"/>
            </w:tcBorders>
            <w:noWrap/>
            <w:vAlign w:val="bottom"/>
            <w:hideMark/>
          </w:tcPr>
          <w:p w14:paraId="08DEE40E"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74,302</w:t>
            </w:r>
          </w:p>
        </w:tc>
        <w:tc>
          <w:tcPr>
            <w:tcW w:w="960" w:type="dxa"/>
            <w:tcBorders>
              <w:top w:val="nil"/>
              <w:left w:val="nil"/>
              <w:bottom w:val="nil"/>
              <w:right w:val="nil"/>
            </w:tcBorders>
            <w:noWrap/>
            <w:vAlign w:val="bottom"/>
            <w:hideMark/>
          </w:tcPr>
          <w:p w14:paraId="69DF9FF6"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57,153</w:t>
            </w:r>
          </w:p>
        </w:tc>
        <w:tc>
          <w:tcPr>
            <w:tcW w:w="960" w:type="dxa"/>
            <w:tcBorders>
              <w:top w:val="nil"/>
              <w:left w:val="nil"/>
              <w:bottom w:val="nil"/>
              <w:right w:val="nil"/>
            </w:tcBorders>
            <w:noWrap/>
            <w:vAlign w:val="bottom"/>
            <w:hideMark/>
          </w:tcPr>
          <w:p w14:paraId="43088705"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60,813</w:t>
            </w:r>
          </w:p>
        </w:tc>
        <w:tc>
          <w:tcPr>
            <w:tcW w:w="960" w:type="dxa"/>
            <w:tcBorders>
              <w:top w:val="nil"/>
              <w:left w:val="nil"/>
              <w:bottom w:val="nil"/>
              <w:right w:val="nil"/>
            </w:tcBorders>
            <w:noWrap/>
            <w:vAlign w:val="bottom"/>
            <w:hideMark/>
          </w:tcPr>
          <w:p w14:paraId="39309ED0"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66,740</w:t>
            </w:r>
          </w:p>
        </w:tc>
        <w:tc>
          <w:tcPr>
            <w:tcW w:w="960" w:type="dxa"/>
            <w:tcBorders>
              <w:top w:val="nil"/>
              <w:left w:val="nil"/>
              <w:bottom w:val="nil"/>
              <w:right w:val="single" w:sz="8" w:space="0" w:color="auto"/>
            </w:tcBorders>
            <w:noWrap/>
            <w:vAlign w:val="bottom"/>
            <w:hideMark/>
          </w:tcPr>
          <w:p w14:paraId="19495CCB"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42,751</w:t>
            </w:r>
          </w:p>
        </w:tc>
      </w:tr>
      <w:tr w:rsidR="000B3E16" w:rsidRPr="00084942" w14:paraId="68000D22" w14:textId="77777777" w:rsidTr="000B3E16">
        <w:trPr>
          <w:trHeight w:val="315"/>
        </w:trPr>
        <w:tc>
          <w:tcPr>
            <w:tcW w:w="3320" w:type="dxa"/>
            <w:tcBorders>
              <w:top w:val="nil"/>
              <w:left w:val="single" w:sz="8" w:space="0" w:color="auto"/>
              <w:bottom w:val="single" w:sz="8" w:space="0" w:color="auto"/>
              <w:right w:val="nil"/>
            </w:tcBorders>
            <w:noWrap/>
            <w:vAlign w:val="bottom"/>
            <w:hideMark/>
          </w:tcPr>
          <w:p w14:paraId="09FB4312"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Cash at end</w:t>
            </w:r>
          </w:p>
        </w:tc>
        <w:tc>
          <w:tcPr>
            <w:tcW w:w="960" w:type="dxa"/>
            <w:tcBorders>
              <w:top w:val="nil"/>
              <w:left w:val="nil"/>
              <w:bottom w:val="single" w:sz="8" w:space="0" w:color="auto"/>
              <w:right w:val="nil"/>
            </w:tcBorders>
            <w:noWrap/>
            <w:vAlign w:val="bottom"/>
            <w:hideMark/>
          </w:tcPr>
          <w:p w14:paraId="0748B514" w14:textId="77777777" w:rsidR="000B3E16" w:rsidRPr="00084942" w:rsidRDefault="000B3E16" w:rsidP="000B3E16">
            <w:pPr>
              <w:spacing w:after="0" w:line="240" w:lineRule="auto"/>
              <w:jc w:val="lef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 </w:t>
            </w:r>
          </w:p>
        </w:tc>
        <w:tc>
          <w:tcPr>
            <w:tcW w:w="960" w:type="dxa"/>
            <w:tcBorders>
              <w:top w:val="nil"/>
              <w:left w:val="nil"/>
              <w:bottom w:val="single" w:sz="8" w:space="0" w:color="auto"/>
              <w:right w:val="nil"/>
            </w:tcBorders>
            <w:noWrap/>
            <w:vAlign w:val="bottom"/>
            <w:hideMark/>
          </w:tcPr>
          <w:p w14:paraId="0B5761D6"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57,153</w:t>
            </w:r>
          </w:p>
        </w:tc>
        <w:tc>
          <w:tcPr>
            <w:tcW w:w="960" w:type="dxa"/>
            <w:tcBorders>
              <w:top w:val="nil"/>
              <w:left w:val="nil"/>
              <w:bottom w:val="single" w:sz="8" w:space="0" w:color="auto"/>
              <w:right w:val="nil"/>
            </w:tcBorders>
            <w:noWrap/>
            <w:vAlign w:val="bottom"/>
            <w:hideMark/>
          </w:tcPr>
          <w:p w14:paraId="3251109B"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60,813</w:t>
            </w:r>
          </w:p>
        </w:tc>
        <w:tc>
          <w:tcPr>
            <w:tcW w:w="960" w:type="dxa"/>
            <w:tcBorders>
              <w:top w:val="nil"/>
              <w:left w:val="nil"/>
              <w:bottom w:val="single" w:sz="8" w:space="0" w:color="auto"/>
              <w:right w:val="nil"/>
            </w:tcBorders>
            <w:noWrap/>
            <w:vAlign w:val="bottom"/>
            <w:hideMark/>
          </w:tcPr>
          <w:p w14:paraId="6AF6D72F"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66,740</w:t>
            </w:r>
          </w:p>
        </w:tc>
        <w:tc>
          <w:tcPr>
            <w:tcW w:w="960" w:type="dxa"/>
            <w:tcBorders>
              <w:top w:val="nil"/>
              <w:left w:val="nil"/>
              <w:bottom w:val="single" w:sz="8" w:space="0" w:color="auto"/>
              <w:right w:val="nil"/>
            </w:tcBorders>
            <w:noWrap/>
            <w:vAlign w:val="bottom"/>
            <w:hideMark/>
          </w:tcPr>
          <w:p w14:paraId="1AAA0DDA"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42,751</w:t>
            </w:r>
          </w:p>
        </w:tc>
        <w:tc>
          <w:tcPr>
            <w:tcW w:w="960" w:type="dxa"/>
            <w:tcBorders>
              <w:top w:val="nil"/>
              <w:left w:val="nil"/>
              <w:bottom w:val="single" w:sz="8" w:space="0" w:color="auto"/>
              <w:right w:val="single" w:sz="8" w:space="0" w:color="auto"/>
            </w:tcBorders>
            <w:noWrap/>
            <w:vAlign w:val="bottom"/>
            <w:hideMark/>
          </w:tcPr>
          <w:p w14:paraId="08E22DB4" w14:textId="77777777" w:rsidR="000B3E16" w:rsidRPr="00084942" w:rsidRDefault="000B3E16" w:rsidP="000B3E16">
            <w:pPr>
              <w:spacing w:after="0" w:line="240" w:lineRule="auto"/>
              <w:jc w:val="right"/>
              <w:rPr>
                <w:rFonts w:ascii="Arial" w:eastAsia="Times New Roman" w:hAnsi="Arial" w:cs="Arial"/>
                <w:color w:val="000000"/>
                <w:kern w:val="0"/>
                <w:sz w:val="22"/>
                <w:lang w:val="en-US"/>
                <w14:ligatures w14:val="none"/>
              </w:rPr>
            </w:pPr>
            <w:r w:rsidRPr="00084942">
              <w:rPr>
                <w:rFonts w:ascii="Arial" w:eastAsia="Times New Roman" w:hAnsi="Arial" w:cs="Arial"/>
                <w:color w:val="000000"/>
                <w:kern w:val="0"/>
                <w:sz w:val="22"/>
                <w:lang w:val="en-US"/>
                <w14:ligatures w14:val="none"/>
              </w:rPr>
              <w:t>26,783</w:t>
            </w:r>
          </w:p>
        </w:tc>
      </w:tr>
    </w:tbl>
    <w:p w14:paraId="5A44098C" w14:textId="77777777" w:rsidR="000B3E16" w:rsidRPr="00084942" w:rsidRDefault="000B3E16" w:rsidP="00E03007">
      <w:pPr>
        <w:spacing w:line="259" w:lineRule="auto"/>
        <w:jc w:val="center"/>
        <w:rPr>
          <w:rFonts w:ascii="Arial" w:hAnsi="Arial" w:cs="Arial"/>
        </w:rPr>
      </w:pPr>
    </w:p>
    <w:p w14:paraId="1780C2A7" w14:textId="0347EBBE" w:rsidR="00B7025A" w:rsidRPr="00084942" w:rsidRDefault="00B7025A" w:rsidP="00E03007">
      <w:pPr>
        <w:spacing w:line="259" w:lineRule="auto"/>
        <w:jc w:val="center"/>
        <w:rPr>
          <w:rFonts w:ascii="Arial" w:hAnsi="Arial" w:cs="Arial"/>
        </w:rPr>
      </w:pPr>
    </w:p>
    <w:sectPr w:rsidR="00B7025A" w:rsidRPr="00084942" w:rsidSect="00254CD1">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E6EC9" w14:textId="77777777" w:rsidR="00DB7A09" w:rsidRPr="00B80103" w:rsidRDefault="00DB7A09" w:rsidP="00254CD1">
      <w:pPr>
        <w:spacing w:after="0" w:line="240" w:lineRule="auto"/>
      </w:pPr>
      <w:r w:rsidRPr="00B80103">
        <w:separator/>
      </w:r>
    </w:p>
  </w:endnote>
  <w:endnote w:type="continuationSeparator" w:id="0">
    <w:p w14:paraId="5ADAFD68" w14:textId="77777777" w:rsidR="00DB7A09" w:rsidRPr="00B80103" w:rsidRDefault="00DB7A09" w:rsidP="00254CD1">
      <w:pPr>
        <w:spacing w:after="0" w:line="240" w:lineRule="auto"/>
      </w:pPr>
      <w:r w:rsidRPr="00B8010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1267274724"/>
      <w:docPartObj>
        <w:docPartGallery w:val="Page Numbers (Bottom of Page)"/>
        <w:docPartUnique/>
      </w:docPartObj>
    </w:sdtPr>
    <w:sdtEndPr>
      <w:rPr>
        <w:rFonts w:ascii="Arial" w:hAnsi="Arial" w:cs="Arial"/>
      </w:rPr>
    </w:sdtEndPr>
    <w:sdtContent>
      <w:p w14:paraId="19FB32B4" w14:textId="64337964" w:rsidR="00254CD1" w:rsidRPr="00B80103" w:rsidRDefault="00254CD1">
        <w:pPr>
          <w:pStyle w:val="Footer"/>
          <w:jc w:val="right"/>
          <w:rPr>
            <w:rFonts w:ascii="Arial" w:hAnsi="Arial" w:cs="Arial"/>
            <w:sz w:val="20"/>
            <w:szCs w:val="20"/>
          </w:rPr>
        </w:pPr>
        <w:r w:rsidRPr="00B80103">
          <w:rPr>
            <w:rFonts w:ascii="Arial" w:hAnsi="Arial" w:cs="Arial"/>
            <w:sz w:val="20"/>
            <w:szCs w:val="20"/>
          </w:rPr>
          <w:fldChar w:fldCharType="begin"/>
        </w:r>
        <w:r w:rsidRPr="00B80103">
          <w:rPr>
            <w:rFonts w:ascii="Arial" w:hAnsi="Arial" w:cs="Arial"/>
            <w:sz w:val="20"/>
            <w:szCs w:val="20"/>
          </w:rPr>
          <w:instrText xml:space="preserve"> PAGE   \* MERGEFORMAT </w:instrText>
        </w:r>
        <w:r w:rsidRPr="00B80103">
          <w:rPr>
            <w:rFonts w:ascii="Arial" w:hAnsi="Arial" w:cs="Arial"/>
            <w:sz w:val="20"/>
            <w:szCs w:val="20"/>
          </w:rPr>
          <w:fldChar w:fldCharType="separate"/>
        </w:r>
        <w:r w:rsidRPr="00B80103">
          <w:rPr>
            <w:rFonts w:ascii="Arial" w:hAnsi="Arial" w:cs="Arial"/>
            <w:sz w:val="20"/>
            <w:szCs w:val="20"/>
          </w:rPr>
          <w:t>2</w:t>
        </w:r>
        <w:r w:rsidRPr="00B80103">
          <w:rPr>
            <w:rFonts w:ascii="Arial" w:hAnsi="Arial" w:cs="Arial"/>
            <w:sz w:val="20"/>
            <w:szCs w:val="20"/>
          </w:rPr>
          <w:fldChar w:fldCharType="end"/>
        </w:r>
      </w:p>
    </w:sdtContent>
  </w:sdt>
  <w:p w14:paraId="6EEFDF07" w14:textId="77777777" w:rsidR="00254CD1" w:rsidRPr="00B80103" w:rsidRDefault="00254C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AFA596" w14:textId="77777777" w:rsidR="00DB7A09" w:rsidRPr="00B80103" w:rsidRDefault="00DB7A09" w:rsidP="00254CD1">
      <w:pPr>
        <w:spacing w:after="0" w:line="240" w:lineRule="auto"/>
      </w:pPr>
      <w:r w:rsidRPr="00B80103">
        <w:separator/>
      </w:r>
    </w:p>
  </w:footnote>
  <w:footnote w:type="continuationSeparator" w:id="0">
    <w:p w14:paraId="339549C1" w14:textId="77777777" w:rsidR="00DB7A09" w:rsidRPr="00B80103" w:rsidRDefault="00DB7A09" w:rsidP="00254CD1">
      <w:pPr>
        <w:spacing w:after="0" w:line="240" w:lineRule="auto"/>
      </w:pPr>
      <w:r w:rsidRPr="00B8010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8345E"/>
    <w:multiLevelType w:val="multilevel"/>
    <w:tmpl w:val="88FE0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34732"/>
    <w:multiLevelType w:val="multilevel"/>
    <w:tmpl w:val="2F10D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B479D7"/>
    <w:multiLevelType w:val="multilevel"/>
    <w:tmpl w:val="1AD01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0A369A"/>
    <w:multiLevelType w:val="multilevel"/>
    <w:tmpl w:val="CAE44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1355E4"/>
    <w:multiLevelType w:val="multilevel"/>
    <w:tmpl w:val="B92EA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1D7277"/>
    <w:multiLevelType w:val="multilevel"/>
    <w:tmpl w:val="17405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7D2C7A"/>
    <w:multiLevelType w:val="multilevel"/>
    <w:tmpl w:val="03DC5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E307C1"/>
    <w:multiLevelType w:val="multilevel"/>
    <w:tmpl w:val="3AB00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72513D"/>
    <w:multiLevelType w:val="multilevel"/>
    <w:tmpl w:val="99F61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EF6F90"/>
    <w:multiLevelType w:val="multilevel"/>
    <w:tmpl w:val="7B422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105994"/>
    <w:multiLevelType w:val="multilevel"/>
    <w:tmpl w:val="93269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6939C4"/>
    <w:multiLevelType w:val="multilevel"/>
    <w:tmpl w:val="937C6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267DAE"/>
    <w:multiLevelType w:val="multilevel"/>
    <w:tmpl w:val="ABAC5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96217A"/>
    <w:multiLevelType w:val="multilevel"/>
    <w:tmpl w:val="0256E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C56E77"/>
    <w:multiLevelType w:val="multilevel"/>
    <w:tmpl w:val="3DBE2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047B84"/>
    <w:multiLevelType w:val="multilevel"/>
    <w:tmpl w:val="99805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6B330B"/>
    <w:multiLevelType w:val="multilevel"/>
    <w:tmpl w:val="CFC8C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591BF9"/>
    <w:multiLevelType w:val="multilevel"/>
    <w:tmpl w:val="CA387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3C51E37"/>
    <w:multiLevelType w:val="multilevel"/>
    <w:tmpl w:val="9760D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6C02F4"/>
    <w:multiLevelType w:val="multilevel"/>
    <w:tmpl w:val="066CB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5579EA"/>
    <w:multiLevelType w:val="multilevel"/>
    <w:tmpl w:val="B1929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7618805">
    <w:abstractNumId w:val="4"/>
  </w:num>
  <w:num w:numId="2" w16cid:durableId="1897202871">
    <w:abstractNumId w:val="12"/>
  </w:num>
  <w:num w:numId="3" w16cid:durableId="537863906">
    <w:abstractNumId w:val="1"/>
  </w:num>
  <w:num w:numId="4" w16cid:durableId="1950116764">
    <w:abstractNumId w:val="15"/>
  </w:num>
  <w:num w:numId="5" w16cid:durableId="1767145420">
    <w:abstractNumId w:val="0"/>
  </w:num>
  <w:num w:numId="6" w16cid:durableId="2109231282">
    <w:abstractNumId w:val="7"/>
  </w:num>
  <w:num w:numId="7" w16cid:durableId="805659466">
    <w:abstractNumId w:val="20"/>
  </w:num>
  <w:num w:numId="8" w16cid:durableId="685863983">
    <w:abstractNumId w:val="14"/>
  </w:num>
  <w:num w:numId="9" w16cid:durableId="1320959970">
    <w:abstractNumId w:val="3"/>
  </w:num>
  <w:num w:numId="10" w16cid:durableId="1187527687">
    <w:abstractNumId w:val="19"/>
  </w:num>
  <w:num w:numId="11" w16cid:durableId="2084377273">
    <w:abstractNumId w:val="8"/>
  </w:num>
  <w:num w:numId="12" w16cid:durableId="753356549">
    <w:abstractNumId w:val="17"/>
  </w:num>
  <w:num w:numId="13" w16cid:durableId="745765389">
    <w:abstractNumId w:val="13"/>
  </w:num>
  <w:num w:numId="14" w16cid:durableId="1341587535">
    <w:abstractNumId w:val="9"/>
  </w:num>
  <w:num w:numId="15" w16cid:durableId="297882310">
    <w:abstractNumId w:val="6"/>
  </w:num>
  <w:num w:numId="16" w16cid:durableId="500967162">
    <w:abstractNumId w:val="10"/>
  </w:num>
  <w:num w:numId="17" w16cid:durableId="201594987">
    <w:abstractNumId w:val="2"/>
  </w:num>
  <w:num w:numId="18" w16cid:durableId="1310402651">
    <w:abstractNumId w:val="18"/>
  </w:num>
  <w:num w:numId="19" w16cid:durableId="129910458">
    <w:abstractNumId w:val="16"/>
  </w:num>
  <w:num w:numId="20" w16cid:durableId="1356612488">
    <w:abstractNumId w:val="5"/>
  </w:num>
  <w:num w:numId="21" w16cid:durableId="87354247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855"/>
    <w:rsid w:val="000022A7"/>
    <w:rsid w:val="00014F02"/>
    <w:rsid w:val="00053779"/>
    <w:rsid w:val="0007652C"/>
    <w:rsid w:val="00084942"/>
    <w:rsid w:val="000B2757"/>
    <w:rsid w:val="000B3E16"/>
    <w:rsid w:val="000D07C9"/>
    <w:rsid w:val="000D359F"/>
    <w:rsid w:val="000E6A2D"/>
    <w:rsid w:val="0010450C"/>
    <w:rsid w:val="001343A9"/>
    <w:rsid w:val="001519B5"/>
    <w:rsid w:val="001916B8"/>
    <w:rsid w:val="0019175B"/>
    <w:rsid w:val="001F418F"/>
    <w:rsid w:val="001F6B7D"/>
    <w:rsid w:val="002005EA"/>
    <w:rsid w:val="002047AB"/>
    <w:rsid w:val="00210F1B"/>
    <w:rsid w:val="00251818"/>
    <w:rsid w:val="00254CD1"/>
    <w:rsid w:val="00255C7C"/>
    <w:rsid w:val="002F18A6"/>
    <w:rsid w:val="003246F8"/>
    <w:rsid w:val="003300FE"/>
    <w:rsid w:val="003321D3"/>
    <w:rsid w:val="00336618"/>
    <w:rsid w:val="00363CC0"/>
    <w:rsid w:val="0036641F"/>
    <w:rsid w:val="0036768E"/>
    <w:rsid w:val="003712FA"/>
    <w:rsid w:val="00371CEA"/>
    <w:rsid w:val="0037394A"/>
    <w:rsid w:val="00382269"/>
    <w:rsid w:val="00383316"/>
    <w:rsid w:val="003B34C9"/>
    <w:rsid w:val="003D04F8"/>
    <w:rsid w:val="003D1AEA"/>
    <w:rsid w:val="00412E4C"/>
    <w:rsid w:val="0044096B"/>
    <w:rsid w:val="00452254"/>
    <w:rsid w:val="00461032"/>
    <w:rsid w:val="00470582"/>
    <w:rsid w:val="004D28CF"/>
    <w:rsid w:val="004E4855"/>
    <w:rsid w:val="00515CD5"/>
    <w:rsid w:val="00517490"/>
    <w:rsid w:val="00521F51"/>
    <w:rsid w:val="0053076B"/>
    <w:rsid w:val="0056683F"/>
    <w:rsid w:val="005825CB"/>
    <w:rsid w:val="00605F22"/>
    <w:rsid w:val="0061737E"/>
    <w:rsid w:val="00623895"/>
    <w:rsid w:val="00624273"/>
    <w:rsid w:val="00624528"/>
    <w:rsid w:val="006443B0"/>
    <w:rsid w:val="00677EC9"/>
    <w:rsid w:val="006A296C"/>
    <w:rsid w:val="006E5685"/>
    <w:rsid w:val="006F3DCB"/>
    <w:rsid w:val="00705B7B"/>
    <w:rsid w:val="00714B83"/>
    <w:rsid w:val="00725240"/>
    <w:rsid w:val="007626E6"/>
    <w:rsid w:val="00762EDC"/>
    <w:rsid w:val="007777EA"/>
    <w:rsid w:val="00777DE6"/>
    <w:rsid w:val="0079016A"/>
    <w:rsid w:val="00793A23"/>
    <w:rsid w:val="007A28FF"/>
    <w:rsid w:val="007E086E"/>
    <w:rsid w:val="007E5F4D"/>
    <w:rsid w:val="007F4107"/>
    <w:rsid w:val="00803BCF"/>
    <w:rsid w:val="00820574"/>
    <w:rsid w:val="008269E0"/>
    <w:rsid w:val="00832068"/>
    <w:rsid w:val="0085535C"/>
    <w:rsid w:val="00855415"/>
    <w:rsid w:val="0086474A"/>
    <w:rsid w:val="008660D9"/>
    <w:rsid w:val="0086620C"/>
    <w:rsid w:val="0088275A"/>
    <w:rsid w:val="00884FB8"/>
    <w:rsid w:val="00896EB5"/>
    <w:rsid w:val="008A53A8"/>
    <w:rsid w:val="008F52BC"/>
    <w:rsid w:val="008F7F78"/>
    <w:rsid w:val="00917B87"/>
    <w:rsid w:val="009545F4"/>
    <w:rsid w:val="009834AA"/>
    <w:rsid w:val="00A317B3"/>
    <w:rsid w:val="00A4089B"/>
    <w:rsid w:val="00A4333E"/>
    <w:rsid w:val="00A967A5"/>
    <w:rsid w:val="00AB6C66"/>
    <w:rsid w:val="00AC6D60"/>
    <w:rsid w:val="00AD5E89"/>
    <w:rsid w:val="00AE49A1"/>
    <w:rsid w:val="00B00D94"/>
    <w:rsid w:val="00B2316E"/>
    <w:rsid w:val="00B2673A"/>
    <w:rsid w:val="00B26AC6"/>
    <w:rsid w:val="00B322F7"/>
    <w:rsid w:val="00B7025A"/>
    <w:rsid w:val="00B754C0"/>
    <w:rsid w:val="00B7582F"/>
    <w:rsid w:val="00B80103"/>
    <w:rsid w:val="00B836B5"/>
    <w:rsid w:val="00BA0675"/>
    <w:rsid w:val="00BA7DA5"/>
    <w:rsid w:val="00BD0364"/>
    <w:rsid w:val="00BD7151"/>
    <w:rsid w:val="00BE6F8B"/>
    <w:rsid w:val="00BF083B"/>
    <w:rsid w:val="00C249EC"/>
    <w:rsid w:val="00C262A5"/>
    <w:rsid w:val="00C3226D"/>
    <w:rsid w:val="00C3236A"/>
    <w:rsid w:val="00C55B04"/>
    <w:rsid w:val="00C73780"/>
    <w:rsid w:val="00C951AD"/>
    <w:rsid w:val="00C9608E"/>
    <w:rsid w:val="00CD470E"/>
    <w:rsid w:val="00D3709E"/>
    <w:rsid w:val="00D510B4"/>
    <w:rsid w:val="00D51F0C"/>
    <w:rsid w:val="00D61DD9"/>
    <w:rsid w:val="00DB7A09"/>
    <w:rsid w:val="00DD4412"/>
    <w:rsid w:val="00E03007"/>
    <w:rsid w:val="00E35810"/>
    <w:rsid w:val="00E8752E"/>
    <w:rsid w:val="00E973E9"/>
    <w:rsid w:val="00EA584F"/>
    <w:rsid w:val="00EB1B3A"/>
    <w:rsid w:val="00EC0983"/>
    <w:rsid w:val="00ED3604"/>
    <w:rsid w:val="00ED3CD2"/>
    <w:rsid w:val="00EF19DC"/>
    <w:rsid w:val="00EF39D5"/>
    <w:rsid w:val="00F51716"/>
    <w:rsid w:val="00F5337C"/>
    <w:rsid w:val="00F53B44"/>
    <w:rsid w:val="00F70B5C"/>
    <w:rsid w:val="00F850A9"/>
    <w:rsid w:val="00F957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61EF3"/>
  <w15:chartTrackingRefBased/>
  <w15:docId w15:val="{B6650BA4-7040-4A9B-ABBC-08BCEA0EB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364"/>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56683F"/>
    <w:pPr>
      <w:keepNext/>
      <w:keepLines/>
      <w:spacing w:before="120" w:after="120"/>
      <w:outlineLvl w:val="0"/>
    </w:pPr>
    <w:rPr>
      <w:rFonts w:ascii="Arial" w:eastAsiaTheme="majorEastAsia" w:hAnsi="Arial" w:cstheme="majorBidi"/>
      <w:b/>
      <w:szCs w:val="40"/>
    </w:rPr>
  </w:style>
  <w:style w:type="paragraph" w:styleId="Heading2">
    <w:name w:val="heading 2"/>
    <w:basedOn w:val="Normal"/>
    <w:next w:val="Normal"/>
    <w:link w:val="Heading2Char"/>
    <w:autoRedefine/>
    <w:uiPriority w:val="9"/>
    <w:unhideWhenUsed/>
    <w:qFormat/>
    <w:rsid w:val="00BA7DA5"/>
    <w:pPr>
      <w:keepNext/>
      <w:keepLines/>
      <w:spacing w:before="120" w:after="120"/>
      <w:outlineLvl w:val="1"/>
    </w:pPr>
    <w:rPr>
      <w:rFonts w:ascii="Arial" w:eastAsiaTheme="majorEastAsia" w:hAnsi="Arial" w:cstheme="majorBidi"/>
      <w:b/>
      <w:szCs w:val="32"/>
    </w:rPr>
  </w:style>
  <w:style w:type="paragraph" w:styleId="Heading3">
    <w:name w:val="heading 3"/>
    <w:basedOn w:val="Normal"/>
    <w:next w:val="Normal"/>
    <w:link w:val="Heading3Char"/>
    <w:autoRedefine/>
    <w:uiPriority w:val="9"/>
    <w:semiHidden/>
    <w:unhideWhenUsed/>
    <w:qFormat/>
    <w:rsid w:val="003321D3"/>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autoRedefine/>
    <w:uiPriority w:val="9"/>
    <w:semiHidden/>
    <w:unhideWhenUsed/>
    <w:qFormat/>
    <w:rsid w:val="00E8752E"/>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4E485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E485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E485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E485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E485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A7DA5"/>
    <w:rPr>
      <w:rFonts w:ascii="Arial" w:eastAsiaTheme="majorEastAsia" w:hAnsi="Arial" w:cstheme="majorBidi"/>
      <w:b/>
      <w:color w:val="000000" w:themeColor="text1"/>
      <w:sz w:val="24"/>
      <w:szCs w:val="32"/>
      <w:lang w:val="en-GB"/>
    </w:rPr>
  </w:style>
  <w:style w:type="character" w:customStyle="1" w:styleId="Heading1Char">
    <w:name w:val="Heading 1 Char"/>
    <w:basedOn w:val="DefaultParagraphFont"/>
    <w:link w:val="Heading1"/>
    <w:uiPriority w:val="9"/>
    <w:rsid w:val="0056683F"/>
    <w:rPr>
      <w:rFonts w:ascii="Arial" w:eastAsiaTheme="majorEastAsia" w:hAnsi="Arial" w:cstheme="majorBidi"/>
      <w:b/>
      <w:color w:val="000000" w:themeColor="text1"/>
      <w:sz w:val="24"/>
      <w:szCs w:val="40"/>
    </w:rPr>
  </w:style>
  <w:style w:type="character" w:customStyle="1" w:styleId="Heading3Char">
    <w:name w:val="Heading 3 Char"/>
    <w:basedOn w:val="DefaultParagraphFont"/>
    <w:link w:val="Heading3"/>
    <w:uiPriority w:val="9"/>
    <w:semiHidden/>
    <w:rsid w:val="003321D3"/>
    <w:rPr>
      <w:rFonts w:ascii="Times New Roman" w:eastAsiaTheme="majorEastAsia" w:hAnsi="Times New Roman" w:cstheme="majorBidi"/>
      <w:b/>
      <w:color w:val="000000" w:themeColor="text1"/>
      <w:sz w:val="24"/>
      <w:szCs w:val="28"/>
    </w:rPr>
  </w:style>
  <w:style w:type="character" w:customStyle="1" w:styleId="Heading4Char">
    <w:name w:val="Heading 4 Char"/>
    <w:basedOn w:val="DefaultParagraphFont"/>
    <w:link w:val="Heading4"/>
    <w:uiPriority w:val="9"/>
    <w:semiHidden/>
    <w:rsid w:val="00E8752E"/>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semiHidden/>
    <w:rsid w:val="004E4855"/>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4E4855"/>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4E4855"/>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4E4855"/>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4E4855"/>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4E4855"/>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E48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485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48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4855"/>
    <w:pPr>
      <w:spacing w:before="160"/>
      <w:jc w:val="center"/>
    </w:pPr>
    <w:rPr>
      <w:i/>
      <w:iCs/>
      <w:color w:val="404040" w:themeColor="text1" w:themeTint="BF"/>
    </w:rPr>
  </w:style>
  <w:style w:type="character" w:customStyle="1" w:styleId="QuoteChar">
    <w:name w:val="Quote Char"/>
    <w:basedOn w:val="DefaultParagraphFont"/>
    <w:link w:val="Quote"/>
    <w:uiPriority w:val="29"/>
    <w:rsid w:val="004E4855"/>
    <w:rPr>
      <w:rFonts w:ascii="Times New Roman" w:hAnsi="Times New Roman"/>
      <w:i/>
      <w:iCs/>
      <w:color w:val="404040" w:themeColor="text1" w:themeTint="BF"/>
      <w:sz w:val="24"/>
    </w:rPr>
  </w:style>
  <w:style w:type="paragraph" w:styleId="ListParagraph">
    <w:name w:val="List Paragraph"/>
    <w:basedOn w:val="Normal"/>
    <w:uiPriority w:val="34"/>
    <w:qFormat/>
    <w:rsid w:val="004E4855"/>
    <w:pPr>
      <w:ind w:left="720"/>
      <w:contextualSpacing/>
    </w:pPr>
  </w:style>
  <w:style w:type="character" w:styleId="IntenseEmphasis">
    <w:name w:val="Intense Emphasis"/>
    <w:basedOn w:val="DefaultParagraphFont"/>
    <w:uiPriority w:val="21"/>
    <w:qFormat/>
    <w:rsid w:val="004E4855"/>
    <w:rPr>
      <w:i/>
      <w:iCs/>
      <w:color w:val="0F4761" w:themeColor="accent1" w:themeShade="BF"/>
    </w:rPr>
  </w:style>
  <w:style w:type="paragraph" w:styleId="IntenseQuote">
    <w:name w:val="Intense Quote"/>
    <w:basedOn w:val="Normal"/>
    <w:next w:val="Normal"/>
    <w:link w:val="IntenseQuoteChar"/>
    <w:uiPriority w:val="30"/>
    <w:qFormat/>
    <w:rsid w:val="004E48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4855"/>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4E4855"/>
    <w:rPr>
      <w:b/>
      <w:bCs/>
      <w:smallCaps/>
      <w:color w:val="0F4761" w:themeColor="accent1" w:themeShade="BF"/>
      <w:spacing w:val="5"/>
    </w:rPr>
  </w:style>
  <w:style w:type="character" w:styleId="Hyperlink">
    <w:name w:val="Hyperlink"/>
    <w:basedOn w:val="DefaultParagraphFont"/>
    <w:uiPriority w:val="99"/>
    <w:unhideWhenUsed/>
    <w:rsid w:val="00917B87"/>
    <w:rPr>
      <w:color w:val="467886" w:themeColor="hyperlink"/>
      <w:u w:val="single"/>
    </w:rPr>
  </w:style>
  <w:style w:type="paragraph" w:styleId="TOCHeading">
    <w:name w:val="TOC Heading"/>
    <w:basedOn w:val="Heading1"/>
    <w:next w:val="Normal"/>
    <w:uiPriority w:val="39"/>
    <w:unhideWhenUsed/>
    <w:qFormat/>
    <w:rsid w:val="000D359F"/>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0D359F"/>
    <w:pPr>
      <w:spacing w:after="100"/>
    </w:pPr>
  </w:style>
  <w:style w:type="paragraph" w:styleId="TOC2">
    <w:name w:val="toc 2"/>
    <w:basedOn w:val="Normal"/>
    <w:next w:val="Normal"/>
    <w:autoRedefine/>
    <w:uiPriority w:val="39"/>
    <w:unhideWhenUsed/>
    <w:rsid w:val="000D359F"/>
    <w:pPr>
      <w:spacing w:after="100"/>
      <w:ind w:left="240"/>
    </w:pPr>
  </w:style>
  <w:style w:type="paragraph" w:styleId="Header">
    <w:name w:val="header"/>
    <w:basedOn w:val="Normal"/>
    <w:link w:val="HeaderChar"/>
    <w:uiPriority w:val="99"/>
    <w:unhideWhenUsed/>
    <w:rsid w:val="00254C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4CD1"/>
    <w:rPr>
      <w:rFonts w:ascii="Times New Roman" w:hAnsi="Times New Roman"/>
      <w:color w:val="000000" w:themeColor="text1"/>
      <w:sz w:val="24"/>
    </w:rPr>
  </w:style>
  <w:style w:type="paragraph" w:styleId="Footer">
    <w:name w:val="footer"/>
    <w:basedOn w:val="Normal"/>
    <w:link w:val="FooterChar"/>
    <w:uiPriority w:val="99"/>
    <w:unhideWhenUsed/>
    <w:rsid w:val="00254C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4CD1"/>
    <w:rPr>
      <w:rFonts w:ascii="Times New Roman" w:hAnsi="Times New Roman"/>
      <w:color w:val="000000" w:themeColor="text1"/>
      <w:sz w:val="24"/>
    </w:rPr>
  </w:style>
  <w:style w:type="paragraph" w:styleId="NoSpacing">
    <w:name w:val="No Spacing"/>
    <w:uiPriority w:val="1"/>
    <w:qFormat/>
    <w:rsid w:val="00BF083B"/>
    <w:pPr>
      <w:spacing w:after="0" w:line="240" w:lineRule="auto"/>
      <w:jc w:val="both"/>
    </w:pPr>
    <w:rPr>
      <w:rFonts w:ascii="Times New Roman" w:hAnsi="Times New Roman"/>
      <w:kern w:val="0"/>
      <w:sz w:val="24"/>
      <w:lang w:val="en-GB"/>
      <w14:ligatures w14:val="none"/>
    </w:rPr>
  </w:style>
  <w:style w:type="table" w:styleId="TableGrid">
    <w:name w:val="Table Grid"/>
    <w:basedOn w:val="TableNormal"/>
    <w:uiPriority w:val="39"/>
    <w:rsid w:val="00B702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3">
    <w:name w:val="Grid Table 1 Light Accent 3"/>
    <w:basedOn w:val="TableNormal"/>
    <w:uiPriority w:val="46"/>
    <w:rsid w:val="00705B7B"/>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705B7B"/>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4-Accent2">
    <w:name w:val="Grid Table 4 Accent 2"/>
    <w:basedOn w:val="TableNormal"/>
    <w:uiPriority w:val="49"/>
    <w:rsid w:val="00705B7B"/>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5Dark-Accent6">
    <w:name w:val="Grid Table 5 Dark Accent 6"/>
    <w:basedOn w:val="TableNormal"/>
    <w:uiPriority w:val="50"/>
    <w:rsid w:val="00705B7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PlainTable1">
    <w:name w:val="Plain Table 1"/>
    <w:basedOn w:val="TableNormal"/>
    <w:uiPriority w:val="41"/>
    <w:rsid w:val="00D51F0C"/>
    <w:pPr>
      <w:spacing w:after="0" w:line="240" w:lineRule="auto"/>
    </w:pPr>
    <w:rPr>
      <w:sz w:val="24"/>
      <w:szCs w:val="24"/>
      <w:lang w:val="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e.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image" Target="media/image6.emf"/><Relationship Id="rId10" Type="http://schemas.openxmlformats.org/officeDocument/2006/relationships/image" Target="media/image2.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15EF9C6-1E45-416C-B535-AAB756094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29</Pages>
  <Words>6295</Words>
  <Characters>35882</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Aman Kaushal (2437693)</cp:lastModifiedBy>
  <cp:revision>3</cp:revision>
  <dcterms:created xsi:type="dcterms:W3CDTF">2025-11-23T00:20:00Z</dcterms:created>
  <dcterms:modified xsi:type="dcterms:W3CDTF">2025-11-23T00:26:00Z</dcterms:modified>
</cp:coreProperties>
</file>