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92608" w14:textId="77777777" w:rsidR="00284598" w:rsidRDefault="00284598" w:rsidP="00284598">
      <w:pPr>
        <w:jc w:val="center"/>
        <w:rPr>
          <w:rFonts w:ascii="Times New Roman" w:eastAsia="Times New Roman" w:hAnsi="Times New Roman" w:cs="Times New Roman"/>
          <w:b/>
          <w:sz w:val="40"/>
          <w:szCs w:val="40"/>
          <w:lang w:val="en-GB"/>
        </w:rPr>
      </w:pPr>
    </w:p>
    <w:p w14:paraId="6D634AE3" w14:textId="77777777" w:rsidR="00284598" w:rsidRDefault="00284598" w:rsidP="00284598">
      <w:pPr>
        <w:jc w:val="center"/>
        <w:rPr>
          <w:rFonts w:ascii="Times New Roman" w:eastAsia="Times New Roman" w:hAnsi="Times New Roman" w:cs="Times New Roman"/>
          <w:b/>
          <w:sz w:val="40"/>
          <w:szCs w:val="40"/>
          <w:lang w:val="en-GB"/>
        </w:rPr>
      </w:pPr>
    </w:p>
    <w:p w14:paraId="5CD73AF4" w14:textId="77777777" w:rsidR="00284598" w:rsidRDefault="00284598" w:rsidP="00284598">
      <w:pPr>
        <w:jc w:val="center"/>
        <w:rPr>
          <w:rFonts w:ascii="Times New Roman" w:eastAsia="Times New Roman" w:hAnsi="Times New Roman" w:cs="Times New Roman"/>
          <w:b/>
          <w:sz w:val="40"/>
          <w:szCs w:val="40"/>
          <w:lang w:val="en-GB"/>
        </w:rPr>
      </w:pPr>
    </w:p>
    <w:p w14:paraId="631EA689" w14:textId="77777777" w:rsidR="00284598" w:rsidRPr="00540BE5" w:rsidRDefault="00284598" w:rsidP="00540BE5">
      <w:pPr>
        <w:pStyle w:val="NoSpacing"/>
        <w:jc w:val="center"/>
        <w:rPr>
          <w:lang w:val="en-GB"/>
        </w:rPr>
      </w:pPr>
    </w:p>
    <w:p w14:paraId="392BDB21" w14:textId="6A9C480A" w:rsidR="00284598" w:rsidRPr="00540BE5" w:rsidRDefault="00540BE5" w:rsidP="00540BE5">
      <w:pPr>
        <w:pStyle w:val="NoSpacing"/>
        <w:spacing w:line="360" w:lineRule="auto"/>
        <w:jc w:val="center"/>
        <w:rPr>
          <w:sz w:val="40"/>
          <w:szCs w:val="40"/>
        </w:rPr>
      </w:pPr>
      <w:r w:rsidRPr="00540BE5">
        <w:rPr>
          <w:sz w:val="40"/>
          <w:szCs w:val="40"/>
        </w:rPr>
        <w:t>BMIH5006</w:t>
      </w:r>
    </w:p>
    <w:p w14:paraId="6E7968FA" w14:textId="77777777" w:rsidR="00540BE5" w:rsidRPr="00540BE5" w:rsidRDefault="00540BE5" w:rsidP="00540BE5">
      <w:pPr>
        <w:pStyle w:val="NoSpacing"/>
        <w:spacing w:line="360" w:lineRule="auto"/>
        <w:jc w:val="center"/>
        <w:rPr>
          <w:sz w:val="40"/>
          <w:szCs w:val="40"/>
        </w:rPr>
      </w:pPr>
    </w:p>
    <w:p w14:paraId="6F13D2ED" w14:textId="77777777" w:rsidR="00540BE5" w:rsidRPr="00540BE5" w:rsidRDefault="00540BE5" w:rsidP="00540BE5">
      <w:pPr>
        <w:pStyle w:val="NoSpacing"/>
        <w:spacing w:line="360" w:lineRule="auto"/>
        <w:jc w:val="center"/>
        <w:rPr>
          <w:sz w:val="40"/>
          <w:szCs w:val="40"/>
        </w:rPr>
      </w:pPr>
    </w:p>
    <w:p w14:paraId="1F20989B" w14:textId="77777777" w:rsidR="00540BE5" w:rsidRPr="00540BE5" w:rsidRDefault="00540BE5" w:rsidP="00540BE5">
      <w:pPr>
        <w:pStyle w:val="NoSpacing"/>
        <w:spacing w:line="360" w:lineRule="auto"/>
        <w:jc w:val="center"/>
        <w:rPr>
          <w:sz w:val="40"/>
          <w:szCs w:val="40"/>
          <w:lang w:val="en-GB"/>
        </w:rPr>
      </w:pPr>
    </w:p>
    <w:p w14:paraId="3B0649AB" w14:textId="77777777" w:rsidR="00284598" w:rsidRPr="00540BE5" w:rsidRDefault="00284598" w:rsidP="00540BE5">
      <w:pPr>
        <w:pStyle w:val="NoSpacing"/>
        <w:spacing w:line="360" w:lineRule="auto"/>
        <w:jc w:val="center"/>
        <w:rPr>
          <w:sz w:val="40"/>
          <w:szCs w:val="40"/>
          <w:lang w:val="en-GB"/>
        </w:rPr>
      </w:pPr>
      <w:r w:rsidRPr="00540BE5">
        <w:rPr>
          <w:sz w:val="40"/>
          <w:szCs w:val="40"/>
          <w:lang w:val="en-GB"/>
        </w:rPr>
        <w:t>Sustainability in the hotel industry: A case study of Marriott</w:t>
      </w:r>
    </w:p>
    <w:p w14:paraId="1D66BE0A" w14:textId="77777777" w:rsidR="00284598" w:rsidRPr="00540BE5" w:rsidRDefault="00284598" w:rsidP="00540BE5">
      <w:pPr>
        <w:pStyle w:val="NoSpacing"/>
        <w:spacing w:line="360" w:lineRule="auto"/>
        <w:jc w:val="center"/>
        <w:rPr>
          <w:sz w:val="40"/>
          <w:szCs w:val="40"/>
          <w:lang w:val="en-GB"/>
        </w:rPr>
      </w:pPr>
    </w:p>
    <w:p w14:paraId="31750523" w14:textId="77777777" w:rsidR="00540BE5" w:rsidRPr="00540BE5" w:rsidRDefault="00540BE5" w:rsidP="00540BE5">
      <w:pPr>
        <w:pStyle w:val="NoSpacing"/>
        <w:spacing w:line="360" w:lineRule="auto"/>
        <w:jc w:val="center"/>
        <w:rPr>
          <w:sz w:val="40"/>
          <w:szCs w:val="40"/>
          <w:lang w:val="en-GB"/>
        </w:rPr>
      </w:pPr>
    </w:p>
    <w:p w14:paraId="14D3DE64" w14:textId="77777777" w:rsidR="00540BE5" w:rsidRPr="00540BE5" w:rsidRDefault="00540BE5" w:rsidP="00540BE5">
      <w:pPr>
        <w:pStyle w:val="NoSpacing"/>
        <w:spacing w:line="360" w:lineRule="auto"/>
        <w:jc w:val="center"/>
        <w:rPr>
          <w:sz w:val="40"/>
          <w:szCs w:val="40"/>
          <w:lang w:val="en-GB"/>
        </w:rPr>
      </w:pPr>
    </w:p>
    <w:p w14:paraId="763DB5BC" w14:textId="12CCE85E" w:rsidR="00284598" w:rsidRPr="00540BE5" w:rsidRDefault="00284598" w:rsidP="00540BE5">
      <w:pPr>
        <w:pStyle w:val="NoSpacing"/>
        <w:spacing w:line="360" w:lineRule="auto"/>
        <w:jc w:val="center"/>
        <w:rPr>
          <w:sz w:val="40"/>
          <w:szCs w:val="40"/>
          <w:lang w:val="en-GB"/>
        </w:rPr>
      </w:pPr>
      <w:r w:rsidRPr="00540BE5">
        <w:rPr>
          <w:sz w:val="40"/>
          <w:szCs w:val="40"/>
          <w:lang w:val="en-GB"/>
        </w:rPr>
        <w:t>Student name:</w:t>
      </w:r>
      <w:r w:rsidR="00540BE5" w:rsidRPr="00540BE5">
        <w:rPr>
          <w:sz w:val="40"/>
          <w:szCs w:val="40"/>
          <w:lang w:val="en-GB"/>
        </w:rPr>
        <w:t xml:space="preserve"> Digbijoy Roy (2117381)</w:t>
      </w:r>
    </w:p>
    <w:p w14:paraId="6AB49F4C" w14:textId="77777777" w:rsidR="00540BE5" w:rsidRDefault="00540BE5" w:rsidP="00284598">
      <w:pPr>
        <w:jc w:val="center"/>
        <w:rPr>
          <w:rFonts w:ascii="Times New Roman" w:eastAsia="Times New Roman" w:hAnsi="Times New Roman" w:cs="Times New Roman"/>
          <w:b/>
          <w:sz w:val="32"/>
          <w:szCs w:val="40"/>
          <w:lang w:val="en-GB"/>
        </w:rPr>
      </w:pPr>
    </w:p>
    <w:p w14:paraId="514769C1" w14:textId="77777777" w:rsidR="00540BE5" w:rsidRDefault="00540BE5" w:rsidP="00284598">
      <w:pPr>
        <w:jc w:val="center"/>
        <w:rPr>
          <w:rFonts w:ascii="Times New Roman" w:eastAsia="Times New Roman" w:hAnsi="Times New Roman" w:cs="Times New Roman"/>
          <w:b/>
          <w:sz w:val="32"/>
          <w:szCs w:val="40"/>
          <w:lang w:val="en-GB"/>
        </w:rPr>
      </w:pPr>
    </w:p>
    <w:p w14:paraId="1666A6BE" w14:textId="555C536F" w:rsidR="00284598" w:rsidRPr="00284598" w:rsidRDefault="00284598" w:rsidP="00284598">
      <w:pPr>
        <w:jc w:val="center"/>
        <w:rPr>
          <w:rFonts w:ascii="Times New Roman" w:eastAsia="Times New Roman" w:hAnsi="Times New Roman" w:cs="Times New Roman"/>
          <w:b/>
          <w:sz w:val="40"/>
          <w:szCs w:val="40"/>
          <w:lang w:val="en-GB"/>
        </w:rPr>
      </w:pPr>
      <w:r w:rsidRPr="00284598">
        <w:rPr>
          <w:rFonts w:ascii="Times New Roman" w:eastAsia="Times New Roman" w:hAnsi="Times New Roman" w:cs="Times New Roman"/>
          <w:b/>
          <w:sz w:val="40"/>
          <w:szCs w:val="40"/>
          <w:lang w:val="en-GB"/>
        </w:rPr>
        <w:br w:type="page"/>
      </w:r>
    </w:p>
    <w:sdt>
      <w:sdtPr>
        <w:rPr>
          <w:rFonts w:ascii="Arial" w:eastAsia="Arial" w:hAnsi="Arial" w:cs="Arial"/>
          <w:color w:val="auto"/>
          <w:sz w:val="22"/>
          <w:szCs w:val="22"/>
          <w:lang w:val="en" w:eastAsia="en-GB"/>
        </w:rPr>
        <w:id w:val="-458335749"/>
        <w:docPartObj>
          <w:docPartGallery w:val="Table of Contents"/>
          <w:docPartUnique/>
        </w:docPartObj>
      </w:sdtPr>
      <w:sdtEndPr>
        <w:rPr>
          <w:b/>
          <w:bCs/>
          <w:noProof/>
        </w:rPr>
      </w:sdtEndPr>
      <w:sdtContent>
        <w:p w14:paraId="4D08BF31" w14:textId="25E4DBC8" w:rsidR="00284598" w:rsidRPr="00540BE5" w:rsidRDefault="00284598" w:rsidP="00540BE5">
          <w:pPr>
            <w:pStyle w:val="TOCHeading"/>
            <w:spacing w:line="360" w:lineRule="auto"/>
            <w:jc w:val="center"/>
            <w:rPr>
              <w:rFonts w:ascii="Arial" w:hAnsi="Arial" w:cs="Arial"/>
              <w:b/>
              <w:sz w:val="24"/>
              <w:szCs w:val="24"/>
            </w:rPr>
          </w:pPr>
          <w:r w:rsidRPr="00540BE5">
            <w:rPr>
              <w:rFonts w:ascii="Arial" w:hAnsi="Arial" w:cs="Arial"/>
              <w:b/>
              <w:sz w:val="24"/>
              <w:szCs w:val="24"/>
            </w:rPr>
            <w:t>Table of Contents</w:t>
          </w:r>
        </w:p>
        <w:p w14:paraId="184BAC21" w14:textId="3323399F" w:rsidR="008D6CC8" w:rsidRDefault="00284598">
          <w:pPr>
            <w:pStyle w:val="TOC1"/>
            <w:tabs>
              <w:tab w:val="right" w:leader="dot" w:pos="9350"/>
            </w:tabs>
            <w:rPr>
              <w:rFonts w:asciiTheme="minorHAnsi" w:eastAsiaTheme="minorEastAsia" w:hAnsiTheme="minorHAnsi" w:cstheme="minorBidi"/>
              <w:noProof/>
              <w:kern w:val="2"/>
              <w:lang w:val="en-GB" w:eastAsia="zh-CN"/>
              <w14:ligatures w14:val="standardContextual"/>
            </w:rPr>
          </w:pPr>
          <w:r w:rsidRPr="00540BE5">
            <w:rPr>
              <w:sz w:val="24"/>
              <w:szCs w:val="24"/>
            </w:rPr>
            <w:fldChar w:fldCharType="begin"/>
          </w:r>
          <w:r w:rsidRPr="00540BE5">
            <w:rPr>
              <w:sz w:val="24"/>
              <w:szCs w:val="24"/>
            </w:rPr>
            <w:instrText xml:space="preserve"> TOC \o "1-3" \h \z \u </w:instrText>
          </w:r>
          <w:r w:rsidRPr="00540BE5">
            <w:rPr>
              <w:sz w:val="24"/>
              <w:szCs w:val="24"/>
            </w:rPr>
            <w:fldChar w:fldCharType="separate"/>
          </w:r>
          <w:hyperlink w:anchor="_Toc147958049" w:history="1">
            <w:r w:rsidR="008D6CC8" w:rsidRPr="00564477">
              <w:rPr>
                <w:rStyle w:val="Hyperlink"/>
                <w:noProof/>
                <w:lang w:val="en-GB"/>
              </w:rPr>
              <w:t>Introduction</w:t>
            </w:r>
            <w:r w:rsidR="008D6CC8">
              <w:rPr>
                <w:noProof/>
                <w:webHidden/>
              </w:rPr>
              <w:tab/>
            </w:r>
            <w:r w:rsidR="008D6CC8">
              <w:rPr>
                <w:noProof/>
                <w:webHidden/>
              </w:rPr>
              <w:fldChar w:fldCharType="begin"/>
            </w:r>
            <w:r w:rsidR="008D6CC8">
              <w:rPr>
                <w:noProof/>
                <w:webHidden/>
              </w:rPr>
              <w:instrText xml:space="preserve"> PAGEREF _Toc147958049 \h </w:instrText>
            </w:r>
            <w:r w:rsidR="008D6CC8">
              <w:rPr>
                <w:noProof/>
                <w:webHidden/>
              </w:rPr>
            </w:r>
            <w:r w:rsidR="008D6CC8">
              <w:rPr>
                <w:noProof/>
                <w:webHidden/>
              </w:rPr>
              <w:fldChar w:fldCharType="separate"/>
            </w:r>
            <w:r w:rsidR="008D6CC8">
              <w:rPr>
                <w:noProof/>
                <w:webHidden/>
              </w:rPr>
              <w:t>3</w:t>
            </w:r>
            <w:r w:rsidR="008D6CC8">
              <w:rPr>
                <w:noProof/>
                <w:webHidden/>
              </w:rPr>
              <w:fldChar w:fldCharType="end"/>
            </w:r>
          </w:hyperlink>
        </w:p>
        <w:p w14:paraId="2A173F10" w14:textId="3D985617" w:rsidR="008D6CC8" w:rsidRDefault="008D6CC8">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47958050" w:history="1">
            <w:r w:rsidRPr="00564477">
              <w:rPr>
                <w:rStyle w:val="Hyperlink"/>
                <w:noProof/>
                <w:lang w:val="en-GB"/>
              </w:rPr>
              <w:t>Main Body</w:t>
            </w:r>
            <w:r>
              <w:rPr>
                <w:noProof/>
                <w:webHidden/>
              </w:rPr>
              <w:tab/>
            </w:r>
            <w:r>
              <w:rPr>
                <w:noProof/>
                <w:webHidden/>
              </w:rPr>
              <w:fldChar w:fldCharType="begin"/>
            </w:r>
            <w:r>
              <w:rPr>
                <w:noProof/>
                <w:webHidden/>
              </w:rPr>
              <w:instrText xml:space="preserve"> PAGEREF _Toc147958050 \h </w:instrText>
            </w:r>
            <w:r>
              <w:rPr>
                <w:noProof/>
                <w:webHidden/>
              </w:rPr>
            </w:r>
            <w:r>
              <w:rPr>
                <w:noProof/>
                <w:webHidden/>
              </w:rPr>
              <w:fldChar w:fldCharType="separate"/>
            </w:r>
            <w:r>
              <w:rPr>
                <w:noProof/>
                <w:webHidden/>
              </w:rPr>
              <w:t>3</w:t>
            </w:r>
            <w:r>
              <w:rPr>
                <w:noProof/>
                <w:webHidden/>
              </w:rPr>
              <w:fldChar w:fldCharType="end"/>
            </w:r>
          </w:hyperlink>
        </w:p>
        <w:p w14:paraId="58DB10D1" w14:textId="5B9B90A3" w:rsidR="008D6CC8" w:rsidRDefault="008D6CC8">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47958051" w:history="1">
            <w:r w:rsidRPr="00564477">
              <w:rPr>
                <w:rStyle w:val="Hyperlink"/>
                <w:noProof/>
                <w:lang w:val="en-GB"/>
              </w:rPr>
              <w:t>Conclusion</w:t>
            </w:r>
            <w:r>
              <w:rPr>
                <w:noProof/>
                <w:webHidden/>
              </w:rPr>
              <w:tab/>
            </w:r>
            <w:r>
              <w:rPr>
                <w:noProof/>
                <w:webHidden/>
              </w:rPr>
              <w:fldChar w:fldCharType="begin"/>
            </w:r>
            <w:r>
              <w:rPr>
                <w:noProof/>
                <w:webHidden/>
              </w:rPr>
              <w:instrText xml:space="preserve"> PAGEREF _Toc147958051 \h </w:instrText>
            </w:r>
            <w:r>
              <w:rPr>
                <w:noProof/>
                <w:webHidden/>
              </w:rPr>
            </w:r>
            <w:r>
              <w:rPr>
                <w:noProof/>
                <w:webHidden/>
              </w:rPr>
              <w:fldChar w:fldCharType="separate"/>
            </w:r>
            <w:r>
              <w:rPr>
                <w:noProof/>
                <w:webHidden/>
              </w:rPr>
              <w:t>8</w:t>
            </w:r>
            <w:r>
              <w:rPr>
                <w:noProof/>
                <w:webHidden/>
              </w:rPr>
              <w:fldChar w:fldCharType="end"/>
            </w:r>
          </w:hyperlink>
        </w:p>
        <w:p w14:paraId="6721111E" w14:textId="6FB0B265" w:rsidR="008D6CC8" w:rsidRDefault="008D6CC8">
          <w:pPr>
            <w:pStyle w:val="TOC1"/>
            <w:tabs>
              <w:tab w:val="right" w:leader="dot" w:pos="9350"/>
            </w:tabs>
            <w:rPr>
              <w:rFonts w:asciiTheme="minorHAnsi" w:eastAsiaTheme="minorEastAsia" w:hAnsiTheme="minorHAnsi" w:cstheme="minorBidi"/>
              <w:noProof/>
              <w:kern w:val="2"/>
              <w:lang w:val="en-GB" w:eastAsia="zh-CN"/>
              <w14:ligatures w14:val="standardContextual"/>
            </w:rPr>
          </w:pPr>
          <w:hyperlink w:anchor="_Toc147958052" w:history="1">
            <w:r w:rsidRPr="00564477">
              <w:rPr>
                <w:rStyle w:val="Hyperlink"/>
                <w:noProof/>
                <w:lang w:val="en-GB"/>
              </w:rPr>
              <w:t>Reference</w:t>
            </w:r>
            <w:r>
              <w:rPr>
                <w:noProof/>
                <w:webHidden/>
              </w:rPr>
              <w:tab/>
            </w:r>
            <w:r>
              <w:rPr>
                <w:noProof/>
                <w:webHidden/>
              </w:rPr>
              <w:fldChar w:fldCharType="begin"/>
            </w:r>
            <w:r>
              <w:rPr>
                <w:noProof/>
                <w:webHidden/>
              </w:rPr>
              <w:instrText xml:space="preserve"> PAGEREF _Toc147958052 \h </w:instrText>
            </w:r>
            <w:r>
              <w:rPr>
                <w:noProof/>
                <w:webHidden/>
              </w:rPr>
            </w:r>
            <w:r>
              <w:rPr>
                <w:noProof/>
                <w:webHidden/>
              </w:rPr>
              <w:fldChar w:fldCharType="separate"/>
            </w:r>
            <w:r>
              <w:rPr>
                <w:noProof/>
                <w:webHidden/>
              </w:rPr>
              <w:t>9</w:t>
            </w:r>
            <w:r>
              <w:rPr>
                <w:noProof/>
                <w:webHidden/>
              </w:rPr>
              <w:fldChar w:fldCharType="end"/>
            </w:r>
          </w:hyperlink>
        </w:p>
        <w:p w14:paraId="639B9C0E" w14:textId="7A9A9B04" w:rsidR="00284598" w:rsidRDefault="00284598" w:rsidP="00540BE5">
          <w:pPr>
            <w:spacing w:line="360" w:lineRule="auto"/>
          </w:pPr>
          <w:r w:rsidRPr="00540BE5">
            <w:rPr>
              <w:b/>
              <w:bCs/>
              <w:noProof/>
              <w:sz w:val="24"/>
              <w:szCs w:val="24"/>
            </w:rPr>
            <w:fldChar w:fldCharType="end"/>
          </w:r>
        </w:p>
      </w:sdtContent>
    </w:sdt>
    <w:p w14:paraId="4E92745F" w14:textId="77777777" w:rsidR="00284598" w:rsidRPr="00284598" w:rsidRDefault="00284598">
      <w:pPr>
        <w:rPr>
          <w:rFonts w:ascii="Times New Roman" w:eastAsia="Times New Roman" w:hAnsi="Times New Roman" w:cs="Times New Roman"/>
          <w:b/>
          <w:sz w:val="24"/>
          <w:szCs w:val="24"/>
          <w:lang w:val="en-GB"/>
        </w:rPr>
      </w:pPr>
      <w:r w:rsidRPr="00284598">
        <w:rPr>
          <w:rFonts w:ascii="Times New Roman" w:eastAsia="Times New Roman" w:hAnsi="Times New Roman" w:cs="Times New Roman"/>
          <w:b/>
          <w:sz w:val="24"/>
          <w:szCs w:val="24"/>
          <w:lang w:val="en-GB"/>
        </w:rPr>
        <w:br w:type="page"/>
      </w:r>
    </w:p>
    <w:p w14:paraId="00000001" w14:textId="1E60EDD1" w:rsidR="003A7822" w:rsidRPr="00540BE5" w:rsidRDefault="00284598" w:rsidP="00540BE5">
      <w:pPr>
        <w:pStyle w:val="Heading1"/>
        <w:rPr>
          <w:rFonts w:ascii="Arial" w:hAnsi="Arial"/>
          <w:sz w:val="24"/>
          <w:szCs w:val="24"/>
          <w:lang w:val="en-GB"/>
        </w:rPr>
      </w:pPr>
      <w:bookmarkStart w:id="0" w:name="_Toc147958049"/>
      <w:r w:rsidRPr="00540BE5">
        <w:rPr>
          <w:rFonts w:ascii="Arial" w:hAnsi="Arial"/>
          <w:sz w:val="24"/>
          <w:szCs w:val="24"/>
          <w:lang w:val="en-GB"/>
        </w:rPr>
        <w:lastRenderedPageBreak/>
        <w:t>Introduction</w:t>
      </w:r>
      <w:bookmarkEnd w:id="0"/>
    </w:p>
    <w:p w14:paraId="00000002" w14:textId="59214021" w:rsidR="003A7822"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In recent years, sustainability has moved from the perimeter to the middle of corporate strategy, particularly within industries recognised for considerable environmental effect. The hotel business is no exception to this tendency. With a substantial footprint via energy and water usage, garbage generation, and consumption of goods, this business is at a key juncture where Corporate Social Responsibility (CSR) is not only an ethical option but an economic imperative (Bohdanowicz and Zientara, 2019). This article will critically evaluate Marriott's CSR policy, focusing on its implications for sustainability in the hotel sector. The essay attempts to analyse important reasons that have led to the adoption of sustainable measures, such as increased governmental expectations and competitive strategies. Central to this issue is the idea of the circular economy, a revolutionary approach that fosters the reuse and recycling of resources, thereby decreasing waste. The study will also go into the Triple Bottom Line methodology, assessing how Marriott handles the connected pillars of sustainability: social, environmental, and economic. According to a 2023 estimate by the Sustainable hotel Alliance, the hotel sector contributes for roughly 1% of global emissions. This research shows the significance and relevance of including CSR and sustainability into hotel management strategy. Through this approach, the paper will give a full review of Marriott's commitment to sustainability and its bigger implications for the hotel business</w:t>
      </w:r>
      <w:r w:rsidR="0076293E" w:rsidRPr="00540BE5">
        <w:rPr>
          <w:rFonts w:eastAsia="Times New Roman"/>
          <w:sz w:val="24"/>
          <w:szCs w:val="24"/>
          <w:lang w:val="en-GB"/>
        </w:rPr>
        <w:t>.</w:t>
      </w:r>
    </w:p>
    <w:p w14:paraId="00000004" w14:textId="36742DEF" w:rsidR="003A7822" w:rsidRPr="00540BE5" w:rsidRDefault="00284598" w:rsidP="00540BE5">
      <w:pPr>
        <w:pStyle w:val="Heading1"/>
        <w:rPr>
          <w:rFonts w:ascii="Arial" w:hAnsi="Arial"/>
          <w:sz w:val="24"/>
          <w:szCs w:val="24"/>
          <w:lang w:val="en-GB"/>
        </w:rPr>
      </w:pPr>
      <w:bookmarkStart w:id="1" w:name="_Toc147958050"/>
      <w:r w:rsidRPr="00540BE5">
        <w:rPr>
          <w:rFonts w:ascii="Arial" w:hAnsi="Arial"/>
          <w:sz w:val="24"/>
          <w:szCs w:val="24"/>
          <w:lang w:val="en-GB"/>
        </w:rPr>
        <w:t>Main Body</w:t>
      </w:r>
      <w:bookmarkEnd w:id="1"/>
    </w:p>
    <w:p w14:paraId="00000005" w14:textId="0ACB4189" w:rsidR="003A7822" w:rsidRPr="00540BE5" w:rsidRDefault="0076293E" w:rsidP="00540BE5">
      <w:pPr>
        <w:spacing w:line="360" w:lineRule="auto"/>
        <w:jc w:val="both"/>
        <w:rPr>
          <w:rFonts w:eastAsia="Times New Roman"/>
          <w:b/>
          <w:sz w:val="24"/>
          <w:szCs w:val="24"/>
          <w:lang w:val="en-GB"/>
        </w:rPr>
      </w:pPr>
      <w:r w:rsidRPr="00540BE5">
        <w:rPr>
          <w:rFonts w:eastAsia="Times New Roman"/>
          <w:b/>
          <w:sz w:val="24"/>
          <w:szCs w:val="24"/>
          <w:lang w:val="en-GB"/>
        </w:rPr>
        <w:t>Motivatio</w:t>
      </w:r>
      <w:r w:rsidR="00284598" w:rsidRPr="00540BE5">
        <w:rPr>
          <w:rFonts w:eastAsia="Times New Roman"/>
          <w:b/>
          <w:sz w:val="24"/>
          <w:szCs w:val="24"/>
          <w:lang w:val="en-GB"/>
        </w:rPr>
        <w:t>ns for Embracing Sustainability</w:t>
      </w:r>
    </w:p>
    <w:p w14:paraId="38E43E0B" w14:textId="3004C404" w:rsidR="00284598"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 xml:space="preserve">The rise of legislative legislation focused at environmental conservation has greatly boosted expectations on the hotel sector to adopt sustainability. Laws controlling energy consumption, garbage management, and water usage have grown increasingly strict, necessitating hotels to integrate CSR as a core business strategy. For example, the European Union's Green Public Procurement requirements demand severe sustainability criteria for tourism lodgings, affecting Marriott's activity in the region (Abhayawansa and Adams, 2021). Regulatory restraints are frequently linked with financial implications, such as subsidies for sustainable practices or fines for non-compliance, so adding an economic component to the moral and ethical imperatives. Simultaneously, rivals' activities </w:t>
      </w:r>
      <w:r w:rsidRPr="00540BE5">
        <w:rPr>
          <w:rFonts w:eastAsia="Times New Roman"/>
          <w:sz w:val="24"/>
          <w:szCs w:val="24"/>
          <w:lang w:val="en-GB"/>
        </w:rPr>
        <w:lastRenderedPageBreak/>
        <w:t>considerably impact the sustainability measures inside the industry. The increase in eco-conscious travel and tourism has led to a sector where sustainability is not only healthy for the planet but also profitable for business. Companies like Hilton and Hyatt have carved out significant sustainability programs, increasing competitive pressure on Marriott to not only remain up but also innovate in their sustainability efforts (Fachada, 2023). According to a 2021 analysis by the Harvard Business Review, firms with efficient sustainability practises experience a gain of up to 6% in market value compared to those without (Whelan and Fink, 2022).</w:t>
      </w:r>
    </w:p>
    <w:p w14:paraId="185D919D" w14:textId="03337D06" w:rsidR="00284598"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This competitive climate has prompted Marriott to differentiate itself through unique CSR activities. The company's Serve 360 effort targets at decreasing water intensity by 15% and adopting 30% renewable energy sources by 2025 (Abdou, Hassan and El Dief, 2020). Another motivating purpose is the requirement to protect or increase company image in a day when, according to Rafi (2023), 81% of clients consider firmly that corporations could help better the environment. The convergence of increased legislative mandates and a highly competitive industry filled with increasingly eco-conscious consumers has substantially driven Marriott and other hotels to completely incorporate sustainability into their business aims. The ripple impact of regulation and competitive actions underscores the concept that CSR is no longer optional but rather a fundamental component of conducting business in the 21st-century hotel sector (Waldron, 2022).</w:t>
      </w:r>
    </w:p>
    <w:p w14:paraId="0000000E" w14:textId="3BB3ED87" w:rsidR="003A7822" w:rsidRDefault="00284598" w:rsidP="00540BE5">
      <w:pPr>
        <w:spacing w:line="360" w:lineRule="auto"/>
        <w:jc w:val="both"/>
        <w:rPr>
          <w:rFonts w:eastAsia="Times New Roman"/>
          <w:sz w:val="24"/>
          <w:szCs w:val="24"/>
          <w:lang w:val="en-GB"/>
        </w:rPr>
      </w:pPr>
      <w:r w:rsidRPr="00540BE5">
        <w:rPr>
          <w:rFonts w:eastAsia="Times New Roman"/>
          <w:sz w:val="24"/>
          <w:szCs w:val="24"/>
          <w:lang w:val="en-GB"/>
        </w:rPr>
        <w:t>Additionally, the significance of stakeholder expectations cannot be overstated. Investors are increasingly analysing firms on environmental, social, and governance (ESG) criteria, which adds another layer of motivation for Marriott and its rivals to boost their sustainability efforts (O’CONNOR-WILLIS, 2021). Ignoring these imperatives might result in deteriorating investor confidence and share value. Moreover, the workforce is demonstrating a greater interest for company sustainability initiatives. According to a 2020 LinkedIn poll, 75% of millennials examine a company’s CSR commitments before opting to work there (Alaql, AlQurashi and Mehmood, 2023). Hence, to recruit top personnel, it becomes vital for Marriott and others in the hotel sector to actively engage in sustainable business practices. These diverse objectives assist to speed the industry's move towards complete sustainability</w:t>
      </w:r>
      <w:r w:rsidR="0076293E" w:rsidRPr="00540BE5">
        <w:rPr>
          <w:rFonts w:eastAsia="Times New Roman"/>
          <w:sz w:val="24"/>
          <w:szCs w:val="24"/>
          <w:lang w:val="en-GB"/>
        </w:rPr>
        <w:t>.</w:t>
      </w:r>
    </w:p>
    <w:p w14:paraId="271EC2A6" w14:textId="77777777" w:rsidR="00540BE5" w:rsidRPr="00540BE5" w:rsidRDefault="00540BE5" w:rsidP="00540BE5">
      <w:pPr>
        <w:spacing w:line="360" w:lineRule="auto"/>
        <w:jc w:val="both"/>
        <w:rPr>
          <w:rFonts w:eastAsia="Times New Roman"/>
          <w:sz w:val="24"/>
          <w:szCs w:val="24"/>
          <w:lang w:val="en-GB"/>
        </w:rPr>
      </w:pPr>
    </w:p>
    <w:p w14:paraId="0000000F" w14:textId="060E5F32" w:rsidR="003A7822" w:rsidRPr="00540BE5" w:rsidRDefault="0076293E" w:rsidP="00540BE5">
      <w:pPr>
        <w:spacing w:line="360" w:lineRule="auto"/>
        <w:jc w:val="both"/>
        <w:rPr>
          <w:rFonts w:eastAsia="Times New Roman"/>
          <w:b/>
          <w:sz w:val="24"/>
          <w:szCs w:val="24"/>
          <w:lang w:val="en-GB"/>
        </w:rPr>
      </w:pPr>
      <w:r w:rsidRPr="00540BE5">
        <w:rPr>
          <w:rFonts w:eastAsia="Times New Roman"/>
          <w:b/>
          <w:sz w:val="24"/>
          <w:szCs w:val="24"/>
          <w:lang w:val="en-GB"/>
        </w:rPr>
        <w:lastRenderedPageBreak/>
        <w:t>Corporate Social Responsibi</w:t>
      </w:r>
      <w:r w:rsidR="00284598" w:rsidRPr="00540BE5">
        <w:rPr>
          <w:rFonts w:eastAsia="Times New Roman"/>
          <w:b/>
          <w:sz w:val="24"/>
          <w:szCs w:val="24"/>
          <w:lang w:val="en-GB"/>
        </w:rPr>
        <w:t>lity (CSR) and Circular Economy</w:t>
      </w:r>
    </w:p>
    <w:p w14:paraId="48F63BD0" w14:textId="202012F4" w:rsidR="00284598"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Corporate Social Responsibility (CSR) is a management concept wherein corporations incorporate social, environmental, and economic concerns into their company operations and stakeholder interactions. In the 21st-century firm landscape, CSR is not only an add-on but a significant strategic asset, increasingly impacting profitability, brand image, and stakeholder relations (Meintjes, 2021). For instance, according to a 2022 analysis by McKinsey, enterprises with good ESG ratings outperform the market by up to 7% (Biniek, Hunt and Samandari, 2022). In this context, Marriott's Serve 360 effort not only strives to achieve environmental requirements but also seeks to fulfil social imperatives like community engagement and social inclusivity. By incorporating CSR as a strategic business function, Marriott has also opened avenues to tie its operations with the circular economy, a business model that focuses on resource efficiency, waste minimization, and building closed-loop processes (Tuladhar, 2021).</w:t>
      </w:r>
    </w:p>
    <w:p w14:paraId="00000019" w14:textId="4EA9D93A" w:rsidR="003A7822"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The link between CSR and the circular economy is evident in how they both look for long-term sustainability while delivering immediate business rewards. Marriott's plans to minimise food waste by 50% by 2025, for example, not only address environmental challenges but also mark a step towards a more circular approach to resource management (Marriott, 2021). When done effectively, CSR activities that correspond with circular economy concepts result in cost savings and operational efficiency. According to Khaw-ngern, Khaw-ngern and Udomphol (2023), firms which use circular economy strategies may reach a net material cost reduction opportunity of up to $630 billion per annum in the EU alone. Furthermore, the circular economy promotes CSR by introducing metrics and methods that evaluate sustainability, such as Life Cycle Assessment and Material Flow Analysis (Kužmarskytė, 2023). These tools assist organisations like Marriott to better measure the ecological footprint of their operations and find areas for development, hence making their CSR initiatives more realistic and relevant. CSR and the circular economy are increasingly intertwined notions that, when combined, offer a complete approach to sustainability. For Marriott, combining CSR initiatives with circular economy principles not only satisfies regulatory duties and stakeholder expectations but also delivers a competitive edge in a market where sustainability is increasingly becoming a significant predictor of success</w:t>
      </w:r>
      <w:r w:rsidR="0076293E" w:rsidRPr="00540BE5">
        <w:rPr>
          <w:rFonts w:eastAsia="Times New Roman"/>
          <w:sz w:val="24"/>
          <w:szCs w:val="24"/>
          <w:lang w:val="en-GB"/>
        </w:rPr>
        <w:t>.</w:t>
      </w:r>
    </w:p>
    <w:p w14:paraId="0000001A" w14:textId="5B9B92DC" w:rsidR="003A7822" w:rsidRDefault="0076293E" w:rsidP="00540BE5">
      <w:pPr>
        <w:spacing w:line="360" w:lineRule="auto"/>
        <w:jc w:val="both"/>
        <w:rPr>
          <w:rFonts w:eastAsia="Times New Roman"/>
          <w:b/>
          <w:sz w:val="24"/>
          <w:szCs w:val="24"/>
          <w:lang w:val="en-GB"/>
        </w:rPr>
      </w:pPr>
      <w:r w:rsidRPr="00540BE5">
        <w:rPr>
          <w:rFonts w:eastAsia="Times New Roman"/>
          <w:b/>
          <w:sz w:val="24"/>
          <w:szCs w:val="24"/>
          <w:lang w:val="en-GB"/>
        </w:rPr>
        <w:lastRenderedPageBreak/>
        <w:t xml:space="preserve">Triple Bottom </w:t>
      </w:r>
      <w:r w:rsidR="00284598" w:rsidRPr="00540BE5">
        <w:rPr>
          <w:rFonts w:eastAsia="Times New Roman"/>
          <w:b/>
          <w:sz w:val="24"/>
          <w:szCs w:val="24"/>
          <w:lang w:val="en-GB"/>
        </w:rPr>
        <w:t>Line and Sustainability Pillars</w:t>
      </w:r>
    </w:p>
    <w:p w14:paraId="17E37997" w14:textId="77777777" w:rsidR="008D6CC8" w:rsidRPr="00540BE5" w:rsidRDefault="008D6CC8" w:rsidP="00540BE5">
      <w:pPr>
        <w:spacing w:line="360" w:lineRule="auto"/>
        <w:jc w:val="both"/>
        <w:rPr>
          <w:rFonts w:eastAsia="Times New Roman"/>
          <w:b/>
          <w:sz w:val="24"/>
          <w:szCs w:val="24"/>
          <w:lang w:val="en-GB"/>
        </w:rPr>
      </w:pPr>
    </w:p>
    <w:p w14:paraId="7F0A973A" w14:textId="2AD94C10" w:rsidR="00284598"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 xml:space="preserve">The notion of the Triple Bottom Line (TBL) was founded by John Elkington in 1997 and asserts that enterprises should look for a balance between economic viability, social responsibility, and environmental effect (Scuri </w:t>
      </w:r>
      <w:r w:rsidRPr="00540BE5">
        <w:rPr>
          <w:rFonts w:eastAsia="Times New Roman"/>
          <w:i/>
          <w:sz w:val="24"/>
          <w:szCs w:val="24"/>
          <w:lang w:val="en-GB"/>
        </w:rPr>
        <w:t>et al.</w:t>
      </w:r>
      <w:r w:rsidRPr="00540BE5">
        <w:rPr>
          <w:rFonts w:eastAsia="Times New Roman"/>
          <w:sz w:val="24"/>
          <w:szCs w:val="24"/>
          <w:lang w:val="en-GB"/>
        </w:rPr>
        <w:t xml:space="preserve"> 2022). This technique allows organisations to assess their organizational performance beyond financial returns, incorporating the social and environmental components into the equation. For the hotel industry, where the environmental footprint is significant, the TBL gives a full framework for assessing performance and adopting responsible business practices (Baeshen, Soomro and Bhutto, 2021). In Marriott’s example, the TBL paradigm is mirrored in their Serve 360 program, which establishes explicit targets across five dimensions. Economically, Marriott seeks to run successfully to keep earnings while investing in green technologies. According to the U.S. Green Building Council, buildings that comply to sustainability criteria can minimise energy usage by up to 30% (USGBC, 2022). This not only minimises environmental effect but also translates into enormous cash savings. Socially, Marriott focuses on worker well-being, ethical labor standards, and community engagement. The social pillar is particularly crucial in an industry employing millions abroad. According to a poll by the World Travel and Tourism Council, the hospitality sector supplied around 330 million employments globally in 2019 (WTTC, 2020). The influence of socially responsible activities subsequently has a broad and far-reaching effect on communities.</w:t>
      </w:r>
    </w:p>
    <w:p w14:paraId="00000023" w14:textId="39342A70" w:rsidR="003A7822" w:rsidRDefault="00284598" w:rsidP="00540BE5">
      <w:pPr>
        <w:spacing w:line="360" w:lineRule="auto"/>
        <w:jc w:val="both"/>
        <w:rPr>
          <w:rFonts w:eastAsia="Times New Roman"/>
          <w:sz w:val="24"/>
          <w:szCs w:val="24"/>
          <w:lang w:val="en-GB"/>
        </w:rPr>
      </w:pPr>
      <w:r w:rsidRPr="00540BE5">
        <w:rPr>
          <w:rFonts w:eastAsia="Times New Roman"/>
          <w:sz w:val="24"/>
          <w:szCs w:val="24"/>
          <w:lang w:val="en-GB"/>
        </w:rPr>
        <w:t xml:space="preserve">Environmentally, the Serve 360 idea corresponds with global sustainability targets to decrease waste, water usage, and carbon emissions. Marriott expects to cut carbon intensity by 30% and water intensity by 15% by 2025 (Ari </w:t>
      </w:r>
      <w:r w:rsidRPr="00540BE5">
        <w:rPr>
          <w:rFonts w:eastAsia="Times New Roman"/>
          <w:i/>
          <w:sz w:val="24"/>
          <w:szCs w:val="24"/>
          <w:lang w:val="en-GB"/>
        </w:rPr>
        <w:t>et al.</w:t>
      </w:r>
      <w:r w:rsidRPr="00540BE5">
        <w:rPr>
          <w:rFonts w:eastAsia="Times New Roman"/>
          <w:sz w:val="24"/>
          <w:szCs w:val="24"/>
          <w:lang w:val="en-GB"/>
        </w:rPr>
        <w:t xml:space="preserve"> 2020). These objectives combine under the environmental pillar of sustainability and have a direct influence on the hotel industry’s ecological footprint. The hotel sector is responsible for around 1% of global carbon emissions (Xu </w:t>
      </w:r>
      <w:r w:rsidRPr="00540BE5">
        <w:rPr>
          <w:rFonts w:eastAsia="Times New Roman"/>
          <w:i/>
          <w:sz w:val="24"/>
          <w:szCs w:val="24"/>
          <w:lang w:val="en-GB"/>
        </w:rPr>
        <w:t>et al.</w:t>
      </w:r>
      <w:r w:rsidRPr="00540BE5">
        <w:rPr>
          <w:rFonts w:eastAsia="Times New Roman"/>
          <w:sz w:val="24"/>
          <w:szCs w:val="24"/>
          <w:lang w:val="en-GB"/>
        </w:rPr>
        <w:t xml:space="preserve"> 2022), suggesting an impending need for action through initiatives like Serve 360. The TBL framework provides a balanced manner for Marriott to meet its economic, social, and environmental duties comprehensively. By including TBL inside its CSR initiatives, Marriott is setting industry standards and </w:t>
      </w:r>
      <w:r w:rsidRPr="00540BE5">
        <w:rPr>
          <w:rFonts w:eastAsia="Times New Roman"/>
          <w:sz w:val="24"/>
          <w:szCs w:val="24"/>
          <w:lang w:val="en-GB"/>
        </w:rPr>
        <w:lastRenderedPageBreak/>
        <w:t xml:space="preserve">promoting a sustainable business model that overcomes the multiple difficulties and complexities inherent in the hotel sector (Jones </w:t>
      </w:r>
      <w:r w:rsidRPr="00540BE5">
        <w:rPr>
          <w:rFonts w:eastAsia="Times New Roman"/>
          <w:i/>
          <w:sz w:val="24"/>
          <w:szCs w:val="24"/>
          <w:lang w:val="en-GB"/>
        </w:rPr>
        <w:t>et al.</w:t>
      </w:r>
      <w:r w:rsidRPr="00540BE5">
        <w:rPr>
          <w:rFonts w:eastAsia="Times New Roman"/>
          <w:sz w:val="24"/>
          <w:szCs w:val="24"/>
          <w:lang w:val="en-GB"/>
        </w:rPr>
        <w:t>, 2016)</w:t>
      </w:r>
      <w:r w:rsidR="0076293E" w:rsidRPr="00540BE5">
        <w:rPr>
          <w:rFonts w:eastAsia="Times New Roman"/>
          <w:sz w:val="24"/>
          <w:szCs w:val="24"/>
          <w:lang w:val="en-GB"/>
        </w:rPr>
        <w:t>.</w:t>
      </w:r>
    </w:p>
    <w:p w14:paraId="4137CA5C" w14:textId="77777777" w:rsidR="008D6CC8" w:rsidRPr="00540BE5" w:rsidRDefault="008D6CC8" w:rsidP="00540BE5">
      <w:pPr>
        <w:spacing w:line="360" w:lineRule="auto"/>
        <w:jc w:val="both"/>
        <w:rPr>
          <w:rFonts w:eastAsia="Times New Roman"/>
          <w:sz w:val="24"/>
          <w:szCs w:val="24"/>
          <w:lang w:val="en-GB"/>
        </w:rPr>
      </w:pPr>
    </w:p>
    <w:p w14:paraId="00000024" w14:textId="0B6966BE" w:rsidR="003A7822" w:rsidRDefault="0076293E" w:rsidP="00540BE5">
      <w:pPr>
        <w:spacing w:line="360" w:lineRule="auto"/>
        <w:jc w:val="both"/>
        <w:rPr>
          <w:rFonts w:eastAsia="Times New Roman"/>
          <w:b/>
          <w:sz w:val="24"/>
          <w:szCs w:val="24"/>
          <w:lang w:val="en-GB"/>
        </w:rPr>
      </w:pPr>
      <w:r w:rsidRPr="00540BE5">
        <w:rPr>
          <w:rFonts w:eastAsia="Times New Roman"/>
          <w:b/>
          <w:sz w:val="24"/>
          <w:szCs w:val="24"/>
          <w:lang w:val="en-GB"/>
        </w:rPr>
        <w:t>Section 4: Critical Evaluation of Marriott's CSR Policy</w:t>
      </w:r>
    </w:p>
    <w:p w14:paraId="24EC1BAA" w14:textId="77777777" w:rsidR="008D6CC8" w:rsidRPr="00540BE5" w:rsidRDefault="008D6CC8" w:rsidP="00540BE5">
      <w:pPr>
        <w:spacing w:line="360" w:lineRule="auto"/>
        <w:jc w:val="both"/>
        <w:rPr>
          <w:rFonts w:eastAsia="Times New Roman"/>
          <w:b/>
          <w:sz w:val="24"/>
          <w:szCs w:val="24"/>
          <w:lang w:val="en-GB"/>
        </w:rPr>
      </w:pPr>
    </w:p>
    <w:p w14:paraId="55305485" w14:textId="5D947670" w:rsidR="00284598"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Marriott's CSR strategy, included in its Serve 360 program, is a multifaceted approach aimed to address the main concerns impacting the hotel company, such as energy and water consumption, garbage management, and social responsibility. An effective CSR plan can result in a 25% rise in customer satisfaction ratings (Zhang and Ahmad, 2022). This data demonstrates that Marriott's focus on CSR is not merely an ethical stand but a commercial one to improve brand loyalty and customer retention. At the heart of Serve 360 are ambitious ambitions that conform with international standards such as the UN's Sustainable Development Goals (SDGs). By 2025, Marriott expects to cut carbon intensity by 30% and water intensity by 15% (Xie, 2022). The targeted approach implies a change from broad commitments to clear, achievable targets. Companies that adopt CSR in such a thorough manner generally obtain a 4-6% gain in operational cost savings (Wirba, 2023). What distinguishes Marriott special is the inclusion of CSR into their broader business model, rather than considering it as a separate entity. This is apparent in the investment in technologies that not only lower the environmental impact but also boost operational efficiency. For example, Marriott has implemented IoT technology to improve energy usage in rooms and common spaces (Lee, 2019). This aligns with the circular economy theory, offering a system where waste is minimised, and resources are efficiently utilized (Stahel, 2016).</w:t>
      </w:r>
    </w:p>
    <w:p w14:paraId="00000030" w14:textId="67809DF8" w:rsidR="003A7822"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 xml:space="preserve">The Serve 360 program also involves social and community-oriented measures, including workforce development and ethical labor norms. Such socially responsible actions not only fulfil the social pillar of the Triple Bottom Line but also make economic sense. Companies with good ratings in CSR and ESG indices have a 25% decreased cost of borrowing and equity (Gigante and Manglaviti, 2022).  Marriott's focus on sustainability is also a response to the increased pressures from numerous stakeholders, including governments, investors, and consumers. For instance, the business has linked its water-stress management method with the CDP’s water security questionnaire, therefore </w:t>
      </w:r>
      <w:r w:rsidRPr="00540BE5">
        <w:rPr>
          <w:rFonts w:eastAsia="Times New Roman"/>
          <w:sz w:val="24"/>
          <w:szCs w:val="24"/>
          <w:lang w:val="en-GB"/>
        </w:rPr>
        <w:lastRenderedPageBreak/>
        <w:t>catering to investor expectations for transparency and risk management in this area (Marriott, 2021). Such initiatives reflect the emerging understanding that CSR is not only an ethical imperative but also a financial one, as highlighted by Jones, Hillier and Comfort (2022). Marriott's CSR strategy functions as a practical business model illustrating how a multi-pronged approach to sustainability may offer both social and financial advantages. Through Serve 360, Marriott has succeeded in establishing a thorough, realistic CSR strategy that is firmly integrated in its corporate agenda, making sustainability an integral feature of its long-term vision and operations. By defining defined targets, investing in sustainable technologies, and reacting to stakeholder concerns, Marriott is creating an example for how the hotel business may efficiently integrate revenue with social and environmental responsibility</w:t>
      </w:r>
      <w:r w:rsidR="0076293E" w:rsidRPr="00540BE5">
        <w:rPr>
          <w:rFonts w:eastAsia="Times New Roman"/>
          <w:sz w:val="24"/>
          <w:szCs w:val="24"/>
          <w:lang w:val="en-GB"/>
        </w:rPr>
        <w:t>.</w:t>
      </w:r>
    </w:p>
    <w:p w14:paraId="00000031" w14:textId="7AA4BABC" w:rsidR="003A7822" w:rsidRPr="00540BE5" w:rsidRDefault="00284598" w:rsidP="00540BE5">
      <w:pPr>
        <w:pStyle w:val="Heading1"/>
        <w:rPr>
          <w:rFonts w:ascii="Arial" w:hAnsi="Arial"/>
          <w:sz w:val="24"/>
          <w:szCs w:val="24"/>
          <w:lang w:val="en-GB"/>
        </w:rPr>
      </w:pPr>
      <w:bookmarkStart w:id="2" w:name="_Toc147958051"/>
      <w:r w:rsidRPr="00540BE5">
        <w:rPr>
          <w:rFonts w:ascii="Arial" w:hAnsi="Arial"/>
          <w:sz w:val="24"/>
          <w:szCs w:val="24"/>
          <w:lang w:val="en-GB"/>
        </w:rPr>
        <w:t>Conclusion</w:t>
      </w:r>
      <w:bookmarkEnd w:id="2"/>
    </w:p>
    <w:p w14:paraId="00000036" w14:textId="6A1482D1" w:rsidR="003A7822" w:rsidRPr="00540BE5" w:rsidRDefault="00284598" w:rsidP="00540BE5">
      <w:pPr>
        <w:spacing w:line="360" w:lineRule="auto"/>
        <w:jc w:val="both"/>
        <w:rPr>
          <w:rFonts w:eastAsia="Times New Roman"/>
          <w:sz w:val="24"/>
          <w:szCs w:val="24"/>
          <w:lang w:val="en-GB"/>
        </w:rPr>
      </w:pPr>
      <w:r w:rsidRPr="00540BE5">
        <w:rPr>
          <w:rFonts w:eastAsia="Times New Roman"/>
          <w:sz w:val="24"/>
          <w:szCs w:val="24"/>
          <w:lang w:val="en-GB"/>
        </w:rPr>
        <w:t>In conclusion, Marriott International presents as a clear case study for the efficient integration of Corporate Social Responsibility (CSR) into the hotel sector. Through its Serve 360 project, the corporation not only solves environmental concerns but also produces a considerable effect on the social and economic components, hence achieving the Triple Bottom Line concept. This integrated method not only supports in regulatory compliance but also delivers a competitive edge in a market where sustainability is an increasing priority for everyone, from investors to consumers. Marriott's precise targets, such as a 30% reduction in carbon intensity and a 15% drop in water use by 2025, indicate a commitment to actual action rather than general claims. This attention to detail combines well with the principles of the circular economy, which encourages resource efficiency and waste minimization. It is also emblematic of the rising expectations from multiple quarters—governmental organisations, rivals, and stakeholders—to embrace sustainable practices not as a choice but as a requirement for long-term firm success. Ultimately, Marriott's comprehensive and strategic approach to CSR sets a standard for the hospitality business. It explains how sustainability may be integrated into a corporation’s core business plan to give value across many dimensions—economic, social, and environmental. In doing so, Marriott gives an example for how CSR may work as a substantial lever for business success in the 21st century</w:t>
      </w:r>
      <w:r w:rsidR="0076293E" w:rsidRPr="00540BE5">
        <w:rPr>
          <w:rFonts w:eastAsia="Times New Roman"/>
          <w:sz w:val="24"/>
          <w:szCs w:val="24"/>
          <w:lang w:val="en-GB"/>
        </w:rPr>
        <w:t>.</w:t>
      </w:r>
    </w:p>
    <w:p w14:paraId="00000039" w14:textId="6825FD0A" w:rsidR="003A7822" w:rsidRPr="00540BE5" w:rsidRDefault="00284598" w:rsidP="00540BE5">
      <w:pPr>
        <w:pStyle w:val="Heading1"/>
        <w:rPr>
          <w:rFonts w:ascii="Arial" w:hAnsi="Arial"/>
          <w:sz w:val="24"/>
          <w:szCs w:val="24"/>
          <w:lang w:val="en-GB"/>
        </w:rPr>
      </w:pPr>
      <w:bookmarkStart w:id="3" w:name="_Toc147958052"/>
      <w:r w:rsidRPr="00540BE5">
        <w:rPr>
          <w:rFonts w:ascii="Arial" w:hAnsi="Arial"/>
          <w:sz w:val="24"/>
          <w:szCs w:val="24"/>
          <w:lang w:val="en-GB"/>
        </w:rPr>
        <w:lastRenderedPageBreak/>
        <w:t>Reference</w:t>
      </w:r>
      <w:bookmarkEnd w:id="3"/>
    </w:p>
    <w:p w14:paraId="08DCDB90" w14:textId="2AE1F3E4"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Abdou, A.H., Hassan, T.H. and El Dief, M.M., 2020. A description of green hotel practices and their role in achieving sustainable development. </w:t>
      </w:r>
      <w:r w:rsidRPr="00540BE5">
        <w:rPr>
          <w:i/>
          <w:color w:val="222222"/>
          <w:sz w:val="24"/>
          <w:szCs w:val="24"/>
          <w:highlight w:val="white"/>
          <w:lang w:val="en-GB"/>
        </w:rPr>
        <w:t>Sustainability</w:t>
      </w:r>
      <w:r w:rsidRPr="00540BE5">
        <w:rPr>
          <w:color w:val="222222"/>
          <w:sz w:val="24"/>
          <w:szCs w:val="24"/>
          <w:highlight w:val="white"/>
          <w:lang w:val="en-GB"/>
        </w:rPr>
        <w:t xml:space="preserve">, </w:t>
      </w:r>
      <w:r w:rsidRPr="00540BE5">
        <w:rPr>
          <w:i/>
          <w:color w:val="222222"/>
          <w:sz w:val="24"/>
          <w:szCs w:val="24"/>
          <w:highlight w:val="white"/>
          <w:lang w:val="en-GB"/>
        </w:rPr>
        <w:t>12</w:t>
      </w:r>
      <w:r w:rsidRPr="00540BE5">
        <w:rPr>
          <w:color w:val="222222"/>
          <w:sz w:val="24"/>
          <w:szCs w:val="24"/>
          <w:highlight w:val="white"/>
          <w:lang w:val="en-GB"/>
        </w:rPr>
        <w:t xml:space="preserve">(22), p.9624. Available at: </w:t>
      </w:r>
      <w:hyperlink r:id="rId7">
        <w:r w:rsidRPr="00540BE5">
          <w:rPr>
            <w:color w:val="1155CC"/>
            <w:sz w:val="24"/>
            <w:szCs w:val="24"/>
            <w:highlight w:val="white"/>
            <w:u w:val="single"/>
            <w:lang w:val="en-GB"/>
          </w:rPr>
          <w:t>https://www.mdpi.com/2071-1050/12/22/9624</w:t>
        </w:r>
      </w:hyperlink>
      <w:r w:rsidRPr="00540BE5">
        <w:rPr>
          <w:color w:val="222222"/>
          <w:sz w:val="24"/>
          <w:szCs w:val="24"/>
          <w:highlight w:val="white"/>
          <w:lang w:val="en-GB"/>
        </w:rPr>
        <w:t xml:space="preserve">  [Accessed </w:t>
      </w:r>
      <w:r w:rsidR="008D6CC8">
        <w:rPr>
          <w:color w:val="222222"/>
          <w:sz w:val="24"/>
          <w:szCs w:val="24"/>
          <w:highlight w:val="white"/>
          <w:lang w:val="en-GB"/>
        </w:rPr>
        <w:t>9</w:t>
      </w:r>
      <w:r w:rsidRPr="00540BE5">
        <w:rPr>
          <w:color w:val="222222"/>
          <w:sz w:val="24"/>
          <w:szCs w:val="24"/>
          <w:highlight w:val="white"/>
          <w:lang w:val="en-GB"/>
        </w:rPr>
        <w:t xml:space="preserve"> October 2023]</w:t>
      </w:r>
    </w:p>
    <w:p w14:paraId="1BDFDC1C" w14:textId="5E0E364E"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Abhayawansa, S. and Adams, C., 2021. Towards a conceptual framework for non-financial reporting inclusive of pandemic and climate risk reporting. </w:t>
      </w:r>
      <w:r w:rsidRPr="00540BE5">
        <w:rPr>
          <w:i/>
          <w:color w:val="222222"/>
          <w:sz w:val="24"/>
          <w:szCs w:val="24"/>
          <w:highlight w:val="white"/>
          <w:lang w:val="en-GB"/>
        </w:rPr>
        <w:t>Meditari Accountancy Research</w:t>
      </w:r>
      <w:r w:rsidRPr="00540BE5">
        <w:rPr>
          <w:color w:val="222222"/>
          <w:sz w:val="24"/>
          <w:szCs w:val="24"/>
          <w:highlight w:val="white"/>
          <w:lang w:val="en-GB"/>
        </w:rPr>
        <w:t xml:space="preserve">, </w:t>
      </w:r>
      <w:r w:rsidRPr="00540BE5">
        <w:rPr>
          <w:i/>
          <w:color w:val="222222"/>
          <w:sz w:val="24"/>
          <w:szCs w:val="24"/>
          <w:highlight w:val="white"/>
          <w:lang w:val="en-GB"/>
        </w:rPr>
        <w:t>30</w:t>
      </w:r>
      <w:r w:rsidRPr="00540BE5">
        <w:rPr>
          <w:color w:val="222222"/>
          <w:sz w:val="24"/>
          <w:szCs w:val="24"/>
          <w:highlight w:val="white"/>
          <w:lang w:val="en-GB"/>
        </w:rPr>
        <w:t xml:space="preserve">(3), pp.710-738. Available at: </w:t>
      </w:r>
      <w:hyperlink r:id="rId8">
        <w:r w:rsidRPr="00540BE5">
          <w:rPr>
            <w:color w:val="1155CC"/>
            <w:sz w:val="24"/>
            <w:szCs w:val="24"/>
            <w:highlight w:val="white"/>
            <w:u w:val="single"/>
            <w:lang w:val="en-GB"/>
          </w:rPr>
          <w:t>https://www.emerald.com/insight/content/doi/10.1108/MEDAR-11-2020-1097/full/html</w:t>
        </w:r>
      </w:hyperlink>
      <w:r w:rsidRPr="00540BE5">
        <w:rPr>
          <w:color w:val="222222"/>
          <w:sz w:val="24"/>
          <w:szCs w:val="24"/>
          <w:highlight w:val="white"/>
          <w:lang w:val="en-GB"/>
        </w:rPr>
        <w:t xml:space="preserve">  [Accessed </w:t>
      </w:r>
      <w:r w:rsidR="008D6CC8">
        <w:rPr>
          <w:color w:val="222222"/>
          <w:sz w:val="24"/>
          <w:szCs w:val="24"/>
          <w:highlight w:val="white"/>
          <w:lang w:val="en-GB"/>
        </w:rPr>
        <w:t>9</w:t>
      </w:r>
      <w:r w:rsidRPr="00540BE5">
        <w:rPr>
          <w:color w:val="222222"/>
          <w:sz w:val="24"/>
          <w:szCs w:val="24"/>
          <w:highlight w:val="white"/>
          <w:lang w:val="en-GB"/>
        </w:rPr>
        <w:t xml:space="preserve"> October 2023]</w:t>
      </w:r>
    </w:p>
    <w:p w14:paraId="760BEBDF"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Alaql, A.A., AlQurashi, F. and Mehmood, R., 2023. Data-Driven Deep Journalism to Discover Age Dynamics in Multi-Generational Labour Markets from LinkedIn Media. </w:t>
      </w:r>
      <w:r w:rsidRPr="00540BE5">
        <w:rPr>
          <w:i/>
          <w:color w:val="222222"/>
          <w:sz w:val="24"/>
          <w:szCs w:val="24"/>
          <w:highlight w:val="white"/>
          <w:lang w:val="en-GB"/>
        </w:rPr>
        <w:t>Journalism and Media</w:t>
      </w:r>
      <w:r w:rsidRPr="00540BE5">
        <w:rPr>
          <w:color w:val="222222"/>
          <w:sz w:val="24"/>
          <w:szCs w:val="24"/>
          <w:highlight w:val="white"/>
          <w:lang w:val="en-GB"/>
        </w:rPr>
        <w:t xml:space="preserve">, </w:t>
      </w:r>
      <w:r w:rsidRPr="00540BE5">
        <w:rPr>
          <w:i/>
          <w:color w:val="222222"/>
          <w:sz w:val="24"/>
          <w:szCs w:val="24"/>
          <w:highlight w:val="white"/>
          <w:lang w:val="en-GB"/>
        </w:rPr>
        <w:t>4</w:t>
      </w:r>
      <w:r w:rsidRPr="00540BE5">
        <w:rPr>
          <w:color w:val="222222"/>
          <w:sz w:val="24"/>
          <w:szCs w:val="24"/>
          <w:highlight w:val="white"/>
          <w:lang w:val="en-GB"/>
        </w:rPr>
        <w:t xml:space="preserve">(1), pp.120-145. Available at: </w:t>
      </w:r>
      <w:hyperlink r:id="rId9">
        <w:r w:rsidRPr="00540BE5">
          <w:rPr>
            <w:color w:val="1155CC"/>
            <w:sz w:val="24"/>
            <w:szCs w:val="24"/>
            <w:highlight w:val="white"/>
            <w:u w:val="single"/>
            <w:lang w:val="en-GB"/>
          </w:rPr>
          <w:t>https://www.mdpi.com/2673-5172/4/1/10</w:t>
        </w:r>
      </w:hyperlink>
      <w:r w:rsidRPr="00540BE5">
        <w:rPr>
          <w:color w:val="222222"/>
          <w:sz w:val="24"/>
          <w:szCs w:val="24"/>
          <w:highlight w:val="white"/>
          <w:lang w:val="en-GB"/>
        </w:rPr>
        <w:t xml:space="preserve"> [Accessed 11 October 2023]</w:t>
      </w:r>
    </w:p>
    <w:p w14:paraId="4264B1B6" w14:textId="671790A9"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Ari, E., Karatepe, O.M., Rezapouraghdam, H. and Avci, T., 2020. A conceptual model for green human resource management: Indicators, differential pathways, and multiple pro-environmental outcomes. </w:t>
      </w:r>
      <w:r w:rsidRPr="00540BE5">
        <w:rPr>
          <w:i/>
          <w:color w:val="222222"/>
          <w:sz w:val="24"/>
          <w:szCs w:val="24"/>
          <w:highlight w:val="white"/>
          <w:lang w:val="en-GB"/>
        </w:rPr>
        <w:t>Sustainability</w:t>
      </w:r>
      <w:r w:rsidRPr="00540BE5">
        <w:rPr>
          <w:color w:val="222222"/>
          <w:sz w:val="24"/>
          <w:szCs w:val="24"/>
          <w:highlight w:val="white"/>
          <w:lang w:val="en-GB"/>
        </w:rPr>
        <w:t xml:space="preserve">, </w:t>
      </w:r>
      <w:r w:rsidRPr="00540BE5">
        <w:rPr>
          <w:i/>
          <w:color w:val="222222"/>
          <w:sz w:val="24"/>
          <w:szCs w:val="24"/>
          <w:highlight w:val="white"/>
          <w:lang w:val="en-GB"/>
        </w:rPr>
        <w:t>12</w:t>
      </w:r>
      <w:r w:rsidRPr="00540BE5">
        <w:rPr>
          <w:color w:val="222222"/>
          <w:sz w:val="24"/>
          <w:szCs w:val="24"/>
          <w:highlight w:val="white"/>
          <w:lang w:val="en-GB"/>
        </w:rPr>
        <w:t xml:space="preserve">(17), p.7089. Available at: </w:t>
      </w:r>
      <w:hyperlink r:id="rId10">
        <w:r w:rsidRPr="00540BE5">
          <w:rPr>
            <w:color w:val="1155CC"/>
            <w:sz w:val="24"/>
            <w:szCs w:val="24"/>
            <w:highlight w:val="white"/>
            <w:u w:val="single"/>
            <w:lang w:val="en-GB"/>
          </w:rPr>
          <w:t>https://www.mdpi.com/2071-1050/12/17/7089</w:t>
        </w:r>
      </w:hyperlink>
      <w:r w:rsidRPr="00540BE5">
        <w:rPr>
          <w:color w:val="222222"/>
          <w:sz w:val="24"/>
          <w:szCs w:val="24"/>
          <w:highlight w:val="white"/>
          <w:lang w:val="en-GB"/>
        </w:rPr>
        <w:t xml:space="preserve"> [Accessed </w:t>
      </w:r>
      <w:r w:rsidR="008D6CC8">
        <w:rPr>
          <w:color w:val="222222"/>
          <w:sz w:val="24"/>
          <w:szCs w:val="24"/>
          <w:highlight w:val="white"/>
          <w:lang w:val="en-GB"/>
        </w:rPr>
        <w:t>8th</w:t>
      </w:r>
      <w:r w:rsidRPr="00540BE5">
        <w:rPr>
          <w:color w:val="222222"/>
          <w:sz w:val="24"/>
          <w:szCs w:val="24"/>
          <w:highlight w:val="white"/>
          <w:lang w:val="en-GB"/>
        </w:rPr>
        <w:t xml:space="preserve"> October 2023]</w:t>
      </w:r>
    </w:p>
    <w:p w14:paraId="2C027BF2" w14:textId="04928FCD"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Baeshen, Y., Soomro, Y.A. and Bhutto, M.Y., 2021. Determinants of green innovation to achieve sustainable business performance: Evidence from SMEs. </w:t>
      </w:r>
      <w:r w:rsidRPr="00540BE5">
        <w:rPr>
          <w:i/>
          <w:color w:val="222222"/>
          <w:sz w:val="24"/>
          <w:szCs w:val="24"/>
          <w:highlight w:val="white"/>
          <w:lang w:val="en-GB"/>
        </w:rPr>
        <w:t>Frontiers in Psychology</w:t>
      </w:r>
      <w:r w:rsidRPr="00540BE5">
        <w:rPr>
          <w:color w:val="222222"/>
          <w:sz w:val="24"/>
          <w:szCs w:val="24"/>
          <w:highlight w:val="white"/>
          <w:lang w:val="en-GB"/>
        </w:rPr>
        <w:t xml:space="preserve">, </w:t>
      </w:r>
      <w:r w:rsidRPr="00540BE5">
        <w:rPr>
          <w:i/>
          <w:color w:val="222222"/>
          <w:sz w:val="24"/>
          <w:szCs w:val="24"/>
          <w:highlight w:val="white"/>
          <w:lang w:val="en-GB"/>
        </w:rPr>
        <w:t>12</w:t>
      </w:r>
      <w:r w:rsidRPr="00540BE5">
        <w:rPr>
          <w:color w:val="222222"/>
          <w:sz w:val="24"/>
          <w:szCs w:val="24"/>
          <w:highlight w:val="white"/>
          <w:lang w:val="en-GB"/>
        </w:rPr>
        <w:t xml:space="preserve">, p.767968. Available at: </w:t>
      </w:r>
      <w:hyperlink r:id="rId11">
        <w:r w:rsidRPr="00540BE5">
          <w:rPr>
            <w:color w:val="1155CC"/>
            <w:sz w:val="24"/>
            <w:szCs w:val="24"/>
            <w:highlight w:val="white"/>
            <w:u w:val="single"/>
            <w:lang w:val="en-GB"/>
          </w:rPr>
          <w:t>https://www.frontiersin.org/articles/10.3389/fpsyg.2021.767968/full</w:t>
        </w:r>
      </w:hyperlink>
      <w:r w:rsidRPr="00540BE5">
        <w:rPr>
          <w:color w:val="222222"/>
          <w:sz w:val="24"/>
          <w:szCs w:val="24"/>
          <w:highlight w:val="white"/>
          <w:lang w:val="en-GB"/>
        </w:rPr>
        <w:t xml:space="preserve"> [Accessed </w:t>
      </w:r>
      <w:r w:rsidR="008D6CC8">
        <w:rPr>
          <w:color w:val="222222"/>
          <w:sz w:val="24"/>
          <w:szCs w:val="24"/>
          <w:highlight w:val="white"/>
          <w:lang w:val="en-GB"/>
        </w:rPr>
        <w:t>7</w:t>
      </w:r>
      <w:r w:rsidRPr="00540BE5">
        <w:rPr>
          <w:color w:val="222222"/>
          <w:sz w:val="24"/>
          <w:szCs w:val="24"/>
          <w:highlight w:val="white"/>
          <w:lang w:val="en-GB"/>
        </w:rPr>
        <w:t xml:space="preserve"> October 2023]</w:t>
      </w:r>
    </w:p>
    <w:p w14:paraId="7659AACF" w14:textId="3FCA3199"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Biniek, L., Hunt, D.V. and Samandari, H. (2022) </w:t>
      </w:r>
      <w:r w:rsidRPr="00540BE5">
        <w:rPr>
          <w:i/>
          <w:color w:val="222222"/>
          <w:sz w:val="24"/>
          <w:szCs w:val="24"/>
          <w:highlight w:val="white"/>
          <w:lang w:val="en-GB"/>
        </w:rPr>
        <w:t>Does ESG really matter-and why?</w:t>
      </w:r>
      <w:r w:rsidRPr="00540BE5">
        <w:rPr>
          <w:color w:val="222222"/>
          <w:sz w:val="24"/>
          <w:szCs w:val="24"/>
          <w:highlight w:val="white"/>
          <w:lang w:val="en-GB"/>
        </w:rPr>
        <w:t xml:space="preserve">, </w:t>
      </w:r>
      <w:r w:rsidRPr="00540BE5">
        <w:rPr>
          <w:i/>
          <w:color w:val="222222"/>
          <w:sz w:val="24"/>
          <w:szCs w:val="24"/>
          <w:highlight w:val="white"/>
          <w:lang w:val="en-GB"/>
        </w:rPr>
        <w:t>McKinsey &amp; Company</w:t>
      </w:r>
      <w:r w:rsidRPr="00540BE5">
        <w:rPr>
          <w:color w:val="222222"/>
          <w:sz w:val="24"/>
          <w:szCs w:val="24"/>
          <w:highlight w:val="white"/>
          <w:lang w:val="en-GB"/>
        </w:rPr>
        <w:t xml:space="preserve">. Available at: https://www.mckinsey.com/capabilities/sustainability/our-insights/does-esg-really-matter-and-why (Accessed: </w:t>
      </w:r>
      <w:r w:rsidR="008D6CC8">
        <w:rPr>
          <w:color w:val="222222"/>
          <w:sz w:val="24"/>
          <w:szCs w:val="24"/>
          <w:highlight w:val="white"/>
          <w:lang w:val="en-GB"/>
        </w:rPr>
        <w:t>6</w:t>
      </w:r>
      <w:r w:rsidRPr="00540BE5">
        <w:rPr>
          <w:color w:val="222222"/>
          <w:sz w:val="24"/>
          <w:szCs w:val="24"/>
          <w:highlight w:val="white"/>
          <w:lang w:val="en-GB"/>
        </w:rPr>
        <w:t xml:space="preserve"> October 2023). </w:t>
      </w:r>
    </w:p>
    <w:p w14:paraId="68FAB45E" w14:textId="77777777" w:rsidR="00284598" w:rsidRPr="00540BE5" w:rsidRDefault="00284598" w:rsidP="00540BE5">
      <w:pPr>
        <w:spacing w:line="360" w:lineRule="auto"/>
        <w:jc w:val="both"/>
        <w:rPr>
          <w:color w:val="222222"/>
          <w:sz w:val="24"/>
          <w:szCs w:val="24"/>
          <w:highlight w:val="white"/>
          <w:lang w:val="en-GB"/>
        </w:rPr>
      </w:pPr>
      <w:r w:rsidRPr="00540BE5">
        <w:rPr>
          <w:color w:val="222222"/>
          <w:sz w:val="24"/>
          <w:szCs w:val="24"/>
          <w:highlight w:val="white"/>
          <w:lang w:val="pl-PL"/>
        </w:rPr>
        <w:lastRenderedPageBreak/>
        <w:t xml:space="preserve">Bohdanowicz, P. and Zientara, P., 2019. </w:t>
      </w:r>
      <w:r w:rsidRPr="00540BE5">
        <w:rPr>
          <w:color w:val="222222"/>
          <w:sz w:val="24"/>
          <w:szCs w:val="24"/>
          <w:highlight w:val="white"/>
          <w:lang w:val="en-GB"/>
        </w:rPr>
        <w:t xml:space="preserve">CSR-inspired environmental initiatives in top hotel chains. In </w:t>
      </w:r>
      <w:r w:rsidRPr="00540BE5">
        <w:rPr>
          <w:i/>
          <w:color w:val="222222"/>
          <w:sz w:val="24"/>
          <w:szCs w:val="24"/>
          <w:highlight w:val="white"/>
          <w:lang w:val="en-GB"/>
        </w:rPr>
        <w:t>Tourism enterprises and the sustainability agenda across Europe</w:t>
      </w:r>
      <w:r w:rsidRPr="00540BE5">
        <w:rPr>
          <w:color w:val="222222"/>
          <w:sz w:val="24"/>
          <w:szCs w:val="24"/>
          <w:highlight w:val="white"/>
          <w:lang w:val="en-GB"/>
        </w:rPr>
        <w:t xml:space="preserve"> (pp. 93-120). Routledge. Available at: </w:t>
      </w:r>
      <w:hyperlink r:id="rId12" w:anchor="v=onepage&amp;q&amp;f=false">
        <w:r w:rsidRPr="00540BE5">
          <w:rPr>
            <w:color w:val="1155CC"/>
            <w:sz w:val="24"/>
            <w:szCs w:val="24"/>
            <w:highlight w:val="white"/>
            <w:u w:val="single"/>
            <w:lang w:val="en-GB"/>
          </w:rPr>
          <w:t>https://books.google.co.in/books?hl=en&amp;lr=&amp;id=6kCgCwAAQBAJ&amp;oi=fnd&amp;pg=PA93&amp;dq=Hospitality+With+a+substantial+footprint+through+energy+and+water+usage,+waste+generation,+and+consumption+of+goods,+this+industry+is+at+a+pivotal+juncture+where+Corporate+Social+Responsibility+(CSR)+is+not+just+an+ethical+choice+but+a+business+imperative.+&amp;ots=fTyL6dQDbw&amp;sig=8aENvH9rHhVGlY7VcJElqkzZPjk&amp;redir_esc=y#v=onepage&amp;q&amp;f=false</w:t>
        </w:r>
      </w:hyperlink>
      <w:r w:rsidRPr="00540BE5">
        <w:rPr>
          <w:color w:val="222222"/>
          <w:sz w:val="24"/>
          <w:szCs w:val="24"/>
          <w:highlight w:val="white"/>
          <w:lang w:val="en-GB"/>
        </w:rPr>
        <w:t xml:space="preserve"> [Accessed 11 October 2023]</w:t>
      </w:r>
    </w:p>
    <w:p w14:paraId="74E66D03"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Fachada, B.C., 2023. </w:t>
      </w:r>
      <w:r w:rsidRPr="00540BE5">
        <w:rPr>
          <w:i/>
          <w:color w:val="222222"/>
          <w:sz w:val="24"/>
          <w:szCs w:val="24"/>
          <w:highlight w:val="white"/>
          <w:lang w:val="en-GB"/>
        </w:rPr>
        <w:t>Business adaptive strategies in crisis: the case of Hilton Hotels Worldwide</w:t>
      </w:r>
      <w:r w:rsidRPr="00540BE5">
        <w:rPr>
          <w:color w:val="222222"/>
          <w:sz w:val="24"/>
          <w:szCs w:val="24"/>
          <w:highlight w:val="white"/>
          <w:lang w:val="en-GB"/>
        </w:rPr>
        <w:t xml:space="preserve"> (Doctoral dissertation). Available at: </w:t>
      </w:r>
      <w:hyperlink r:id="rId13">
        <w:r w:rsidRPr="00540BE5">
          <w:rPr>
            <w:color w:val="1155CC"/>
            <w:sz w:val="24"/>
            <w:szCs w:val="24"/>
            <w:highlight w:val="white"/>
            <w:u w:val="single"/>
            <w:lang w:val="en-GB"/>
          </w:rPr>
          <w:t>https://repositorio.ucp.pt/handle/10400.14/41371</w:t>
        </w:r>
      </w:hyperlink>
      <w:r w:rsidRPr="00540BE5">
        <w:rPr>
          <w:color w:val="222222"/>
          <w:sz w:val="24"/>
          <w:szCs w:val="24"/>
          <w:highlight w:val="white"/>
          <w:lang w:val="en-GB"/>
        </w:rPr>
        <w:t xml:space="preserve"> [Accessed 11 October 2023]</w:t>
      </w:r>
    </w:p>
    <w:p w14:paraId="46F0F763"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Gigante, G. and Manglaviti, D., 2022. The ESG effect on the cost of debt financing: A sharp RD analysis. </w:t>
      </w:r>
      <w:r w:rsidRPr="00540BE5">
        <w:rPr>
          <w:i/>
          <w:color w:val="222222"/>
          <w:sz w:val="24"/>
          <w:szCs w:val="24"/>
          <w:highlight w:val="white"/>
          <w:lang w:val="en-GB"/>
        </w:rPr>
        <w:t>International Review of Financial Analysis</w:t>
      </w:r>
      <w:r w:rsidRPr="00540BE5">
        <w:rPr>
          <w:color w:val="222222"/>
          <w:sz w:val="24"/>
          <w:szCs w:val="24"/>
          <w:highlight w:val="white"/>
          <w:lang w:val="en-GB"/>
        </w:rPr>
        <w:t xml:space="preserve">, </w:t>
      </w:r>
      <w:r w:rsidRPr="00540BE5">
        <w:rPr>
          <w:i/>
          <w:color w:val="222222"/>
          <w:sz w:val="24"/>
          <w:szCs w:val="24"/>
          <w:highlight w:val="white"/>
          <w:lang w:val="en-GB"/>
        </w:rPr>
        <w:t>84</w:t>
      </w:r>
      <w:r w:rsidRPr="00540BE5">
        <w:rPr>
          <w:color w:val="222222"/>
          <w:sz w:val="24"/>
          <w:szCs w:val="24"/>
          <w:highlight w:val="white"/>
          <w:lang w:val="en-GB"/>
        </w:rPr>
        <w:t xml:space="preserve">, p.102382. Available at: </w:t>
      </w:r>
      <w:hyperlink r:id="rId14">
        <w:r w:rsidRPr="00540BE5">
          <w:rPr>
            <w:color w:val="1155CC"/>
            <w:sz w:val="24"/>
            <w:szCs w:val="24"/>
            <w:highlight w:val="white"/>
            <w:u w:val="single"/>
            <w:lang w:val="en-GB"/>
          </w:rPr>
          <w:t>https://www.sciencedirect.com/science/article/abs/pii/S1057521922003325</w:t>
        </w:r>
      </w:hyperlink>
      <w:r w:rsidRPr="00540BE5">
        <w:rPr>
          <w:color w:val="222222"/>
          <w:sz w:val="24"/>
          <w:szCs w:val="24"/>
          <w:highlight w:val="white"/>
          <w:lang w:val="en-GB"/>
        </w:rPr>
        <w:t xml:space="preserve"> [Accessed 11 October 2023]</w:t>
      </w:r>
    </w:p>
    <w:p w14:paraId="254F6F00"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Jones, P., Hillier, D. and Comfort, D., 2022. Sustainability in the hospitality industry: Some personal reflections on corporate challenges and research agendas. </w:t>
      </w:r>
      <w:r w:rsidRPr="00540BE5">
        <w:rPr>
          <w:i/>
          <w:color w:val="222222"/>
          <w:sz w:val="24"/>
          <w:szCs w:val="24"/>
          <w:highlight w:val="white"/>
          <w:lang w:val="en-GB"/>
        </w:rPr>
        <w:t>International Journal of Contemporary Hospitality Management</w:t>
      </w:r>
      <w:r w:rsidRPr="00540BE5">
        <w:rPr>
          <w:color w:val="222222"/>
          <w:sz w:val="24"/>
          <w:szCs w:val="24"/>
          <w:highlight w:val="white"/>
          <w:lang w:val="en-GB"/>
        </w:rPr>
        <w:t xml:space="preserve">, </w:t>
      </w:r>
      <w:r w:rsidRPr="00540BE5">
        <w:rPr>
          <w:i/>
          <w:color w:val="222222"/>
          <w:sz w:val="24"/>
          <w:szCs w:val="24"/>
          <w:highlight w:val="white"/>
          <w:lang w:val="en-GB"/>
        </w:rPr>
        <w:t>28</w:t>
      </w:r>
      <w:r w:rsidRPr="00540BE5">
        <w:rPr>
          <w:color w:val="222222"/>
          <w:sz w:val="24"/>
          <w:szCs w:val="24"/>
          <w:highlight w:val="white"/>
          <w:lang w:val="en-GB"/>
        </w:rPr>
        <w:t xml:space="preserve">(1), pp.36-67. Available at: </w:t>
      </w:r>
      <w:hyperlink r:id="rId15">
        <w:r w:rsidRPr="00540BE5">
          <w:rPr>
            <w:color w:val="1155CC"/>
            <w:sz w:val="24"/>
            <w:szCs w:val="24"/>
            <w:highlight w:val="white"/>
            <w:u w:val="single"/>
            <w:lang w:val="en-GB"/>
          </w:rPr>
          <w:t>https://www.emerald.com/insight/content/doi/10.1108/IJCHM-11-2014-0572/full/html</w:t>
        </w:r>
      </w:hyperlink>
      <w:r w:rsidRPr="00540BE5">
        <w:rPr>
          <w:color w:val="222222"/>
          <w:sz w:val="24"/>
          <w:szCs w:val="24"/>
          <w:highlight w:val="white"/>
          <w:lang w:val="en-GB"/>
        </w:rPr>
        <w:t xml:space="preserve"> [Accessed 11 October 2023]</w:t>
      </w:r>
    </w:p>
    <w:p w14:paraId="73622B43"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Khaw-ngern, K., Khaw-ngern, C. and Udomphol, P.N., 2023. The Benefit of Circular Economy Towards Zero Waste. Available at: </w:t>
      </w:r>
      <w:hyperlink r:id="rId16">
        <w:r w:rsidRPr="00540BE5">
          <w:rPr>
            <w:color w:val="1155CC"/>
            <w:sz w:val="24"/>
            <w:szCs w:val="24"/>
            <w:highlight w:val="white"/>
            <w:u w:val="single"/>
            <w:lang w:val="en-GB"/>
          </w:rPr>
          <w:t>https://kukr.lib.ku.ac.th/proceedings/kucon/search_detail/dowload_digital_file/409048/145166</w:t>
        </w:r>
      </w:hyperlink>
      <w:r w:rsidRPr="00540BE5">
        <w:rPr>
          <w:color w:val="222222"/>
          <w:sz w:val="24"/>
          <w:szCs w:val="24"/>
          <w:highlight w:val="white"/>
          <w:lang w:val="en-GB"/>
        </w:rPr>
        <w:t xml:space="preserve"> [Accessed 11 October 2023]</w:t>
      </w:r>
    </w:p>
    <w:p w14:paraId="1822A87F"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Kužmarskytė, K., 2023. </w:t>
      </w:r>
      <w:r w:rsidRPr="00540BE5">
        <w:rPr>
          <w:i/>
          <w:color w:val="222222"/>
          <w:sz w:val="24"/>
          <w:szCs w:val="24"/>
          <w:highlight w:val="white"/>
          <w:lang w:val="en-GB"/>
        </w:rPr>
        <w:t>Relations between life cycle assessment, material flow analysis, and dynamic business capabilities for circular economy implementation in companies</w:t>
      </w:r>
      <w:r w:rsidRPr="00540BE5">
        <w:rPr>
          <w:color w:val="222222"/>
          <w:sz w:val="24"/>
          <w:szCs w:val="24"/>
          <w:highlight w:val="white"/>
          <w:lang w:val="en-GB"/>
        </w:rPr>
        <w:t xml:space="preserve"> </w:t>
      </w:r>
      <w:r w:rsidRPr="00540BE5">
        <w:rPr>
          <w:color w:val="222222"/>
          <w:sz w:val="24"/>
          <w:szCs w:val="24"/>
          <w:highlight w:val="white"/>
          <w:lang w:val="en-GB"/>
        </w:rPr>
        <w:lastRenderedPageBreak/>
        <w:t xml:space="preserve">(Doctoral dissertation, Vilniaus universitetas). Available at: </w:t>
      </w:r>
      <w:hyperlink r:id="rId17">
        <w:r w:rsidRPr="00540BE5">
          <w:rPr>
            <w:color w:val="1155CC"/>
            <w:sz w:val="24"/>
            <w:szCs w:val="24"/>
            <w:highlight w:val="white"/>
            <w:u w:val="single"/>
            <w:lang w:val="en-GB"/>
          </w:rPr>
          <w:t>https://epublications.vu.lt/object/elaba:157856838/</w:t>
        </w:r>
      </w:hyperlink>
      <w:r w:rsidRPr="00540BE5">
        <w:rPr>
          <w:color w:val="222222"/>
          <w:sz w:val="24"/>
          <w:szCs w:val="24"/>
          <w:highlight w:val="white"/>
          <w:lang w:val="en-GB"/>
        </w:rPr>
        <w:t xml:space="preserve"> [Accessed 11 October 2023]</w:t>
      </w:r>
    </w:p>
    <w:p w14:paraId="04A6CD0F" w14:textId="55157A3B"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Lee, I., 2019. The Internet of Things for enterprises: An ecosystem, architecture, and IoT service business model. </w:t>
      </w:r>
      <w:r w:rsidRPr="00540BE5">
        <w:rPr>
          <w:i/>
          <w:color w:val="222222"/>
          <w:sz w:val="24"/>
          <w:szCs w:val="24"/>
          <w:highlight w:val="white"/>
          <w:lang w:val="en-GB"/>
        </w:rPr>
        <w:t>Internet of Things</w:t>
      </w:r>
      <w:r w:rsidRPr="00540BE5">
        <w:rPr>
          <w:color w:val="222222"/>
          <w:sz w:val="24"/>
          <w:szCs w:val="24"/>
          <w:highlight w:val="white"/>
          <w:lang w:val="en-GB"/>
        </w:rPr>
        <w:t xml:space="preserve">, </w:t>
      </w:r>
      <w:r w:rsidRPr="00540BE5">
        <w:rPr>
          <w:i/>
          <w:color w:val="222222"/>
          <w:sz w:val="24"/>
          <w:szCs w:val="24"/>
          <w:highlight w:val="white"/>
          <w:lang w:val="en-GB"/>
        </w:rPr>
        <w:t>7</w:t>
      </w:r>
      <w:r w:rsidRPr="00540BE5">
        <w:rPr>
          <w:color w:val="222222"/>
          <w:sz w:val="24"/>
          <w:szCs w:val="24"/>
          <w:highlight w:val="white"/>
          <w:lang w:val="en-GB"/>
        </w:rPr>
        <w:t xml:space="preserve">, p.100078. Available at: </w:t>
      </w:r>
      <w:hyperlink r:id="rId18">
        <w:r w:rsidRPr="00540BE5">
          <w:rPr>
            <w:color w:val="1155CC"/>
            <w:sz w:val="24"/>
            <w:szCs w:val="24"/>
            <w:highlight w:val="white"/>
            <w:u w:val="single"/>
            <w:lang w:val="en-GB"/>
          </w:rPr>
          <w:t>https://www.sciencedirect.com/science/article/abs/pii/S2542660519301386</w:t>
        </w:r>
      </w:hyperlink>
      <w:r w:rsidRPr="00540BE5">
        <w:rPr>
          <w:color w:val="222222"/>
          <w:sz w:val="24"/>
          <w:szCs w:val="24"/>
          <w:highlight w:val="white"/>
          <w:lang w:val="en-GB"/>
        </w:rPr>
        <w:t xml:space="preserve">  [Accessed 1</w:t>
      </w:r>
      <w:r w:rsidR="008D6CC8">
        <w:rPr>
          <w:color w:val="222222"/>
          <w:sz w:val="24"/>
          <w:szCs w:val="24"/>
          <w:highlight w:val="white"/>
          <w:lang w:val="en-GB"/>
        </w:rPr>
        <w:t>3</w:t>
      </w:r>
      <w:r w:rsidRPr="00540BE5">
        <w:rPr>
          <w:color w:val="222222"/>
          <w:sz w:val="24"/>
          <w:szCs w:val="24"/>
          <w:highlight w:val="white"/>
          <w:lang w:val="en-GB"/>
        </w:rPr>
        <w:t xml:space="preserve"> October 2023]</w:t>
      </w:r>
    </w:p>
    <w:p w14:paraId="0E155F6A" w14:textId="5AF0B1CC"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Marriott (2021) </w:t>
      </w:r>
      <w:r w:rsidRPr="00540BE5">
        <w:rPr>
          <w:i/>
          <w:color w:val="222222"/>
          <w:sz w:val="24"/>
          <w:szCs w:val="24"/>
          <w:highlight w:val="white"/>
          <w:lang w:val="en-GB"/>
        </w:rPr>
        <w:t>Food Waste Management Program annual report - marriott</w:t>
      </w:r>
      <w:r w:rsidRPr="00540BE5">
        <w:rPr>
          <w:color w:val="222222"/>
          <w:sz w:val="24"/>
          <w:szCs w:val="24"/>
          <w:highlight w:val="white"/>
          <w:lang w:val="en-GB"/>
        </w:rPr>
        <w:t xml:space="preserve">, </w:t>
      </w:r>
      <w:r w:rsidRPr="00540BE5">
        <w:rPr>
          <w:i/>
          <w:color w:val="222222"/>
          <w:sz w:val="24"/>
          <w:szCs w:val="24"/>
          <w:highlight w:val="white"/>
          <w:lang w:val="en-GB"/>
        </w:rPr>
        <w:t>Marriott Hotels</w:t>
      </w:r>
      <w:r w:rsidRPr="00540BE5">
        <w:rPr>
          <w:color w:val="222222"/>
          <w:sz w:val="24"/>
          <w:szCs w:val="24"/>
          <w:highlight w:val="white"/>
          <w:lang w:val="en-GB"/>
        </w:rPr>
        <w:t>. Available at: https://www.marriott.com/marriottassets/marriott/BKKCY/PDF/BKKCY_Food_Waste_Management.pdf (Accessed: 1</w:t>
      </w:r>
      <w:r w:rsidR="008D6CC8">
        <w:rPr>
          <w:color w:val="222222"/>
          <w:sz w:val="24"/>
          <w:szCs w:val="24"/>
          <w:highlight w:val="white"/>
          <w:lang w:val="en-GB"/>
        </w:rPr>
        <w:t>3</w:t>
      </w:r>
      <w:r w:rsidRPr="00540BE5">
        <w:rPr>
          <w:color w:val="222222"/>
          <w:sz w:val="24"/>
          <w:szCs w:val="24"/>
          <w:highlight w:val="white"/>
          <w:lang w:val="en-GB"/>
        </w:rPr>
        <w:t xml:space="preserve"> October 2023). </w:t>
      </w:r>
    </w:p>
    <w:p w14:paraId="64FA2A5D"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Marriott (2021) </w:t>
      </w:r>
      <w:r w:rsidRPr="00540BE5">
        <w:rPr>
          <w:i/>
          <w:color w:val="222222"/>
          <w:sz w:val="24"/>
          <w:szCs w:val="24"/>
          <w:highlight w:val="white"/>
          <w:lang w:val="en-GB"/>
        </w:rPr>
        <w:t>From water risk to value creation - marriott</w:t>
      </w:r>
      <w:r w:rsidRPr="00540BE5">
        <w:rPr>
          <w:color w:val="222222"/>
          <w:sz w:val="24"/>
          <w:szCs w:val="24"/>
          <w:highlight w:val="white"/>
          <w:lang w:val="en-GB"/>
        </w:rPr>
        <w:t xml:space="preserve">, </w:t>
      </w:r>
      <w:r w:rsidRPr="00540BE5">
        <w:rPr>
          <w:i/>
          <w:color w:val="222222"/>
          <w:sz w:val="24"/>
          <w:szCs w:val="24"/>
          <w:highlight w:val="white"/>
          <w:lang w:val="en-GB"/>
        </w:rPr>
        <w:t>Marriott</w:t>
      </w:r>
      <w:r w:rsidRPr="00540BE5">
        <w:rPr>
          <w:color w:val="222222"/>
          <w:sz w:val="24"/>
          <w:szCs w:val="24"/>
          <w:highlight w:val="white"/>
          <w:lang w:val="en-GB"/>
        </w:rPr>
        <w:t xml:space="preserve">. Available at: https://www.marriott.com/marriottassets/Multimedia/PDF/CorporateResponsibility/serve360/CDP-Global-Water-Report-2014.pdf (Accessed: 11 October 2023). </w:t>
      </w:r>
    </w:p>
    <w:p w14:paraId="6C382F36"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Meintjes, C., 2021. The authentic corporate citizen: The role of relational transparency and stakeholder relationship cultivation strategies. </w:t>
      </w:r>
      <w:r w:rsidRPr="00540BE5">
        <w:rPr>
          <w:i/>
          <w:color w:val="222222"/>
          <w:sz w:val="24"/>
          <w:szCs w:val="24"/>
          <w:highlight w:val="white"/>
          <w:lang w:val="en-GB"/>
        </w:rPr>
        <w:t>Management Dynamics: Journal of the Southern African Institute for Management Scientists</w:t>
      </w:r>
      <w:r w:rsidRPr="00540BE5">
        <w:rPr>
          <w:color w:val="222222"/>
          <w:sz w:val="24"/>
          <w:szCs w:val="24"/>
          <w:highlight w:val="white"/>
          <w:lang w:val="en-GB"/>
        </w:rPr>
        <w:t xml:space="preserve">, </w:t>
      </w:r>
      <w:r w:rsidRPr="00540BE5">
        <w:rPr>
          <w:i/>
          <w:color w:val="222222"/>
          <w:sz w:val="24"/>
          <w:szCs w:val="24"/>
          <w:highlight w:val="white"/>
          <w:lang w:val="en-GB"/>
        </w:rPr>
        <w:t>30</w:t>
      </w:r>
      <w:r w:rsidRPr="00540BE5">
        <w:rPr>
          <w:color w:val="222222"/>
          <w:sz w:val="24"/>
          <w:szCs w:val="24"/>
          <w:highlight w:val="white"/>
          <w:lang w:val="en-GB"/>
        </w:rPr>
        <w:t xml:space="preserve">(3), pp.1-17.  Available at: </w:t>
      </w:r>
      <w:hyperlink r:id="rId19">
        <w:r w:rsidRPr="00540BE5">
          <w:rPr>
            <w:color w:val="1155CC"/>
            <w:sz w:val="24"/>
            <w:szCs w:val="24"/>
            <w:highlight w:val="white"/>
            <w:u w:val="single"/>
            <w:lang w:val="en-GB"/>
          </w:rPr>
          <w:t>https://journals.co.za/doi/abs/10.10520/ejc-mandyn_v30_n3_a1</w:t>
        </w:r>
      </w:hyperlink>
      <w:r w:rsidRPr="00540BE5">
        <w:rPr>
          <w:color w:val="222222"/>
          <w:sz w:val="24"/>
          <w:szCs w:val="24"/>
          <w:highlight w:val="white"/>
          <w:lang w:val="en-GB"/>
        </w:rPr>
        <w:t xml:space="preserve">  [Accessed 11 October 2023]</w:t>
      </w:r>
    </w:p>
    <w:p w14:paraId="42782D5E" w14:textId="15362BCE"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O’CONNOR-WILLIS, C.A.S.E.Y., 2021. Making ESG Work. </w:t>
      </w:r>
      <w:r w:rsidRPr="00540BE5">
        <w:rPr>
          <w:i/>
          <w:color w:val="222222"/>
          <w:sz w:val="24"/>
          <w:szCs w:val="24"/>
          <w:highlight w:val="white"/>
          <w:lang w:val="en-GB"/>
        </w:rPr>
        <w:t>Center for Business</w:t>
      </w:r>
      <w:r w:rsidRPr="00540BE5">
        <w:rPr>
          <w:color w:val="222222"/>
          <w:sz w:val="24"/>
          <w:szCs w:val="24"/>
          <w:highlight w:val="white"/>
          <w:lang w:val="en-GB"/>
        </w:rPr>
        <w:t xml:space="preserve">. Available at: </w:t>
      </w:r>
      <w:hyperlink r:id="rId20">
        <w:r w:rsidRPr="00540BE5">
          <w:rPr>
            <w:color w:val="1155CC"/>
            <w:sz w:val="24"/>
            <w:szCs w:val="24"/>
            <w:highlight w:val="white"/>
            <w:u w:val="single"/>
            <w:lang w:val="en-GB"/>
          </w:rPr>
          <w:t>https://static1.squarespace.com/static/5b6df958f8370af3217d4178/t/616736a444c6ca5cb23d5966/1634154148488/NYU+CBHR+ESG+Report_FINAL+BLUE+LINKS+REVISED+Oct13.pdf</w:t>
        </w:r>
      </w:hyperlink>
      <w:r w:rsidRPr="00540BE5">
        <w:rPr>
          <w:color w:val="222222"/>
          <w:sz w:val="24"/>
          <w:szCs w:val="24"/>
          <w:highlight w:val="white"/>
          <w:lang w:val="en-GB"/>
        </w:rPr>
        <w:t xml:space="preserve">  [Accessed 1</w:t>
      </w:r>
      <w:r w:rsidR="008D6CC8">
        <w:rPr>
          <w:color w:val="222222"/>
          <w:sz w:val="24"/>
          <w:szCs w:val="24"/>
          <w:highlight w:val="white"/>
          <w:lang w:val="en-GB"/>
        </w:rPr>
        <w:t>0</w:t>
      </w:r>
      <w:r w:rsidRPr="00540BE5">
        <w:rPr>
          <w:color w:val="222222"/>
          <w:sz w:val="24"/>
          <w:szCs w:val="24"/>
          <w:highlight w:val="white"/>
          <w:lang w:val="en-GB"/>
        </w:rPr>
        <w:t xml:space="preserve"> October 2023]</w:t>
      </w:r>
    </w:p>
    <w:p w14:paraId="177147A4"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Rafi, T. (2023) </w:t>
      </w:r>
      <w:r w:rsidRPr="00540BE5">
        <w:rPr>
          <w:i/>
          <w:color w:val="222222"/>
          <w:sz w:val="24"/>
          <w:szCs w:val="24"/>
          <w:highlight w:val="white"/>
          <w:lang w:val="en-GB"/>
        </w:rPr>
        <w:t>Council Post: Why corporate strategies should be focused on sustainability</w:t>
      </w:r>
      <w:r w:rsidRPr="00540BE5">
        <w:rPr>
          <w:color w:val="222222"/>
          <w:sz w:val="24"/>
          <w:szCs w:val="24"/>
          <w:highlight w:val="white"/>
          <w:lang w:val="en-GB"/>
        </w:rPr>
        <w:t xml:space="preserve">, </w:t>
      </w:r>
      <w:r w:rsidRPr="00540BE5">
        <w:rPr>
          <w:i/>
          <w:color w:val="222222"/>
          <w:sz w:val="24"/>
          <w:szCs w:val="24"/>
          <w:highlight w:val="white"/>
          <w:lang w:val="en-GB"/>
        </w:rPr>
        <w:t>Forbes</w:t>
      </w:r>
      <w:r w:rsidRPr="00540BE5">
        <w:rPr>
          <w:color w:val="222222"/>
          <w:sz w:val="24"/>
          <w:szCs w:val="24"/>
          <w:highlight w:val="white"/>
          <w:lang w:val="en-GB"/>
        </w:rPr>
        <w:t xml:space="preserve">. Available at: https://www.forbes.com/sites/forbesbusinesscouncil/2021/02/10/why-corporate-strategies-should-be-focused-on-sustainability/?sh=2a74d4937e9f (Accessed: 11 October 2023). </w:t>
      </w:r>
    </w:p>
    <w:p w14:paraId="6FD625E8"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lastRenderedPageBreak/>
        <w:t xml:space="preserve">Scuri, S., Ferreira, M., Jardim Nunes, N., Nisi, V. and Mulligan, C., 2022, April. Hitting the Triple Bottom Line: Widening the HCI Approach to Sustainability. In </w:t>
      </w:r>
      <w:r w:rsidRPr="00540BE5">
        <w:rPr>
          <w:i/>
          <w:color w:val="222222"/>
          <w:sz w:val="24"/>
          <w:szCs w:val="24"/>
          <w:highlight w:val="white"/>
          <w:lang w:val="en-GB"/>
        </w:rPr>
        <w:t>Proceedings of the 2022 CHI Conference on Human Factors in Computing Systems</w:t>
      </w:r>
      <w:r w:rsidRPr="00540BE5">
        <w:rPr>
          <w:color w:val="222222"/>
          <w:sz w:val="24"/>
          <w:szCs w:val="24"/>
          <w:highlight w:val="white"/>
          <w:lang w:val="en-GB"/>
        </w:rPr>
        <w:t xml:space="preserve"> (pp. 1-19). Available at: </w:t>
      </w:r>
      <w:hyperlink r:id="rId21">
        <w:r w:rsidRPr="00540BE5">
          <w:rPr>
            <w:color w:val="1155CC"/>
            <w:sz w:val="24"/>
            <w:szCs w:val="24"/>
            <w:highlight w:val="white"/>
            <w:u w:val="single"/>
            <w:lang w:val="en-GB"/>
          </w:rPr>
          <w:t>https://dl.acm.org/doi/abs/10.1145/3491102.3517518</w:t>
        </w:r>
      </w:hyperlink>
      <w:r w:rsidRPr="00540BE5">
        <w:rPr>
          <w:color w:val="222222"/>
          <w:sz w:val="24"/>
          <w:szCs w:val="24"/>
          <w:highlight w:val="white"/>
          <w:lang w:val="en-GB"/>
        </w:rPr>
        <w:t xml:space="preserve"> [Accessed 11 October 2023]</w:t>
      </w:r>
    </w:p>
    <w:p w14:paraId="0579327E" w14:textId="2D246D1F"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Sustainable Hospitality Alliance (2023) </w:t>
      </w:r>
      <w:r w:rsidRPr="00540BE5">
        <w:rPr>
          <w:i/>
          <w:color w:val="222222"/>
          <w:sz w:val="24"/>
          <w:szCs w:val="24"/>
          <w:highlight w:val="white"/>
          <w:lang w:val="en-GB"/>
        </w:rPr>
        <w:t>Climate action - reducing emissions across the hospitality industry</w:t>
      </w:r>
      <w:r w:rsidRPr="00540BE5">
        <w:rPr>
          <w:color w:val="222222"/>
          <w:sz w:val="24"/>
          <w:szCs w:val="24"/>
          <w:highlight w:val="white"/>
          <w:lang w:val="en-GB"/>
        </w:rPr>
        <w:t xml:space="preserve">, </w:t>
      </w:r>
      <w:r w:rsidRPr="00540BE5">
        <w:rPr>
          <w:i/>
          <w:color w:val="222222"/>
          <w:sz w:val="24"/>
          <w:szCs w:val="24"/>
          <w:highlight w:val="white"/>
          <w:lang w:val="en-GB"/>
        </w:rPr>
        <w:t>Sustainable Hospitality Alliance</w:t>
      </w:r>
      <w:r w:rsidRPr="00540BE5">
        <w:rPr>
          <w:color w:val="222222"/>
          <w:sz w:val="24"/>
          <w:szCs w:val="24"/>
          <w:highlight w:val="white"/>
          <w:lang w:val="en-GB"/>
        </w:rPr>
        <w:t>. Available at: https://sustainablehospitalityalliance.org/our-work/climate-action/#:~:text=The%20hotel%20sector%20accounts%20for,its%20impact%20on%20our%20planet. (Accessed: 1</w:t>
      </w:r>
      <w:r w:rsidR="008D6CC8">
        <w:rPr>
          <w:color w:val="222222"/>
          <w:sz w:val="24"/>
          <w:szCs w:val="24"/>
          <w:highlight w:val="white"/>
          <w:lang w:val="en-GB"/>
        </w:rPr>
        <w:t>3</w:t>
      </w:r>
      <w:r w:rsidRPr="00540BE5">
        <w:rPr>
          <w:color w:val="222222"/>
          <w:sz w:val="24"/>
          <w:szCs w:val="24"/>
          <w:highlight w:val="white"/>
          <w:lang w:val="en-GB"/>
        </w:rPr>
        <w:t xml:space="preserve"> October 2023). </w:t>
      </w:r>
    </w:p>
    <w:p w14:paraId="1592ACF8"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Tuladhar, A., 2021. </w:t>
      </w:r>
      <w:r w:rsidRPr="00540BE5">
        <w:rPr>
          <w:i/>
          <w:color w:val="222222"/>
          <w:sz w:val="24"/>
          <w:szCs w:val="24"/>
          <w:highlight w:val="white"/>
          <w:lang w:val="en-GB"/>
        </w:rPr>
        <w:t>Circular Economy and Start-ups: Business Models, Collaboration, and Impact</w:t>
      </w:r>
      <w:r w:rsidRPr="00540BE5">
        <w:rPr>
          <w:color w:val="222222"/>
          <w:sz w:val="24"/>
          <w:szCs w:val="24"/>
          <w:highlight w:val="white"/>
          <w:lang w:val="en-GB"/>
        </w:rPr>
        <w:t xml:space="preserve"> (Doctoral dissertation, University of Bath). Available at: </w:t>
      </w:r>
      <w:hyperlink r:id="rId22">
        <w:r w:rsidRPr="00540BE5">
          <w:rPr>
            <w:color w:val="1155CC"/>
            <w:sz w:val="24"/>
            <w:szCs w:val="24"/>
            <w:highlight w:val="white"/>
            <w:u w:val="single"/>
            <w:lang w:val="en-GB"/>
          </w:rPr>
          <w:t>https://purehost.bath.ac.uk/ws/portalfiles/portal/226492759/Corrected_Thesis_Alisha_Tuladhar.pdf</w:t>
        </w:r>
      </w:hyperlink>
      <w:r w:rsidRPr="00540BE5">
        <w:rPr>
          <w:color w:val="222222"/>
          <w:sz w:val="24"/>
          <w:szCs w:val="24"/>
          <w:highlight w:val="white"/>
          <w:lang w:val="en-GB"/>
        </w:rPr>
        <w:t xml:space="preserve"> [Accessed 11 October 2023]</w:t>
      </w:r>
    </w:p>
    <w:p w14:paraId="37026B7A" w14:textId="317B1914"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USGBC (2022) </w:t>
      </w:r>
      <w:r w:rsidRPr="00540BE5">
        <w:rPr>
          <w:i/>
          <w:color w:val="222222"/>
          <w:sz w:val="24"/>
          <w:szCs w:val="24"/>
          <w:highlight w:val="white"/>
          <w:lang w:val="en-GB"/>
        </w:rPr>
        <w:t>LEED rating system</w:t>
      </w:r>
      <w:r w:rsidRPr="00540BE5">
        <w:rPr>
          <w:color w:val="222222"/>
          <w:sz w:val="24"/>
          <w:szCs w:val="24"/>
          <w:highlight w:val="white"/>
          <w:lang w:val="en-GB"/>
        </w:rPr>
        <w:t xml:space="preserve">, </w:t>
      </w:r>
      <w:r w:rsidRPr="00540BE5">
        <w:rPr>
          <w:i/>
          <w:color w:val="222222"/>
          <w:sz w:val="24"/>
          <w:szCs w:val="24"/>
          <w:highlight w:val="white"/>
          <w:lang w:val="en-GB"/>
        </w:rPr>
        <w:t>LEED rating system | U.S. Green Building Council</w:t>
      </w:r>
      <w:r w:rsidRPr="00540BE5">
        <w:rPr>
          <w:color w:val="222222"/>
          <w:sz w:val="24"/>
          <w:szCs w:val="24"/>
          <w:highlight w:val="white"/>
          <w:lang w:val="en-GB"/>
        </w:rPr>
        <w:t>. Available at: https://www.usgbc.org/leed (Accessed: 1</w:t>
      </w:r>
      <w:r w:rsidR="008D6CC8">
        <w:rPr>
          <w:color w:val="222222"/>
          <w:sz w:val="24"/>
          <w:szCs w:val="24"/>
          <w:highlight w:val="white"/>
          <w:lang w:val="en-GB"/>
        </w:rPr>
        <w:t>2</w:t>
      </w:r>
      <w:r w:rsidRPr="00540BE5">
        <w:rPr>
          <w:color w:val="222222"/>
          <w:sz w:val="24"/>
          <w:szCs w:val="24"/>
          <w:highlight w:val="white"/>
          <w:lang w:val="en-GB"/>
        </w:rPr>
        <w:t xml:space="preserve"> October 2023). </w:t>
      </w:r>
    </w:p>
    <w:p w14:paraId="72E208CD"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Waldron, S., 2022. </w:t>
      </w:r>
      <w:r w:rsidRPr="00540BE5">
        <w:rPr>
          <w:i/>
          <w:color w:val="222222"/>
          <w:sz w:val="24"/>
          <w:szCs w:val="24"/>
          <w:highlight w:val="white"/>
          <w:lang w:val="en-GB"/>
        </w:rPr>
        <w:t>Corporate Social Responsibility is Not Public Relations</w:t>
      </w:r>
      <w:r w:rsidRPr="00540BE5">
        <w:rPr>
          <w:color w:val="222222"/>
          <w:sz w:val="24"/>
          <w:szCs w:val="24"/>
          <w:highlight w:val="white"/>
          <w:lang w:val="en-GB"/>
        </w:rPr>
        <w:t xml:space="preserve">. Jaico Publishing House. Available at: </w:t>
      </w:r>
      <w:hyperlink r:id="rId23" w:anchor="v=onepage&amp;q&amp;f=false">
        <w:r w:rsidRPr="00540BE5">
          <w:rPr>
            <w:color w:val="1155CC"/>
            <w:sz w:val="24"/>
            <w:szCs w:val="24"/>
            <w:highlight w:val="white"/>
            <w:u w:val="single"/>
            <w:lang w:val="en-GB"/>
          </w:rPr>
          <w:t>https://books.google.co.in/books?hl=en&amp;lr=&amp;id=AFKkEAAAQBAJ&amp;oi=fnd&amp;pg=PT7&amp;dq=The+ripple+effect+of+regulations+and+competitive+initiatives+underlines+the+belief+that+CSR+is+no+longer+optional+but+rather+an+integral+part+of+doing+business+in+the+21st-century+hotel+industry&amp;ots=H8QcFk7Omh&amp;sig=fXUSK3udLtVpWkl1_pnijxqhauU&amp;redir_esc=y#v=onepage&amp;q&amp;f=false</w:t>
        </w:r>
      </w:hyperlink>
      <w:r w:rsidRPr="00540BE5">
        <w:rPr>
          <w:color w:val="222222"/>
          <w:sz w:val="24"/>
          <w:szCs w:val="24"/>
          <w:highlight w:val="white"/>
          <w:lang w:val="en-GB"/>
        </w:rPr>
        <w:t xml:space="preserve">  [Accessed 11 October 2023]</w:t>
      </w:r>
    </w:p>
    <w:p w14:paraId="64788660" w14:textId="77777777"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Whelan , T. and Fink, C. (2022) </w:t>
      </w:r>
      <w:r w:rsidRPr="00540BE5">
        <w:rPr>
          <w:i/>
          <w:color w:val="222222"/>
          <w:sz w:val="24"/>
          <w:szCs w:val="24"/>
          <w:highlight w:val="white"/>
          <w:lang w:val="en-GB"/>
        </w:rPr>
        <w:t>The comprehensive business case for Sustainability</w:t>
      </w:r>
      <w:r w:rsidRPr="00540BE5">
        <w:rPr>
          <w:color w:val="222222"/>
          <w:sz w:val="24"/>
          <w:szCs w:val="24"/>
          <w:highlight w:val="white"/>
          <w:lang w:val="en-GB"/>
        </w:rPr>
        <w:t xml:space="preserve">, </w:t>
      </w:r>
      <w:r w:rsidRPr="00540BE5">
        <w:rPr>
          <w:i/>
          <w:color w:val="222222"/>
          <w:sz w:val="24"/>
          <w:szCs w:val="24"/>
          <w:highlight w:val="white"/>
          <w:lang w:val="en-GB"/>
        </w:rPr>
        <w:t>Harvard Business Review</w:t>
      </w:r>
      <w:r w:rsidRPr="00540BE5">
        <w:rPr>
          <w:color w:val="222222"/>
          <w:sz w:val="24"/>
          <w:szCs w:val="24"/>
          <w:highlight w:val="white"/>
          <w:lang w:val="en-GB"/>
        </w:rPr>
        <w:t xml:space="preserve">. Available at: https://hbr.org/2016/10/the-comprehensive-business-case-for-sustainability (Accessed: 11 October 2023). </w:t>
      </w:r>
    </w:p>
    <w:p w14:paraId="7EC7EBE9" w14:textId="506BB94D"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Wirba, A.V., 2023. Corporate Social Responsibility (CSR): The Role of Government in promoting CSR. </w:t>
      </w:r>
      <w:r w:rsidRPr="00540BE5">
        <w:rPr>
          <w:i/>
          <w:color w:val="222222"/>
          <w:sz w:val="24"/>
          <w:szCs w:val="24"/>
          <w:highlight w:val="white"/>
          <w:lang w:val="en-GB"/>
        </w:rPr>
        <w:t>Journal of the Knowledge Economy</w:t>
      </w:r>
      <w:r w:rsidRPr="00540BE5">
        <w:rPr>
          <w:color w:val="222222"/>
          <w:sz w:val="24"/>
          <w:szCs w:val="24"/>
          <w:highlight w:val="white"/>
          <w:lang w:val="en-GB"/>
        </w:rPr>
        <w:t xml:space="preserve">, pp.1-27. Available at: </w:t>
      </w:r>
      <w:hyperlink r:id="rId24">
        <w:r w:rsidRPr="00540BE5">
          <w:rPr>
            <w:color w:val="1155CC"/>
            <w:sz w:val="24"/>
            <w:szCs w:val="24"/>
            <w:highlight w:val="white"/>
            <w:u w:val="single"/>
            <w:lang w:val="en-GB"/>
          </w:rPr>
          <w:t>https://link.springer.com/article/10.1007/s13132-023-01185-0</w:t>
        </w:r>
      </w:hyperlink>
      <w:r w:rsidRPr="00540BE5">
        <w:rPr>
          <w:color w:val="222222"/>
          <w:sz w:val="24"/>
          <w:szCs w:val="24"/>
          <w:highlight w:val="white"/>
          <w:lang w:val="en-GB"/>
        </w:rPr>
        <w:t xml:space="preserve"> [Accessed </w:t>
      </w:r>
      <w:r w:rsidR="008D6CC8">
        <w:rPr>
          <w:color w:val="222222"/>
          <w:sz w:val="24"/>
          <w:szCs w:val="24"/>
          <w:highlight w:val="white"/>
          <w:lang w:val="en-GB"/>
        </w:rPr>
        <w:t>8</w:t>
      </w:r>
      <w:r w:rsidRPr="00540BE5">
        <w:rPr>
          <w:color w:val="222222"/>
          <w:sz w:val="24"/>
          <w:szCs w:val="24"/>
          <w:highlight w:val="white"/>
          <w:lang w:val="en-GB"/>
        </w:rPr>
        <w:t xml:space="preserve"> October 2023]</w:t>
      </w:r>
    </w:p>
    <w:p w14:paraId="56B23E15" w14:textId="4664AA83"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WTTC (2020) </w:t>
      </w:r>
      <w:r w:rsidRPr="00540BE5">
        <w:rPr>
          <w:i/>
          <w:color w:val="222222"/>
          <w:sz w:val="24"/>
          <w:szCs w:val="24"/>
          <w:highlight w:val="white"/>
          <w:lang w:val="en-GB"/>
        </w:rPr>
        <w:t>Global economic impact trends 2020 - home | WTTC</w:t>
      </w:r>
      <w:r w:rsidRPr="00540BE5">
        <w:rPr>
          <w:color w:val="222222"/>
          <w:sz w:val="24"/>
          <w:szCs w:val="24"/>
          <w:highlight w:val="white"/>
          <w:lang w:val="en-GB"/>
        </w:rPr>
        <w:t xml:space="preserve">, </w:t>
      </w:r>
      <w:r w:rsidRPr="00540BE5">
        <w:rPr>
          <w:i/>
          <w:color w:val="222222"/>
          <w:sz w:val="24"/>
          <w:szCs w:val="24"/>
          <w:highlight w:val="white"/>
          <w:lang w:val="en-GB"/>
        </w:rPr>
        <w:t>WTTC</w:t>
      </w:r>
      <w:r w:rsidRPr="00540BE5">
        <w:rPr>
          <w:color w:val="222222"/>
          <w:sz w:val="24"/>
          <w:szCs w:val="24"/>
          <w:highlight w:val="white"/>
          <w:lang w:val="en-GB"/>
        </w:rPr>
        <w:t xml:space="preserve">. Available at: https://wttc.org/Portals/0/Documents/Reports/2020/Global%20Economic%20Impact%20Trends%202020.pdf?ver=2021-02-25-183118-360 (Accessed: </w:t>
      </w:r>
      <w:r w:rsidR="008D6CC8">
        <w:rPr>
          <w:color w:val="222222"/>
          <w:sz w:val="24"/>
          <w:szCs w:val="24"/>
          <w:highlight w:val="white"/>
          <w:lang w:val="en-GB"/>
        </w:rPr>
        <w:t>9</w:t>
      </w:r>
      <w:r w:rsidRPr="00540BE5">
        <w:rPr>
          <w:color w:val="222222"/>
          <w:sz w:val="24"/>
          <w:szCs w:val="24"/>
          <w:highlight w:val="white"/>
          <w:lang w:val="en-GB"/>
        </w:rPr>
        <w:t xml:space="preserve"> October 2023). </w:t>
      </w:r>
    </w:p>
    <w:p w14:paraId="0F048FF6" w14:textId="5BD4F922"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Xie, Y., 2022, April. Corporate Social Responsibility: Concept and Cases. In </w:t>
      </w:r>
      <w:r w:rsidRPr="00540BE5">
        <w:rPr>
          <w:i/>
          <w:color w:val="222222"/>
          <w:sz w:val="24"/>
          <w:szCs w:val="24"/>
          <w:highlight w:val="white"/>
          <w:lang w:val="en-GB"/>
        </w:rPr>
        <w:t>2022 7th International Conference on Social Sciences and Economic Development (ICSSED 2022)</w:t>
      </w:r>
      <w:r w:rsidRPr="00540BE5">
        <w:rPr>
          <w:color w:val="222222"/>
          <w:sz w:val="24"/>
          <w:szCs w:val="24"/>
          <w:highlight w:val="white"/>
          <w:lang w:val="en-GB"/>
        </w:rPr>
        <w:t xml:space="preserve"> (pp. 1394-1399). Atlantis Press. Available at: </w:t>
      </w:r>
      <w:hyperlink r:id="rId25">
        <w:r w:rsidRPr="00540BE5">
          <w:rPr>
            <w:color w:val="1155CC"/>
            <w:sz w:val="24"/>
            <w:szCs w:val="24"/>
            <w:highlight w:val="white"/>
            <w:u w:val="single"/>
            <w:lang w:val="en-GB"/>
          </w:rPr>
          <w:t>https://www.atlantis-press.com/proceedings/icssed-22/125973890</w:t>
        </w:r>
      </w:hyperlink>
      <w:r w:rsidRPr="00540BE5">
        <w:rPr>
          <w:color w:val="222222"/>
          <w:sz w:val="24"/>
          <w:szCs w:val="24"/>
          <w:highlight w:val="white"/>
          <w:lang w:val="en-GB"/>
        </w:rPr>
        <w:t xml:space="preserve"> [Accessed  </w:t>
      </w:r>
      <w:r w:rsidR="008D6CC8">
        <w:rPr>
          <w:color w:val="222222"/>
          <w:sz w:val="24"/>
          <w:szCs w:val="24"/>
          <w:highlight w:val="white"/>
          <w:lang w:val="en-GB"/>
        </w:rPr>
        <w:t xml:space="preserve">7 </w:t>
      </w:r>
      <w:r w:rsidRPr="00540BE5">
        <w:rPr>
          <w:color w:val="222222"/>
          <w:sz w:val="24"/>
          <w:szCs w:val="24"/>
          <w:highlight w:val="white"/>
          <w:lang w:val="en-GB"/>
        </w:rPr>
        <w:t>October 2023]</w:t>
      </w:r>
    </w:p>
    <w:p w14:paraId="3D138C29" w14:textId="3A2C7678"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Xu, L., Mohammad, S.J., Nawaz, N., Samad, S., Ahmad, N. and Comite, U., 2022. The role of CSR for de-carbonization of hospitality sector through employees: A leadership perspective. </w:t>
      </w:r>
      <w:r w:rsidRPr="00540BE5">
        <w:rPr>
          <w:i/>
          <w:color w:val="222222"/>
          <w:sz w:val="24"/>
          <w:szCs w:val="24"/>
          <w:highlight w:val="white"/>
          <w:lang w:val="en-GB"/>
        </w:rPr>
        <w:t>Sustainability</w:t>
      </w:r>
      <w:r w:rsidRPr="00540BE5">
        <w:rPr>
          <w:color w:val="222222"/>
          <w:sz w:val="24"/>
          <w:szCs w:val="24"/>
          <w:highlight w:val="white"/>
          <w:lang w:val="en-GB"/>
        </w:rPr>
        <w:t xml:space="preserve">, </w:t>
      </w:r>
      <w:r w:rsidRPr="00540BE5">
        <w:rPr>
          <w:i/>
          <w:color w:val="222222"/>
          <w:sz w:val="24"/>
          <w:szCs w:val="24"/>
          <w:highlight w:val="white"/>
          <w:lang w:val="en-GB"/>
        </w:rPr>
        <w:t>14</w:t>
      </w:r>
      <w:r w:rsidRPr="00540BE5">
        <w:rPr>
          <w:color w:val="222222"/>
          <w:sz w:val="24"/>
          <w:szCs w:val="24"/>
          <w:highlight w:val="white"/>
          <w:lang w:val="en-GB"/>
        </w:rPr>
        <w:t xml:space="preserve">(9), p.5365. Available at: </w:t>
      </w:r>
      <w:hyperlink r:id="rId26">
        <w:r w:rsidRPr="00540BE5">
          <w:rPr>
            <w:color w:val="1155CC"/>
            <w:sz w:val="24"/>
            <w:szCs w:val="24"/>
            <w:highlight w:val="white"/>
            <w:u w:val="single"/>
            <w:lang w:val="en-GB"/>
          </w:rPr>
          <w:t>https://www.mdpi.com/2071-1050/14/9/5365</w:t>
        </w:r>
      </w:hyperlink>
      <w:r w:rsidRPr="00540BE5">
        <w:rPr>
          <w:color w:val="222222"/>
          <w:sz w:val="24"/>
          <w:szCs w:val="24"/>
          <w:highlight w:val="white"/>
          <w:lang w:val="en-GB"/>
        </w:rPr>
        <w:t xml:space="preserve"> [Accessed 1</w:t>
      </w:r>
      <w:r w:rsidR="008D6CC8">
        <w:rPr>
          <w:color w:val="222222"/>
          <w:sz w:val="24"/>
          <w:szCs w:val="24"/>
          <w:highlight w:val="white"/>
          <w:lang w:val="en-GB"/>
        </w:rPr>
        <w:t>2</w:t>
      </w:r>
      <w:r w:rsidRPr="00540BE5">
        <w:rPr>
          <w:color w:val="222222"/>
          <w:sz w:val="24"/>
          <w:szCs w:val="24"/>
          <w:highlight w:val="white"/>
          <w:lang w:val="en-GB"/>
        </w:rPr>
        <w:t xml:space="preserve"> October 2023]</w:t>
      </w:r>
    </w:p>
    <w:p w14:paraId="31F4D8C9" w14:textId="1357369A" w:rsidR="00284598" w:rsidRPr="00540BE5" w:rsidRDefault="00284598" w:rsidP="00540BE5">
      <w:pPr>
        <w:spacing w:before="240" w:after="240" w:line="360" w:lineRule="auto"/>
        <w:jc w:val="both"/>
        <w:rPr>
          <w:color w:val="222222"/>
          <w:sz w:val="24"/>
          <w:szCs w:val="24"/>
          <w:highlight w:val="white"/>
          <w:lang w:val="en-GB"/>
        </w:rPr>
      </w:pPr>
      <w:r w:rsidRPr="00540BE5">
        <w:rPr>
          <w:color w:val="222222"/>
          <w:sz w:val="24"/>
          <w:szCs w:val="24"/>
          <w:highlight w:val="white"/>
          <w:lang w:val="en-GB"/>
        </w:rPr>
        <w:t xml:space="preserve">Zhang, Q. and Ahmad, S., 2022. Linking corporate social responsibility, consumer identification and purchasing intention. </w:t>
      </w:r>
      <w:r w:rsidRPr="00540BE5">
        <w:rPr>
          <w:i/>
          <w:color w:val="222222"/>
          <w:sz w:val="24"/>
          <w:szCs w:val="24"/>
          <w:highlight w:val="white"/>
          <w:lang w:val="en-GB"/>
        </w:rPr>
        <w:t>Sustainability</w:t>
      </w:r>
      <w:r w:rsidRPr="00540BE5">
        <w:rPr>
          <w:color w:val="222222"/>
          <w:sz w:val="24"/>
          <w:szCs w:val="24"/>
          <w:highlight w:val="white"/>
          <w:lang w:val="en-GB"/>
        </w:rPr>
        <w:t xml:space="preserve">, </w:t>
      </w:r>
      <w:r w:rsidRPr="00540BE5">
        <w:rPr>
          <w:i/>
          <w:color w:val="222222"/>
          <w:sz w:val="24"/>
          <w:szCs w:val="24"/>
          <w:highlight w:val="white"/>
          <w:lang w:val="en-GB"/>
        </w:rPr>
        <w:t>14</w:t>
      </w:r>
      <w:r w:rsidRPr="00540BE5">
        <w:rPr>
          <w:color w:val="222222"/>
          <w:sz w:val="24"/>
          <w:szCs w:val="24"/>
          <w:highlight w:val="white"/>
          <w:lang w:val="en-GB"/>
        </w:rPr>
        <w:t>(19), p.12552. Available at:</w:t>
      </w:r>
      <w:r w:rsidR="00540BE5" w:rsidRPr="00540BE5">
        <w:rPr>
          <w:color w:val="222222"/>
          <w:sz w:val="24"/>
          <w:szCs w:val="24"/>
          <w:lang w:val="en-GB"/>
        </w:rPr>
        <w:t xml:space="preserve"> </w:t>
      </w:r>
      <w:hyperlink r:id="rId27" w:history="1">
        <w:r w:rsidR="00540BE5" w:rsidRPr="00540BE5">
          <w:rPr>
            <w:rStyle w:val="Hyperlink"/>
            <w:sz w:val="24"/>
            <w:szCs w:val="24"/>
            <w:highlight w:val="white"/>
            <w:lang w:val="en-GB"/>
          </w:rPr>
          <w:t>https://www.mdpi.com/2071-1050/14/19/12552</w:t>
        </w:r>
      </w:hyperlink>
      <w:r w:rsidRPr="00540BE5">
        <w:rPr>
          <w:color w:val="222222"/>
          <w:sz w:val="24"/>
          <w:szCs w:val="24"/>
          <w:highlight w:val="white"/>
          <w:lang w:val="en-GB"/>
        </w:rPr>
        <w:t xml:space="preserve">  [Accessed 1</w:t>
      </w:r>
      <w:r w:rsidR="008D6CC8">
        <w:rPr>
          <w:color w:val="222222"/>
          <w:sz w:val="24"/>
          <w:szCs w:val="24"/>
          <w:highlight w:val="white"/>
          <w:lang w:val="en-GB"/>
        </w:rPr>
        <w:t>2</w:t>
      </w:r>
      <w:r w:rsidRPr="00540BE5">
        <w:rPr>
          <w:color w:val="222222"/>
          <w:sz w:val="24"/>
          <w:szCs w:val="24"/>
          <w:highlight w:val="white"/>
          <w:lang w:val="en-GB"/>
        </w:rPr>
        <w:t xml:space="preserve"> October 2023]</w:t>
      </w:r>
    </w:p>
    <w:p w14:paraId="00000057" w14:textId="77777777" w:rsidR="003A7822" w:rsidRPr="00284598" w:rsidRDefault="003A7822">
      <w:pPr>
        <w:spacing w:before="240" w:after="240" w:line="360" w:lineRule="auto"/>
        <w:jc w:val="both"/>
        <w:rPr>
          <w:color w:val="222222"/>
          <w:sz w:val="20"/>
          <w:szCs w:val="20"/>
          <w:highlight w:val="white"/>
          <w:lang w:val="en-GB"/>
        </w:rPr>
      </w:pPr>
    </w:p>
    <w:p w14:paraId="00000058" w14:textId="77777777" w:rsidR="003A7822" w:rsidRPr="00284598" w:rsidRDefault="0076293E">
      <w:pPr>
        <w:spacing w:before="240" w:after="240" w:line="360" w:lineRule="auto"/>
        <w:jc w:val="both"/>
        <w:rPr>
          <w:color w:val="222222"/>
          <w:sz w:val="20"/>
          <w:szCs w:val="20"/>
          <w:highlight w:val="white"/>
          <w:lang w:val="en-GB"/>
        </w:rPr>
      </w:pPr>
      <w:r w:rsidRPr="00284598">
        <w:rPr>
          <w:color w:val="222222"/>
          <w:sz w:val="20"/>
          <w:szCs w:val="20"/>
          <w:highlight w:val="white"/>
          <w:lang w:val="en-GB"/>
        </w:rPr>
        <w:t xml:space="preserve"> </w:t>
      </w:r>
    </w:p>
    <w:p w14:paraId="00000059" w14:textId="77777777" w:rsidR="003A7822" w:rsidRPr="00284598" w:rsidRDefault="003A7822">
      <w:pPr>
        <w:spacing w:before="240" w:after="240" w:line="360" w:lineRule="auto"/>
        <w:jc w:val="both"/>
        <w:rPr>
          <w:color w:val="222222"/>
          <w:sz w:val="20"/>
          <w:szCs w:val="20"/>
          <w:highlight w:val="white"/>
          <w:lang w:val="en-GB"/>
        </w:rPr>
      </w:pPr>
    </w:p>
    <w:p w14:paraId="0000005A" w14:textId="77777777" w:rsidR="003A7822" w:rsidRPr="00284598" w:rsidRDefault="003A7822">
      <w:pPr>
        <w:spacing w:before="240" w:after="240" w:line="360" w:lineRule="auto"/>
        <w:jc w:val="both"/>
        <w:rPr>
          <w:color w:val="222222"/>
          <w:sz w:val="20"/>
          <w:szCs w:val="20"/>
          <w:highlight w:val="white"/>
          <w:lang w:val="en-GB"/>
        </w:rPr>
      </w:pPr>
    </w:p>
    <w:p w14:paraId="0000005B" w14:textId="77777777" w:rsidR="003A7822" w:rsidRPr="00284598" w:rsidRDefault="003A7822">
      <w:pPr>
        <w:spacing w:before="240" w:after="240" w:line="360" w:lineRule="auto"/>
        <w:jc w:val="both"/>
        <w:rPr>
          <w:color w:val="222222"/>
          <w:sz w:val="20"/>
          <w:szCs w:val="20"/>
          <w:highlight w:val="white"/>
          <w:lang w:val="en-GB"/>
        </w:rPr>
      </w:pPr>
    </w:p>
    <w:p w14:paraId="0000005C" w14:textId="77777777" w:rsidR="003A7822" w:rsidRPr="00284598" w:rsidRDefault="003A7822">
      <w:pPr>
        <w:spacing w:before="240" w:after="240" w:line="360" w:lineRule="auto"/>
        <w:jc w:val="both"/>
        <w:rPr>
          <w:color w:val="222222"/>
          <w:sz w:val="20"/>
          <w:szCs w:val="20"/>
          <w:highlight w:val="white"/>
          <w:lang w:val="en-GB"/>
        </w:rPr>
      </w:pPr>
    </w:p>
    <w:p w14:paraId="0000005D" w14:textId="77777777" w:rsidR="003A7822" w:rsidRPr="00284598" w:rsidRDefault="0076293E">
      <w:pPr>
        <w:spacing w:before="240" w:after="240" w:line="360" w:lineRule="auto"/>
        <w:jc w:val="both"/>
        <w:rPr>
          <w:color w:val="222222"/>
          <w:sz w:val="20"/>
          <w:szCs w:val="20"/>
          <w:highlight w:val="white"/>
          <w:lang w:val="en-GB"/>
        </w:rPr>
      </w:pPr>
      <w:r w:rsidRPr="00284598">
        <w:rPr>
          <w:color w:val="222222"/>
          <w:sz w:val="20"/>
          <w:szCs w:val="20"/>
          <w:highlight w:val="white"/>
          <w:lang w:val="en-GB"/>
        </w:rPr>
        <w:t xml:space="preserve"> </w:t>
      </w:r>
    </w:p>
    <w:p w14:paraId="0000005E" w14:textId="77777777" w:rsidR="003A7822" w:rsidRPr="00284598" w:rsidRDefault="0076293E">
      <w:pPr>
        <w:spacing w:before="240" w:after="240" w:line="360" w:lineRule="auto"/>
        <w:jc w:val="both"/>
        <w:rPr>
          <w:color w:val="222222"/>
          <w:sz w:val="20"/>
          <w:szCs w:val="20"/>
          <w:highlight w:val="white"/>
          <w:lang w:val="en-GB"/>
        </w:rPr>
      </w:pPr>
      <w:r w:rsidRPr="00284598">
        <w:rPr>
          <w:color w:val="222222"/>
          <w:sz w:val="20"/>
          <w:szCs w:val="20"/>
          <w:highlight w:val="white"/>
          <w:lang w:val="en-GB"/>
        </w:rPr>
        <w:t xml:space="preserve"> </w:t>
      </w:r>
    </w:p>
    <w:p w14:paraId="0000006A" w14:textId="7E60F258" w:rsidR="003A7822" w:rsidRPr="00540BE5" w:rsidRDefault="003A7822" w:rsidP="00540BE5">
      <w:pPr>
        <w:spacing w:before="240" w:after="240" w:line="360" w:lineRule="auto"/>
        <w:jc w:val="both"/>
        <w:rPr>
          <w:color w:val="222222"/>
          <w:sz w:val="20"/>
          <w:szCs w:val="20"/>
          <w:highlight w:val="white"/>
          <w:lang w:val="en-GB"/>
        </w:rPr>
      </w:pPr>
    </w:p>
    <w:sectPr w:rsidR="003A7822" w:rsidRPr="00540BE5" w:rsidSect="00284598">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334F0" w14:textId="77777777" w:rsidR="000912FE" w:rsidRDefault="000912FE" w:rsidP="00284598">
      <w:pPr>
        <w:spacing w:line="240" w:lineRule="auto"/>
      </w:pPr>
      <w:r>
        <w:separator/>
      </w:r>
    </w:p>
  </w:endnote>
  <w:endnote w:type="continuationSeparator" w:id="0">
    <w:p w14:paraId="528FFCC3" w14:textId="77777777" w:rsidR="000912FE" w:rsidRDefault="000912FE" w:rsidP="002845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776351"/>
      <w:docPartObj>
        <w:docPartGallery w:val="Page Numbers (Bottom of Page)"/>
        <w:docPartUnique/>
      </w:docPartObj>
    </w:sdtPr>
    <w:sdtEndPr>
      <w:rPr>
        <w:noProof/>
      </w:rPr>
    </w:sdtEndPr>
    <w:sdtContent>
      <w:p w14:paraId="2402FF8B" w14:textId="4DABF5CD" w:rsidR="00284598" w:rsidRDefault="00284598">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5BF89C02" w14:textId="77777777" w:rsidR="00284598" w:rsidRDefault="00284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CE7AD" w14:textId="77777777" w:rsidR="000912FE" w:rsidRDefault="000912FE" w:rsidP="00284598">
      <w:pPr>
        <w:spacing w:line="240" w:lineRule="auto"/>
      </w:pPr>
      <w:r>
        <w:separator/>
      </w:r>
    </w:p>
  </w:footnote>
  <w:footnote w:type="continuationSeparator" w:id="0">
    <w:p w14:paraId="62386B02" w14:textId="77777777" w:rsidR="000912FE" w:rsidRDefault="000912FE" w:rsidP="002845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822"/>
    <w:rsid w:val="000912FE"/>
    <w:rsid w:val="00284598"/>
    <w:rsid w:val="003A7822"/>
    <w:rsid w:val="00540BE5"/>
    <w:rsid w:val="0076293E"/>
    <w:rsid w:val="008D6C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8B2766"/>
  <w15:docId w15:val="{92709AA5-70C0-41F9-9FDE-3BDD5FEFF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28459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28459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84598"/>
    <w:pPr>
      <w:spacing w:after="100"/>
    </w:pPr>
  </w:style>
  <w:style w:type="character" w:styleId="Hyperlink">
    <w:name w:val="Hyperlink"/>
    <w:basedOn w:val="DefaultParagraphFont"/>
    <w:uiPriority w:val="99"/>
    <w:unhideWhenUsed/>
    <w:rsid w:val="00284598"/>
    <w:rPr>
      <w:color w:val="0000FF" w:themeColor="hyperlink"/>
      <w:u w:val="single"/>
    </w:rPr>
  </w:style>
  <w:style w:type="paragraph" w:styleId="Header">
    <w:name w:val="header"/>
    <w:basedOn w:val="Normal"/>
    <w:link w:val="HeaderChar"/>
    <w:uiPriority w:val="99"/>
    <w:unhideWhenUsed/>
    <w:rsid w:val="00284598"/>
    <w:pPr>
      <w:tabs>
        <w:tab w:val="center" w:pos="4513"/>
        <w:tab w:val="right" w:pos="9026"/>
      </w:tabs>
      <w:spacing w:line="240" w:lineRule="auto"/>
    </w:pPr>
  </w:style>
  <w:style w:type="character" w:customStyle="1" w:styleId="HeaderChar">
    <w:name w:val="Header Char"/>
    <w:basedOn w:val="DefaultParagraphFont"/>
    <w:link w:val="Header"/>
    <w:uiPriority w:val="99"/>
    <w:rsid w:val="00284598"/>
  </w:style>
  <w:style w:type="paragraph" w:styleId="Footer">
    <w:name w:val="footer"/>
    <w:basedOn w:val="Normal"/>
    <w:link w:val="FooterChar"/>
    <w:uiPriority w:val="99"/>
    <w:unhideWhenUsed/>
    <w:rsid w:val="00284598"/>
    <w:pPr>
      <w:tabs>
        <w:tab w:val="center" w:pos="4513"/>
        <w:tab w:val="right" w:pos="9026"/>
      </w:tabs>
      <w:spacing w:line="240" w:lineRule="auto"/>
    </w:pPr>
  </w:style>
  <w:style w:type="character" w:customStyle="1" w:styleId="FooterChar">
    <w:name w:val="Footer Char"/>
    <w:basedOn w:val="DefaultParagraphFont"/>
    <w:link w:val="Footer"/>
    <w:uiPriority w:val="99"/>
    <w:rsid w:val="00284598"/>
  </w:style>
  <w:style w:type="character" w:styleId="UnresolvedMention">
    <w:name w:val="Unresolved Mention"/>
    <w:basedOn w:val="DefaultParagraphFont"/>
    <w:uiPriority w:val="99"/>
    <w:semiHidden/>
    <w:unhideWhenUsed/>
    <w:rsid w:val="00540BE5"/>
    <w:rPr>
      <w:color w:val="605E5C"/>
      <w:shd w:val="clear" w:color="auto" w:fill="E1DFDD"/>
    </w:rPr>
  </w:style>
  <w:style w:type="paragraph" w:styleId="NoSpacing">
    <w:name w:val="No Spacing"/>
    <w:uiPriority w:val="1"/>
    <w:qFormat/>
    <w:rsid w:val="00540BE5"/>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MEDAR-11-2020-1097/full/html" TargetMode="External"/><Relationship Id="rId13" Type="http://schemas.openxmlformats.org/officeDocument/2006/relationships/hyperlink" Target="https://repositorio.ucp.pt/handle/10400.14/41371" TargetMode="External"/><Relationship Id="rId18" Type="http://schemas.openxmlformats.org/officeDocument/2006/relationships/hyperlink" Target="https://www.sciencedirect.com/science/article/abs/pii/S2542660519301386" TargetMode="External"/><Relationship Id="rId26" Type="http://schemas.openxmlformats.org/officeDocument/2006/relationships/hyperlink" Target="https://www.mdpi.com/2071-1050/14/9/5365" TargetMode="External"/><Relationship Id="rId3" Type="http://schemas.openxmlformats.org/officeDocument/2006/relationships/settings" Target="settings.xml"/><Relationship Id="rId21" Type="http://schemas.openxmlformats.org/officeDocument/2006/relationships/hyperlink" Target="https://dl.acm.org/doi/abs/10.1145/3491102.3517518" TargetMode="External"/><Relationship Id="rId7" Type="http://schemas.openxmlformats.org/officeDocument/2006/relationships/hyperlink" Target="https://www.mdpi.com/2071-1050/12/22/9624" TargetMode="External"/><Relationship Id="rId12" Type="http://schemas.openxmlformats.org/officeDocument/2006/relationships/hyperlink" Target="https://books.google.co.in/books?hl=en&amp;lr=&amp;id=6kCgCwAAQBAJ&amp;oi=fnd&amp;pg=PA93&amp;dq=Hospitality+With+a+substantial+footprint+through+energy+and+water+usage,+waste+generation,+and+consumption+of+goods,+this+industry+is+at+a+pivotal+juncture+where+Corporate+Social+Responsibility+(CSR)+is+not+just+an+ethical+choice+but+a+business+imperative.+&amp;ots=fTyL6dQDbw&amp;sig=8aENvH9rHhVGlY7VcJElqkzZPjk&amp;redir_esc=y" TargetMode="External"/><Relationship Id="rId17" Type="http://schemas.openxmlformats.org/officeDocument/2006/relationships/hyperlink" Target="https://epublications.vu.lt/object/elaba:157856838/" TargetMode="External"/><Relationship Id="rId25" Type="http://schemas.openxmlformats.org/officeDocument/2006/relationships/hyperlink" Target="https://www.atlantis-press.com/proceedings/icssed-22/125973890" TargetMode="External"/><Relationship Id="rId2" Type="http://schemas.openxmlformats.org/officeDocument/2006/relationships/styles" Target="styles.xml"/><Relationship Id="rId16" Type="http://schemas.openxmlformats.org/officeDocument/2006/relationships/hyperlink" Target="https://kukr.lib.ku.ac.th/proceedings/kucon/search_detail/dowload_digital_file/409048/145166" TargetMode="External"/><Relationship Id="rId20" Type="http://schemas.openxmlformats.org/officeDocument/2006/relationships/hyperlink" Target="https://static1.squarespace.com/static/5b6df958f8370af3217d4178/t/616736a444c6ca5cb23d5966/1634154148488/NYU+CBHR+ESG+Report_FINAL+BLUE+LINKS+REVISED+Oct13.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rontiersin.org/articles/10.3389/fpsyg.2021.767968/full" TargetMode="External"/><Relationship Id="rId24" Type="http://schemas.openxmlformats.org/officeDocument/2006/relationships/hyperlink" Target="https://link.springer.com/article/10.1007/s13132-023-01185-0" TargetMode="External"/><Relationship Id="rId5" Type="http://schemas.openxmlformats.org/officeDocument/2006/relationships/footnotes" Target="footnotes.xml"/><Relationship Id="rId15" Type="http://schemas.openxmlformats.org/officeDocument/2006/relationships/hyperlink" Target="https://www.emerald.com/insight/content/doi/10.1108/IJCHM-11-2014-0572/full/html" TargetMode="External"/><Relationship Id="rId23" Type="http://schemas.openxmlformats.org/officeDocument/2006/relationships/hyperlink" Target="https://books.google.co.in/books?hl=en&amp;lr=&amp;id=AFKkEAAAQBAJ&amp;oi=fnd&amp;pg=PT7&amp;dq=The+ripple+effect+of+regulations+and+competitive+initiatives+underlines+the+belief+that+CSR+is+no+longer+optional+but+rather+an+integral+part+of+doing+business+in+the+21st-century+hotel+industry&amp;ots=H8QcFk7Omh&amp;sig=fXUSK3udLtVpWkl1_pnijxqhauU&amp;redir_esc=y" TargetMode="External"/><Relationship Id="rId28" Type="http://schemas.openxmlformats.org/officeDocument/2006/relationships/footer" Target="footer1.xml"/><Relationship Id="rId10" Type="http://schemas.openxmlformats.org/officeDocument/2006/relationships/hyperlink" Target="https://www.mdpi.com/2071-1050/12/17/7089" TargetMode="External"/><Relationship Id="rId19" Type="http://schemas.openxmlformats.org/officeDocument/2006/relationships/hyperlink" Target="https://journals.co.za/doi/abs/10.10520/ejc-mandyn_v30_n3_a1" TargetMode="External"/><Relationship Id="rId4" Type="http://schemas.openxmlformats.org/officeDocument/2006/relationships/webSettings" Target="webSettings.xml"/><Relationship Id="rId9" Type="http://schemas.openxmlformats.org/officeDocument/2006/relationships/hyperlink" Target="https://www.mdpi.com/2673-5172/4/1/10" TargetMode="External"/><Relationship Id="rId14" Type="http://schemas.openxmlformats.org/officeDocument/2006/relationships/hyperlink" Target="https://www.sciencedirect.com/science/article/abs/pii/S1057521922003325" TargetMode="External"/><Relationship Id="rId22" Type="http://schemas.openxmlformats.org/officeDocument/2006/relationships/hyperlink" Target="https://purehost.bath.ac.uk/ws/portalfiles/portal/226492759/Corrected_Thesis_Alisha_Tuladhar.pdf" TargetMode="External"/><Relationship Id="rId27" Type="http://schemas.openxmlformats.org/officeDocument/2006/relationships/hyperlink" Target="https://www.mdpi.com/2071-1050/14/19/1255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067D3-1026-4F9B-9FBC-6C4BBA11D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3898</Words>
  <Characters>22222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2</cp:revision>
  <dcterms:created xsi:type="dcterms:W3CDTF">2023-10-11T11:39:00Z</dcterms:created>
  <dcterms:modified xsi:type="dcterms:W3CDTF">2023-10-11T22:10:00Z</dcterms:modified>
</cp:coreProperties>
</file>