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040596186"/>
        <w:docPartObj>
          <w:docPartGallery w:val="Cover Pages"/>
          <w:docPartUnique/>
        </w:docPartObj>
      </w:sdtPr>
      <w:sdtEndPr>
        <w:rPr>
          <w:color w:val="auto"/>
        </w:rPr>
      </w:sdtEndPr>
      <w:sdtContent>
        <w:p w14:paraId="7BFF1A2C" w14:textId="0F02ECDD" w:rsidR="00030995" w:rsidRDefault="00030995">
          <w:pPr>
            <w:pStyle w:val="NoSpacing"/>
            <w:spacing w:before="1540" w:after="240"/>
            <w:jc w:val="center"/>
            <w:rPr>
              <w:color w:val="156082" w:themeColor="accent1"/>
            </w:rPr>
          </w:pPr>
        </w:p>
        <w:sdt>
          <w:sdtPr>
            <w:rPr>
              <w:rFonts w:ascii="Bodoni MT Black" w:eastAsiaTheme="majorEastAsia" w:hAnsi="Bodoni MT Black" w:cstheme="majorBidi"/>
              <w:caps/>
              <w:color w:val="156082" w:themeColor="accent1"/>
              <w:sz w:val="36"/>
              <w:szCs w:val="36"/>
            </w:rPr>
            <w:alias w:val="Title"/>
            <w:tag w:val=""/>
            <w:id w:val="1735040861"/>
            <w:placeholder>
              <w:docPart w:val="F948006962F64ABA86F3986F576029BD"/>
            </w:placeholder>
            <w:dataBinding w:prefixMappings="xmlns:ns0='http://purl.org/dc/elements/1.1/' xmlns:ns1='http://schemas.openxmlformats.org/package/2006/metadata/core-properties' " w:xpath="/ns1:coreProperties[1]/ns0:title[1]" w:storeItemID="{6C3C8BC8-F283-45AE-878A-BAB7291924A1}"/>
            <w:text/>
          </w:sdtPr>
          <w:sdtContent>
            <w:p w14:paraId="049C131B" w14:textId="3FB4AD57" w:rsidR="00030995" w:rsidRPr="00EB0735" w:rsidRDefault="00D30E25">
              <w:pPr>
                <w:pStyle w:val="NoSpacing"/>
                <w:pBdr>
                  <w:top w:val="single" w:sz="6" w:space="6" w:color="156082" w:themeColor="accent1"/>
                  <w:bottom w:val="single" w:sz="6" w:space="6" w:color="156082" w:themeColor="accent1"/>
                </w:pBdr>
                <w:spacing w:after="240"/>
                <w:jc w:val="center"/>
                <w:rPr>
                  <w:rFonts w:ascii="Bodoni MT Black" w:eastAsiaTheme="majorEastAsia" w:hAnsi="Bodoni MT Black" w:cstheme="majorBidi"/>
                  <w:caps/>
                  <w:color w:val="156082" w:themeColor="accent1"/>
                  <w:sz w:val="36"/>
                  <w:szCs w:val="36"/>
                </w:rPr>
              </w:pPr>
              <w:r w:rsidRPr="00EB0735">
                <w:rPr>
                  <w:rFonts w:ascii="Bodoni MT Black" w:eastAsiaTheme="majorEastAsia" w:hAnsi="Bodoni MT Black" w:cstheme="majorBidi"/>
                  <w:caps/>
                  <w:color w:val="156082" w:themeColor="accent1"/>
                  <w:sz w:val="36"/>
                  <w:szCs w:val="36"/>
                </w:rPr>
                <w:t>Design Think</w:t>
              </w:r>
              <w:r w:rsidR="00EB0735" w:rsidRPr="00EB0735">
                <w:rPr>
                  <w:rFonts w:ascii="Bodoni MT Black" w:eastAsiaTheme="majorEastAsia" w:hAnsi="Bodoni MT Black" w:cstheme="majorBidi"/>
                  <w:caps/>
                  <w:color w:val="156082" w:themeColor="accent1"/>
                  <w:sz w:val="36"/>
                  <w:szCs w:val="36"/>
                </w:rPr>
                <w:t>ing and Innovation</w:t>
              </w:r>
            </w:p>
          </w:sdtContent>
        </w:sdt>
        <w:sdt>
          <w:sdtPr>
            <w:rPr>
              <w:rFonts w:ascii="Arial" w:hAnsi="Arial" w:cs="Arial"/>
              <w:color w:val="156082" w:themeColor="accent1"/>
              <w:sz w:val="28"/>
              <w:szCs w:val="28"/>
            </w:rPr>
            <w:alias w:val="Subtitle"/>
            <w:tag w:val=""/>
            <w:id w:val="328029620"/>
            <w:placeholder>
              <w:docPart w:val="A70F197C3A1E46BD8CD782AD53E5F987"/>
            </w:placeholder>
            <w:dataBinding w:prefixMappings="xmlns:ns0='http://purl.org/dc/elements/1.1/' xmlns:ns1='http://schemas.openxmlformats.org/package/2006/metadata/core-properties' " w:xpath="/ns1:coreProperties[1]/ns0:subject[1]" w:storeItemID="{6C3C8BC8-F283-45AE-878A-BAB7291924A1}"/>
            <w:text/>
          </w:sdtPr>
          <w:sdtContent>
            <w:p w14:paraId="7295B5DE" w14:textId="712A1A4E" w:rsidR="00030995" w:rsidRPr="00EB0735" w:rsidRDefault="00D30E25">
              <w:pPr>
                <w:pStyle w:val="NoSpacing"/>
                <w:jc w:val="center"/>
                <w:rPr>
                  <w:rFonts w:ascii="Arial" w:hAnsi="Arial" w:cs="Arial"/>
                  <w:color w:val="156082" w:themeColor="accent1"/>
                  <w:sz w:val="28"/>
                  <w:szCs w:val="28"/>
                </w:rPr>
              </w:pPr>
              <w:r w:rsidRPr="00EB0735">
                <w:rPr>
                  <w:rFonts w:ascii="Arial" w:hAnsi="Arial" w:cs="Arial"/>
                  <w:color w:val="156082" w:themeColor="accent1"/>
                  <w:sz w:val="28"/>
                  <w:szCs w:val="28"/>
                </w:rPr>
                <w:t>Written Report</w:t>
              </w:r>
            </w:p>
          </w:sdtContent>
        </w:sdt>
        <w:p w14:paraId="44DCDA84" w14:textId="12D81AD7" w:rsidR="00045BBC" w:rsidRDefault="00EB0735">
          <w:pPr>
            <w:pStyle w:val="NoSpacing"/>
            <w:spacing w:before="480"/>
            <w:jc w:val="center"/>
          </w:pPr>
          <w:r>
            <w:rPr>
              <w:noProof/>
            </w:rPr>
            <mc:AlternateContent>
              <mc:Choice Requires="wps">
                <w:drawing>
                  <wp:anchor distT="0" distB="0" distL="228600" distR="228600" simplePos="0" relativeHeight="251660288" behindDoc="0" locked="0" layoutInCell="1" allowOverlap="1" wp14:anchorId="73E57048" wp14:editId="5A242455">
                    <wp:simplePos x="0" y="0"/>
                    <wp:positionH relativeFrom="margin">
                      <wp:align>right</wp:align>
                    </wp:positionH>
                    <wp:positionV relativeFrom="margin">
                      <wp:posOffset>2712720</wp:posOffset>
                    </wp:positionV>
                    <wp:extent cx="2390775" cy="5410200"/>
                    <wp:effectExtent l="19050" t="0" r="9525" b="0"/>
                    <wp:wrapSquare wrapText="bothSides"/>
                    <wp:docPr id="141" name="Text Box 143"/>
                    <wp:cNvGraphicFramePr/>
                    <a:graphic xmlns:a="http://schemas.openxmlformats.org/drawingml/2006/main">
                      <a:graphicData uri="http://schemas.microsoft.com/office/word/2010/wordprocessingShape">
                        <wps:wsp>
                          <wps:cNvSpPr txBox="1"/>
                          <wps:spPr>
                            <a:xfrm>
                              <a:off x="0" y="0"/>
                              <a:ext cx="2390775" cy="5410200"/>
                            </a:xfrm>
                            <a:prstGeom prst="rect">
                              <a:avLst/>
                            </a:prstGeom>
                            <a:solidFill>
                              <a:schemeClr val="bg1"/>
                            </a:solidFill>
                            <a:ln w="6350">
                              <a:noFill/>
                            </a:ln>
                            <a:effectLst>
                              <a:outerShdw dist="19050" dir="10800000" algn="r" rotWithShape="0">
                                <a:schemeClr val="accent2"/>
                              </a:outerShdw>
                            </a:effectLst>
                          </wps:spPr>
                          <wps:style>
                            <a:lnRef idx="0">
                              <a:schemeClr val="accent1"/>
                            </a:lnRef>
                            <a:fillRef idx="0">
                              <a:schemeClr val="accent1"/>
                            </a:fillRef>
                            <a:effectRef idx="0">
                              <a:schemeClr val="accent1"/>
                            </a:effectRef>
                            <a:fontRef idx="minor">
                              <a:schemeClr val="dk1"/>
                            </a:fontRef>
                          </wps:style>
                          <wps:txbx>
                            <w:txbxContent>
                              <w:p w14:paraId="40325A8A" w14:textId="0212F258"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Lecturer:</w:t>
                                </w:r>
                                <w:r w:rsidR="000822C1">
                                  <w:rPr>
                                    <w:rFonts w:ascii="Arial" w:eastAsiaTheme="majorEastAsia" w:hAnsi="Arial" w:cs="Arial"/>
                                    <w:color w:val="156082" w:themeColor="accent1"/>
                                    <w:sz w:val="22"/>
                                    <w:szCs w:val="22"/>
                                  </w:rPr>
                                  <w:t xml:space="preserve"> </w:t>
                                </w:r>
                                <w:r w:rsidR="000822C1" w:rsidRPr="000822C1">
                                  <w:rPr>
                                    <w:rFonts w:ascii="Arial" w:eastAsiaTheme="majorEastAsia" w:hAnsi="Arial" w:cs="Arial"/>
                                    <w:color w:val="156082" w:themeColor="accent1"/>
                                    <w:sz w:val="22"/>
                                    <w:szCs w:val="22"/>
                                  </w:rPr>
                                  <w:t>Charles Obinwa</w:t>
                                </w:r>
                              </w:p>
                              <w:p w14:paraId="66C842D0" w14:textId="1F548F14"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Module Code:</w:t>
                                </w:r>
                                <w:r w:rsidR="000822C1">
                                  <w:rPr>
                                    <w:rFonts w:ascii="Arial" w:eastAsiaTheme="majorEastAsia" w:hAnsi="Arial" w:cs="Arial"/>
                                    <w:color w:val="156082" w:themeColor="accent1"/>
                                    <w:sz w:val="22"/>
                                    <w:szCs w:val="22"/>
                                  </w:rPr>
                                  <w:t xml:space="preserve"> </w:t>
                                </w:r>
                                <w:r w:rsidR="000822C1" w:rsidRPr="000822C1">
                                  <w:rPr>
                                    <w:rFonts w:ascii="Arial" w:eastAsiaTheme="majorEastAsia" w:hAnsi="Arial" w:cs="Arial"/>
                                    <w:color w:val="156082" w:themeColor="accent1"/>
                                    <w:sz w:val="22"/>
                                    <w:szCs w:val="22"/>
                                  </w:rPr>
                                  <w:t>LCLM 6002</w:t>
                                </w:r>
                              </w:p>
                              <w:p w14:paraId="2BB807DF" w14:textId="784E0AE1"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Student: Andreea Gabriela Bacus</w:t>
                                </w:r>
                              </w:p>
                              <w:p w14:paraId="4E12B57A" w14:textId="5E4CD09A"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Student Number</w:t>
                                </w:r>
                                <w:r w:rsidR="000822C1">
                                  <w:rPr>
                                    <w:rFonts w:ascii="Arial" w:eastAsiaTheme="majorEastAsia" w:hAnsi="Arial" w:cs="Arial"/>
                                    <w:color w:val="156082" w:themeColor="accent1"/>
                                    <w:sz w:val="22"/>
                                    <w:szCs w:val="22"/>
                                  </w:rPr>
                                  <w:t>:2331305</w:t>
                                </w:r>
                              </w:p>
                              <w:p w14:paraId="25CDA23C" w14:textId="2EBC7196"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Group1-Level</w:t>
                                </w:r>
                                <w:r w:rsidR="000822C1">
                                  <w:rPr>
                                    <w:rFonts w:ascii="Arial" w:eastAsiaTheme="majorEastAsia" w:hAnsi="Arial" w:cs="Arial"/>
                                    <w:color w:val="156082" w:themeColor="accent1"/>
                                    <w:sz w:val="22"/>
                                    <w:szCs w:val="22"/>
                                  </w:rPr>
                                  <w:t xml:space="preserve"> </w:t>
                                </w:r>
                                <w:r w:rsidRPr="00EB0735">
                                  <w:rPr>
                                    <w:rFonts w:ascii="Arial" w:eastAsiaTheme="majorEastAsia" w:hAnsi="Arial" w:cs="Arial"/>
                                    <w:color w:val="156082" w:themeColor="accent1"/>
                                    <w:sz w:val="22"/>
                                    <w:szCs w:val="22"/>
                                  </w:rPr>
                                  <w:t>6-Term2</w:t>
                                </w:r>
                              </w:p>
                              <w:p w14:paraId="1758A0B2" w14:textId="41825637" w:rsidR="00EB0735" w:rsidRDefault="00EB0735">
                                <w:pPr>
                                  <w:rPr>
                                    <w:color w:val="808080" w:themeColor="background1" w:themeShade="80"/>
                                  </w:rPr>
                                </w:pPr>
                              </w:p>
                            </w:txbxContent>
                          </wps:txbx>
                          <wps:bodyPr rot="0" spcFirstLastPara="0" vertOverflow="overflow" horzOverflow="overflow" vert="horz" wrap="square" lIns="228600" tIns="137160" rIns="0" bIns="13716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E57048" id="_x0000_t202" coordsize="21600,21600" o:spt="202" path="m,l,21600r21600,l21600,xe">
                    <v:stroke joinstyle="miter"/>
                    <v:path gradientshapeok="t" o:connecttype="rect"/>
                  </v:shapetype>
                  <v:shape id="Text Box 143" o:spid="_x0000_s1026" type="#_x0000_t202" style="position:absolute;left:0;text-align:left;margin-left:137.05pt;margin-top:213.6pt;width:188.25pt;height:426pt;z-index:251660288;visibility:visible;mso-wrap-style:square;mso-width-percent:0;mso-height-percent:0;mso-wrap-distance-left:18pt;mso-wrap-distance-top:0;mso-wrap-distance-right:18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" fillcolor="white [3212]" stroked="f" strokeweight=".5pt">
                    <v:shadow on="t" color="#e97132 [3205]" origin=".5" offset="-1.5pt,0"/>
                    <v:textbox inset="18pt,10.8pt,0,10.8pt">
                      <w:txbxContent>
                        <w:p w14:paraId="40325A8A" w14:textId="0212F258"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Lecturer:</w:t>
                          </w:r>
                          <w:r w:rsidR="000822C1">
                            <w:rPr>
                              <w:rFonts w:ascii="Arial" w:eastAsiaTheme="majorEastAsia" w:hAnsi="Arial" w:cs="Arial"/>
                              <w:color w:val="156082" w:themeColor="accent1"/>
                              <w:sz w:val="22"/>
                              <w:szCs w:val="22"/>
                            </w:rPr>
                            <w:t xml:space="preserve"> </w:t>
                          </w:r>
                          <w:r w:rsidR="000822C1" w:rsidRPr="000822C1">
                            <w:rPr>
                              <w:rFonts w:ascii="Arial" w:eastAsiaTheme="majorEastAsia" w:hAnsi="Arial" w:cs="Arial"/>
                              <w:color w:val="156082" w:themeColor="accent1"/>
                              <w:sz w:val="22"/>
                              <w:szCs w:val="22"/>
                            </w:rPr>
                            <w:t>Charles Obinwa</w:t>
                          </w:r>
                        </w:p>
                        <w:p w14:paraId="66C842D0" w14:textId="1F548F14"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Module Code:</w:t>
                          </w:r>
                          <w:r w:rsidR="000822C1">
                            <w:rPr>
                              <w:rFonts w:ascii="Arial" w:eastAsiaTheme="majorEastAsia" w:hAnsi="Arial" w:cs="Arial"/>
                              <w:color w:val="156082" w:themeColor="accent1"/>
                              <w:sz w:val="22"/>
                              <w:szCs w:val="22"/>
                            </w:rPr>
                            <w:t xml:space="preserve"> </w:t>
                          </w:r>
                          <w:r w:rsidR="000822C1" w:rsidRPr="000822C1">
                            <w:rPr>
                              <w:rFonts w:ascii="Arial" w:eastAsiaTheme="majorEastAsia" w:hAnsi="Arial" w:cs="Arial"/>
                              <w:color w:val="156082" w:themeColor="accent1"/>
                              <w:sz w:val="22"/>
                              <w:szCs w:val="22"/>
                            </w:rPr>
                            <w:t>LCLM 6002</w:t>
                          </w:r>
                        </w:p>
                        <w:p w14:paraId="2BB807DF" w14:textId="784E0AE1"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Student: Andreea Gabriela Bacus</w:t>
                          </w:r>
                        </w:p>
                        <w:p w14:paraId="4E12B57A" w14:textId="5E4CD09A"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Student Number</w:t>
                          </w:r>
                          <w:r w:rsidR="000822C1">
                            <w:rPr>
                              <w:rFonts w:ascii="Arial" w:eastAsiaTheme="majorEastAsia" w:hAnsi="Arial" w:cs="Arial"/>
                              <w:color w:val="156082" w:themeColor="accent1"/>
                              <w:sz w:val="22"/>
                              <w:szCs w:val="22"/>
                            </w:rPr>
                            <w:t>:2331305</w:t>
                          </w:r>
                        </w:p>
                        <w:p w14:paraId="25CDA23C" w14:textId="2EBC7196" w:rsidR="00EB0735" w:rsidRPr="00EB0735" w:rsidRDefault="00EB0735" w:rsidP="00EB0735">
                          <w:pPr>
                            <w:spacing w:before="880" w:after="240" w:line="240" w:lineRule="auto"/>
                            <w:rPr>
                              <w:rFonts w:ascii="Arial" w:eastAsiaTheme="majorEastAsia" w:hAnsi="Arial" w:cs="Arial"/>
                              <w:color w:val="156082" w:themeColor="accent1"/>
                              <w:sz w:val="22"/>
                              <w:szCs w:val="22"/>
                            </w:rPr>
                          </w:pPr>
                          <w:r w:rsidRPr="00EB0735">
                            <w:rPr>
                              <w:rFonts w:ascii="Arial" w:eastAsiaTheme="majorEastAsia" w:hAnsi="Arial" w:cs="Arial"/>
                              <w:color w:val="156082" w:themeColor="accent1"/>
                              <w:sz w:val="22"/>
                              <w:szCs w:val="22"/>
                            </w:rPr>
                            <w:t>Group1-Level</w:t>
                          </w:r>
                          <w:r w:rsidR="000822C1">
                            <w:rPr>
                              <w:rFonts w:ascii="Arial" w:eastAsiaTheme="majorEastAsia" w:hAnsi="Arial" w:cs="Arial"/>
                              <w:color w:val="156082" w:themeColor="accent1"/>
                              <w:sz w:val="22"/>
                              <w:szCs w:val="22"/>
                            </w:rPr>
                            <w:t xml:space="preserve"> </w:t>
                          </w:r>
                          <w:r w:rsidRPr="00EB0735">
                            <w:rPr>
                              <w:rFonts w:ascii="Arial" w:eastAsiaTheme="majorEastAsia" w:hAnsi="Arial" w:cs="Arial"/>
                              <w:color w:val="156082" w:themeColor="accent1"/>
                              <w:sz w:val="22"/>
                              <w:szCs w:val="22"/>
                            </w:rPr>
                            <w:t>6-Term2</w:t>
                          </w:r>
                        </w:p>
                        <w:p w14:paraId="1758A0B2" w14:textId="41825637" w:rsidR="00EB0735" w:rsidRDefault="00EB0735">
                          <w:pPr>
                            <w:rPr>
                              <w:color w:val="808080" w:themeColor="background1" w:themeShade="80"/>
                            </w:rPr>
                          </w:pPr>
                        </w:p>
                      </w:txbxContent>
                    </v:textbox>
                    <w10:wrap type="square" anchorx="margin" anchory="margin"/>
                  </v:shape>
                </w:pict>
              </mc:Fallback>
            </mc:AlternateContent>
          </w:r>
          <w:r w:rsidR="009148FA">
            <w:rPr>
              <w:noProof/>
              <w:color w:val="156082" w:themeColor="accent1"/>
            </w:rPr>
            <mc:AlternateContent>
              <mc:Choice Requires="wps">
                <w:drawing>
                  <wp:anchor distT="0" distB="0" distL="114300" distR="114300" simplePos="0" relativeHeight="251658240" behindDoc="0" locked="0" layoutInCell="1" allowOverlap="1" wp14:anchorId="67B7C092" wp14:editId="5C10305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1T00:00:00Z">
                                    <w:dateFormat w:val="dd MMMM yyyy"/>
                                    <w:lid w:val="en-GB"/>
                                    <w:storeMappedDataAs w:val="dateTime"/>
                                    <w:calendar w:val="gregorian"/>
                                  </w:date>
                                </w:sdtPr>
                                <w:sdtContent>
                                  <w:p w14:paraId="177F9CCE" w14:textId="30AB6564" w:rsidR="009148FA" w:rsidRDefault="00EB0735">
                                    <w:pPr>
                                      <w:pStyle w:val="NoSpacing"/>
                                      <w:spacing w:after="40"/>
                                      <w:jc w:val="center"/>
                                      <w:rPr>
                                        <w:caps/>
                                        <w:color w:val="156082" w:themeColor="accent1"/>
                                        <w:sz w:val="28"/>
                                        <w:szCs w:val="28"/>
                                      </w:rPr>
                                    </w:pPr>
                                    <w:r>
                                      <w:rPr>
                                        <w:caps/>
                                        <w:color w:val="156082" w:themeColor="accent1"/>
                                        <w:sz w:val="28"/>
                                        <w:szCs w:val="28"/>
                                      </w:rPr>
                                      <w:t>21 August 2026</w:t>
                                    </w:r>
                                  </w:p>
                                </w:sdtContent>
                              </w:sdt>
                              <w:p w14:paraId="15AF4C24" w14:textId="009048EF" w:rsidR="009148F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B0735">
                                      <w:rPr>
                                        <w:caps/>
                                        <w:color w:val="156082" w:themeColor="accent1"/>
                                      </w:rPr>
                                      <w:t>University of W</w:t>
                                    </w:r>
                                    <w:r w:rsidR="00D0699D">
                                      <w:rPr>
                                        <w:caps/>
                                        <w:color w:val="156082" w:themeColor="accent1"/>
                                      </w:rPr>
                                      <w:t>ales</w:t>
                                    </w:r>
                                    <w:r w:rsidR="00EB0735">
                                      <w:rPr>
                                        <w:caps/>
                                        <w:color w:val="156082" w:themeColor="accent1"/>
                                      </w:rPr>
                                      <w:t xml:space="preserve"> trinity saint david</w:t>
                                    </w:r>
                                  </w:sdtContent>
                                </w:sdt>
                              </w:p>
                              <w:p w14:paraId="0108ACE1" w14:textId="127163D6" w:rsidR="009148F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B0735">
                                      <w:rPr>
                                        <w:color w:val="156082" w:themeColor="accent1"/>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7B7C092" id="Text Box 146" o:spid="_x0000_s1027" type="#_x0000_t202" style="position:absolute;left:0;text-align:left;margin-left:0;margin-top:0;width:451.3pt;height:46.45pt;z-index:251658240;visibility:visible;mso-wrap-style:square;mso-width-percent:0;mso-height-percent:0;mso-top-percent:850;mso-wrap-distance-left:9pt;mso-wrap-distance-top:0;mso-wrap-distance-right:9pt;mso-wrap-distance-bottom:0;mso-position-horizontal:center;mso-position-horizontal-relative:margin;mso-position-vertical-relative:page;mso-width-percent: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5T1YA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1T00:00:00Z">
                              <w:dateFormat w:val="dd MMMM yyyy"/>
                              <w:lid w:val="en-GB"/>
                              <w:storeMappedDataAs w:val="dateTime"/>
                              <w:calendar w:val="gregorian"/>
                            </w:date>
                          </w:sdtPr>
                          <w:sdtContent>
                            <w:p w14:paraId="177F9CCE" w14:textId="30AB6564" w:rsidR="009148FA" w:rsidRDefault="00EB0735">
                              <w:pPr>
                                <w:pStyle w:val="NoSpacing"/>
                                <w:spacing w:after="40"/>
                                <w:jc w:val="center"/>
                                <w:rPr>
                                  <w:caps/>
                                  <w:color w:val="156082" w:themeColor="accent1"/>
                                  <w:sz w:val="28"/>
                                  <w:szCs w:val="28"/>
                                </w:rPr>
                              </w:pPr>
                              <w:r>
                                <w:rPr>
                                  <w:caps/>
                                  <w:color w:val="156082" w:themeColor="accent1"/>
                                  <w:sz w:val="28"/>
                                  <w:szCs w:val="28"/>
                                </w:rPr>
                                <w:t>21 August 2026</w:t>
                              </w:r>
                            </w:p>
                          </w:sdtContent>
                        </w:sdt>
                        <w:p w14:paraId="15AF4C24" w14:textId="009048EF" w:rsidR="009148F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B0735">
                                <w:rPr>
                                  <w:caps/>
                                  <w:color w:val="156082" w:themeColor="accent1"/>
                                </w:rPr>
                                <w:t>University of W</w:t>
                              </w:r>
                              <w:r w:rsidR="00D0699D">
                                <w:rPr>
                                  <w:caps/>
                                  <w:color w:val="156082" w:themeColor="accent1"/>
                                </w:rPr>
                                <w:t>ales</w:t>
                              </w:r>
                              <w:r w:rsidR="00EB0735">
                                <w:rPr>
                                  <w:caps/>
                                  <w:color w:val="156082" w:themeColor="accent1"/>
                                </w:rPr>
                                <w:t xml:space="preserve"> trinity saint david</w:t>
                              </w:r>
                            </w:sdtContent>
                          </w:sdt>
                        </w:p>
                        <w:p w14:paraId="0108ACE1" w14:textId="127163D6" w:rsidR="009148F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B0735">
                                <w:rPr>
                                  <w:color w:val="156082" w:themeColor="accent1"/>
                                </w:rPr>
                                <w:t>London Campus</w:t>
                              </w:r>
                            </w:sdtContent>
                          </w:sdt>
                        </w:p>
                      </w:txbxContent>
                    </v:textbox>
                    <w10:wrap anchorx="margin" anchory="page"/>
                  </v:shape>
                </w:pict>
              </mc:Fallback>
            </mc:AlternateContent>
          </w:r>
        </w:p>
        <w:p w14:paraId="6140D46C" w14:textId="47941C30" w:rsidR="00D96F96" w:rsidRDefault="00D30E25">
          <w:r w:rsidRPr="00D30E25">
            <w:rPr>
              <w:noProof/>
            </w:rPr>
            <w:drawing>
              <wp:inline distT="0" distB="0" distL="0" distR="0" wp14:anchorId="50A83139" wp14:editId="1D353DAA">
                <wp:extent cx="2926080" cy="5093335"/>
                <wp:effectExtent l="0" t="0" r="7620" b="0"/>
                <wp:docPr id="105355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52107" name=""/>
                        <pic:cNvPicPr/>
                      </pic:nvPicPr>
                      <pic:blipFill>
                        <a:blip r:embed="rId9"/>
                        <a:stretch>
                          <a:fillRect/>
                        </a:stretch>
                      </pic:blipFill>
                      <pic:spPr>
                        <a:xfrm>
                          <a:off x="0" y="0"/>
                          <a:ext cx="2983898" cy="5193977"/>
                        </a:xfrm>
                        <a:prstGeom prst="rect">
                          <a:avLst/>
                        </a:prstGeom>
                      </pic:spPr>
                    </pic:pic>
                  </a:graphicData>
                </a:graphic>
              </wp:inline>
            </w:drawing>
          </w:r>
          <w:r w:rsidR="00030995">
            <w:br w:type="page"/>
          </w:r>
        </w:p>
      </w:sdtContent>
    </w:sdt>
    <w:sdt>
      <w:sdtPr>
        <w:rPr>
          <w:rFonts w:asciiTheme="minorHAnsi" w:eastAsiaTheme="minorHAnsi" w:hAnsiTheme="minorHAnsi" w:cstheme="minorBidi"/>
          <w:color w:val="auto"/>
          <w:sz w:val="24"/>
          <w:szCs w:val="24"/>
        </w:rPr>
        <w:id w:val="-943913394"/>
        <w:docPartObj>
          <w:docPartGallery w:val="Table of Contents"/>
          <w:docPartUnique/>
        </w:docPartObj>
      </w:sdtPr>
      <w:sdtEndPr>
        <w:rPr>
          <w:b/>
          <w:bCs/>
        </w:rPr>
      </w:sdtEndPr>
      <w:sdtContent>
        <w:p w14:paraId="3F715727" w14:textId="16EED7F2" w:rsidR="00276699" w:rsidRPr="00364679" w:rsidRDefault="00276699">
          <w:pPr>
            <w:pStyle w:val="TOCHeading"/>
            <w:rPr>
              <w:rFonts w:ascii="Arial" w:hAnsi="Arial" w:cs="Arial"/>
              <w:sz w:val="22"/>
              <w:szCs w:val="22"/>
            </w:rPr>
          </w:pPr>
          <w:r w:rsidRPr="00364679">
            <w:rPr>
              <w:rFonts w:ascii="Arial" w:hAnsi="Arial" w:cs="Arial"/>
              <w:sz w:val="22"/>
              <w:szCs w:val="22"/>
            </w:rPr>
            <w:t>Contents</w:t>
          </w:r>
        </w:p>
        <w:p w14:paraId="562F4B62" w14:textId="40EF110D" w:rsidR="00364679" w:rsidRPr="00364679" w:rsidRDefault="00276699">
          <w:pPr>
            <w:pStyle w:val="TOC1"/>
            <w:tabs>
              <w:tab w:val="right" w:leader="dot" w:pos="9016"/>
            </w:tabs>
            <w:rPr>
              <w:rFonts w:ascii="Arial" w:eastAsiaTheme="minorEastAsia" w:hAnsi="Arial" w:cs="Arial"/>
              <w:noProof/>
              <w:sz w:val="22"/>
              <w:szCs w:val="22"/>
              <w:lang w:eastAsia="en-GB"/>
            </w:rPr>
          </w:pPr>
          <w:r w:rsidRPr="00364679">
            <w:rPr>
              <w:rFonts w:ascii="Arial" w:hAnsi="Arial" w:cs="Arial"/>
              <w:sz w:val="22"/>
              <w:szCs w:val="22"/>
            </w:rPr>
            <w:fldChar w:fldCharType="begin"/>
          </w:r>
          <w:r w:rsidRPr="00364679">
            <w:rPr>
              <w:rFonts w:ascii="Arial" w:hAnsi="Arial" w:cs="Arial"/>
              <w:sz w:val="22"/>
              <w:szCs w:val="22"/>
            </w:rPr>
            <w:instrText xml:space="preserve"> TOC \o "1-3" \h \z \u </w:instrText>
          </w:r>
          <w:r w:rsidRPr="00364679">
            <w:rPr>
              <w:rFonts w:ascii="Arial" w:hAnsi="Arial" w:cs="Arial"/>
              <w:sz w:val="22"/>
              <w:szCs w:val="22"/>
            </w:rPr>
            <w:fldChar w:fldCharType="separate"/>
          </w:r>
          <w:hyperlink w:anchor="_Toc237895984" w:history="1">
            <w:r w:rsidR="00364679" w:rsidRPr="00364679">
              <w:rPr>
                <w:rStyle w:val="Hyperlink"/>
                <w:rFonts w:ascii="Arial" w:hAnsi="Arial" w:cs="Arial"/>
                <w:b/>
                <w:bCs/>
                <w:noProof/>
                <w:sz w:val="22"/>
                <w:szCs w:val="22"/>
              </w:rPr>
              <w:t>1.Introduction</w:t>
            </w:r>
            <w:r w:rsidR="00364679" w:rsidRPr="00364679">
              <w:rPr>
                <w:rFonts w:ascii="Arial" w:hAnsi="Arial" w:cs="Arial"/>
                <w:noProof/>
                <w:webHidden/>
                <w:sz w:val="22"/>
                <w:szCs w:val="22"/>
              </w:rPr>
              <w:tab/>
            </w:r>
            <w:r w:rsidR="00364679" w:rsidRPr="00364679">
              <w:rPr>
                <w:rFonts w:ascii="Arial" w:hAnsi="Arial" w:cs="Arial"/>
                <w:noProof/>
                <w:webHidden/>
                <w:sz w:val="22"/>
                <w:szCs w:val="22"/>
              </w:rPr>
              <w:fldChar w:fldCharType="begin"/>
            </w:r>
            <w:r w:rsidR="00364679" w:rsidRPr="00364679">
              <w:rPr>
                <w:rFonts w:ascii="Arial" w:hAnsi="Arial" w:cs="Arial"/>
                <w:noProof/>
                <w:webHidden/>
                <w:sz w:val="22"/>
                <w:szCs w:val="22"/>
              </w:rPr>
              <w:instrText xml:space="preserve"> PAGEREF _Toc237895984 \h </w:instrText>
            </w:r>
            <w:r w:rsidR="00364679" w:rsidRPr="00364679">
              <w:rPr>
                <w:rFonts w:ascii="Arial" w:hAnsi="Arial" w:cs="Arial"/>
                <w:noProof/>
                <w:webHidden/>
                <w:sz w:val="22"/>
                <w:szCs w:val="22"/>
              </w:rPr>
            </w:r>
            <w:r w:rsidR="00364679" w:rsidRPr="00364679">
              <w:rPr>
                <w:rFonts w:ascii="Arial" w:hAnsi="Arial" w:cs="Arial"/>
                <w:noProof/>
                <w:webHidden/>
                <w:sz w:val="22"/>
                <w:szCs w:val="22"/>
              </w:rPr>
              <w:fldChar w:fldCharType="separate"/>
            </w:r>
            <w:r w:rsidR="00364679" w:rsidRPr="00364679">
              <w:rPr>
                <w:rFonts w:ascii="Arial" w:hAnsi="Arial" w:cs="Arial"/>
                <w:noProof/>
                <w:webHidden/>
                <w:sz w:val="22"/>
                <w:szCs w:val="22"/>
              </w:rPr>
              <w:t>2</w:t>
            </w:r>
            <w:r w:rsidR="00364679" w:rsidRPr="00364679">
              <w:rPr>
                <w:rFonts w:ascii="Arial" w:hAnsi="Arial" w:cs="Arial"/>
                <w:noProof/>
                <w:webHidden/>
                <w:sz w:val="22"/>
                <w:szCs w:val="22"/>
              </w:rPr>
              <w:fldChar w:fldCharType="end"/>
            </w:r>
          </w:hyperlink>
        </w:p>
        <w:p w14:paraId="6F6BCDAF" w14:textId="4B1785FA"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85" w:history="1">
            <w:r w:rsidRPr="00364679">
              <w:rPr>
                <w:rStyle w:val="Hyperlink"/>
                <w:rFonts w:ascii="Arial" w:hAnsi="Arial" w:cs="Arial"/>
                <w:b/>
                <w:bCs/>
                <w:noProof/>
                <w:sz w:val="22"/>
                <w:szCs w:val="22"/>
              </w:rPr>
              <w:t>2.Task1 Viability, Desirability, Feasibility</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_Toc237895985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3</w:t>
            </w:r>
            <w:r w:rsidRPr="00364679">
              <w:rPr>
                <w:rFonts w:ascii="Arial" w:hAnsi="Arial" w:cs="Arial"/>
                <w:noProof/>
                <w:webHidden/>
                <w:sz w:val="22"/>
                <w:szCs w:val="22"/>
              </w:rPr>
              <w:fldChar w:fldCharType="end"/>
            </w:r>
          </w:hyperlink>
        </w:p>
        <w:p w14:paraId="15BE9FAC" w14:textId="02A4FA2E"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86" w:history="1">
            <w:r w:rsidRPr="00364679">
              <w:rPr>
                <w:rStyle w:val="Hyperlink"/>
                <w:rFonts w:ascii="Arial" w:hAnsi="Arial" w:cs="Arial"/>
                <w:b/>
                <w:bCs/>
                <w:noProof/>
                <w:sz w:val="22"/>
                <w:szCs w:val="22"/>
              </w:rPr>
              <w:t>2.1 Identifying viable UK opportunity areas through a Design Thinking lens.</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_Toc237895986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3</w:t>
            </w:r>
            <w:r w:rsidRPr="00364679">
              <w:rPr>
                <w:rFonts w:ascii="Arial" w:hAnsi="Arial" w:cs="Arial"/>
                <w:noProof/>
                <w:webHidden/>
                <w:sz w:val="22"/>
                <w:szCs w:val="22"/>
              </w:rPr>
              <w:fldChar w:fldCharType="end"/>
            </w:r>
          </w:hyperlink>
        </w:p>
        <w:p w14:paraId="4D004EF1" w14:textId="425D8846"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87" w:history="1">
            <w:r w:rsidRPr="00364679">
              <w:rPr>
                <w:rStyle w:val="Hyperlink"/>
                <w:rFonts w:ascii="Arial" w:hAnsi="Arial" w:cs="Arial"/>
                <w:b/>
                <w:bCs/>
                <w:noProof/>
                <w:sz w:val="22"/>
                <w:szCs w:val="22"/>
              </w:rPr>
              <w:t>2.2 User pain points and market gaps (Desirability)</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_Toc237895987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4</w:t>
            </w:r>
            <w:r w:rsidRPr="00364679">
              <w:rPr>
                <w:rFonts w:ascii="Arial" w:hAnsi="Arial" w:cs="Arial"/>
                <w:noProof/>
                <w:webHidden/>
                <w:sz w:val="22"/>
                <w:szCs w:val="22"/>
              </w:rPr>
              <w:fldChar w:fldCharType="end"/>
            </w:r>
          </w:hyperlink>
        </w:p>
        <w:p w14:paraId="1FE15C01" w14:textId="0837240E"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88" w:history="1">
            <w:r w:rsidRPr="00364679">
              <w:rPr>
                <w:rStyle w:val="Hyperlink"/>
                <w:rFonts w:ascii="Arial" w:hAnsi="Arial" w:cs="Arial"/>
                <w:b/>
                <w:bCs/>
                <w:noProof/>
                <w:sz w:val="22"/>
                <w:szCs w:val="22"/>
              </w:rPr>
              <w:t>2.3 Scalability and sustainability (Feasibility)</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_Toc237895988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6</w:t>
            </w:r>
            <w:r w:rsidRPr="00364679">
              <w:rPr>
                <w:rFonts w:ascii="Arial" w:hAnsi="Arial" w:cs="Arial"/>
                <w:noProof/>
                <w:webHidden/>
                <w:sz w:val="22"/>
                <w:szCs w:val="22"/>
              </w:rPr>
              <w:fldChar w:fldCharType="end"/>
            </w:r>
          </w:hyperlink>
        </w:p>
        <w:p w14:paraId="23934DC9" w14:textId="27B7F9D4"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89" w:history="1">
            <w:r w:rsidRPr="00364679">
              <w:rPr>
                <w:rStyle w:val="Hyperlink"/>
                <w:rFonts w:ascii="Arial" w:hAnsi="Arial" w:cs="Arial"/>
                <w:b/>
                <w:bCs/>
                <w:noProof/>
                <w:sz w:val="22"/>
                <w:szCs w:val="22"/>
              </w:rPr>
              <w:t>3.</w:t>
            </w:r>
            <w:r w:rsidRPr="00364679">
              <w:rPr>
                <w:rStyle w:val="Hyperlink"/>
                <w:rFonts w:ascii="Arial" w:hAnsi="Arial" w:cs="Arial"/>
                <w:noProof/>
                <w:sz w:val="22"/>
                <w:szCs w:val="22"/>
              </w:rPr>
              <w:t xml:space="preserve"> </w:t>
            </w:r>
            <w:r w:rsidRPr="00364679">
              <w:rPr>
                <w:rStyle w:val="Hyperlink"/>
                <w:rFonts w:ascii="Arial" w:hAnsi="Arial" w:cs="Arial"/>
                <w:b/>
                <w:bCs/>
                <w:noProof/>
                <w:sz w:val="22"/>
                <w:szCs w:val="22"/>
              </w:rPr>
              <w:t>Task 2: Empathise, Define, Ideate, Prototype and Test.</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_Toc237895989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7</w:t>
            </w:r>
            <w:r w:rsidRPr="00364679">
              <w:rPr>
                <w:rFonts w:ascii="Arial" w:hAnsi="Arial" w:cs="Arial"/>
                <w:noProof/>
                <w:webHidden/>
                <w:sz w:val="22"/>
                <w:szCs w:val="22"/>
              </w:rPr>
              <w:fldChar w:fldCharType="end"/>
            </w:r>
          </w:hyperlink>
        </w:p>
        <w:p w14:paraId="651BCD11" w14:textId="627D9179"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0" w:history="1">
            <w:r w:rsidRPr="00364679">
              <w:rPr>
                <w:rStyle w:val="Hyperlink"/>
                <w:rFonts w:ascii="Arial" w:hAnsi="Arial" w:cs="Arial"/>
                <w:b/>
                <w:bCs/>
                <w:noProof/>
                <w:sz w:val="22"/>
                <w:szCs w:val="22"/>
              </w:rPr>
              <w:t>3.1 Empathise: observing the educational ecosystem.</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_Toc237895990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7</w:t>
            </w:r>
            <w:r w:rsidRPr="00364679">
              <w:rPr>
                <w:rFonts w:ascii="Arial" w:hAnsi="Arial" w:cs="Arial"/>
                <w:noProof/>
                <w:webHidden/>
                <w:sz w:val="22"/>
                <w:szCs w:val="22"/>
              </w:rPr>
              <w:fldChar w:fldCharType="end"/>
            </w:r>
          </w:hyperlink>
        </w:p>
        <w:p w14:paraId="7696F617" w14:textId="46582B86"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1" w:history="1">
            <w:r w:rsidRPr="00364679">
              <w:rPr>
                <w:rStyle w:val="Hyperlink"/>
                <w:rFonts w:ascii="Arial" w:hAnsi="Arial" w:cs="Arial"/>
                <w:b/>
                <w:bCs/>
                <w:noProof/>
                <w:sz w:val="22"/>
                <w:szCs w:val="22"/>
              </w:rPr>
              <w:t>3.2 Define: reframing the problem.</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_Toc237895991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11</w:t>
            </w:r>
            <w:r w:rsidRPr="00364679">
              <w:rPr>
                <w:rFonts w:ascii="Arial" w:hAnsi="Arial" w:cs="Arial"/>
                <w:noProof/>
                <w:webHidden/>
                <w:sz w:val="22"/>
                <w:szCs w:val="22"/>
              </w:rPr>
              <w:fldChar w:fldCharType="end"/>
            </w:r>
          </w:hyperlink>
        </w:p>
        <w:p w14:paraId="186BC64C" w14:textId="401687FE"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2" w:history="1">
            <w:r w:rsidRPr="00364679">
              <w:rPr>
                <w:rStyle w:val="Hyperlink"/>
                <w:rFonts w:ascii="Arial" w:hAnsi="Arial" w:cs="Arial"/>
                <w:b/>
                <w:bCs/>
                <w:noProof/>
                <w:sz w:val="22"/>
                <w:szCs w:val="22"/>
              </w:rPr>
              <w:t>3.3 Ideate: generating possibilities rather than defending the first idea.</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_Toc237895992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12</w:t>
            </w:r>
            <w:r w:rsidRPr="00364679">
              <w:rPr>
                <w:rFonts w:ascii="Arial" w:hAnsi="Arial" w:cs="Arial"/>
                <w:noProof/>
                <w:webHidden/>
                <w:sz w:val="22"/>
                <w:szCs w:val="22"/>
              </w:rPr>
              <w:fldChar w:fldCharType="end"/>
            </w:r>
          </w:hyperlink>
        </w:p>
        <w:p w14:paraId="79A3017C" w14:textId="347C8FAE"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3" w:history="1">
            <w:r w:rsidRPr="00364679">
              <w:rPr>
                <w:rStyle w:val="Hyperlink"/>
                <w:rFonts w:ascii="Arial" w:hAnsi="Arial" w:cs="Arial"/>
                <w:b/>
                <w:bCs/>
                <w:noProof/>
                <w:sz w:val="22"/>
                <w:szCs w:val="22"/>
              </w:rPr>
              <w:t>3.4 Prototype: developing the minimum viable innovation.</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_Toc237895993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13</w:t>
            </w:r>
            <w:r w:rsidRPr="00364679">
              <w:rPr>
                <w:rFonts w:ascii="Arial" w:hAnsi="Arial" w:cs="Arial"/>
                <w:noProof/>
                <w:webHidden/>
                <w:sz w:val="22"/>
                <w:szCs w:val="22"/>
              </w:rPr>
              <w:fldChar w:fldCharType="end"/>
            </w:r>
          </w:hyperlink>
        </w:p>
        <w:p w14:paraId="7D7CF4DE" w14:textId="179E53FD"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4" w:history="1">
            <w:r w:rsidRPr="00364679">
              <w:rPr>
                <w:rStyle w:val="Hyperlink"/>
                <w:rFonts w:ascii="Arial" w:hAnsi="Arial" w:cs="Arial"/>
                <w:b/>
                <w:bCs/>
                <w:noProof/>
                <w:sz w:val="22"/>
                <w:szCs w:val="22"/>
              </w:rPr>
              <w:t>3.5 Test: learning before scaling</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_Toc237895994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14</w:t>
            </w:r>
            <w:r w:rsidRPr="00364679">
              <w:rPr>
                <w:rFonts w:ascii="Arial" w:hAnsi="Arial" w:cs="Arial"/>
                <w:noProof/>
                <w:webHidden/>
                <w:sz w:val="22"/>
                <w:szCs w:val="22"/>
              </w:rPr>
              <w:fldChar w:fldCharType="end"/>
            </w:r>
          </w:hyperlink>
        </w:p>
        <w:p w14:paraId="3DCAEE8C" w14:textId="5E5F793C"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5" w:history="1">
            <w:r w:rsidRPr="00364679">
              <w:rPr>
                <w:rStyle w:val="Hyperlink"/>
                <w:rFonts w:ascii="Arial" w:hAnsi="Arial" w:cs="Arial"/>
                <w:b/>
                <w:bCs/>
                <w:noProof/>
                <w:sz w:val="22"/>
                <w:szCs w:val="22"/>
              </w:rPr>
              <w:t>4. Diversity, inclusion, and the architecture of the innovation</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_Toc237895995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15</w:t>
            </w:r>
            <w:r w:rsidRPr="00364679">
              <w:rPr>
                <w:rFonts w:ascii="Arial" w:hAnsi="Arial" w:cs="Arial"/>
                <w:noProof/>
                <w:webHidden/>
                <w:sz w:val="22"/>
                <w:szCs w:val="22"/>
              </w:rPr>
              <w:fldChar w:fldCharType="end"/>
            </w:r>
          </w:hyperlink>
        </w:p>
        <w:p w14:paraId="2D2E3B1D" w14:textId="0EAABF79"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6" w:history="1">
            <w:r w:rsidRPr="00364679">
              <w:rPr>
                <w:rStyle w:val="Hyperlink"/>
                <w:rFonts w:ascii="Arial" w:hAnsi="Arial" w:cs="Arial"/>
                <w:b/>
                <w:bCs/>
                <w:noProof/>
                <w:sz w:val="22"/>
                <w:szCs w:val="22"/>
              </w:rPr>
              <w:t>5. Sustainability, ethics and organisational feasibility</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_Toc237895996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16</w:t>
            </w:r>
            <w:r w:rsidRPr="00364679">
              <w:rPr>
                <w:rFonts w:ascii="Arial" w:hAnsi="Arial" w:cs="Arial"/>
                <w:noProof/>
                <w:webHidden/>
                <w:sz w:val="22"/>
                <w:szCs w:val="22"/>
              </w:rPr>
              <w:fldChar w:fldCharType="end"/>
            </w:r>
          </w:hyperlink>
        </w:p>
        <w:p w14:paraId="619EA199" w14:textId="1E3DFDC6"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7" w:history="1">
            <w:r w:rsidRPr="00364679">
              <w:rPr>
                <w:rStyle w:val="Hyperlink"/>
                <w:rFonts w:ascii="Arial" w:hAnsi="Arial" w:cs="Arial"/>
                <w:b/>
                <w:bCs/>
                <w:noProof/>
                <w:sz w:val="22"/>
                <w:szCs w:val="22"/>
              </w:rPr>
              <w:t>6. Critical reflection on innovation, evidence and academic knowledge</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_Toc237895997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17</w:t>
            </w:r>
            <w:r w:rsidRPr="00364679">
              <w:rPr>
                <w:rFonts w:ascii="Arial" w:hAnsi="Arial" w:cs="Arial"/>
                <w:noProof/>
                <w:webHidden/>
                <w:sz w:val="22"/>
                <w:szCs w:val="22"/>
              </w:rPr>
              <w:fldChar w:fldCharType="end"/>
            </w:r>
          </w:hyperlink>
        </w:p>
        <w:p w14:paraId="1DAA5129" w14:textId="0A0C8413"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8" w:history="1">
            <w:r w:rsidRPr="00364679">
              <w:rPr>
                <w:rStyle w:val="Hyperlink"/>
                <w:rFonts w:ascii="Arial" w:hAnsi="Arial" w:cs="Arial"/>
                <w:b/>
                <w:bCs/>
                <w:noProof/>
                <w:sz w:val="22"/>
                <w:szCs w:val="22"/>
              </w:rPr>
              <w:t>7. Conclusion</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_Toc237895998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18</w:t>
            </w:r>
            <w:r w:rsidRPr="00364679">
              <w:rPr>
                <w:rFonts w:ascii="Arial" w:hAnsi="Arial" w:cs="Arial"/>
                <w:noProof/>
                <w:webHidden/>
                <w:sz w:val="22"/>
                <w:szCs w:val="22"/>
              </w:rPr>
              <w:fldChar w:fldCharType="end"/>
            </w:r>
          </w:hyperlink>
        </w:p>
        <w:p w14:paraId="29F85EEC" w14:textId="5EE47779" w:rsidR="00364679" w:rsidRPr="00364679" w:rsidRDefault="00364679">
          <w:pPr>
            <w:pStyle w:val="TOC1"/>
            <w:tabs>
              <w:tab w:val="right" w:leader="dot" w:pos="9016"/>
            </w:tabs>
            <w:rPr>
              <w:rFonts w:ascii="Arial" w:eastAsiaTheme="minorEastAsia" w:hAnsi="Arial" w:cs="Arial"/>
              <w:noProof/>
              <w:sz w:val="22"/>
              <w:szCs w:val="22"/>
              <w:lang w:eastAsia="en-GB"/>
            </w:rPr>
          </w:pPr>
          <w:hyperlink w:anchor="_Toc237895999" w:history="1">
            <w:r w:rsidRPr="00364679">
              <w:rPr>
                <w:rStyle w:val="Hyperlink"/>
                <w:rFonts w:ascii="Arial" w:hAnsi="Arial" w:cs="Arial"/>
                <w:b/>
                <w:bCs/>
                <w:noProof/>
                <w:sz w:val="22"/>
                <w:szCs w:val="22"/>
              </w:rPr>
              <w:t>8. References</w:t>
            </w:r>
            <w:r w:rsidRPr="00364679">
              <w:rPr>
                <w:rFonts w:ascii="Arial" w:hAnsi="Arial" w:cs="Arial"/>
                <w:noProof/>
                <w:webHidden/>
                <w:sz w:val="22"/>
                <w:szCs w:val="22"/>
              </w:rPr>
              <w:tab/>
            </w:r>
            <w:r w:rsidRPr="00364679">
              <w:rPr>
                <w:rFonts w:ascii="Arial" w:hAnsi="Arial" w:cs="Arial"/>
                <w:noProof/>
                <w:webHidden/>
                <w:sz w:val="22"/>
                <w:szCs w:val="22"/>
              </w:rPr>
              <w:fldChar w:fldCharType="begin"/>
            </w:r>
            <w:r w:rsidRPr="00364679">
              <w:rPr>
                <w:rFonts w:ascii="Arial" w:hAnsi="Arial" w:cs="Arial"/>
                <w:noProof/>
                <w:webHidden/>
                <w:sz w:val="22"/>
                <w:szCs w:val="22"/>
              </w:rPr>
              <w:instrText xml:space="preserve"> PAGEREF _Toc237895999 \h </w:instrText>
            </w:r>
            <w:r w:rsidRPr="00364679">
              <w:rPr>
                <w:rFonts w:ascii="Arial" w:hAnsi="Arial" w:cs="Arial"/>
                <w:noProof/>
                <w:webHidden/>
                <w:sz w:val="22"/>
                <w:szCs w:val="22"/>
              </w:rPr>
            </w:r>
            <w:r w:rsidRPr="00364679">
              <w:rPr>
                <w:rFonts w:ascii="Arial" w:hAnsi="Arial" w:cs="Arial"/>
                <w:noProof/>
                <w:webHidden/>
                <w:sz w:val="22"/>
                <w:szCs w:val="22"/>
              </w:rPr>
              <w:fldChar w:fldCharType="separate"/>
            </w:r>
            <w:r w:rsidRPr="00364679">
              <w:rPr>
                <w:rFonts w:ascii="Arial" w:hAnsi="Arial" w:cs="Arial"/>
                <w:noProof/>
                <w:webHidden/>
                <w:sz w:val="22"/>
                <w:szCs w:val="22"/>
              </w:rPr>
              <w:t>18</w:t>
            </w:r>
            <w:r w:rsidRPr="00364679">
              <w:rPr>
                <w:rFonts w:ascii="Arial" w:hAnsi="Arial" w:cs="Arial"/>
                <w:noProof/>
                <w:webHidden/>
                <w:sz w:val="22"/>
                <w:szCs w:val="22"/>
              </w:rPr>
              <w:fldChar w:fldCharType="end"/>
            </w:r>
          </w:hyperlink>
        </w:p>
        <w:p w14:paraId="7A293A32" w14:textId="385E5316" w:rsidR="00276699" w:rsidRDefault="00276699">
          <w:r w:rsidRPr="00364679">
            <w:rPr>
              <w:rFonts w:ascii="Arial" w:hAnsi="Arial" w:cs="Arial"/>
              <w:b/>
              <w:bCs/>
              <w:sz w:val="22"/>
              <w:szCs w:val="22"/>
            </w:rPr>
            <w:fldChar w:fldCharType="end"/>
          </w:r>
        </w:p>
      </w:sdtContent>
    </w:sdt>
    <w:p w14:paraId="3BDBC3C7" w14:textId="77777777" w:rsidR="00276699" w:rsidRDefault="00276699" w:rsidP="009A27E4">
      <w:pPr>
        <w:spacing w:line="360" w:lineRule="auto"/>
        <w:rPr>
          <w:rFonts w:ascii="Arial" w:hAnsi="Arial" w:cs="Arial"/>
          <w:b/>
          <w:bCs/>
          <w:sz w:val="22"/>
          <w:szCs w:val="22"/>
        </w:rPr>
      </w:pPr>
    </w:p>
    <w:p w14:paraId="0A6F2716" w14:textId="77777777" w:rsidR="00276699" w:rsidRDefault="00276699" w:rsidP="009A27E4">
      <w:pPr>
        <w:spacing w:line="360" w:lineRule="auto"/>
        <w:rPr>
          <w:rFonts w:ascii="Arial" w:hAnsi="Arial" w:cs="Arial"/>
          <w:b/>
          <w:bCs/>
          <w:sz w:val="22"/>
          <w:szCs w:val="22"/>
        </w:rPr>
      </w:pPr>
    </w:p>
    <w:p w14:paraId="27DF2607" w14:textId="77777777" w:rsidR="00276699" w:rsidRDefault="00276699" w:rsidP="009A27E4">
      <w:pPr>
        <w:spacing w:line="360" w:lineRule="auto"/>
        <w:rPr>
          <w:rFonts w:ascii="Arial" w:hAnsi="Arial" w:cs="Arial"/>
          <w:b/>
          <w:bCs/>
          <w:sz w:val="22"/>
          <w:szCs w:val="22"/>
        </w:rPr>
      </w:pPr>
    </w:p>
    <w:p w14:paraId="65F3AC41" w14:textId="77777777" w:rsidR="00276699" w:rsidRDefault="00276699" w:rsidP="009A27E4">
      <w:pPr>
        <w:spacing w:line="360" w:lineRule="auto"/>
        <w:rPr>
          <w:rFonts w:ascii="Arial" w:hAnsi="Arial" w:cs="Arial"/>
          <w:b/>
          <w:bCs/>
          <w:sz w:val="22"/>
          <w:szCs w:val="22"/>
        </w:rPr>
      </w:pPr>
    </w:p>
    <w:p w14:paraId="17946691" w14:textId="77777777" w:rsidR="00276699" w:rsidRDefault="00276699" w:rsidP="009A27E4">
      <w:pPr>
        <w:spacing w:line="360" w:lineRule="auto"/>
        <w:rPr>
          <w:rFonts w:ascii="Arial" w:hAnsi="Arial" w:cs="Arial"/>
          <w:b/>
          <w:bCs/>
          <w:sz w:val="22"/>
          <w:szCs w:val="22"/>
        </w:rPr>
      </w:pPr>
    </w:p>
    <w:p w14:paraId="431ECEC9" w14:textId="77777777" w:rsidR="00276699" w:rsidRDefault="00276699" w:rsidP="009A27E4">
      <w:pPr>
        <w:spacing w:line="360" w:lineRule="auto"/>
        <w:rPr>
          <w:rFonts w:ascii="Arial" w:hAnsi="Arial" w:cs="Arial"/>
          <w:b/>
          <w:bCs/>
          <w:sz w:val="22"/>
          <w:szCs w:val="22"/>
        </w:rPr>
      </w:pPr>
    </w:p>
    <w:p w14:paraId="7B44BD98" w14:textId="77777777" w:rsidR="00276699" w:rsidRDefault="00276699" w:rsidP="009A27E4">
      <w:pPr>
        <w:spacing w:line="360" w:lineRule="auto"/>
        <w:rPr>
          <w:rFonts w:ascii="Arial" w:hAnsi="Arial" w:cs="Arial"/>
          <w:b/>
          <w:bCs/>
          <w:sz w:val="22"/>
          <w:szCs w:val="22"/>
        </w:rPr>
      </w:pPr>
    </w:p>
    <w:p w14:paraId="51A376EE" w14:textId="77777777" w:rsidR="00276699" w:rsidRDefault="00276699" w:rsidP="009A27E4">
      <w:pPr>
        <w:spacing w:line="360" w:lineRule="auto"/>
        <w:rPr>
          <w:rFonts w:ascii="Arial" w:hAnsi="Arial" w:cs="Arial"/>
          <w:b/>
          <w:bCs/>
          <w:sz w:val="22"/>
          <w:szCs w:val="22"/>
        </w:rPr>
      </w:pPr>
    </w:p>
    <w:p w14:paraId="0169CE47" w14:textId="77777777" w:rsidR="00276699" w:rsidRDefault="00276699" w:rsidP="009A27E4">
      <w:pPr>
        <w:spacing w:line="360" w:lineRule="auto"/>
        <w:rPr>
          <w:rFonts w:ascii="Arial" w:hAnsi="Arial" w:cs="Arial"/>
          <w:b/>
          <w:bCs/>
          <w:sz w:val="22"/>
          <w:szCs w:val="22"/>
        </w:rPr>
      </w:pPr>
    </w:p>
    <w:p w14:paraId="53DE2AA9" w14:textId="77777777" w:rsidR="00276699" w:rsidRDefault="00276699" w:rsidP="009A27E4">
      <w:pPr>
        <w:spacing w:line="360" w:lineRule="auto"/>
        <w:rPr>
          <w:rFonts w:ascii="Arial" w:hAnsi="Arial" w:cs="Arial"/>
          <w:b/>
          <w:bCs/>
          <w:sz w:val="22"/>
          <w:szCs w:val="22"/>
        </w:rPr>
      </w:pPr>
    </w:p>
    <w:p w14:paraId="05268611" w14:textId="77777777" w:rsidR="00364679" w:rsidRDefault="00364679" w:rsidP="009A27E4">
      <w:pPr>
        <w:spacing w:line="360" w:lineRule="auto"/>
        <w:rPr>
          <w:rFonts w:ascii="Arial" w:hAnsi="Arial" w:cs="Arial"/>
          <w:b/>
          <w:bCs/>
          <w:sz w:val="22"/>
          <w:szCs w:val="22"/>
        </w:rPr>
      </w:pPr>
    </w:p>
    <w:p w14:paraId="2B958D0C" w14:textId="77777777" w:rsidR="00364679" w:rsidRDefault="00364679" w:rsidP="009A27E4">
      <w:pPr>
        <w:spacing w:line="360" w:lineRule="auto"/>
        <w:rPr>
          <w:rFonts w:ascii="Arial" w:hAnsi="Arial" w:cs="Arial"/>
          <w:b/>
          <w:bCs/>
          <w:sz w:val="22"/>
          <w:szCs w:val="22"/>
        </w:rPr>
      </w:pPr>
    </w:p>
    <w:p w14:paraId="2D59D8C2" w14:textId="31F1FD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lastRenderedPageBreak/>
        <w:t>Applying Design Thinking to Identify an AI-Enabled Innovation Opportunity within UWTSD</w:t>
      </w:r>
    </w:p>
    <w:p w14:paraId="6ADD4BAA" w14:textId="77777777" w:rsidR="00D96F96" w:rsidRDefault="00D96F96" w:rsidP="0056283F">
      <w:pPr>
        <w:pStyle w:val="Heading1"/>
        <w:rPr>
          <w:rFonts w:ascii="Arial" w:hAnsi="Arial" w:cs="Arial"/>
          <w:b/>
          <w:bCs/>
          <w:sz w:val="24"/>
          <w:szCs w:val="24"/>
        </w:rPr>
      </w:pPr>
      <w:bookmarkStart w:id="0" w:name="_Toc237895984"/>
      <w:r w:rsidRPr="00E56A8D">
        <w:rPr>
          <w:rFonts w:ascii="Arial" w:hAnsi="Arial" w:cs="Arial"/>
          <w:b/>
          <w:bCs/>
          <w:sz w:val="24"/>
          <w:szCs w:val="24"/>
        </w:rPr>
        <w:t>1.Introduction</w:t>
      </w:r>
      <w:bookmarkEnd w:id="0"/>
    </w:p>
    <w:p w14:paraId="106A8A1F" w14:textId="77777777" w:rsidR="00DC57B2" w:rsidRPr="00DC57B2" w:rsidRDefault="00DC57B2" w:rsidP="00DC57B2"/>
    <w:p w14:paraId="46AC9F2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Digital transformation has altered not only how organisations deliver products and services, but also how users expect to interact with them (Vial, 2019). The expansion of digital commerce described in the assessment scenario illustrates a broader structural change: once users experience greater accessibility, </w:t>
      </w:r>
      <w:proofErr w:type="gramStart"/>
      <w:r w:rsidRPr="009A27E4">
        <w:rPr>
          <w:rFonts w:ascii="Arial" w:hAnsi="Arial" w:cs="Arial"/>
          <w:sz w:val="22"/>
          <w:szCs w:val="22"/>
        </w:rPr>
        <w:t>flexibility</w:t>
      </w:r>
      <w:proofErr w:type="gramEnd"/>
      <w:r w:rsidRPr="009A27E4">
        <w:rPr>
          <w:rFonts w:ascii="Arial" w:hAnsi="Arial" w:cs="Arial"/>
          <w:sz w:val="22"/>
          <w:szCs w:val="22"/>
        </w:rPr>
        <w:t xml:space="preserve"> and immediacy in one area of their lives, these expectations tend to influence their expectations elsewhere. Education </w:t>
      </w:r>
      <w:proofErr w:type="gramStart"/>
      <w:r w:rsidRPr="009A27E4">
        <w:rPr>
          <w:rFonts w:ascii="Arial" w:hAnsi="Arial" w:cs="Arial"/>
          <w:sz w:val="22"/>
          <w:szCs w:val="22"/>
        </w:rPr>
        <w:t>is therefore not isolated</w:t>
      </w:r>
      <w:proofErr w:type="gramEnd"/>
      <w:r w:rsidRPr="009A27E4">
        <w:rPr>
          <w:rFonts w:ascii="Arial" w:hAnsi="Arial" w:cs="Arial"/>
          <w:sz w:val="22"/>
          <w:szCs w:val="22"/>
        </w:rPr>
        <w:t xml:space="preserve"> from the digital transformation affecting the wider economy. Universities increasingly operate within an environment in which students expect information, </w:t>
      </w:r>
      <w:proofErr w:type="gramStart"/>
      <w:r w:rsidRPr="009A27E4">
        <w:rPr>
          <w:rFonts w:ascii="Arial" w:hAnsi="Arial" w:cs="Arial"/>
          <w:sz w:val="22"/>
          <w:szCs w:val="22"/>
        </w:rPr>
        <w:t>communication</w:t>
      </w:r>
      <w:proofErr w:type="gramEnd"/>
      <w:r w:rsidRPr="009A27E4">
        <w:rPr>
          <w:rFonts w:ascii="Arial" w:hAnsi="Arial" w:cs="Arial"/>
          <w:sz w:val="22"/>
          <w:szCs w:val="22"/>
        </w:rPr>
        <w:t xml:space="preserve"> and support to be available across digital channels and, where appropriate, adapted to individual circumstances.</w:t>
      </w:r>
    </w:p>
    <w:p w14:paraId="676243B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University of Wales Trinity Saint David (UWTSD) provides a particularly relevant real-world context in which to explore this opportunity. Rather than treating the University as an abstract example of a higher education provider, this report uses UWTSD as the specific educational business within which Design Thinking </w:t>
      </w:r>
      <w:proofErr w:type="gramStart"/>
      <w:r w:rsidRPr="009A27E4">
        <w:rPr>
          <w:rFonts w:ascii="Arial" w:hAnsi="Arial" w:cs="Arial"/>
          <w:sz w:val="22"/>
          <w:szCs w:val="22"/>
        </w:rPr>
        <w:t>is applied</w:t>
      </w:r>
      <w:proofErr w:type="gramEnd"/>
      <w:r w:rsidRPr="009A27E4">
        <w:rPr>
          <w:rFonts w:ascii="Arial" w:hAnsi="Arial" w:cs="Arial"/>
          <w:sz w:val="22"/>
          <w:szCs w:val="22"/>
        </w:rPr>
        <w:t xml:space="preserve">. This is significant because UWTSD already identifies digital transformation, digital inclusion, digital learning, </w:t>
      </w:r>
      <w:proofErr w:type="gramStart"/>
      <w:r w:rsidRPr="009A27E4">
        <w:rPr>
          <w:rFonts w:ascii="Arial" w:hAnsi="Arial" w:cs="Arial"/>
          <w:sz w:val="22"/>
          <w:szCs w:val="22"/>
        </w:rPr>
        <w:t>productivity</w:t>
      </w:r>
      <w:proofErr w:type="gramEnd"/>
      <w:r w:rsidRPr="009A27E4">
        <w:rPr>
          <w:rFonts w:ascii="Arial" w:hAnsi="Arial" w:cs="Arial"/>
          <w:sz w:val="22"/>
          <w:szCs w:val="22"/>
        </w:rPr>
        <w:t xml:space="preserve"> and digital innovation as strategic priorities. Its Digital Strategy </w:t>
      </w:r>
      <w:proofErr w:type="gramStart"/>
      <w:r w:rsidRPr="009A27E4">
        <w:rPr>
          <w:rFonts w:ascii="Arial" w:hAnsi="Arial" w:cs="Arial"/>
          <w:sz w:val="22"/>
          <w:szCs w:val="22"/>
        </w:rPr>
        <w:t>is explicitly guided</w:t>
      </w:r>
      <w:proofErr w:type="gramEnd"/>
      <w:r w:rsidRPr="009A27E4">
        <w:rPr>
          <w:rFonts w:ascii="Arial" w:hAnsi="Arial" w:cs="Arial"/>
          <w:sz w:val="22"/>
          <w:szCs w:val="22"/>
        </w:rPr>
        <w:t xml:space="preserve"> by the principle of “people by default, technology by design” and states that digital development should be user-centred, inclusive, </w:t>
      </w:r>
      <w:proofErr w:type="gramStart"/>
      <w:r w:rsidRPr="009A27E4">
        <w:rPr>
          <w:rFonts w:ascii="Arial" w:hAnsi="Arial" w:cs="Arial"/>
          <w:sz w:val="22"/>
          <w:szCs w:val="22"/>
        </w:rPr>
        <w:t>ethical</w:t>
      </w:r>
      <w:proofErr w:type="gramEnd"/>
      <w:r w:rsidRPr="009A27E4">
        <w:rPr>
          <w:rFonts w:ascii="Arial" w:hAnsi="Arial" w:cs="Arial"/>
          <w:sz w:val="22"/>
          <w:szCs w:val="22"/>
        </w:rPr>
        <w:t xml:space="preserve"> and responsive to evolving student and staff needs (UWTSD, 2023/24). The strategy also identifies opportunities for automation of common requests and the development and use of emerging technologies such as artificial intelligence to enhance services.</w:t>
      </w:r>
    </w:p>
    <w:p w14:paraId="3FCC347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Consequently, the opportunity explored in this report is not based on the assumption that UWTSD is failing to provide digital services. Nor does the report claim that a universal institutional problem has already </w:t>
      </w:r>
      <w:proofErr w:type="gramStart"/>
      <w:r w:rsidRPr="009A27E4">
        <w:rPr>
          <w:rFonts w:ascii="Arial" w:hAnsi="Arial" w:cs="Arial"/>
          <w:sz w:val="22"/>
          <w:szCs w:val="22"/>
        </w:rPr>
        <w:t>been empirically established</w:t>
      </w:r>
      <w:proofErr w:type="gramEnd"/>
      <w:r w:rsidRPr="009A27E4">
        <w:rPr>
          <w:rFonts w:ascii="Arial" w:hAnsi="Arial" w:cs="Arial"/>
          <w:sz w:val="22"/>
          <w:szCs w:val="22"/>
        </w:rPr>
        <w:t xml:space="preserve">. Instead, it adopts an exploratory Design Thinking perspective. Recurring observations of student experiences within a higher education context </w:t>
      </w:r>
      <w:proofErr w:type="gramStart"/>
      <w:r w:rsidRPr="009A27E4">
        <w:rPr>
          <w:rFonts w:ascii="Arial" w:hAnsi="Arial" w:cs="Arial"/>
          <w:sz w:val="22"/>
          <w:szCs w:val="22"/>
        </w:rPr>
        <w:t>are treated</w:t>
      </w:r>
      <w:proofErr w:type="gramEnd"/>
      <w:r w:rsidRPr="009A27E4">
        <w:rPr>
          <w:rFonts w:ascii="Arial" w:hAnsi="Arial" w:cs="Arial"/>
          <w:sz w:val="22"/>
          <w:szCs w:val="22"/>
        </w:rPr>
        <w:t xml:space="preserve"> as potential signals of unmet needs. These observations </w:t>
      </w:r>
      <w:proofErr w:type="gramStart"/>
      <w:r w:rsidRPr="009A27E4">
        <w:rPr>
          <w:rFonts w:ascii="Arial" w:hAnsi="Arial" w:cs="Arial"/>
          <w:sz w:val="22"/>
          <w:szCs w:val="22"/>
        </w:rPr>
        <w:t>are then considered</w:t>
      </w:r>
      <w:proofErr w:type="gramEnd"/>
      <w:r w:rsidRPr="009A27E4">
        <w:rPr>
          <w:rFonts w:ascii="Arial" w:hAnsi="Arial" w:cs="Arial"/>
          <w:sz w:val="22"/>
          <w:szCs w:val="22"/>
        </w:rPr>
        <w:t xml:space="preserve"> alongside academic research, sector evidence and UWTSD's own strategic documentation to determine whether they represent an opportunity worthy of further investigation.</w:t>
      </w:r>
    </w:p>
    <w:p w14:paraId="1806B96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Innovation does not always begin with a fully evidenced problem waiting to </w:t>
      </w:r>
      <w:proofErr w:type="gramStart"/>
      <w:r w:rsidRPr="009A27E4">
        <w:rPr>
          <w:rFonts w:ascii="Arial" w:hAnsi="Arial" w:cs="Arial"/>
          <w:sz w:val="22"/>
          <w:szCs w:val="22"/>
        </w:rPr>
        <w:t>be solved</w:t>
      </w:r>
      <w:proofErr w:type="gramEnd"/>
      <w:r w:rsidRPr="009A27E4">
        <w:rPr>
          <w:rFonts w:ascii="Arial" w:hAnsi="Arial" w:cs="Arial"/>
          <w:sz w:val="22"/>
          <w:szCs w:val="22"/>
        </w:rPr>
        <w:t xml:space="preserve">. Established knowledge provides an essential foundation for responsible decision-making, </w:t>
      </w:r>
      <w:r w:rsidRPr="009A27E4">
        <w:rPr>
          <w:rFonts w:ascii="Arial" w:hAnsi="Arial" w:cs="Arial"/>
          <w:sz w:val="22"/>
          <w:szCs w:val="22"/>
        </w:rPr>
        <w:lastRenderedPageBreak/>
        <w:t xml:space="preserve">but genuinely new opportunities may initially appear as observations, anomalies, </w:t>
      </w:r>
      <w:proofErr w:type="gramStart"/>
      <w:r w:rsidRPr="009A27E4">
        <w:rPr>
          <w:rFonts w:ascii="Arial" w:hAnsi="Arial" w:cs="Arial"/>
          <w:sz w:val="22"/>
          <w:szCs w:val="22"/>
        </w:rPr>
        <w:t>frustrations</w:t>
      </w:r>
      <w:proofErr w:type="gramEnd"/>
      <w:r w:rsidRPr="009A27E4">
        <w:rPr>
          <w:rFonts w:ascii="Arial" w:hAnsi="Arial" w:cs="Arial"/>
          <w:sz w:val="22"/>
          <w:szCs w:val="22"/>
        </w:rPr>
        <w:t xml:space="preserve"> or emerging patterns that have not yet </w:t>
      </w:r>
      <w:proofErr w:type="gramStart"/>
      <w:r w:rsidRPr="009A27E4">
        <w:rPr>
          <w:rFonts w:ascii="Arial" w:hAnsi="Arial" w:cs="Arial"/>
          <w:sz w:val="22"/>
          <w:szCs w:val="22"/>
        </w:rPr>
        <w:t>been extensively documented</w:t>
      </w:r>
      <w:proofErr w:type="gramEnd"/>
      <w:r w:rsidRPr="009A27E4">
        <w:rPr>
          <w:rFonts w:ascii="Arial" w:hAnsi="Arial" w:cs="Arial"/>
          <w:sz w:val="22"/>
          <w:szCs w:val="22"/>
        </w:rPr>
        <w:t xml:space="preserve">. Design Thinking provides a structured means of exploring such uncertainty through empathy, problem definition, ideation, </w:t>
      </w:r>
      <w:proofErr w:type="gramStart"/>
      <w:r w:rsidRPr="009A27E4">
        <w:rPr>
          <w:rFonts w:ascii="Arial" w:hAnsi="Arial" w:cs="Arial"/>
          <w:sz w:val="22"/>
          <w:szCs w:val="22"/>
        </w:rPr>
        <w:t>prototyping</w:t>
      </w:r>
      <w:proofErr w:type="gramEnd"/>
      <w:r w:rsidRPr="009A27E4">
        <w:rPr>
          <w:rFonts w:ascii="Arial" w:hAnsi="Arial" w:cs="Arial"/>
          <w:sz w:val="22"/>
          <w:szCs w:val="22"/>
        </w:rPr>
        <w:t xml:space="preserve"> and testing (Johansson-Sköldberg, et al,2013). Recent research similarly positions Design Thinking as an iterative process through which individual and organisational context, process and outcomes interact rather than as a rigid linear sequence (Baldassarre et al., 2023; Micheli et al., 2019).</w:t>
      </w:r>
    </w:p>
    <w:p w14:paraId="5502EF3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report argues that innovation in higher education can </w:t>
      </w:r>
      <w:proofErr w:type="gramStart"/>
      <w:r w:rsidRPr="009A27E4">
        <w:rPr>
          <w:rFonts w:ascii="Arial" w:hAnsi="Arial" w:cs="Arial"/>
          <w:sz w:val="22"/>
          <w:szCs w:val="22"/>
        </w:rPr>
        <w:t>be strengthened</w:t>
      </w:r>
      <w:proofErr w:type="gramEnd"/>
      <w:r w:rsidRPr="009A27E4">
        <w:rPr>
          <w:rFonts w:ascii="Arial" w:hAnsi="Arial" w:cs="Arial"/>
          <w:sz w:val="22"/>
          <w:szCs w:val="22"/>
        </w:rPr>
        <w:t xml:space="preserve"> when academic evidence and exploratory reasoning </w:t>
      </w:r>
      <w:proofErr w:type="gramStart"/>
      <w:r w:rsidRPr="009A27E4">
        <w:rPr>
          <w:rFonts w:ascii="Arial" w:hAnsi="Arial" w:cs="Arial"/>
          <w:sz w:val="22"/>
          <w:szCs w:val="22"/>
        </w:rPr>
        <w:t>are treated</w:t>
      </w:r>
      <w:proofErr w:type="gramEnd"/>
      <w:r w:rsidRPr="009A27E4">
        <w:rPr>
          <w:rFonts w:ascii="Arial" w:hAnsi="Arial" w:cs="Arial"/>
          <w:sz w:val="22"/>
          <w:szCs w:val="22"/>
        </w:rPr>
        <w:t xml:space="preserve"> as complementary rather than competing processes. Evidence can validate, </w:t>
      </w:r>
      <w:proofErr w:type="gramStart"/>
      <w:r w:rsidRPr="009A27E4">
        <w:rPr>
          <w:rFonts w:ascii="Arial" w:hAnsi="Arial" w:cs="Arial"/>
          <w:sz w:val="22"/>
          <w:szCs w:val="22"/>
        </w:rPr>
        <w:t>challenge</w:t>
      </w:r>
      <w:proofErr w:type="gramEnd"/>
      <w:r w:rsidRPr="009A27E4">
        <w:rPr>
          <w:rFonts w:ascii="Arial" w:hAnsi="Arial" w:cs="Arial"/>
          <w:sz w:val="22"/>
          <w:szCs w:val="22"/>
        </w:rPr>
        <w:t xml:space="preserve"> and refine an emerging idea, while creativity and user observation can generate questions for which established evidence does not yet provide complete answers. In this sense, every established innovation was once an uncertain proposition whose value had to </w:t>
      </w:r>
      <w:proofErr w:type="gramStart"/>
      <w:r w:rsidRPr="009A27E4">
        <w:rPr>
          <w:rFonts w:ascii="Arial" w:hAnsi="Arial" w:cs="Arial"/>
          <w:sz w:val="22"/>
          <w:szCs w:val="22"/>
        </w:rPr>
        <w:t>be explored</w:t>
      </w:r>
      <w:proofErr w:type="gramEnd"/>
      <w:r w:rsidRPr="009A27E4">
        <w:rPr>
          <w:rFonts w:ascii="Arial" w:hAnsi="Arial" w:cs="Arial"/>
          <w:sz w:val="22"/>
          <w:szCs w:val="22"/>
        </w:rPr>
        <w:t xml:space="preserve"> before it could become accepted practice. Design Thinking offers a disciplined way of managing that uncertainty without requiring the entrepreneur to possess certainty at the beginning.</w:t>
      </w:r>
    </w:p>
    <w:p w14:paraId="6CA0128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report has two objectives. First, it identifies opportunity areas within the UK market where digital innovation may create value, considering user pain points, market gaps, technological enablers, </w:t>
      </w:r>
      <w:proofErr w:type="gramStart"/>
      <w:r w:rsidRPr="009A27E4">
        <w:rPr>
          <w:rFonts w:ascii="Arial" w:hAnsi="Arial" w:cs="Arial"/>
          <w:sz w:val="22"/>
          <w:szCs w:val="22"/>
        </w:rPr>
        <w:t>scalability</w:t>
      </w:r>
      <w:proofErr w:type="gramEnd"/>
      <w:r w:rsidRPr="009A27E4">
        <w:rPr>
          <w:rFonts w:ascii="Arial" w:hAnsi="Arial" w:cs="Arial"/>
          <w:sz w:val="22"/>
          <w:szCs w:val="22"/>
        </w:rPr>
        <w:t xml:space="preserve"> and sustainability. Second, it applies the five stages of Design Thinking to UWTSD </w:t>
      </w:r>
      <w:proofErr w:type="gramStart"/>
      <w:r w:rsidRPr="009A27E4">
        <w:rPr>
          <w:rFonts w:ascii="Arial" w:hAnsi="Arial" w:cs="Arial"/>
          <w:sz w:val="22"/>
          <w:szCs w:val="22"/>
        </w:rPr>
        <w:t>in order to</w:t>
      </w:r>
      <w:proofErr w:type="gramEnd"/>
      <w:r w:rsidRPr="009A27E4">
        <w:rPr>
          <w:rFonts w:ascii="Arial" w:hAnsi="Arial" w:cs="Arial"/>
          <w:sz w:val="22"/>
          <w:szCs w:val="22"/>
        </w:rPr>
        <w:t xml:space="preserve"> develop an AI-enabled student-support innovation (Liedtka,2018). Diversity and inclusion </w:t>
      </w:r>
      <w:proofErr w:type="gramStart"/>
      <w:r w:rsidRPr="009A27E4">
        <w:rPr>
          <w:rFonts w:ascii="Arial" w:hAnsi="Arial" w:cs="Arial"/>
          <w:sz w:val="22"/>
          <w:szCs w:val="22"/>
        </w:rPr>
        <w:t>are embedded</w:t>
      </w:r>
      <w:proofErr w:type="gramEnd"/>
      <w:r w:rsidRPr="009A27E4">
        <w:rPr>
          <w:rFonts w:ascii="Arial" w:hAnsi="Arial" w:cs="Arial"/>
          <w:sz w:val="22"/>
          <w:szCs w:val="22"/>
        </w:rPr>
        <w:t xml:space="preserve"> throughout the process rather than treated as a separate feature, because the student population cannot </w:t>
      </w:r>
      <w:proofErr w:type="gramStart"/>
      <w:r w:rsidRPr="009A27E4">
        <w:rPr>
          <w:rFonts w:ascii="Arial" w:hAnsi="Arial" w:cs="Arial"/>
          <w:sz w:val="22"/>
          <w:szCs w:val="22"/>
        </w:rPr>
        <w:t>be understood</w:t>
      </w:r>
      <w:proofErr w:type="gramEnd"/>
      <w:r w:rsidRPr="009A27E4">
        <w:rPr>
          <w:rFonts w:ascii="Arial" w:hAnsi="Arial" w:cs="Arial"/>
          <w:sz w:val="22"/>
          <w:szCs w:val="22"/>
        </w:rPr>
        <w:t xml:space="preserve"> as a homogeneous market.</w:t>
      </w:r>
    </w:p>
    <w:p w14:paraId="53F3C76B" w14:textId="77777777" w:rsidR="00D96F96" w:rsidRPr="00E56A8D" w:rsidRDefault="00D96F96" w:rsidP="00FE71B3">
      <w:pPr>
        <w:pStyle w:val="Heading1"/>
        <w:rPr>
          <w:rFonts w:ascii="Arial" w:hAnsi="Arial" w:cs="Arial"/>
          <w:b/>
          <w:bCs/>
          <w:sz w:val="24"/>
          <w:szCs w:val="24"/>
        </w:rPr>
      </w:pPr>
      <w:bookmarkStart w:id="1" w:name="_Toc237895985"/>
      <w:r w:rsidRPr="00E56A8D">
        <w:rPr>
          <w:rFonts w:ascii="Arial" w:hAnsi="Arial" w:cs="Arial"/>
          <w:b/>
          <w:bCs/>
          <w:sz w:val="24"/>
          <w:szCs w:val="24"/>
        </w:rPr>
        <w:t>2.Task1 Viability, Desirability, Feasibility</w:t>
      </w:r>
      <w:bookmarkEnd w:id="1"/>
    </w:p>
    <w:p w14:paraId="4A362FCF" w14:textId="77777777" w:rsidR="00D96F96" w:rsidRDefault="00D96F96" w:rsidP="00FE71B3">
      <w:pPr>
        <w:pStyle w:val="Heading1"/>
        <w:rPr>
          <w:rFonts w:ascii="Arial" w:hAnsi="Arial" w:cs="Arial"/>
          <w:b/>
          <w:bCs/>
          <w:sz w:val="24"/>
          <w:szCs w:val="24"/>
        </w:rPr>
      </w:pPr>
      <w:r w:rsidRPr="00E56A8D">
        <w:rPr>
          <w:rFonts w:ascii="Arial" w:hAnsi="Arial" w:cs="Arial"/>
          <w:b/>
          <w:bCs/>
          <w:sz w:val="24"/>
          <w:szCs w:val="24"/>
        </w:rPr>
        <w:t xml:space="preserve"> </w:t>
      </w:r>
      <w:bookmarkStart w:id="2" w:name="_Toc237895986"/>
      <w:r w:rsidRPr="00E56A8D">
        <w:rPr>
          <w:rFonts w:ascii="Arial" w:hAnsi="Arial" w:cs="Arial"/>
          <w:b/>
          <w:bCs/>
          <w:sz w:val="24"/>
          <w:szCs w:val="24"/>
        </w:rPr>
        <w:t>2.1 Identifying viable UK opportunity areas through a Design Thinking lens.</w:t>
      </w:r>
      <w:bookmarkEnd w:id="2"/>
    </w:p>
    <w:p w14:paraId="07E8957D" w14:textId="77777777" w:rsidR="00DC57B2" w:rsidRPr="00DC57B2" w:rsidRDefault="00DC57B2" w:rsidP="00DC57B2"/>
    <w:p w14:paraId="1BD4ED2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scenario presented in the assessment brief describes a fundamental movement from physical and traditional service delivery towards digitally enabled ecosystems. The most significant implication is not simply that businesses have acquired websites or adopted online payment systems. Rather, digitalisation has changed the relationship between organisations and users. Services increasingly need to be accessible across locations, available at convenient times and responsive to different patterns of individual behaviour.</w:t>
      </w:r>
    </w:p>
    <w:p w14:paraId="529B63B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From a Design Thinking perspective, the opportunity therefore lies not simply in asking which technologies are available, but in asking where users continue to experience friction </w:t>
      </w:r>
      <w:r w:rsidRPr="009A27E4">
        <w:rPr>
          <w:rFonts w:ascii="Arial" w:hAnsi="Arial" w:cs="Arial"/>
          <w:sz w:val="22"/>
          <w:szCs w:val="22"/>
        </w:rPr>
        <w:lastRenderedPageBreak/>
        <w:t>despite the availability of technology. This distinction is important. A technology-first approach begins with the question “What can artificial intelligence do?” A human-centred approach asks, “Where are people still experiencing an unmet need, and could technology responsibly improve that experience?”</w:t>
      </w:r>
    </w:p>
    <w:p w14:paraId="2E4D15D5" w14:textId="67470909"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UK education sector presents such opportunity areas. Digital student support, personalised learning assistance, accessible educational technology, administrative </w:t>
      </w:r>
      <w:proofErr w:type="gramStart"/>
      <w:r w:rsidRPr="009A27E4">
        <w:rPr>
          <w:rFonts w:ascii="Arial" w:hAnsi="Arial" w:cs="Arial"/>
          <w:sz w:val="22"/>
          <w:szCs w:val="22"/>
        </w:rPr>
        <w:t>automation</w:t>
      </w:r>
      <w:proofErr w:type="gramEnd"/>
      <w:r w:rsidRPr="009A27E4">
        <w:rPr>
          <w:rFonts w:ascii="Arial" w:hAnsi="Arial" w:cs="Arial"/>
          <w:sz w:val="22"/>
          <w:szCs w:val="22"/>
        </w:rPr>
        <w:t xml:space="preserve"> and AI-supported staff productivity are particularly relevant because they sit at the intersection of increasing user expectations and institutional resource constraints.</w:t>
      </w:r>
    </w:p>
    <w:p w14:paraId="5E4B689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opportunity </w:t>
      </w:r>
      <w:proofErr w:type="gramStart"/>
      <w:r w:rsidRPr="009A27E4">
        <w:rPr>
          <w:rFonts w:ascii="Arial" w:hAnsi="Arial" w:cs="Arial"/>
          <w:sz w:val="22"/>
          <w:szCs w:val="22"/>
        </w:rPr>
        <w:t>is strengthened</w:t>
      </w:r>
      <w:proofErr w:type="gramEnd"/>
      <w:r w:rsidRPr="009A27E4">
        <w:rPr>
          <w:rFonts w:ascii="Arial" w:hAnsi="Arial" w:cs="Arial"/>
          <w:sz w:val="22"/>
          <w:szCs w:val="22"/>
        </w:rPr>
        <w:t xml:space="preserve"> by evidence that digital learning has become normalised rather than exceptional. Jisc's (2024/250 UK higher education student survey found that 86% of respondents rated their digital learning environment above average and 84% rated the quality of their digital learning experience positively. At the same time, students continued to identify issues concerning platform usability, device access, </w:t>
      </w:r>
      <w:proofErr w:type="gramStart"/>
      <w:r w:rsidRPr="009A27E4">
        <w:rPr>
          <w:rFonts w:ascii="Arial" w:hAnsi="Arial" w:cs="Arial"/>
          <w:sz w:val="22"/>
          <w:szCs w:val="22"/>
        </w:rPr>
        <w:t>infrastructure</w:t>
      </w:r>
      <w:proofErr w:type="gramEnd"/>
      <w:r w:rsidRPr="009A27E4">
        <w:rPr>
          <w:rFonts w:ascii="Arial" w:hAnsi="Arial" w:cs="Arial"/>
          <w:sz w:val="22"/>
          <w:szCs w:val="22"/>
        </w:rPr>
        <w:t xml:space="preserve"> and digital skills. The survey also found that 34% of students reported using AI tools in their learning, while only 23% reported </w:t>
      </w:r>
      <w:proofErr w:type="gramStart"/>
      <w:r w:rsidRPr="009A27E4">
        <w:rPr>
          <w:rFonts w:ascii="Arial" w:hAnsi="Arial" w:cs="Arial"/>
          <w:sz w:val="22"/>
          <w:szCs w:val="22"/>
        </w:rPr>
        <w:t>being provided</w:t>
      </w:r>
      <w:proofErr w:type="gramEnd"/>
      <w:r w:rsidRPr="009A27E4">
        <w:rPr>
          <w:rFonts w:ascii="Arial" w:hAnsi="Arial" w:cs="Arial"/>
          <w:sz w:val="22"/>
          <w:szCs w:val="22"/>
        </w:rPr>
        <w:t xml:space="preserve"> access to AI platforms by their institution. Students expressed both enthusiasm and concern, particularly around academic integrity, </w:t>
      </w:r>
      <w:proofErr w:type="gramStart"/>
      <w:r w:rsidRPr="009A27E4">
        <w:rPr>
          <w:rFonts w:ascii="Arial" w:hAnsi="Arial" w:cs="Arial"/>
          <w:sz w:val="22"/>
          <w:szCs w:val="22"/>
        </w:rPr>
        <w:t>reliability</w:t>
      </w:r>
      <w:proofErr w:type="gramEnd"/>
      <w:r w:rsidRPr="009A27E4">
        <w:rPr>
          <w:rFonts w:ascii="Arial" w:hAnsi="Arial" w:cs="Arial"/>
          <w:sz w:val="22"/>
          <w:szCs w:val="22"/>
        </w:rPr>
        <w:t xml:space="preserve"> and inconsistent guidance.</w:t>
      </w:r>
    </w:p>
    <w:p w14:paraId="0DF93FE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These findings suggest that the market gap is not simply “more digital education</w:t>
      </w:r>
      <w:proofErr w:type="gramStart"/>
      <w:r w:rsidRPr="009A27E4">
        <w:rPr>
          <w:rFonts w:ascii="Arial" w:hAnsi="Arial" w:cs="Arial"/>
          <w:sz w:val="22"/>
          <w:szCs w:val="22"/>
        </w:rPr>
        <w:t>”.</w:t>
      </w:r>
      <w:proofErr w:type="gramEnd"/>
      <w:r w:rsidRPr="009A27E4">
        <w:rPr>
          <w:rFonts w:ascii="Arial" w:hAnsi="Arial" w:cs="Arial"/>
          <w:sz w:val="22"/>
          <w:szCs w:val="22"/>
        </w:rPr>
        <w:t xml:space="preserve"> Digital provision already exists. The opportunity is to make digital educational ecosystems more coherent, personalised, </w:t>
      </w:r>
      <w:proofErr w:type="gramStart"/>
      <w:r w:rsidRPr="009A27E4">
        <w:rPr>
          <w:rFonts w:ascii="Arial" w:hAnsi="Arial" w:cs="Arial"/>
          <w:sz w:val="22"/>
          <w:szCs w:val="22"/>
        </w:rPr>
        <w:t>inclusive</w:t>
      </w:r>
      <w:proofErr w:type="gramEnd"/>
      <w:r w:rsidRPr="009A27E4">
        <w:rPr>
          <w:rFonts w:ascii="Arial" w:hAnsi="Arial" w:cs="Arial"/>
          <w:sz w:val="22"/>
          <w:szCs w:val="22"/>
        </w:rPr>
        <w:t xml:space="preserve"> and responsive.</w:t>
      </w:r>
    </w:p>
    <w:p w14:paraId="2E146358" w14:textId="77777777" w:rsidR="00D96F96" w:rsidRDefault="00D96F96" w:rsidP="00FE71B3">
      <w:pPr>
        <w:pStyle w:val="Heading1"/>
        <w:rPr>
          <w:rFonts w:ascii="Arial" w:hAnsi="Arial" w:cs="Arial"/>
          <w:b/>
          <w:bCs/>
          <w:sz w:val="24"/>
          <w:szCs w:val="24"/>
        </w:rPr>
      </w:pPr>
      <w:bookmarkStart w:id="3" w:name="_Toc237895987"/>
      <w:r w:rsidRPr="00E649A8">
        <w:rPr>
          <w:rFonts w:ascii="Arial" w:hAnsi="Arial" w:cs="Arial"/>
          <w:b/>
          <w:bCs/>
          <w:sz w:val="24"/>
          <w:szCs w:val="24"/>
        </w:rPr>
        <w:t>2.2 User pain points and market gaps (Desirability)</w:t>
      </w:r>
      <w:bookmarkEnd w:id="3"/>
    </w:p>
    <w:p w14:paraId="34D6DCCC" w14:textId="77777777" w:rsidR="00DC57B2" w:rsidRPr="00DC57B2" w:rsidRDefault="00DC57B2" w:rsidP="00DC57B2"/>
    <w:p w14:paraId="5F34012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first opportunity area is therefore intelligent student support. Students interact with universities through multiple systems and functions: learning environments, academic staff, administrative teams, library services, wellbeing provision, disability </w:t>
      </w:r>
      <w:proofErr w:type="gramStart"/>
      <w:r w:rsidRPr="009A27E4">
        <w:rPr>
          <w:rFonts w:ascii="Arial" w:hAnsi="Arial" w:cs="Arial"/>
          <w:sz w:val="22"/>
          <w:szCs w:val="22"/>
        </w:rPr>
        <w:t>support</w:t>
      </w:r>
      <w:proofErr w:type="gramEnd"/>
      <w:r w:rsidRPr="009A27E4">
        <w:rPr>
          <w:rFonts w:ascii="Arial" w:hAnsi="Arial" w:cs="Arial"/>
          <w:sz w:val="22"/>
          <w:szCs w:val="22"/>
        </w:rPr>
        <w:t xml:space="preserve"> and careers services. Each service may perform its own role effectively, yet the overall student experience can become fragmented. The user's experience is not departmental; it is systemic.</w:t>
      </w:r>
    </w:p>
    <w:p w14:paraId="691E363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is where a Design Thinking perspective differs from a conventional organisational perspective. Departments may optimise individual processes, while students experience the connections between them. A student does not necessarily experience “an IT issue</w:t>
      </w:r>
      <w:proofErr w:type="gramStart"/>
      <w:r w:rsidRPr="009A27E4">
        <w:rPr>
          <w:rFonts w:ascii="Arial" w:hAnsi="Arial" w:cs="Arial"/>
          <w:sz w:val="22"/>
          <w:szCs w:val="22"/>
        </w:rPr>
        <w:t>”,</w:t>
      </w:r>
      <w:proofErr w:type="gramEnd"/>
      <w:r w:rsidRPr="009A27E4">
        <w:rPr>
          <w:rFonts w:ascii="Arial" w:hAnsi="Arial" w:cs="Arial"/>
          <w:sz w:val="22"/>
          <w:szCs w:val="22"/>
        </w:rPr>
        <w:t xml:space="preserve"> “a library issue” or “an administrative issue</w:t>
      </w:r>
      <w:proofErr w:type="gramStart"/>
      <w:r w:rsidRPr="009A27E4">
        <w:rPr>
          <w:rFonts w:ascii="Arial" w:hAnsi="Arial" w:cs="Arial"/>
          <w:sz w:val="22"/>
          <w:szCs w:val="22"/>
        </w:rPr>
        <w:t>”.</w:t>
      </w:r>
      <w:proofErr w:type="gramEnd"/>
      <w:r w:rsidRPr="009A27E4">
        <w:rPr>
          <w:rFonts w:ascii="Arial" w:hAnsi="Arial" w:cs="Arial"/>
          <w:sz w:val="22"/>
          <w:szCs w:val="22"/>
        </w:rPr>
        <w:t xml:space="preserve"> They experience an obstacle to progressing with their education.</w:t>
      </w:r>
    </w:p>
    <w:p w14:paraId="471313D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UWTSD's own Digital Strategy recognises this systemic dimension (UWTSD, 2023/24). It identifies user engagement, workflow transparency, system integration and the use of Enterprise Service Management and Customer Relationship Management as components of digital transformation. It also explicitly identifies automation of common requests as a potential opportunity. The opportunity identified in this report therefore builds upon an existing strategic direction rather than introducing digitalisation into an otherwise traditional environment.</w:t>
      </w:r>
    </w:p>
    <w:p w14:paraId="41ED88A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second opportunity is inclusive digital support. Accessibility cannot </w:t>
      </w:r>
      <w:proofErr w:type="gramStart"/>
      <w:r w:rsidRPr="009A27E4">
        <w:rPr>
          <w:rFonts w:ascii="Arial" w:hAnsi="Arial" w:cs="Arial"/>
          <w:sz w:val="22"/>
          <w:szCs w:val="22"/>
        </w:rPr>
        <w:t>be understood</w:t>
      </w:r>
      <w:proofErr w:type="gramEnd"/>
      <w:r w:rsidRPr="009A27E4">
        <w:rPr>
          <w:rFonts w:ascii="Arial" w:hAnsi="Arial" w:cs="Arial"/>
          <w:sz w:val="22"/>
          <w:szCs w:val="22"/>
        </w:rPr>
        <w:t xml:space="preserve"> merely as compliance. UWTSD already provides disability support intended to give students with physical, cognitive and sensory disabilities equal access to university life, while its website accessibility statement recognises the importance of screen-reader compatibility, keyboard navigation, adjustable text and other accessibility functions (UWTSD, n.d.a; UWTSD, n.d.b)</w:t>
      </w:r>
    </w:p>
    <w:p w14:paraId="50A0758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Artificial intelligence creates an additional opportunity, but also an additional risk. Research indicates that AI may support students with disabilities through personalised assistance and alternative ways of interacting with educational materials, while also introducing risks relating to accuracy, academic integrity, </w:t>
      </w:r>
      <w:proofErr w:type="gramStart"/>
      <w:r w:rsidRPr="009A27E4">
        <w:rPr>
          <w:rFonts w:ascii="Arial" w:hAnsi="Arial" w:cs="Arial"/>
          <w:sz w:val="22"/>
          <w:szCs w:val="22"/>
        </w:rPr>
        <w:t>cost</w:t>
      </w:r>
      <w:proofErr w:type="gramEnd"/>
      <w:r w:rsidRPr="009A27E4">
        <w:rPr>
          <w:rFonts w:ascii="Arial" w:hAnsi="Arial" w:cs="Arial"/>
          <w:sz w:val="22"/>
          <w:szCs w:val="22"/>
        </w:rPr>
        <w:t xml:space="preserve"> and exclusion (Zhao, 2025). Research combining Universal Design for Learning similarly suggests that more inclusive educational environments can </w:t>
      </w:r>
      <w:proofErr w:type="gramStart"/>
      <w:r w:rsidRPr="009A27E4">
        <w:rPr>
          <w:rFonts w:ascii="Arial" w:hAnsi="Arial" w:cs="Arial"/>
          <w:sz w:val="22"/>
          <w:szCs w:val="22"/>
        </w:rPr>
        <w:t>be achieved</w:t>
      </w:r>
      <w:proofErr w:type="gramEnd"/>
      <w:r w:rsidRPr="009A27E4">
        <w:rPr>
          <w:rFonts w:ascii="Arial" w:hAnsi="Arial" w:cs="Arial"/>
          <w:sz w:val="22"/>
          <w:szCs w:val="22"/>
        </w:rPr>
        <w:t xml:space="preserve"> when accessibility requirements </w:t>
      </w:r>
      <w:proofErr w:type="gramStart"/>
      <w:r w:rsidRPr="009A27E4">
        <w:rPr>
          <w:rFonts w:ascii="Arial" w:hAnsi="Arial" w:cs="Arial"/>
          <w:sz w:val="22"/>
          <w:szCs w:val="22"/>
        </w:rPr>
        <w:t>are embedded</w:t>
      </w:r>
      <w:proofErr w:type="gramEnd"/>
      <w:r w:rsidRPr="009A27E4">
        <w:rPr>
          <w:rFonts w:ascii="Arial" w:hAnsi="Arial" w:cs="Arial"/>
          <w:sz w:val="22"/>
          <w:szCs w:val="22"/>
        </w:rPr>
        <w:t xml:space="preserve"> into the design process rather than introduced retrospectively as individual accommodations (CAST, 2024; Evmenova, Borup and Shin, 2024).</w:t>
      </w:r>
    </w:p>
    <w:p w14:paraId="36CA072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creates an opportunity for UWTSD to develop AI support that is multimodal from the beginning. A student with visual impairment could potentially interact through speech and receive spoken responses. A student who finds dense written instructions difficult to process could request information in a more structured form. A student whose first language is not English could use translation or clarification functions. The point is not to create a different system for every category of student, but to design a flexible system capable of adapting to human diversity.</w:t>
      </w:r>
    </w:p>
    <w:p w14:paraId="7F820D3B" w14:textId="204D76A3"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third opportunity concerns staff capacity. Artificial intelligence could potentially support academic and professional staff by </w:t>
      </w:r>
      <w:r w:rsidR="00324D01" w:rsidRPr="009A27E4">
        <w:rPr>
          <w:rFonts w:ascii="Arial" w:hAnsi="Arial" w:cs="Arial"/>
          <w:sz w:val="22"/>
          <w:szCs w:val="22"/>
        </w:rPr>
        <w:t>managing</w:t>
      </w:r>
      <w:r w:rsidRPr="009A27E4">
        <w:rPr>
          <w:rFonts w:ascii="Arial" w:hAnsi="Arial" w:cs="Arial"/>
          <w:sz w:val="22"/>
          <w:szCs w:val="22"/>
        </w:rPr>
        <w:t xml:space="preserve"> repetitive enquiries, retrieving information, summarising routine interactions and directing students towards appropriate services. The purpose would not be staff replacement. Such a proposition would be both ethically questionable and strategically simplistic. The opportunity is instead to create additional capacity.</w:t>
      </w:r>
    </w:p>
    <w:p w14:paraId="3B42800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This distinction matters because higher education is a relational service. Teaching, mentoring, pastoral support, complex decision-making, and academic judgement depend on human expertise. A system that automatically replaces these functions may create efficiency while simultaneously destroying value. Conversely, a system that removes repetitive administrative friction could enable staff to spend more time on activities where human expertise creates the greatest value.</w:t>
      </w:r>
    </w:p>
    <w:p w14:paraId="01356BA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Research into AI in higher education has already identified a range of applications, including administrative support, </w:t>
      </w:r>
      <w:proofErr w:type="gramStart"/>
      <w:r w:rsidRPr="009A27E4">
        <w:rPr>
          <w:rFonts w:ascii="Arial" w:hAnsi="Arial" w:cs="Arial"/>
          <w:sz w:val="22"/>
          <w:szCs w:val="22"/>
        </w:rPr>
        <w:t>assessment</w:t>
      </w:r>
      <w:proofErr w:type="gramEnd"/>
      <w:r w:rsidRPr="009A27E4">
        <w:rPr>
          <w:rFonts w:ascii="Arial" w:hAnsi="Arial" w:cs="Arial"/>
          <w:sz w:val="22"/>
          <w:szCs w:val="22"/>
        </w:rPr>
        <w:t xml:space="preserve"> and learning-related functions, while also highlighting that educators themselves have received comparatively less attention in the research agenda (Zawacki-Richter et al., 2019). This creates a meaningful design opportunity: rather than asking how AI can replace educators, ask how AI can augment the educational ecosystem around them.</w:t>
      </w:r>
    </w:p>
    <w:p w14:paraId="79707FF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technological conditions for such an opportunity already exist. Generative AI, conversational interfaces, speech recognition, text-to-speech, translation technologies, cloud </w:t>
      </w:r>
      <w:proofErr w:type="gramStart"/>
      <w:r w:rsidRPr="009A27E4">
        <w:rPr>
          <w:rFonts w:ascii="Arial" w:hAnsi="Arial" w:cs="Arial"/>
          <w:sz w:val="22"/>
          <w:szCs w:val="22"/>
        </w:rPr>
        <w:t>computing</w:t>
      </w:r>
      <w:proofErr w:type="gramEnd"/>
      <w:r w:rsidRPr="009A27E4">
        <w:rPr>
          <w:rFonts w:ascii="Arial" w:hAnsi="Arial" w:cs="Arial"/>
          <w:sz w:val="22"/>
          <w:szCs w:val="22"/>
        </w:rPr>
        <w:t xml:space="preserve"> and learning analytics can </w:t>
      </w:r>
      <w:proofErr w:type="gramStart"/>
      <w:r w:rsidRPr="009A27E4">
        <w:rPr>
          <w:rFonts w:ascii="Arial" w:hAnsi="Arial" w:cs="Arial"/>
          <w:sz w:val="22"/>
          <w:szCs w:val="22"/>
        </w:rPr>
        <w:t>be combined</w:t>
      </w:r>
      <w:proofErr w:type="gramEnd"/>
      <w:r w:rsidRPr="009A27E4">
        <w:rPr>
          <w:rFonts w:ascii="Arial" w:hAnsi="Arial" w:cs="Arial"/>
          <w:sz w:val="22"/>
          <w:szCs w:val="22"/>
        </w:rPr>
        <w:t xml:space="preserve"> into increasingly sophisticated digital services.</w:t>
      </w:r>
    </w:p>
    <w:p w14:paraId="6BEB43A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Importantly, UWTSD is not beginning from zero. The University already provides digital learning resources, digital skills </w:t>
      </w:r>
      <w:proofErr w:type="gramStart"/>
      <w:r w:rsidRPr="009A27E4">
        <w:rPr>
          <w:rFonts w:ascii="Arial" w:hAnsi="Arial" w:cs="Arial"/>
          <w:sz w:val="22"/>
          <w:szCs w:val="22"/>
        </w:rPr>
        <w:t>development</w:t>
      </w:r>
      <w:proofErr w:type="gramEnd"/>
      <w:r w:rsidRPr="009A27E4">
        <w:rPr>
          <w:rFonts w:ascii="Arial" w:hAnsi="Arial" w:cs="Arial"/>
          <w:sz w:val="22"/>
          <w:szCs w:val="22"/>
        </w:rPr>
        <w:t xml:space="preserve"> and AI learning resources for students. In March 2026, UWTSD also reported its use of AI-powered simulations to develop students' communication and professional skills, demonstrating that AI-supported learning is already </w:t>
      </w:r>
      <w:proofErr w:type="gramStart"/>
      <w:r w:rsidRPr="009A27E4">
        <w:rPr>
          <w:rFonts w:ascii="Arial" w:hAnsi="Arial" w:cs="Arial"/>
          <w:sz w:val="22"/>
          <w:szCs w:val="22"/>
        </w:rPr>
        <w:t>being explored</w:t>
      </w:r>
      <w:proofErr w:type="gramEnd"/>
      <w:r w:rsidRPr="009A27E4">
        <w:rPr>
          <w:rFonts w:ascii="Arial" w:hAnsi="Arial" w:cs="Arial"/>
          <w:sz w:val="22"/>
          <w:szCs w:val="22"/>
        </w:rPr>
        <w:t xml:space="preserve"> within the institution (UWTSD, 2026). UWTSD has also reported training </w:t>
      </w:r>
      <w:proofErr w:type="gramStart"/>
      <w:r w:rsidRPr="009A27E4">
        <w:rPr>
          <w:rFonts w:ascii="Arial" w:hAnsi="Arial" w:cs="Arial"/>
          <w:sz w:val="22"/>
          <w:szCs w:val="22"/>
        </w:rPr>
        <w:t>nearly 400</w:t>
      </w:r>
      <w:proofErr w:type="gramEnd"/>
      <w:r w:rsidRPr="009A27E4">
        <w:rPr>
          <w:rFonts w:ascii="Arial" w:hAnsi="Arial" w:cs="Arial"/>
          <w:sz w:val="22"/>
          <w:szCs w:val="22"/>
        </w:rPr>
        <w:t xml:space="preserve"> academic and professional staff in generative AI and has introduced AI literacy programmes for students. It describes a “Learn–Adapt–Adopt–Develop” approach and states that it is exploring AI-powered analytics to improve retention and personalise support while maintaining transparency and fairness. (UWTSD, 2025)</w:t>
      </w:r>
    </w:p>
    <w:p w14:paraId="3B8F90A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is significant from an innovation perspective because the proposed venture does not require a technological leap into an unknown future. It requires the integration and redesign of existing capabilities around user needs.</w:t>
      </w:r>
    </w:p>
    <w:p w14:paraId="0DADEE14" w14:textId="77777777" w:rsidR="00D96F96" w:rsidRDefault="00D96F96" w:rsidP="00FE71B3">
      <w:pPr>
        <w:pStyle w:val="Heading1"/>
        <w:rPr>
          <w:rFonts w:ascii="Arial" w:hAnsi="Arial" w:cs="Arial"/>
          <w:b/>
          <w:bCs/>
          <w:sz w:val="24"/>
          <w:szCs w:val="24"/>
        </w:rPr>
      </w:pPr>
      <w:bookmarkStart w:id="4" w:name="_Toc237895988"/>
      <w:r w:rsidRPr="00E649A8">
        <w:rPr>
          <w:rFonts w:ascii="Arial" w:hAnsi="Arial" w:cs="Arial"/>
          <w:b/>
          <w:bCs/>
          <w:sz w:val="24"/>
          <w:szCs w:val="24"/>
        </w:rPr>
        <w:t>2.3 Scalability and sustainability (Feasibility)</w:t>
      </w:r>
      <w:bookmarkEnd w:id="4"/>
    </w:p>
    <w:p w14:paraId="2909CFB7" w14:textId="77777777" w:rsidR="00DC57B2" w:rsidRPr="00DC57B2" w:rsidRDefault="00DC57B2" w:rsidP="00DC57B2"/>
    <w:p w14:paraId="649335B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opportunity also possesses scalability potential because AI-enabled support is inherently digital. Once a system has </w:t>
      </w:r>
      <w:proofErr w:type="gramStart"/>
      <w:r w:rsidRPr="009A27E4">
        <w:rPr>
          <w:rFonts w:ascii="Arial" w:hAnsi="Arial" w:cs="Arial"/>
          <w:sz w:val="22"/>
          <w:szCs w:val="22"/>
        </w:rPr>
        <w:t>been developed</w:t>
      </w:r>
      <w:proofErr w:type="gramEnd"/>
      <w:r w:rsidRPr="009A27E4">
        <w:rPr>
          <w:rFonts w:ascii="Arial" w:hAnsi="Arial" w:cs="Arial"/>
          <w:sz w:val="22"/>
          <w:szCs w:val="22"/>
        </w:rPr>
        <w:t xml:space="preserve"> and appropriately governed, marginal costs associated with handling additional routine interactions may be lower than those associated with expanding human support capacity at the same rate.</w:t>
      </w:r>
    </w:p>
    <w:p w14:paraId="7E801C5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However, scalability should not be confused with unlimited automation. A sustainable model must incorporate human escalation, quality assurance, accessibility testing, data </w:t>
      </w:r>
      <w:proofErr w:type="gramStart"/>
      <w:r w:rsidRPr="009A27E4">
        <w:rPr>
          <w:rFonts w:ascii="Arial" w:hAnsi="Arial" w:cs="Arial"/>
          <w:sz w:val="22"/>
          <w:szCs w:val="22"/>
        </w:rPr>
        <w:t>governance</w:t>
      </w:r>
      <w:proofErr w:type="gramEnd"/>
      <w:r w:rsidRPr="009A27E4">
        <w:rPr>
          <w:rFonts w:ascii="Arial" w:hAnsi="Arial" w:cs="Arial"/>
          <w:sz w:val="22"/>
          <w:szCs w:val="22"/>
        </w:rPr>
        <w:t xml:space="preserve"> and continuous evaluation. Otherwise, increasing the number of users may simply increase the number of errors.</w:t>
      </w:r>
    </w:p>
    <w:p w14:paraId="13CB5F2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opportunity can therefore </w:t>
      </w:r>
      <w:proofErr w:type="gramStart"/>
      <w:r w:rsidRPr="009A27E4">
        <w:rPr>
          <w:rFonts w:ascii="Arial" w:hAnsi="Arial" w:cs="Arial"/>
          <w:sz w:val="22"/>
          <w:szCs w:val="22"/>
        </w:rPr>
        <w:t>be understood</w:t>
      </w:r>
      <w:proofErr w:type="gramEnd"/>
      <w:r w:rsidRPr="009A27E4">
        <w:rPr>
          <w:rFonts w:ascii="Arial" w:hAnsi="Arial" w:cs="Arial"/>
          <w:sz w:val="22"/>
          <w:szCs w:val="22"/>
        </w:rPr>
        <w:t xml:space="preserve"> as a human-AI service ecosystem rather than a chatbot. Its value proposition would be based on increasing access to appropriate support while preserving human responsibility for decisions that require professional judgement.</w:t>
      </w:r>
    </w:p>
    <w:p w14:paraId="7C0DAA89" w14:textId="3407DD6E" w:rsidR="00D96F96" w:rsidRPr="009A27E4" w:rsidRDefault="00D96F96" w:rsidP="009A27E4">
      <w:pPr>
        <w:spacing w:line="360" w:lineRule="auto"/>
        <w:rPr>
          <w:rFonts w:ascii="Arial" w:hAnsi="Arial" w:cs="Arial"/>
          <w:b/>
          <w:bCs/>
          <w:sz w:val="22"/>
          <w:szCs w:val="22"/>
        </w:rPr>
      </w:pPr>
      <w:bookmarkStart w:id="5" w:name="_Toc237895989"/>
      <w:r w:rsidRPr="0047152A">
        <w:rPr>
          <w:rStyle w:val="Heading1Char"/>
          <w:rFonts w:ascii="Arial" w:hAnsi="Arial" w:cs="Arial"/>
          <w:b/>
          <w:bCs/>
          <w:sz w:val="24"/>
          <w:szCs w:val="24"/>
        </w:rPr>
        <w:t>3.</w:t>
      </w:r>
      <w:r w:rsidRPr="007E46C5">
        <w:rPr>
          <w:rStyle w:val="Heading1Char"/>
        </w:rPr>
        <w:t xml:space="preserve"> </w:t>
      </w:r>
      <w:r w:rsidRPr="0047152A">
        <w:rPr>
          <w:rStyle w:val="Heading1Char"/>
          <w:rFonts w:ascii="Arial" w:hAnsi="Arial" w:cs="Arial"/>
          <w:b/>
          <w:bCs/>
          <w:sz w:val="24"/>
          <w:szCs w:val="24"/>
        </w:rPr>
        <w:t>Task 2: Empathise, Define, Ideate, Prototype and Test.</w:t>
      </w:r>
      <w:bookmarkEnd w:id="5"/>
      <w:r w:rsidRPr="009A27E4">
        <w:rPr>
          <w:rFonts w:ascii="Arial" w:hAnsi="Arial" w:cs="Arial"/>
          <w:sz w:val="22"/>
          <w:szCs w:val="22"/>
        </w:rPr>
        <w:t xml:space="preserve"> This approach recognises innovation as an iterative rather than a linear process (Liedtka, 2018; Micheli </w:t>
      </w:r>
      <w:r w:rsidRPr="009A27E4">
        <w:rPr>
          <w:rFonts w:ascii="Arial" w:hAnsi="Arial" w:cs="Arial"/>
          <w:i/>
          <w:iCs/>
          <w:sz w:val="22"/>
          <w:szCs w:val="22"/>
        </w:rPr>
        <w:t>et al</w:t>
      </w:r>
      <w:r w:rsidRPr="009A27E4">
        <w:rPr>
          <w:rFonts w:ascii="Arial" w:hAnsi="Arial" w:cs="Arial"/>
          <w:sz w:val="22"/>
          <w:szCs w:val="22"/>
        </w:rPr>
        <w:t>., 2019).</w:t>
      </w:r>
    </w:p>
    <w:p w14:paraId="33544E65" w14:textId="77777777" w:rsidR="00D96F96" w:rsidRDefault="00D96F96" w:rsidP="000260E9">
      <w:pPr>
        <w:pStyle w:val="Heading1"/>
        <w:rPr>
          <w:rFonts w:ascii="Arial" w:hAnsi="Arial" w:cs="Arial"/>
          <w:b/>
          <w:bCs/>
          <w:sz w:val="24"/>
          <w:szCs w:val="24"/>
        </w:rPr>
      </w:pPr>
      <w:bookmarkStart w:id="6" w:name="_Toc237895990"/>
      <w:r w:rsidRPr="0047152A">
        <w:rPr>
          <w:rFonts w:ascii="Arial" w:hAnsi="Arial" w:cs="Arial"/>
          <w:b/>
          <w:bCs/>
          <w:sz w:val="24"/>
          <w:szCs w:val="24"/>
        </w:rPr>
        <w:t>3.1 Empathise: observing the educational ecosystem.</w:t>
      </w:r>
      <w:bookmarkEnd w:id="6"/>
    </w:p>
    <w:p w14:paraId="5A75A298" w14:textId="77777777" w:rsidR="00DC57B2" w:rsidRPr="00DC57B2" w:rsidRDefault="00DC57B2" w:rsidP="00DC57B2"/>
    <w:p w14:paraId="44503FA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Empathise stage begins with understanding people rather than defining the solution. This is particularly important in the UWTSD context because the University's own Digital Strategy places users at the centre of digital development and explicitly identifies feedback from students and staff as part of its approach.</w:t>
      </w:r>
    </w:p>
    <w:p w14:paraId="55A69DA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initial observations informing this report </w:t>
      </w:r>
      <w:proofErr w:type="gramStart"/>
      <w:r w:rsidRPr="009A27E4">
        <w:rPr>
          <w:rFonts w:ascii="Arial" w:hAnsi="Arial" w:cs="Arial"/>
          <w:sz w:val="22"/>
          <w:szCs w:val="22"/>
        </w:rPr>
        <w:t>are therefore treated</w:t>
      </w:r>
      <w:proofErr w:type="gramEnd"/>
      <w:r w:rsidRPr="009A27E4">
        <w:rPr>
          <w:rFonts w:ascii="Arial" w:hAnsi="Arial" w:cs="Arial"/>
          <w:sz w:val="22"/>
          <w:szCs w:val="22"/>
        </w:rPr>
        <w:t xml:space="preserve"> as signals rather than proof. Repeated experiences of difficulty, delay, </w:t>
      </w:r>
      <w:proofErr w:type="gramStart"/>
      <w:r w:rsidRPr="009A27E4">
        <w:rPr>
          <w:rFonts w:ascii="Arial" w:hAnsi="Arial" w:cs="Arial"/>
          <w:sz w:val="22"/>
          <w:szCs w:val="22"/>
        </w:rPr>
        <w:t>uncertainty</w:t>
      </w:r>
      <w:proofErr w:type="gramEnd"/>
      <w:r w:rsidRPr="009A27E4">
        <w:rPr>
          <w:rFonts w:ascii="Arial" w:hAnsi="Arial" w:cs="Arial"/>
          <w:sz w:val="22"/>
          <w:szCs w:val="22"/>
        </w:rPr>
        <w:t xml:space="preserve"> or fragmented communication among students can indicate a potential design problem, but they cannot by themselves establish that the same problem exists universally. The appropriate Design Thinking response is not to dismiss the observations because they </w:t>
      </w:r>
      <w:proofErr w:type="gramStart"/>
      <w:r w:rsidRPr="009A27E4">
        <w:rPr>
          <w:rFonts w:ascii="Arial" w:hAnsi="Arial" w:cs="Arial"/>
          <w:sz w:val="22"/>
          <w:szCs w:val="22"/>
        </w:rPr>
        <w:t>are insufficiently evidenced</w:t>
      </w:r>
      <w:proofErr w:type="gramEnd"/>
      <w:r w:rsidRPr="009A27E4">
        <w:rPr>
          <w:rFonts w:ascii="Arial" w:hAnsi="Arial" w:cs="Arial"/>
          <w:sz w:val="22"/>
          <w:szCs w:val="22"/>
        </w:rPr>
        <w:t>, nor to present them as established facts. It is to investigate them.</w:t>
      </w:r>
    </w:p>
    <w:p w14:paraId="73FB853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distinction provides an opportunity to address an important tension between academic validation and innovation. Academic research is essential for understanding established patterns, but innovation frequently begins before a new phenomenon has generated a substantial evidence base. The role of the entrepreneur is therefore partly exploratory: to identify something worth testing.</w:t>
      </w:r>
    </w:p>
    <w:p w14:paraId="1332252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report conceptualises such observations as weak signals. A weak signal is not evidence that a solution is correct. It is an indication that something may warrant attention. In this case, the signals concern the interaction between students and the systems through which educational support </w:t>
      </w:r>
      <w:proofErr w:type="gramStart"/>
      <w:r w:rsidRPr="009A27E4">
        <w:rPr>
          <w:rFonts w:ascii="Arial" w:hAnsi="Arial" w:cs="Arial"/>
          <w:sz w:val="22"/>
          <w:szCs w:val="22"/>
        </w:rPr>
        <w:t>is delivered</w:t>
      </w:r>
      <w:proofErr w:type="gramEnd"/>
      <w:r w:rsidRPr="009A27E4">
        <w:rPr>
          <w:rFonts w:ascii="Arial" w:hAnsi="Arial" w:cs="Arial"/>
          <w:sz w:val="22"/>
          <w:szCs w:val="22"/>
        </w:rPr>
        <w:t>.</w:t>
      </w:r>
    </w:p>
    <w:p w14:paraId="05C866B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empathy process would therefore involve students, academic staff, professional services, disability and accessibility representatives and digital-service teams. Diversity </w:t>
      </w:r>
      <w:r w:rsidRPr="009A27E4">
        <w:rPr>
          <w:rFonts w:ascii="Arial" w:hAnsi="Arial" w:cs="Arial"/>
          <w:sz w:val="22"/>
          <w:szCs w:val="22"/>
        </w:rPr>
        <w:lastRenderedPageBreak/>
        <w:t xml:space="preserve">would </w:t>
      </w:r>
      <w:proofErr w:type="gramStart"/>
      <w:r w:rsidRPr="009A27E4">
        <w:rPr>
          <w:rFonts w:ascii="Arial" w:hAnsi="Arial" w:cs="Arial"/>
          <w:sz w:val="22"/>
          <w:szCs w:val="22"/>
        </w:rPr>
        <w:t>be deliberately represented</w:t>
      </w:r>
      <w:proofErr w:type="gramEnd"/>
      <w:r w:rsidRPr="009A27E4">
        <w:rPr>
          <w:rFonts w:ascii="Arial" w:hAnsi="Arial" w:cs="Arial"/>
          <w:sz w:val="22"/>
          <w:szCs w:val="22"/>
        </w:rPr>
        <w:t xml:space="preserve"> within the user research because a system designed around an average student risk reproducing the limitations of standardisation.</w:t>
      </w:r>
    </w:p>
    <w:p w14:paraId="741A607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empathy stage would explore not only what users say they need, but how they currently accomplish tasks, where they experience friction, what they do when support is unavailable and which problems they solve independently. This is important because users may normalise problems they have experienced repeatedly. What becomes routine for the organisation can remain frustrating for the individual.</w:t>
      </w:r>
    </w:p>
    <w:p w14:paraId="32F4709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causal map emerging from this exploration can </w:t>
      </w:r>
      <w:proofErr w:type="gramStart"/>
      <w:r w:rsidRPr="009A27E4">
        <w:rPr>
          <w:rFonts w:ascii="Arial" w:hAnsi="Arial" w:cs="Arial"/>
          <w:sz w:val="22"/>
          <w:szCs w:val="22"/>
        </w:rPr>
        <w:t>be expressed</w:t>
      </w:r>
      <w:proofErr w:type="gramEnd"/>
      <w:r w:rsidRPr="009A27E4">
        <w:rPr>
          <w:rFonts w:ascii="Arial" w:hAnsi="Arial" w:cs="Arial"/>
          <w:sz w:val="22"/>
          <w:szCs w:val="22"/>
        </w:rPr>
        <w:t xml:space="preserve"> as follows:</w:t>
      </w:r>
    </w:p>
    <w:p w14:paraId="6690B203" w14:textId="77777777" w:rsidR="00D96F96" w:rsidRPr="009A27E4" w:rsidRDefault="00D96F96" w:rsidP="009A27E4">
      <w:pPr>
        <w:spacing w:line="360" w:lineRule="auto"/>
        <w:rPr>
          <w:rFonts w:ascii="Arial" w:hAnsi="Arial" w:cs="Arial"/>
          <w:sz w:val="22"/>
          <w:szCs w:val="22"/>
        </w:rPr>
      </w:pPr>
      <w:r w:rsidRPr="009A27E4">
        <w:rPr>
          <w:rFonts w:ascii="Arial" w:hAnsi="Arial" w:cs="Arial"/>
          <w:b/>
          <w:bCs/>
          <w:sz w:val="22"/>
          <w:szCs w:val="22"/>
        </w:rPr>
        <w:t>“Table 1. Causal map of emerging student-support challenges within the UWTSD educational ecosystem</w:t>
      </w:r>
    </w:p>
    <w:tbl>
      <w:tblPr>
        <w:tblW w:w="0" w:type="auto"/>
        <w:tblCellSpacing w:w="15" w:type="dxa"/>
        <w:tblLook w:val="04A0" w:firstRow="1" w:lastRow="0" w:firstColumn="1" w:lastColumn="0" w:noHBand="0" w:noVBand="1"/>
      </w:tblPr>
      <w:tblGrid>
        <w:gridCol w:w="2409"/>
        <w:gridCol w:w="3347"/>
        <w:gridCol w:w="3270"/>
      </w:tblGrid>
      <w:tr w:rsidR="00D96F96" w:rsidRPr="009A27E4" w14:paraId="7F24246C" w14:textId="77777777">
        <w:trPr>
          <w:tblHeader/>
          <w:tblCellSpacing w:w="15" w:type="dxa"/>
        </w:trPr>
        <w:tc>
          <w:tcPr>
            <w:tcW w:w="0" w:type="auto"/>
            <w:tcMar>
              <w:top w:w="15" w:type="dxa"/>
              <w:left w:w="15" w:type="dxa"/>
              <w:bottom w:w="15" w:type="dxa"/>
              <w:right w:w="15" w:type="dxa"/>
            </w:tcMar>
            <w:vAlign w:val="center"/>
            <w:hideMark/>
          </w:tcPr>
          <w:p w14:paraId="580A16C6"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Causal factor</w:t>
            </w:r>
          </w:p>
        </w:tc>
        <w:tc>
          <w:tcPr>
            <w:tcW w:w="0" w:type="auto"/>
            <w:tcMar>
              <w:top w:w="15" w:type="dxa"/>
              <w:left w:w="15" w:type="dxa"/>
              <w:bottom w:w="15" w:type="dxa"/>
              <w:right w:w="15" w:type="dxa"/>
            </w:tcMar>
            <w:vAlign w:val="center"/>
            <w:hideMark/>
          </w:tcPr>
          <w:p w14:paraId="1618832C"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Immediate effect</w:t>
            </w:r>
          </w:p>
        </w:tc>
        <w:tc>
          <w:tcPr>
            <w:tcW w:w="0" w:type="auto"/>
            <w:tcMar>
              <w:top w:w="15" w:type="dxa"/>
              <w:left w:w="15" w:type="dxa"/>
              <w:bottom w:w="15" w:type="dxa"/>
              <w:right w:w="15" w:type="dxa"/>
            </w:tcMar>
            <w:vAlign w:val="center"/>
            <w:hideMark/>
          </w:tcPr>
          <w:p w14:paraId="456CEF46"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Wider consequence</w:t>
            </w:r>
          </w:p>
        </w:tc>
      </w:tr>
      <w:tr w:rsidR="00D96F96" w:rsidRPr="009A27E4" w14:paraId="57FAF53F" w14:textId="77777777">
        <w:trPr>
          <w:tblCellSpacing w:w="15" w:type="dxa"/>
        </w:trPr>
        <w:tc>
          <w:tcPr>
            <w:tcW w:w="0" w:type="auto"/>
            <w:tcMar>
              <w:top w:w="15" w:type="dxa"/>
              <w:left w:w="15" w:type="dxa"/>
              <w:bottom w:w="15" w:type="dxa"/>
              <w:right w:w="15" w:type="dxa"/>
            </w:tcMar>
            <w:vAlign w:val="center"/>
            <w:hideMark/>
          </w:tcPr>
          <w:p w14:paraId="289634D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Increasingly diverse student needs</w:t>
            </w:r>
          </w:p>
        </w:tc>
        <w:tc>
          <w:tcPr>
            <w:tcW w:w="0" w:type="auto"/>
            <w:tcMar>
              <w:top w:w="15" w:type="dxa"/>
              <w:left w:w="15" w:type="dxa"/>
              <w:bottom w:w="15" w:type="dxa"/>
              <w:right w:w="15" w:type="dxa"/>
            </w:tcMar>
            <w:vAlign w:val="center"/>
            <w:hideMark/>
          </w:tcPr>
          <w:p w14:paraId="25756A9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variation in the type and format of support required</w:t>
            </w:r>
          </w:p>
        </w:tc>
        <w:tc>
          <w:tcPr>
            <w:tcW w:w="0" w:type="auto"/>
            <w:tcMar>
              <w:top w:w="15" w:type="dxa"/>
              <w:left w:w="15" w:type="dxa"/>
              <w:bottom w:w="15" w:type="dxa"/>
              <w:right w:w="15" w:type="dxa"/>
            </w:tcMar>
            <w:vAlign w:val="center"/>
            <w:hideMark/>
          </w:tcPr>
          <w:p w14:paraId="2486872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Increased demand for personalised and accessible support</w:t>
            </w:r>
          </w:p>
        </w:tc>
      </w:tr>
      <w:tr w:rsidR="00D96F96" w:rsidRPr="009A27E4" w14:paraId="08228D98" w14:textId="77777777">
        <w:trPr>
          <w:tblCellSpacing w:w="15" w:type="dxa"/>
        </w:trPr>
        <w:tc>
          <w:tcPr>
            <w:tcW w:w="0" w:type="auto"/>
            <w:tcMar>
              <w:top w:w="15" w:type="dxa"/>
              <w:left w:w="15" w:type="dxa"/>
              <w:bottom w:w="15" w:type="dxa"/>
              <w:right w:w="15" w:type="dxa"/>
            </w:tcMar>
            <w:vAlign w:val="center"/>
            <w:hideMark/>
          </w:tcPr>
          <w:p w14:paraId="519F602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Increasing digital expectations</w:t>
            </w:r>
          </w:p>
        </w:tc>
        <w:tc>
          <w:tcPr>
            <w:tcW w:w="0" w:type="auto"/>
            <w:tcMar>
              <w:top w:w="15" w:type="dxa"/>
              <w:left w:w="15" w:type="dxa"/>
              <w:bottom w:w="15" w:type="dxa"/>
              <w:right w:w="15" w:type="dxa"/>
            </w:tcMar>
            <w:vAlign w:val="center"/>
            <w:hideMark/>
          </w:tcPr>
          <w:p w14:paraId="6A39ACE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Students expect timely, </w:t>
            </w:r>
            <w:proofErr w:type="gramStart"/>
            <w:r w:rsidRPr="009A27E4">
              <w:rPr>
                <w:rFonts w:ascii="Arial" w:hAnsi="Arial" w:cs="Arial"/>
                <w:sz w:val="22"/>
                <w:szCs w:val="22"/>
              </w:rPr>
              <w:t>convenient</w:t>
            </w:r>
            <w:proofErr w:type="gramEnd"/>
            <w:r w:rsidRPr="009A27E4">
              <w:rPr>
                <w:rFonts w:ascii="Arial" w:hAnsi="Arial" w:cs="Arial"/>
                <w:sz w:val="22"/>
                <w:szCs w:val="22"/>
              </w:rPr>
              <w:t xml:space="preserve"> and responsive access to information</w:t>
            </w:r>
          </w:p>
        </w:tc>
        <w:tc>
          <w:tcPr>
            <w:tcW w:w="0" w:type="auto"/>
            <w:tcMar>
              <w:top w:w="15" w:type="dxa"/>
              <w:left w:w="15" w:type="dxa"/>
              <w:bottom w:w="15" w:type="dxa"/>
              <w:right w:w="15" w:type="dxa"/>
            </w:tcMar>
            <w:vAlign w:val="center"/>
            <w:hideMark/>
          </w:tcPr>
          <w:p w14:paraId="41AC401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pressure on existing support channels</w:t>
            </w:r>
          </w:p>
        </w:tc>
      </w:tr>
      <w:tr w:rsidR="00D96F96" w:rsidRPr="009A27E4" w14:paraId="671731AB" w14:textId="77777777">
        <w:trPr>
          <w:tblCellSpacing w:w="15" w:type="dxa"/>
        </w:trPr>
        <w:tc>
          <w:tcPr>
            <w:tcW w:w="0" w:type="auto"/>
            <w:tcMar>
              <w:top w:w="15" w:type="dxa"/>
              <w:left w:w="15" w:type="dxa"/>
              <w:bottom w:w="15" w:type="dxa"/>
              <w:right w:w="15" w:type="dxa"/>
            </w:tcMar>
            <w:vAlign w:val="center"/>
            <w:hideMark/>
          </w:tcPr>
          <w:p w14:paraId="309EA34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Increasing demand for support</w:t>
            </w:r>
          </w:p>
        </w:tc>
        <w:tc>
          <w:tcPr>
            <w:tcW w:w="0" w:type="auto"/>
            <w:tcMar>
              <w:top w:w="15" w:type="dxa"/>
              <w:left w:w="15" w:type="dxa"/>
              <w:bottom w:w="15" w:type="dxa"/>
              <w:right w:w="15" w:type="dxa"/>
            </w:tcMar>
            <w:vAlign w:val="center"/>
            <w:hideMark/>
          </w:tcPr>
          <w:p w14:paraId="50EB01A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pressure on academic and professional staff</w:t>
            </w:r>
          </w:p>
        </w:tc>
        <w:tc>
          <w:tcPr>
            <w:tcW w:w="0" w:type="auto"/>
            <w:tcMar>
              <w:top w:w="15" w:type="dxa"/>
              <w:left w:w="15" w:type="dxa"/>
              <w:bottom w:w="15" w:type="dxa"/>
              <w:right w:w="15" w:type="dxa"/>
            </w:tcMar>
            <w:vAlign w:val="center"/>
            <w:hideMark/>
          </w:tcPr>
          <w:p w14:paraId="62AB7793"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Potential delays, </w:t>
            </w:r>
            <w:proofErr w:type="gramStart"/>
            <w:r w:rsidRPr="009A27E4">
              <w:rPr>
                <w:rFonts w:ascii="Arial" w:hAnsi="Arial" w:cs="Arial"/>
                <w:sz w:val="22"/>
                <w:szCs w:val="22"/>
              </w:rPr>
              <w:t>fragmentation</w:t>
            </w:r>
            <w:proofErr w:type="gramEnd"/>
            <w:r w:rsidRPr="009A27E4">
              <w:rPr>
                <w:rFonts w:ascii="Arial" w:hAnsi="Arial" w:cs="Arial"/>
                <w:sz w:val="22"/>
                <w:szCs w:val="22"/>
              </w:rPr>
              <w:t xml:space="preserve"> or inconsistency in support</w:t>
            </w:r>
          </w:p>
        </w:tc>
      </w:tr>
      <w:tr w:rsidR="00D96F96" w:rsidRPr="009A27E4" w14:paraId="7502CAB7" w14:textId="77777777">
        <w:trPr>
          <w:tblCellSpacing w:w="15" w:type="dxa"/>
        </w:trPr>
        <w:tc>
          <w:tcPr>
            <w:tcW w:w="0" w:type="auto"/>
            <w:tcMar>
              <w:top w:w="15" w:type="dxa"/>
              <w:left w:w="15" w:type="dxa"/>
              <w:bottom w:w="15" w:type="dxa"/>
              <w:right w:w="15" w:type="dxa"/>
            </w:tcMar>
            <w:vAlign w:val="center"/>
            <w:hideMark/>
          </w:tcPr>
          <w:p w14:paraId="7FD9633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Fragmented or delayed support experiences</w:t>
            </w:r>
          </w:p>
        </w:tc>
        <w:tc>
          <w:tcPr>
            <w:tcW w:w="0" w:type="auto"/>
            <w:tcMar>
              <w:top w:w="15" w:type="dxa"/>
              <w:left w:w="15" w:type="dxa"/>
              <w:bottom w:w="15" w:type="dxa"/>
              <w:right w:w="15" w:type="dxa"/>
            </w:tcMar>
            <w:vAlign w:val="center"/>
            <w:hideMark/>
          </w:tcPr>
          <w:p w14:paraId="51BFCC4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Students spend additional time identifying where and how to obtain help</w:t>
            </w:r>
          </w:p>
        </w:tc>
        <w:tc>
          <w:tcPr>
            <w:tcW w:w="0" w:type="auto"/>
            <w:tcMar>
              <w:top w:w="15" w:type="dxa"/>
              <w:left w:w="15" w:type="dxa"/>
              <w:bottom w:w="15" w:type="dxa"/>
              <w:right w:w="15" w:type="dxa"/>
            </w:tcMar>
            <w:vAlign w:val="center"/>
            <w:hideMark/>
          </w:tcPr>
          <w:p w14:paraId="460CD2E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Increased effort, </w:t>
            </w:r>
            <w:proofErr w:type="gramStart"/>
            <w:r w:rsidRPr="009A27E4">
              <w:rPr>
                <w:rFonts w:ascii="Arial" w:hAnsi="Arial" w:cs="Arial"/>
                <w:sz w:val="22"/>
                <w:szCs w:val="22"/>
              </w:rPr>
              <w:t>uncertainty</w:t>
            </w:r>
            <w:proofErr w:type="gramEnd"/>
            <w:r w:rsidRPr="009A27E4">
              <w:rPr>
                <w:rFonts w:ascii="Arial" w:hAnsi="Arial" w:cs="Arial"/>
                <w:sz w:val="22"/>
                <w:szCs w:val="22"/>
              </w:rPr>
              <w:t xml:space="preserve"> and potential frustration</w:t>
            </w:r>
          </w:p>
        </w:tc>
      </w:tr>
      <w:tr w:rsidR="00D96F96" w:rsidRPr="009A27E4" w14:paraId="056B3E65" w14:textId="77777777">
        <w:trPr>
          <w:tblCellSpacing w:w="15" w:type="dxa"/>
        </w:trPr>
        <w:tc>
          <w:tcPr>
            <w:tcW w:w="0" w:type="auto"/>
            <w:tcMar>
              <w:top w:w="15" w:type="dxa"/>
              <w:left w:w="15" w:type="dxa"/>
              <w:bottom w:w="15" w:type="dxa"/>
              <w:right w:w="15" w:type="dxa"/>
            </w:tcMar>
            <w:vAlign w:val="center"/>
            <w:hideMark/>
          </w:tcPr>
          <w:p w14:paraId="0727CB8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Increased student effort and uncertainty</w:t>
            </w:r>
          </w:p>
        </w:tc>
        <w:tc>
          <w:tcPr>
            <w:tcW w:w="0" w:type="auto"/>
            <w:tcMar>
              <w:top w:w="15" w:type="dxa"/>
              <w:left w:w="15" w:type="dxa"/>
              <w:bottom w:w="15" w:type="dxa"/>
              <w:right w:w="15" w:type="dxa"/>
            </w:tcMar>
            <w:vAlign w:val="center"/>
            <w:hideMark/>
          </w:tcPr>
          <w:p w14:paraId="1CB826C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reliance on support services</w:t>
            </w:r>
          </w:p>
        </w:tc>
        <w:tc>
          <w:tcPr>
            <w:tcW w:w="0" w:type="auto"/>
            <w:tcMar>
              <w:top w:w="15" w:type="dxa"/>
              <w:left w:w="15" w:type="dxa"/>
              <w:bottom w:w="15" w:type="dxa"/>
              <w:right w:w="15" w:type="dxa"/>
            </w:tcMar>
            <w:vAlign w:val="center"/>
            <w:hideMark/>
          </w:tcPr>
          <w:p w14:paraId="5FB387B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Further demand for accessible, </w:t>
            </w:r>
            <w:proofErr w:type="gramStart"/>
            <w:r w:rsidRPr="009A27E4">
              <w:rPr>
                <w:rFonts w:ascii="Arial" w:hAnsi="Arial" w:cs="Arial"/>
                <w:sz w:val="22"/>
                <w:szCs w:val="22"/>
              </w:rPr>
              <w:t>responsive</w:t>
            </w:r>
            <w:proofErr w:type="gramEnd"/>
            <w:r w:rsidRPr="009A27E4">
              <w:rPr>
                <w:rFonts w:ascii="Arial" w:hAnsi="Arial" w:cs="Arial"/>
                <w:sz w:val="22"/>
                <w:szCs w:val="22"/>
              </w:rPr>
              <w:t xml:space="preserve"> and integrated support</w:t>
            </w:r>
          </w:p>
        </w:tc>
      </w:tr>
    </w:tbl>
    <w:p w14:paraId="7E456F45" w14:textId="77777777" w:rsidR="00D96F96" w:rsidRPr="009A27E4" w:rsidRDefault="00D96F96" w:rsidP="009A27E4">
      <w:pPr>
        <w:spacing w:line="360" w:lineRule="auto"/>
        <w:rPr>
          <w:rFonts w:ascii="Arial" w:hAnsi="Arial" w:cs="Arial"/>
          <w:sz w:val="22"/>
          <w:szCs w:val="22"/>
        </w:rPr>
      </w:pPr>
      <w:r w:rsidRPr="009A27E4">
        <w:rPr>
          <w:rFonts w:ascii="Arial" w:hAnsi="Arial" w:cs="Arial"/>
          <w:i/>
          <w:iCs/>
          <w:sz w:val="22"/>
          <w:szCs w:val="22"/>
        </w:rPr>
        <w:t>Source: Author's analysis based on the literature and UWTSD strategic context discussed in this report.</w:t>
      </w:r>
    </w:p>
    <w:p w14:paraId="48CAAE5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map suggests that the opportunity may not lie simply in increasing the quantity of support available. It may instead lie in reducing the friction between the student's need and the appropriate source of support. This creates a potential intervention point at the intersection of digital integration, </w:t>
      </w:r>
      <w:proofErr w:type="gramStart"/>
      <w:r w:rsidRPr="009A27E4">
        <w:rPr>
          <w:rFonts w:ascii="Arial" w:hAnsi="Arial" w:cs="Arial"/>
          <w:sz w:val="22"/>
          <w:szCs w:val="22"/>
        </w:rPr>
        <w:t>accessibility</w:t>
      </w:r>
      <w:proofErr w:type="gramEnd"/>
      <w:r w:rsidRPr="009A27E4">
        <w:rPr>
          <w:rFonts w:ascii="Arial" w:hAnsi="Arial" w:cs="Arial"/>
          <w:sz w:val="22"/>
          <w:szCs w:val="22"/>
        </w:rPr>
        <w:t xml:space="preserve"> and human support.</w:t>
      </w:r>
    </w:p>
    <w:p w14:paraId="228E23D5" w14:textId="77777777" w:rsidR="00D96F96" w:rsidRPr="009A27E4" w:rsidRDefault="00D96F96" w:rsidP="009A27E4">
      <w:pPr>
        <w:spacing w:line="360" w:lineRule="auto"/>
        <w:rPr>
          <w:rFonts w:ascii="Arial" w:hAnsi="Arial" w:cs="Arial"/>
          <w:sz w:val="22"/>
          <w:szCs w:val="22"/>
        </w:rPr>
      </w:pPr>
    </w:p>
    <w:p w14:paraId="42016404" w14:textId="77777777" w:rsidR="00D96F96" w:rsidRPr="009A27E4" w:rsidRDefault="00D96F96" w:rsidP="009A27E4">
      <w:pPr>
        <w:spacing w:line="360" w:lineRule="auto"/>
        <w:rPr>
          <w:rFonts w:ascii="Arial" w:hAnsi="Arial" w:cs="Arial"/>
          <w:sz w:val="22"/>
          <w:szCs w:val="22"/>
        </w:rPr>
      </w:pPr>
      <w:r w:rsidRPr="009A27E4">
        <w:rPr>
          <w:rFonts w:ascii="Arial" w:hAnsi="Arial" w:cs="Arial"/>
          <w:b/>
          <w:bCs/>
          <w:sz w:val="22"/>
          <w:szCs w:val="22"/>
        </w:rPr>
        <w:t>Table 2. Proposed intervention pathway</w:t>
      </w:r>
    </w:p>
    <w:tbl>
      <w:tblPr>
        <w:tblW w:w="0" w:type="auto"/>
        <w:tblCellSpacing w:w="15" w:type="dxa"/>
        <w:tblLook w:val="04A0" w:firstRow="1" w:lastRow="0" w:firstColumn="1" w:lastColumn="0" w:noHBand="0" w:noVBand="1"/>
      </w:tblPr>
      <w:tblGrid>
        <w:gridCol w:w="2277"/>
        <w:gridCol w:w="3581"/>
        <w:gridCol w:w="3168"/>
      </w:tblGrid>
      <w:tr w:rsidR="00D96F96" w:rsidRPr="009A27E4" w14:paraId="2295843C" w14:textId="77777777">
        <w:trPr>
          <w:tblHeader/>
          <w:tblCellSpacing w:w="15" w:type="dxa"/>
        </w:trPr>
        <w:tc>
          <w:tcPr>
            <w:tcW w:w="0" w:type="auto"/>
            <w:tcMar>
              <w:top w:w="15" w:type="dxa"/>
              <w:left w:w="15" w:type="dxa"/>
              <w:bottom w:w="15" w:type="dxa"/>
              <w:right w:w="15" w:type="dxa"/>
            </w:tcMar>
            <w:vAlign w:val="center"/>
            <w:hideMark/>
          </w:tcPr>
          <w:p w14:paraId="4A66CBCA"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Intervention</w:t>
            </w:r>
          </w:p>
        </w:tc>
        <w:tc>
          <w:tcPr>
            <w:tcW w:w="0" w:type="auto"/>
            <w:tcMar>
              <w:top w:w="15" w:type="dxa"/>
              <w:left w:w="15" w:type="dxa"/>
              <w:bottom w:w="15" w:type="dxa"/>
              <w:right w:w="15" w:type="dxa"/>
            </w:tcMar>
            <w:vAlign w:val="center"/>
            <w:hideMark/>
          </w:tcPr>
          <w:p w14:paraId="64A4D228"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Immediate effect</w:t>
            </w:r>
          </w:p>
        </w:tc>
        <w:tc>
          <w:tcPr>
            <w:tcW w:w="0" w:type="auto"/>
            <w:tcMar>
              <w:top w:w="15" w:type="dxa"/>
              <w:left w:w="15" w:type="dxa"/>
              <w:bottom w:w="15" w:type="dxa"/>
              <w:right w:w="15" w:type="dxa"/>
            </w:tcMar>
            <w:vAlign w:val="center"/>
            <w:hideMark/>
          </w:tcPr>
          <w:p w14:paraId="221F3734"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Potential value</w:t>
            </w:r>
          </w:p>
        </w:tc>
      </w:tr>
      <w:tr w:rsidR="00D96F96" w:rsidRPr="009A27E4" w14:paraId="6C0B32F1" w14:textId="77777777">
        <w:trPr>
          <w:tblCellSpacing w:w="15" w:type="dxa"/>
        </w:trPr>
        <w:tc>
          <w:tcPr>
            <w:tcW w:w="0" w:type="auto"/>
            <w:tcMar>
              <w:top w:w="15" w:type="dxa"/>
              <w:left w:w="15" w:type="dxa"/>
              <w:bottom w:w="15" w:type="dxa"/>
              <w:right w:w="15" w:type="dxa"/>
            </w:tcMar>
            <w:vAlign w:val="center"/>
            <w:hideMark/>
          </w:tcPr>
          <w:p w14:paraId="5CFEAA1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AI-enabled support interface</w:t>
            </w:r>
          </w:p>
        </w:tc>
        <w:tc>
          <w:tcPr>
            <w:tcW w:w="0" w:type="auto"/>
            <w:tcMar>
              <w:top w:w="15" w:type="dxa"/>
              <w:left w:w="15" w:type="dxa"/>
              <w:bottom w:w="15" w:type="dxa"/>
              <w:right w:w="15" w:type="dxa"/>
            </w:tcMar>
            <w:vAlign w:val="center"/>
            <w:hideMark/>
          </w:tcPr>
          <w:p w14:paraId="30CF37D3"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Faster access to routine information and guidance</w:t>
            </w:r>
          </w:p>
        </w:tc>
        <w:tc>
          <w:tcPr>
            <w:tcW w:w="0" w:type="auto"/>
            <w:tcMar>
              <w:top w:w="15" w:type="dxa"/>
              <w:left w:w="15" w:type="dxa"/>
              <w:bottom w:w="15" w:type="dxa"/>
              <w:right w:w="15" w:type="dxa"/>
            </w:tcMar>
            <w:vAlign w:val="center"/>
            <w:hideMark/>
          </w:tcPr>
          <w:p w14:paraId="189D77D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Increased availability of support</w:t>
            </w:r>
          </w:p>
        </w:tc>
      </w:tr>
      <w:tr w:rsidR="00D96F96" w:rsidRPr="009A27E4" w14:paraId="1B05FB1F" w14:textId="77777777">
        <w:trPr>
          <w:tblCellSpacing w:w="15" w:type="dxa"/>
        </w:trPr>
        <w:tc>
          <w:tcPr>
            <w:tcW w:w="0" w:type="auto"/>
            <w:tcMar>
              <w:top w:w="15" w:type="dxa"/>
              <w:left w:w="15" w:type="dxa"/>
              <w:bottom w:w="15" w:type="dxa"/>
              <w:right w:w="15" w:type="dxa"/>
            </w:tcMar>
            <w:vAlign w:val="center"/>
            <w:hideMark/>
          </w:tcPr>
          <w:p w14:paraId="04AE3E7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Integrated institutional information</w:t>
            </w:r>
          </w:p>
        </w:tc>
        <w:tc>
          <w:tcPr>
            <w:tcW w:w="0" w:type="auto"/>
            <w:tcMar>
              <w:top w:w="15" w:type="dxa"/>
              <w:left w:w="15" w:type="dxa"/>
              <w:bottom w:w="15" w:type="dxa"/>
              <w:right w:w="15" w:type="dxa"/>
            </w:tcMar>
            <w:vAlign w:val="center"/>
            <w:hideMark/>
          </w:tcPr>
          <w:p w14:paraId="2B9F18E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Reduces the need to navigate multiple information sources</w:t>
            </w:r>
          </w:p>
        </w:tc>
        <w:tc>
          <w:tcPr>
            <w:tcW w:w="0" w:type="auto"/>
            <w:tcMar>
              <w:top w:w="15" w:type="dxa"/>
              <w:left w:w="15" w:type="dxa"/>
              <w:bottom w:w="15" w:type="dxa"/>
              <w:right w:w="15" w:type="dxa"/>
            </w:tcMar>
            <w:vAlign w:val="center"/>
            <w:hideMark/>
          </w:tcPr>
          <w:p w14:paraId="118AF5D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Reduced fragmentation</w:t>
            </w:r>
          </w:p>
        </w:tc>
      </w:tr>
      <w:tr w:rsidR="00D96F96" w:rsidRPr="009A27E4" w14:paraId="6D5D9CED" w14:textId="77777777">
        <w:trPr>
          <w:tblCellSpacing w:w="15" w:type="dxa"/>
        </w:trPr>
        <w:tc>
          <w:tcPr>
            <w:tcW w:w="0" w:type="auto"/>
            <w:tcMar>
              <w:top w:w="15" w:type="dxa"/>
              <w:left w:w="15" w:type="dxa"/>
              <w:bottom w:w="15" w:type="dxa"/>
              <w:right w:w="15" w:type="dxa"/>
            </w:tcMar>
            <w:vAlign w:val="center"/>
            <w:hideMark/>
          </w:tcPr>
          <w:p w14:paraId="4F7F88B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Inclusive and accessible interaction</w:t>
            </w:r>
          </w:p>
        </w:tc>
        <w:tc>
          <w:tcPr>
            <w:tcW w:w="0" w:type="auto"/>
            <w:tcMar>
              <w:top w:w="15" w:type="dxa"/>
              <w:left w:w="15" w:type="dxa"/>
              <w:bottom w:w="15" w:type="dxa"/>
              <w:right w:w="15" w:type="dxa"/>
            </w:tcMar>
            <w:vAlign w:val="center"/>
            <w:hideMark/>
          </w:tcPr>
          <w:p w14:paraId="6AAC8DA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Allows students to interact through different formats and modes</w:t>
            </w:r>
          </w:p>
        </w:tc>
        <w:tc>
          <w:tcPr>
            <w:tcW w:w="0" w:type="auto"/>
            <w:tcMar>
              <w:top w:w="15" w:type="dxa"/>
              <w:left w:w="15" w:type="dxa"/>
              <w:bottom w:w="15" w:type="dxa"/>
              <w:right w:w="15" w:type="dxa"/>
            </w:tcMar>
            <w:vAlign w:val="center"/>
            <w:hideMark/>
          </w:tcPr>
          <w:p w14:paraId="78C309D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accessibility and inclusion</w:t>
            </w:r>
          </w:p>
        </w:tc>
      </w:tr>
      <w:tr w:rsidR="00D96F96" w:rsidRPr="009A27E4" w14:paraId="1F282501" w14:textId="77777777">
        <w:trPr>
          <w:tblCellSpacing w:w="15" w:type="dxa"/>
        </w:trPr>
        <w:tc>
          <w:tcPr>
            <w:tcW w:w="0" w:type="auto"/>
            <w:tcMar>
              <w:top w:w="15" w:type="dxa"/>
              <w:left w:w="15" w:type="dxa"/>
              <w:bottom w:w="15" w:type="dxa"/>
              <w:right w:w="15" w:type="dxa"/>
            </w:tcMar>
            <w:vAlign w:val="center"/>
            <w:hideMark/>
          </w:tcPr>
          <w:p w14:paraId="3B5A1AD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Human escalation pathways</w:t>
            </w:r>
          </w:p>
        </w:tc>
        <w:tc>
          <w:tcPr>
            <w:tcW w:w="0" w:type="auto"/>
            <w:tcMar>
              <w:top w:w="15" w:type="dxa"/>
              <w:left w:w="15" w:type="dxa"/>
              <w:bottom w:w="15" w:type="dxa"/>
              <w:right w:w="15" w:type="dxa"/>
            </w:tcMar>
            <w:vAlign w:val="center"/>
            <w:hideMark/>
          </w:tcPr>
          <w:p w14:paraId="0AC5B0B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Transfers complex, sensitive or uncertain cases to appropriate staff</w:t>
            </w:r>
          </w:p>
        </w:tc>
        <w:tc>
          <w:tcPr>
            <w:tcW w:w="0" w:type="auto"/>
            <w:tcMar>
              <w:top w:w="15" w:type="dxa"/>
              <w:left w:w="15" w:type="dxa"/>
              <w:bottom w:w="15" w:type="dxa"/>
              <w:right w:w="15" w:type="dxa"/>
            </w:tcMar>
            <w:vAlign w:val="center"/>
            <w:hideMark/>
          </w:tcPr>
          <w:p w14:paraId="5D18E57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Preservation of professional judgement</w:t>
            </w:r>
          </w:p>
        </w:tc>
      </w:tr>
      <w:tr w:rsidR="00D96F96" w:rsidRPr="009A27E4" w14:paraId="284F76DF" w14:textId="77777777">
        <w:trPr>
          <w:tblCellSpacing w:w="15" w:type="dxa"/>
        </w:trPr>
        <w:tc>
          <w:tcPr>
            <w:tcW w:w="0" w:type="auto"/>
            <w:tcMar>
              <w:top w:w="15" w:type="dxa"/>
              <w:left w:w="15" w:type="dxa"/>
              <w:bottom w:w="15" w:type="dxa"/>
              <w:right w:w="15" w:type="dxa"/>
            </w:tcMar>
            <w:vAlign w:val="center"/>
            <w:hideMark/>
          </w:tcPr>
          <w:p w14:paraId="62206D3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Increased support capacity</w:t>
            </w:r>
          </w:p>
        </w:tc>
        <w:tc>
          <w:tcPr>
            <w:tcW w:w="0" w:type="auto"/>
            <w:tcMar>
              <w:top w:w="15" w:type="dxa"/>
              <w:left w:w="15" w:type="dxa"/>
              <w:bottom w:w="15" w:type="dxa"/>
              <w:right w:w="15" w:type="dxa"/>
            </w:tcMar>
            <w:vAlign w:val="center"/>
            <w:hideMark/>
          </w:tcPr>
          <w:p w14:paraId="110B506C" w14:textId="4158D355"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Routine enquiries can potentially </w:t>
            </w:r>
            <w:proofErr w:type="gramStart"/>
            <w:r w:rsidRPr="009A27E4">
              <w:rPr>
                <w:rFonts w:ascii="Arial" w:hAnsi="Arial" w:cs="Arial"/>
                <w:sz w:val="22"/>
                <w:szCs w:val="22"/>
              </w:rPr>
              <w:t xml:space="preserve">be </w:t>
            </w:r>
            <w:r w:rsidR="00324D01" w:rsidRPr="009A27E4">
              <w:rPr>
                <w:rFonts w:ascii="Arial" w:hAnsi="Arial" w:cs="Arial"/>
                <w:sz w:val="22"/>
                <w:szCs w:val="22"/>
              </w:rPr>
              <w:t>overseen</w:t>
            </w:r>
            <w:proofErr w:type="gramEnd"/>
            <w:r w:rsidRPr="009A27E4">
              <w:rPr>
                <w:rFonts w:ascii="Arial" w:hAnsi="Arial" w:cs="Arial"/>
                <w:sz w:val="22"/>
                <w:szCs w:val="22"/>
              </w:rPr>
              <w:t xml:space="preserve"> more efficiently</w:t>
            </w:r>
          </w:p>
        </w:tc>
        <w:tc>
          <w:tcPr>
            <w:tcW w:w="0" w:type="auto"/>
            <w:tcMar>
              <w:top w:w="15" w:type="dxa"/>
              <w:left w:w="15" w:type="dxa"/>
              <w:bottom w:w="15" w:type="dxa"/>
              <w:right w:w="15" w:type="dxa"/>
            </w:tcMar>
            <w:vAlign w:val="center"/>
            <w:hideMark/>
          </w:tcPr>
          <w:p w14:paraId="7A18E67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Reduced pressure on academic and professional staff</w:t>
            </w:r>
          </w:p>
        </w:tc>
      </w:tr>
      <w:tr w:rsidR="00D96F96" w:rsidRPr="009A27E4" w14:paraId="509605F3" w14:textId="77777777">
        <w:trPr>
          <w:tblCellSpacing w:w="15" w:type="dxa"/>
        </w:trPr>
        <w:tc>
          <w:tcPr>
            <w:tcW w:w="0" w:type="auto"/>
            <w:tcMar>
              <w:top w:w="15" w:type="dxa"/>
              <w:left w:w="15" w:type="dxa"/>
              <w:bottom w:w="15" w:type="dxa"/>
              <w:right w:w="15" w:type="dxa"/>
            </w:tcMar>
            <w:vAlign w:val="center"/>
            <w:hideMark/>
          </w:tcPr>
          <w:p w14:paraId="0B900FA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Reduced routine friction</w:t>
            </w:r>
          </w:p>
        </w:tc>
        <w:tc>
          <w:tcPr>
            <w:tcW w:w="0" w:type="auto"/>
            <w:tcMar>
              <w:top w:w="15" w:type="dxa"/>
              <w:left w:w="15" w:type="dxa"/>
              <w:bottom w:w="15" w:type="dxa"/>
              <w:right w:w="15" w:type="dxa"/>
            </w:tcMar>
            <w:vAlign w:val="center"/>
            <w:hideMark/>
          </w:tcPr>
          <w:p w14:paraId="30B5F7F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Staff can devote more time to complex and relational work</w:t>
            </w:r>
          </w:p>
        </w:tc>
        <w:tc>
          <w:tcPr>
            <w:tcW w:w="0" w:type="auto"/>
            <w:tcMar>
              <w:top w:w="15" w:type="dxa"/>
              <w:left w:w="15" w:type="dxa"/>
              <w:bottom w:w="15" w:type="dxa"/>
              <w:right w:w="15" w:type="dxa"/>
            </w:tcMar>
            <w:vAlign w:val="center"/>
            <w:hideMark/>
          </w:tcPr>
          <w:p w14:paraId="4FF6F80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Greater opportunity for human expertise to create value</w:t>
            </w:r>
          </w:p>
        </w:tc>
      </w:tr>
      <w:tr w:rsidR="00D96F96" w:rsidRPr="009A27E4" w14:paraId="0ED762FA" w14:textId="77777777">
        <w:trPr>
          <w:tblCellSpacing w:w="15" w:type="dxa"/>
        </w:trPr>
        <w:tc>
          <w:tcPr>
            <w:tcW w:w="0" w:type="auto"/>
            <w:tcMar>
              <w:top w:w="15" w:type="dxa"/>
              <w:left w:w="15" w:type="dxa"/>
              <w:bottom w:w="15" w:type="dxa"/>
              <w:right w:w="15" w:type="dxa"/>
            </w:tcMar>
            <w:vAlign w:val="center"/>
            <w:hideMark/>
          </w:tcPr>
          <w:p w14:paraId="266F1A3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Improved support experience</w:t>
            </w:r>
          </w:p>
        </w:tc>
        <w:tc>
          <w:tcPr>
            <w:tcW w:w="0" w:type="auto"/>
            <w:tcMar>
              <w:top w:w="15" w:type="dxa"/>
              <w:left w:w="15" w:type="dxa"/>
              <w:bottom w:w="15" w:type="dxa"/>
              <w:right w:w="15" w:type="dxa"/>
            </w:tcMar>
            <w:vAlign w:val="center"/>
            <w:hideMark/>
          </w:tcPr>
          <w:p w14:paraId="0F4D68C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Potentially more responsive and personalised interaction</w:t>
            </w:r>
          </w:p>
        </w:tc>
        <w:tc>
          <w:tcPr>
            <w:tcW w:w="0" w:type="auto"/>
            <w:tcMar>
              <w:top w:w="15" w:type="dxa"/>
              <w:left w:w="15" w:type="dxa"/>
              <w:bottom w:w="15" w:type="dxa"/>
              <w:right w:w="15" w:type="dxa"/>
            </w:tcMar>
            <w:vAlign w:val="center"/>
            <w:hideMark/>
          </w:tcPr>
          <w:p w14:paraId="27B967F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Potential improvement in student experience</w:t>
            </w:r>
          </w:p>
        </w:tc>
      </w:tr>
    </w:tbl>
    <w:p w14:paraId="77FCD347" w14:textId="77777777" w:rsidR="00D96F96" w:rsidRPr="009A27E4" w:rsidRDefault="00D96F96" w:rsidP="009A27E4">
      <w:pPr>
        <w:spacing w:line="360" w:lineRule="auto"/>
        <w:rPr>
          <w:rFonts w:ascii="Arial" w:hAnsi="Arial" w:cs="Arial"/>
          <w:sz w:val="22"/>
          <w:szCs w:val="22"/>
        </w:rPr>
      </w:pPr>
      <w:r w:rsidRPr="009A27E4">
        <w:rPr>
          <w:rFonts w:ascii="Arial" w:hAnsi="Arial" w:cs="Arial"/>
          <w:i/>
          <w:iCs/>
          <w:sz w:val="22"/>
          <w:szCs w:val="22"/>
        </w:rPr>
        <w:t>Source: Author's analysis and proposed innovation concept.</w:t>
      </w:r>
    </w:p>
    <w:p w14:paraId="39424F6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However, Design Thinking requires the proposed solution to remain open to challenge. The same technology that could reduce friction may also reproduce or amplify it if it </w:t>
      </w:r>
      <w:proofErr w:type="gramStart"/>
      <w:r w:rsidRPr="009A27E4">
        <w:rPr>
          <w:rFonts w:ascii="Arial" w:hAnsi="Arial" w:cs="Arial"/>
          <w:sz w:val="22"/>
          <w:szCs w:val="22"/>
        </w:rPr>
        <w:t>is implemented</w:t>
      </w:r>
      <w:proofErr w:type="gramEnd"/>
      <w:r w:rsidRPr="009A27E4">
        <w:rPr>
          <w:rFonts w:ascii="Arial" w:hAnsi="Arial" w:cs="Arial"/>
          <w:sz w:val="22"/>
          <w:szCs w:val="22"/>
        </w:rPr>
        <w:t xml:space="preserve"> without sufficient understanding of users. A second causal pathway is therefore necessary to represent potential unintended consequences.</w:t>
      </w:r>
    </w:p>
    <w:p w14:paraId="3FED82D4" w14:textId="77777777" w:rsidR="00D96F96" w:rsidRPr="009A27E4" w:rsidRDefault="00D96F96" w:rsidP="009A27E4">
      <w:pPr>
        <w:spacing w:line="360" w:lineRule="auto"/>
        <w:rPr>
          <w:rFonts w:ascii="Arial" w:hAnsi="Arial" w:cs="Arial"/>
          <w:sz w:val="22"/>
          <w:szCs w:val="22"/>
        </w:rPr>
      </w:pPr>
    </w:p>
    <w:p w14:paraId="15C0D962" w14:textId="77777777" w:rsidR="00D96F96" w:rsidRPr="009A27E4" w:rsidRDefault="00D96F96" w:rsidP="009A27E4">
      <w:pPr>
        <w:spacing w:line="360" w:lineRule="auto"/>
        <w:rPr>
          <w:rFonts w:ascii="Arial" w:hAnsi="Arial" w:cs="Arial"/>
          <w:sz w:val="22"/>
          <w:szCs w:val="22"/>
        </w:rPr>
      </w:pPr>
      <w:r w:rsidRPr="009A27E4">
        <w:rPr>
          <w:rFonts w:ascii="Arial" w:hAnsi="Arial" w:cs="Arial"/>
          <w:b/>
          <w:bCs/>
          <w:sz w:val="22"/>
          <w:szCs w:val="22"/>
        </w:rPr>
        <w:t>Table 3. Counter-causal pathway: potential unintended consequences of AI implementation.</w:t>
      </w:r>
    </w:p>
    <w:tbl>
      <w:tblPr>
        <w:tblW w:w="0" w:type="auto"/>
        <w:tblCellSpacing w:w="15" w:type="dxa"/>
        <w:tblLook w:val="04A0" w:firstRow="1" w:lastRow="0" w:firstColumn="1" w:lastColumn="0" w:noHBand="0" w:noVBand="1"/>
      </w:tblPr>
      <w:tblGrid>
        <w:gridCol w:w="2570"/>
        <w:gridCol w:w="3308"/>
        <w:gridCol w:w="3148"/>
      </w:tblGrid>
      <w:tr w:rsidR="00D96F96" w:rsidRPr="009A27E4" w14:paraId="394B5A13" w14:textId="77777777">
        <w:trPr>
          <w:tblHeader/>
          <w:tblCellSpacing w:w="15" w:type="dxa"/>
        </w:trPr>
        <w:tc>
          <w:tcPr>
            <w:tcW w:w="0" w:type="auto"/>
            <w:tcMar>
              <w:top w:w="15" w:type="dxa"/>
              <w:left w:w="15" w:type="dxa"/>
              <w:bottom w:w="15" w:type="dxa"/>
              <w:right w:w="15" w:type="dxa"/>
            </w:tcMar>
            <w:vAlign w:val="center"/>
            <w:hideMark/>
          </w:tcPr>
          <w:p w14:paraId="22603A54"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Risk factor</w:t>
            </w:r>
          </w:p>
        </w:tc>
        <w:tc>
          <w:tcPr>
            <w:tcW w:w="0" w:type="auto"/>
            <w:tcMar>
              <w:top w:w="15" w:type="dxa"/>
              <w:left w:w="15" w:type="dxa"/>
              <w:bottom w:w="15" w:type="dxa"/>
              <w:right w:w="15" w:type="dxa"/>
            </w:tcMar>
            <w:vAlign w:val="center"/>
            <w:hideMark/>
          </w:tcPr>
          <w:p w14:paraId="60AA650E"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Immediate consequence</w:t>
            </w:r>
          </w:p>
        </w:tc>
        <w:tc>
          <w:tcPr>
            <w:tcW w:w="0" w:type="auto"/>
            <w:tcMar>
              <w:top w:w="15" w:type="dxa"/>
              <w:left w:w="15" w:type="dxa"/>
              <w:bottom w:w="15" w:type="dxa"/>
              <w:right w:w="15" w:type="dxa"/>
            </w:tcMar>
            <w:vAlign w:val="center"/>
            <w:hideMark/>
          </w:tcPr>
          <w:p w14:paraId="03F3C14D"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b/>
                <w:bCs/>
                <w:sz w:val="22"/>
                <w:szCs w:val="22"/>
              </w:rPr>
              <w:t>Potential wider consequence</w:t>
            </w:r>
          </w:p>
        </w:tc>
      </w:tr>
      <w:tr w:rsidR="00D96F96" w:rsidRPr="009A27E4" w14:paraId="66F936BD" w14:textId="77777777">
        <w:trPr>
          <w:tblCellSpacing w:w="15" w:type="dxa"/>
        </w:trPr>
        <w:tc>
          <w:tcPr>
            <w:tcW w:w="0" w:type="auto"/>
            <w:tcMar>
              <w:top w:w="15" w:type="dxa"/>
              <w:left w:w="15" w:type="dxa"/>
              <w:bottom w:w="15" w:type="dxa"/>
              <w:right w:w="15" w:type="dxa"/>
            </w:tcMar>
            <w:vAlign w:val="center"/>
            <w:hideMark/>
          </w:tcPr>
          <w:p w14:paraId="1ACB601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AI implemented without sufficient user research</w:t>
            </w:r>
          </w:p>
        </w:tc>
        <w:tc>
          <w:tcPr>
            <w:tcW w:w="0" w:type="auto"/>
            <w:tcMar>
              <w:top w:w="15" w:type="dxa"/>
              <w:left w:w="15" w:type="dxa"/>
              <w:bottom w:w="15" w:type="dxa"/>
              <w:right w:w="15" w:type="dxa"/>
            </w:tcMar>
            <w:vAlign w:val="center"/>
            <w:hideMark/>
          </w:tcPr>
          <w:p w14:paraId="073266B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Solution may not reflect actual student or staff needs</w:t>
            </w:r>
          </w:p>
        </w:tc>
        <w:tc>
          <w:tcPr>
            <w:tcW w:w="0" w:type="auto"/>
            <w:tcMar>
              <w:top w:w="15" w:type="dxa"/>
              <w:left w:w="15" w:type="dxa"/>
              <w:bottom w:w="15" w:type="dxa"/>
              <w:right w:w="15" w:type="dxa"/>
            </w:tcMar>
            <w:vAlign w:val="center"/>
            <w:hideMark/>
          </w:tcPr>
          <w:p w14:paraId="339B46D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Low relevance and poor adoption</w:t>
            </w:r>
          </w:p>
        </w:tc>
      </w:tr>
      <w:tr w:rsidR="00D96F96" w:rsidRPr="009A27E4" w14:paraId="6FEA48C2" w14:textId="77777777">
        <w:trPr>
          <w:tblCellSpacing w:w="15" w:type="dxa"/>
        </w:trPr>
        <w:tc>
          <w:tcPr>
            <w:tcW w:w="0" w:type="auto"/>
            <w:tcMar>
              <w:top w:w="15" w:type="dxa"/>
              <w:left w:w="15" w:type="dxa"/>
              <w:bottom w:w="15" w:type="dxa"/>
              <w:right w:w="15" w:type="dxa"/>
            </w:tcMar>
            <w:vAlign w:val="center"/>
            <w:hideMark/>
          </w:tcPr>
          <w:p w14:paraId="01B5D6F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Inappropriate automation</w:t>
            </w:r>
          </w:p>
        </w:tc>
        <w:tc>
          <w:tcPr>
            <w:tcW w:w="0" w:type="auto"/>
            <w:tcMar>
              <w:top w:w="15" w:type="dxa"/>
              <w:left w:w="15" w:type="dxa"/>
              <w:bottom w:w="15" w:type="dxa"/>
              <w:right w:w="15" w:type="dxa"/>
            </w:tcMar>
            <w:vAlign w:val="center"/>
            <w:hideMark/>
          </w:tcPr>
          <w:p w14:paraId="38038CB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Complex or context-dependent needs may </w:t>
            </w:r>
            <w:proofErr w:type="gramStart"/>
            <w:r w:rsidRPr="009A27E4">
              <w:rPr>
                <w:rFonts w:ascii="Arial" w:hAnsi="Arial" w:cs="Arial"/>
                <w:sz w:val="22"/>
                <w:szCs w:val="22"/>
              </w:rPr>
              <w:t>be treated</w:t>
            </w:r>
            <w:proofErr w:type="gramEnd"/>
            <w:r w:rsidRPr="009A27E4">
              <w:rPr>
                <w:rFonts w:ascii="Arial" w:hAnsi="Arial" w:cs="Arial"/>
                <w:sz w:val="22"/>
                <w:szCs w:val="22"/>
              </w:rPr>
              <w:t xml:space="preserve"> as routine enquiries</w:t>
            </w:r>
          </w:p>
        </w:tc>
        <w:tc>
          <w:tcPr>
            <w:tcW w:w="0" w:type="auto"/>
            <w:tcMar>
              <w:top w:w="15" w:type="dxa"/>
              <w:left w:w="15" w:type="dxa"/>
              <w:bottom w:w="15" w:type="dxa"/>
              <w:right w:w="15" w:type="dxa"/>
            </w:tcMar>
            <w:vAlign w:val="center"/>
            <w:hideMark/>
          </w:tcPr>
          <w:p w14:paraId="7B39B53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Inadequate support</w:t>
            </w:r>
          </w:p>
        </w:tc>
      </w:tr>
      <w:tr w:rsidR="00D96F96" w:rsidRPr="009A27E4" w14:paraId="67F66B84" w14:textId="77777777">
        <w:trPr>
          <w:tblCellSpacing w:w="15" w:type="dxa"/>
        </w:trPr>
        <w:tc>
          <w:tcPr>
            <w:tcW w:w="0" w:type="auto"/>
            <w:tcMar>
              <w:top w:w="15" w:type="dxa"/>
              <w:left w:w="15" w:type="dxa"/>
              <w:bottom w:w="15" w:type="dxa"/>
              <w:right w:w="15" w:type="dxa"/>
            </w:tcMar>
            <w:vAlign w:val="center"/>
            <w:hideMark/>
          </w:tcPr>
          <w:p w14:paraId="09F640D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Inaccurate, </w:t>
            </w:r>
            <w:proofErr w:type="gramStart"/>
            <w:r w:rsidRPr="009A27E4">
              <w:rPr>
                <w:rFonts w:ascii="Arial" w:hAnsi="Arial" w:cs="Arial"/>
                <w:sz w:val="22"/>
                <w:szCs w:val="22"/>
              </w:rPr>
              <w:t>biased</w:t>
            </w:r>
            <w:proofErr w:type="gramEnd"/>
            <w:r w:rsidRPr="009A27E4">
              <w:rPr>
                <w:rFonts w:ascii="Arial" w:hAnsi="Arial" w:cs="Arial"/>
                <w:sz w:val="22"/>
                <w:szCs w:val="22"/>
              </w:rPr>
              <w:t xml:space="preserve"> or inaccessible responses</w:t>
            </w:r>
          </w:p>
        </w:tc>
        <w:tc>
          <w:tcPr>
            <w:tcW w:w="0" w:type="auto"/>
            <w:tcMar>
              <w:top w:w="15" w:type="dxa"/>
              <w:left w:w="15" w:type="dxa"/>
              <w:bottom w:w="15" w:type="dxa"/>
              <w:right w:w="15" w:type="dxa"/>
            </w:tcMar>
            <w:vAlign w:val="center"/>
            <w:hideMark/>
          </w:tcPr>
          <w:p w14:paraId="4721AC5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Students may receive inappropriate or unusable information</w:t>
            </w:r>
          </w:p>
        </w:tc>
        <w:tc>
          <w:tcPr>
            <w:tcW w:w="0" w:type="auto"/>
            <w:tcMar>
              <w:top w:w="15" w:type="dxa"/>
              <w:left w:w="15" w:type="dxa"/>
              <w:bottom w:w="15" w:type="dxa"/>
              <w:right w:w="15" w:type="dxa"/>
            </w:tcMar>
            <w:vAlign w:val="center"/>
            <w:hideMark/>
          </w:tcPr>
          <w:p w14:paraId="71DDE06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Reduced trust in the system</w:t>
            </w:r>
          </w:p>
        </w:tc>
      </w:tr>
      <w:tr w:rsidR="00D96F96" w:rsidRPr="009A27E4" w14:paraId="65AAE378" w14:textId="77777777">
        <w:trPr>
          <w:tblCellSpacing w:w="15" w:type="dxa"/>
        </w:trPr>
        <w:tc>
          <w:tcPr>
            <w:tcW w:w="0" w:type="auto"/>
            <w:tcMar>
              <w:top w:w="15" w:type="dxa"/>
              <w:left w:w="15" w:type="dxa"/>
              <w:bottom w:w="15" w:type="dxa"/>
              <w:right w:w="15" w:type="dxa"/>
            </w:tcMar>
            <w:vAlign w:val="center"/>
            <w:hideMark/>
          </w:tcPr>
          <w:p w14:paraId="7387854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Reduced trust</w:t>
            </w:r>
          </w:p>
        </w:tc>
        <w:tc>
          <w:tcPr>
            <w:tcW w:w="0" w:type="auto"/>
            <w:tcMar>
              <w:top w:w="15" w:type="dxa"/>
              <w:left w:w="15" w:type="dxa"/>
              <w:bottom w:w="15" w:type="dxa"/>
              <w:right w:w="15" w:type="dxa"/>
            </w:tcMar>
            <w:vAlign w:val="center"/>
            <w:hideMark/>
          </w:tcPr>
          <w:p w14:paraId="311135A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Students may avoid or abandon the digital service</w:t>
            </w:r>
          </w:p>
        </w:tc>
        <w:tc>
          <w:tcPr>
            <w:tcW w:w="0" w:type="auto"/>
            <w:tcMar>
              <w:top w:w="15" w:type="dxa"/>
              <w:left w:w="15" w:type="dxa"/>
              <w:bottom w:w="15" w:type="dxa"/>
              <w:right w:w="15" w:type="dxa"/>
            </w:tcMar>
            <w:vAlign w:val="center"/>
            <w:hideMark/>
          </w:tcPr>
          <w:p w14:paraId="7C445CD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Lower adoption and continued reliance on existing support channels</w:t>
            </w:r>
          </w:p>
        </w:tc>
      </w:tr>
      <w:tr w:rsidR="00D96F96" w:rsidRPr="009A27E4" w14:paraId="3C5E10AA" w14:textId="77777777">
        <w:trPr>
          <w:tblCellSpacing w:w="15" w:type="dxa"/>
        </w:trPr>
        <w:tc>
          <w:tcPr>
            <w:tcW w:w="0" w:type="auto"/>
            <w:tcMar>
              <w:top w:w="15" w:type="dxa"/>
              <w:left w:w="15" w:type="dxa"/>
              <w:bottom w:w="15" w:type="dxa"/>
              <w:right w:w="15" w:type="dxa"/>
            </w:tcMar>
            <w:vAlign w:val="center"/>
            <w:hideMark/>
          </w:tcPr>
          <w:p w14:paraId="67E56F7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Increased need for correction or human intervention</w:t>
            </w:r>
          </w:p>
        </w:tc>
        <w:tc>
          <w:tcPr>
            <w:tcW w:w="0" w:type="auto"/>
            <w:tcMar>
              <w:top w:w="15" w:type="dxa"/>
              <w:left w:w="15" w:type="dxa"/>
              <w:bottom w:w="15" w:type="dxa"/>
              <w:right w:w="15" w:type="dxa"/>
            </w:tcMar>
            <w:vAlign w:val="center"/>
            <w:hideMark/>
          </w:tcPr>
          <w:p w14:paraId="67F3537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Staff may have to resolve AI-generated problems</w:t>
            </w:r>
          </w:p>
        </w:tc>
        <w:tc>
          <w:tcPr>
            <w:tcW w:w="0" w:type="auto"/>
            <w:tcMar>
              <w:top w:w="15" w:type="dxa"/>
              <w:left w:w="15" w:type="dxa"/>
              <w:bottom w:w="15" w:type="dxa"/>
              <w:right w:w="15" w:type="dxa"/>
            </w:tcMar>
            <w:vAlign w:val="center"/>
            <w:hideMark/>
          </w:tcPr>
          <w:p w14:paraId="7CD617D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Additional workload rather than reduced workload</w:t>
            </w:r>
          </w:p>
        </w:tc>
      </w:tr>
      <w:tr w:rsidR="00D96F96" w:rsidRPr="009A27E4" w14:paraId="59839357" w14:textId="77777777">
        <w:trPr>
          <w:tblCellSpacing w:w="15" w:type="dxa"/>
        </w:trPr>
        <w:tc>
          <w:tcPr>
            <w:tcW w:w="0" w:type="auto"/>
            <w:tcMar>
              <w:top w:w="15" w:type="dxa"/>
              <w:left w:w="15" w:type="dxa"/>
              <w:bottom w:w="15" w:type="dxa"/>
              <w:right w:w="15" w:type="dxa"/>
            </w:tcMar>
            <w:vAlign w:val="center"/>
            <w:hideMark/>
          </w:tcPr>
          <w:p w14:paraId="7FB2170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Failure to achieve intended outcomes</w:t>
            </w:r>
          </w:p>
        </w:tc>
        <w:tc>
          <w:tcPr>
            <w:tcW w:w="0" w:type="auto"/>
            <w:tcMar>
              <w:top w:w="15" w:type="dxa"/>
              <w:left w:w="15" w:type="dxa"/>
              <w:bottom w:w="15" w:type="dxa"/>
              <w:right w:w="15" w:type="dxa"/>
            </w:tcMar>
            <w:vAlign w:val="center"/>
            <w:hideMark/>
          </w:tcPr>
          <w:p w14:paraId="6E298BF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Investment does not translate into meaningful value</w:t>
            </w:r>
          </w:p>
        </w:tc>
        <w:tc>
          <w:tcPr>
            <w:tcW w:w="0" w:type="auto"/>
            <w:tcMar>
              <w:top w:w="15" w:type="dxa"/>
              <w:left w:w="15" w:type="dxa"/>
              <w:bottom w:w="15" w:type="dxa"/>
              <w:right w:w="15" w:type="dxa"/>
            </w:tcMar>
            <w:vAlign w:val="center"/>
            <w:hideMark/>
          </w:tcPr>
          <w:p w14:paraId="4AEBF78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Support demand may increase rather than decrease</w:t>
            </w:r>
          </w:p>
        </w:tc>
      </w:tr>
    </w:tbl>
    <w:p w14:paraId="27B84B45" w14:textId="77777777" w:rsidR="00D96F96" w:rsidRPr="009A27E4" w:rsidRDefault="00D96F96" w:rsidP="009A27E4">
      <w:pPr>
        <w:spacing w:line="360" w:lineRule="auto"/>
        <w:rPr>
          <w:rFonts w:ascii="Arial" w:hAnsi="Arial" w:cs="Arial"/>
          <w:sz w:val="22"/>
          <w:szCs w:val="22"/>
        </w:rPr>
      </w:pPr>
      <w:r w:rsidRPr="009A27E4">
        <w:rPr>
          <w:rFonts w:ascii="Arial" w:hAnsi="Arial" w:cs="Arial"/>
          <w:i/>
          <w:iCs/>
          <w:sz w:val="22"/>
          <w:szCs w:val="22"/>
        </w:rPr>
        <w:t>Source: Author's analysis of potential risks and unintended consequences.”</w:t>
      </w:r>
    </w:p>
    <w:p w14:paraId="642C67A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Taken together, the three maps demonstrate why the proposed innovation cannot </w:t>
      </w:r>
      <w:proofErr w:type="gramStart"/>
      <w:r w:rsidRPr="009A27E4">
        <w:rPr>
          <w:rFonts w:ascii="Arial" w:hAnsi="Arial" w:cs="Arial"/>
          <w:sz w:val="22"/>
          <w:szCs w:val="22"/>
        </w:rPr>
        <w:t>be evaluated</w:t>
      </w:r>
      <w:proofErr w:type="gramEnd"/>
      <w:r w:rsidRPr="009A27E4">
        <w:rPr>
          <w:rFonts w:ascii="Arial" w:hAnsi="Arial" w:cs="Arial"/>
          <w:sz w:val="22"/>
          <w:szCs w:val="22"/>
        </w:rPr>
        <w:t xml:space="preserve"> solely according to whether the technology is available. The first pathway identifies a potential desirability case by connecting emerging user needs with a service gap. The second considers feasibility, by identifying how existing technological and human capabilities could potentially </w:t>
      </w:r>
      <w:proofErr w:type="gramStart"/>
      <w:r w:rsidRPr="009A27E4">
        <w:rPr>
          <w:rFonts w:ascii="Arial" w:hAnsi="Arial" w:cs="Arial"/>
          <w:sz w:val="22"/>
          <w:szCs w:val="22"/>
        </w:rPr>
        <w:t>be combined</w:t>
      </w:r>
      <w:proofErr w:type="gramEnd"/>
      <w:r w:rsidRPr="009A27E4">
        <w:rPr>
          <w:rFonts w:ascii="Arial" w:hAnsi="Arial" w:cs="Arial"/>
          <w:sz w:val="22"/>
          <w:szCs w:val="22"/>
        </w:rPr>
        <w:t xml:space="preserve"> into an MVP, while also indicating the potential organisational value and therefore viability of the proposition. The third deliberately challenges both assumptions, recognising that implementation without adequate user research, accessibility testing and human oversight could produce the opposite outcome.</w:t>
      </w:r>
    </w:p>
    <w:p w14:paraId="1691B72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causal maps therefore become an analytical bridge between Empathise and Define. Rather than moving directly from observation to solution, they make the assumptions within the proposed innovation visible and provide propositions that can subsequently be </w:t>
      </w:r>
      <w:proofErr w:type="gramStart"/>
      <w:r w:rsidRPr="009A27E4">
        <w:rPr>
          <w:rFonts w:ascii="Arial" w:hAnsi="Arial" w:cs="Arial"/>
          <w:sz w:val="22"/>
          <w:szCs w:val="22"/>
        </w:rPr>
        <w:t>tested</w:t>
      </w:r>
      <w:proofErr w:type="gramEnd"/>
      <w:r w:rsidRPr="009A27E4">
        <w:rPr>
          <w:rFonts w:ascii="Arial" w:hAnsi="Arial" w:cs="Arial"/>
          <w:sz w:val="22"/>
          <w:szCs w:val="22"/>
        </w:rPr>
        <w:t xml:space="preserve"> through the remaining stages of the Design Thinking process.</w:t>
      </w:r>
    </w:p>
    <w:p w14:paraId="6F2D320E" w14:textId="77777777" w:rsidR="00D96F96" w:rsidRPr="009A27E4" w:rsidRDefault="00D96F96" w:rsidP="009A27E4">
      <w:pPr>
        <w:spacing w:line="360" w:lineRule="auto"/>
        <w:rPr>
          <w:rFonts w:ascii="Arial" w:hAnsi="Arial" w:cs="Arial"/>
          <w:sz w:val="22"/>
          <w:szCs w:val="22"/>
        </w:rPr>
      </w:pPr>
    </w:p>
    <w:p w14:paraId="33E634D4" w14:textId="77777777" w:rsidR="00D96F96" w:rsidRPr="009A27E4" w:rsidRDefault="00D96F96" w:rsidP="009A27E4">
      <w:pPr>
        <w:spacing w:line="360" w:lineRule="auto"/>
        <w:rPr>
          <w:rFonts w:ascii="Arial" w:hAnsi="Arial" w:cs="Arial"/>
          <w:sz w:val="22"/>
          <w:szCs w:val="22"/>
        </w:rPr>
      </w:pPr>
    </w:p>
    <w:p w14:paraId="218578AB" w14:textId="77777777" w:rsidR="00D96F96" w:rsidRPr="009A27E4" w:rsidRDefault="00D96F96" w:rsidP="009A27E4">
      <w:pPr>
        <w:spacing w:line="360" w:lineRule="auto"/>
        <w:rPr>
          <w:rFonts w:ascii="Arial" w:hAnsi="Arial" w:cs="Arial"/>
          <w:sz w:val="22"/>
          <w:szCs w:val="22"/>
        </w:rPr>
      </w:pPr>
    </w:p>
    <w:p w14:paraId="5EBED19D" w14:textId="77777777" w:rsidR="00054B58" w:rsidRDefault="00054B58" w:rsidP="00054B58">
      <w:pPr>
        <w:spacing w:line="360" w:lineRule="auto"/>
      </w:pPr>
      <w:r w:rsidRPr="009A27E4">
        <w:rPr>
          <w:rFonts w:ascii="Arial" w:hAnsi="Arial" w:cs="Arial"/>
          <w:sz w:val="22"/>
          <w:szCs w:val="22"/>
        </w:rPr>
        <w:lastRenderedPageBreak/>
        <w:t xml:space="preserve">This is why Design Thinking is </w:t>
      </w:r>
      <w:r w:rsidRPr="00054B58">
        <w:rPr>
          <w:rFonts w:ascii="Arial" w:hAnsi="Arial" w:cs="Arial"/>
          <w:sz w:val="22"/>
          <w:szCs w:val="22"/>
        </w:rPr>
        <w:t>essential:</w:t>
      </w:r>
      <w:r w:rsidRPr="009A27E4">
        <w:rPr>
          <w:rFonts w:ascii="Arial" w:hAnsi="Arial" w:cs="Arial"/>
          <w:sz w:val="22"/>
          <w:szCs w:val="22"/>
        </w:rPr>
        <w:t xml:space="preserve"> technology </w:t>
      </w:r>
      <w:r w:rsidRPr="00054B58">
        <w:rPr>
          <w:rFonts w:ascii="Arial" w:hAnsi="Arial" w:cs="Arial"/>
          <w:sz w:val="22"/>
          <w:szCs w:val="22"/>
        </w:rPr>
        <w:t>should not</w:t>
      </w:r>
      <w:r w:rsidRPr="009A27E4">
        <w:rPr>
          <w:rFonts w:ascii="Arial" w:hAnsi="Arial" w:cs="Arial"/>
          <w:sz w:val="22"/>
          <w:szCs w:val="22"/>
        </w:rPr>
        <w:t xml:space="preserve"> </w:t>
      </w:r>
      <w:proofErr w:type="gramStart"/>
      <w:r w:rsidRPr="009A27E4">
        <w:rPr>
          <w:rFonts w:ascii="Arial" w:hAnsi="Arial" w:cs="Arial"/>
          <w:sz w:val="22"/>
          <w:szCs w:val="22"/>
        </w:rPr>
        <w:t xml:space="preserve">be </w:t>
      </w:r>
      <w:r w:rsidRPr="00054B58">
        <w:rPr>
          <w:rFonts w:ascii="Arial" w:hAnsi="Arial" w:cs="Arial"/>
          <w:sz w:val="22"/>
          <w:szCs w:val="22"/>
        </w:rPr>
        <w:t>treated</w:t>
      </w:r>
      <w:proofErr w:type="gramEnd"/>
      <w:r w:rsidRPr="00054B58">
        <w:rPr>
          <w:rFonts w:ascii="Arial" w:hAnsi="Arial" w:cs="Arial"/>
          <w:sz w:val="22"/>
          <w:szCs w:val="22"/>
        </w:rPr>
        <w:t xml:space="preserve"> as</w:t>
      </w:r>
      <w:r w:rsidRPr="009A27E4">
        <w:rPr>
          <w:rFonts w:ascii="Arial" w:hAnsi="Arial" w:cs="Arial"/>
          <w:sz w:val="22"/>
          <w:szCs w:val="22"/>
        </w:rPr>
        <w:t xml:space="preserve"> the solution </w:t>
      </w:r>
      <w:r w:rsidRPr="00054B58">
        <w:rPr>
          <w:rFonts w:ascii="Arial" w:hAnsi="Arial" w:cs="Arial"/>
          <w:sz w:val="22"/>
          <w:szCs w:val="22"/>
        </w:rPr>
        <w:t>until</w:t>
      </w:r>
      <w:r w:rsidRPr="009A27E4">
        <w:rPr>
          <w:rFonts w:ascii="Arial" w:hAnsi="Arial" w:cs="Arial"/>
          <w:sz w:val="22"/>
          <w:szCs w:val="22"/>
        </w:rPr>
        <w:t xml:space="preserve"> the problem has </w:t>
      </w:r>
      <w:proofErr w:type="gramStart"/>
      <w:r w:rsidRPr="009A27E4">
        <w:rPr>
          <w:rFonts w:ascii="Arial" w:hAnsi="Arial" w:cs="Arial"/>
          <w:sz w:val="22"/>
          <w:szCs w:val="22"/>
        </w:rPr>
        <w:t xml:space="preserve">been </w:t>
      </w:r>
      <w:r w:rsidRPr="00054B58">
        <w:rPr>
          <w:rFonts w:ascii="Arial" w:hAnsi="Arial" w:cs="Arial"/>
          <w:sz w:val="22"/>
          <w:szCs w:val="22"/>
        </w:rPr>
        <w:t>fully</w:t>
      </w:r>
      <w:r w:rsidRPr="009A27E4">
        <w:rPr>
          <w:rFonts w:ascii="Arial" w:hAnsi="Arial" w:cs="Arial"/>
          <w:sz w:val="22"/>
          <w:szCs w:val="22"/>
        </w:rPr>
        <w:t xml:space="preserve"> understood</w:t>
      </w:r>
      <w:proofErr w:type="gramEnd"/>
      <w:r w:rsidRPr="009A27E4">
        <w:rPr>
          <w:rFonts w:ascii="Arial" w:hAnsi="Arial" w:cs="Arial"/>
          <w:sz w:val="22"/>
          <w:szCs w:val="22"/>
        </w:rPr>
        <w:t>.</w:t>
      </w:r>
    </w:p>
    <w:p w14:paraId="1872EED2" w14:textId="79A8E0A3" w:rsidR="00D96F96" w:rsidRPr="009A27E4" w:rsidRDefault="00D96F96" w:rsidP="009A27E4">
      <w:pPr>
        <w:spacing w:line="360" w:lineRule="auto"/>
        <w:rPr>
          <w:rFonts w:ascii="Arial" w:hAnsi="Arial" w:cs="Arial"/>
          <w:sz w:val="22"/>
          <w:szCs w:val="22"/>
        </w:rPr>
      </w:pPr>
    </w:p>
    <w:p w14:paraId="0C40B8B2" w14:textId="77777777" w:rsidR="00D96F96" w:rsidRDefault="00D96F96" w:rsidP="000260E9">
      <w:pPr>
        <w:pStyle w:val="Heading1"/>
        <w:rPr>
          <w:rFonts w:ascii="Arial" w:hAnsi="Arial" w:cs="Arial"/>
          <w:b/>
          <w:bCs/>
          <w:sz w:val="24"/>
          <w:szCs w:val="24"/>
        </w:rPr>
      </w:pPr>
      <w:bookmarkStart w:id="7" w:name="_Toc237895991"/>
      <w:r w:rsidRPr="0047152A">
        <w:rPr>
          <w:rFonts w:ascii="Arial" w:hAnsi="Arial" w:cs="Arial"/>
          <w:b/>
          <w:bCs/>
          <w:sz w:val="24"/>
          <w:szCs w:val="24"/>
        </w:rPr>
        <w:t>3.2 Define: reframing the problem.</w:t>
      </w:r>
      <w:bookmarkEnd w:id="7"/>
    </w:p>
    <w:p w14:paraId="7F5DEECA" w14:textId="77777777" w:rsidR="00DC57B2" w:rsidRPr="00DC57B2" w:rsidRDefault="00DC57B2" w:rsidP="00DC57B2"/>
    <w:p w14:paraId="29FA464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Define stage converts observations into a problem statement. Here, the counterexample principle discussed earlier becomes useful.</w:t>
      </w:r>
    </w:p>
    <w:p w14:paraId="0167D65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 conventional organisational assumption might be:</w:t>
      </w:r>
    </w:p>
    <w:p w14:paraId="0795627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“If student demand for support increases, the solution is to increase staff capacity.”</w:t>
      </w:r>
    </w:p>
    <w:p w14:paraId="08EFAAA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proposition is not necessarily false. Additional staff may indeed improve service capacity. However, a Design Thinking approach asks whether the assumption is always sufficient.</w:t>
      </w:r>
    </w:p>
    <w:p w14:paraId="6D71AC5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Consider a counterexample. If an institution increases staffing but retains fragmented information systems, repetitive enquiries and multiple routes to support, the additional staff may simply absorb more of the same inefficiency. Conversely, an AI-supported system that is poorly designed could automate those inefficiencies and make them faster without making them better.</w:t>
      </w:r>
    </w:p>
    <w:p w14:paraId="3CECFFC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counterexample therefore does not “prove” that additional staff are ineffective. It exposes an assumption that requires examination.</w:t>
      </w:r>
    </w:p>
    <w:p w14:paraId="6B1E1F4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is analogous to the user's mathematical intuition about counterexamples. In mathematics, one counterexample can invalidate a universal proposition. In innovation, a counterexample can </w:t>
      </w:r>
      <w:proofErr w:type="gramStart"/>
      <w:r w:rsidRPr="009A27E4">
        <w:rPr>
          <w:rFonts w:ascii="Arial" w:hAnsi="Arial" w:cs="Arial"/>
          <w:sz w:val="22"/>
          <w:szCs w:val="22"/>
        </w:rPr>
        <w:t>be used</w:t>
      </w:r>
      <w:proofErr w:type="gramEnd"/>
      <w:r w:rsidRPr="009A27E4">
        <w:rPr>
          <w:rFonts w:ascii="Arial" w:hAnsi="Arial" w:cs="Arial"/>
          <w:sz w:val="22"/>
          <w:szCs w:val="22"/>
        </w:rPr>
        <w:t xml:space="preserve"> more cautiously to stress-test the framing of a problem. It asks whether the assumed relationship between cause and solution is necessarily true.</w:t>
      </w:r>
    </w:p>
    <w:p w14:paraId="7DA2F5C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problem can consequently </w:t>
      </w:r>
      <w:proofErr w:type="gramStart"/>
      <w:r w:rsidRPr="009A27E4">
        <w:rPr>
          <w:rFonts w:ascii="Arial" w:hAnsi="Arial" w:cs="Arial"/>
          <w:sz w:val="22"/>
          <w:szCs w:val="22"/>
        </w:rPr>
        <w:t>be reframed</w:t>
      </w:r>
      <w:proofErr w:type="gramEnd"/>
      <w:r w:rsidRPr="009A27E4">
        <w:rPr>
          <w:rFonts w:ascii="Arial" w:hAnsi="Arial" w:cs="Arial"/>
          <w:sz w:val="22"/>
          <w:szCs w:val="22"/>
        </w:rPr>
        <w:t>:</w:t>
      </w:r>
    </w:p>
    <w:p w14:paraId="6FBADCD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UWTSD has an opportunity to explore how personalised, </w:t>
      </w:r>
      <w:proofErr w:type="gramStart"/>
      <w:r w:rsidRPr="009A27E4">
        <w:rPr>
          <w:rFonts w:ascii="Arial" w:hAnsi="Arial" w:cs="Arial"/>
          <w:sz w:val="22"/>
          <w:szCs w:val="22"/>
        </w:rPr>
        <w:t>accessible</w:t>
      </w:r>
      <w:proofErr w:type="gramEnd"/>
      <w:r w:rsidRPr="009A27E4">
        <w:rPr>
          <w:rFonts w:ascii="Arial" w:hAnsi="Arial" w:cs="Arial"/>
          <w:sz w:val="22"/>
          <w:szCs w:val="22"/>
        </w:rPr>
        <w:t xml:space="preserve"> and timely student support could </w:t>
      </w:r>
      <w:proofErr w:type="gramStart"/>
      <w:r w:rsidRPr="009A27E4">
        <w:rPr>
          <w:rFonts w:ascii="Arial" w:hAnsi="Arial" w:cs="Arial"/>
          <w:sz w:val="22"/>
          <w:szCs w:val="22"/>
        </w:rPr>
        <w:t>be delivered</w:t>
      </w:r>
      <w:proofErr w:type="gramEnd"/>
      <w:r w:rsidRPr="009A27E4">
        <w:rPr>
          <w:rFonts w:ascii="Arial" w:hAnsi="Arial" w:cs="Arial"/>
          <w:sz w:val="22"/>
          <w:szCs w:val="22"/>
        </w:rPr>
        <w:t xml:space="preserve"> at greater scale without reducing the role of human expertise, particularly as digital expectations and the diversity of student needs continue to evolve.</w:t>
      </w:r>
    </w:p>
    <w:p w14:paraId="6EB6AA9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framing deliberately avoids claiming that UWTSD has a proven institutional failure. It identifies an opportunity for investigation.</w:t>
      </w:r>
    </w:p>
    <w:p w14:paraId="70BC8E7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“How might we?” question then becomes:</w:t>
      </w:r>
    </w:p>
    <w:p w14:paraId="0CB2836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How might UWTSD use responsible AI to extend the capacity of its student-support ecosystem while preserving human judgement, accessibility, </w:t>
      </w:r>
      <w:proofErr w:type="gramStart"/>
      <w:r w:rsidRPr="009A27E4">
        <w:rPr>
          <w:rFonts w:ascii="Arial" w:hAnsi="Arial" w:cs="Arial"/>
          <w:sz w:val="22"/>
          <w:szCs w:val="22"/>
        </w:rPr>
        <w:t>inclusion</w:t>
      </w:r>
      <w:proofErr w:type="gramEnd"/>
      <w:r w:rsidRPr="009A27E4">
        <w:rPr>
          <w:rFonts w:ascii="Arial" w:hAnsi="Arial" w:cs="Arial"/>
          <w:sz w:val="22"/>
          <w:szCs w:val="22"/>
        </w:rPr>
        <w:t xml:space="preserve"> and student agency?</w:t>
      </w:r>
    </w:p>
    <w:p w14:paraId="376829B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question is deliberately broader than “How might UWTSD implement a chatbot?” because it does not predetermine the technology. The solution must emerge from the subsequent stages.</w:t>
      </w:r>
    </w:p>
    <w:p w14:paraId="321416E9" w14:textId="77777777" w:rsidR="00D96F96" w:rsidRDefault="00D96F96" w:rsidP="000260E9">
      <w:pPr>
        <w:pStyle w:val="Heading1"/>
        <w:rPr>
          <w:rFonts w:ascii="Arial" w:hAnsi="Arial" w:cs="Arial"/>
          <w:b/>
          <w:bCs/>
          <w:sz w:val="24"/>
          <w:szCs w:val="24"/>
        </w:rPr>
      </w:pPr>
      <w:bookmarkStart w:id="8" w:name="_Toc237895992"/>
      <w:r w:rsidRPr="0047152A">
        <w:rPr>
          <w:rFonts w:ascii="Arial" w:hAnsi="Arial" w:cs="Arial"/>
          <w:b/>
          <w:bCs/>
          <w:sz w:val="24"/>
          <w:szCs w:val="24"/>
        </w:rPr>
        <w:t>3.3 Ideate: generating possibilities rather than defending the first idea.</w:t>
      </w:r>
      <w:bookmarkEnd w:id="8"/>
    </w:p>
    <w:p w14:paraId="09CBBCF2" w14:textId="77777777" w:rsidR="000E41B3" w:rsidRPr="000E41B3" w:rsidRDefault="000E41B3" w:rsidP="000E41B3"/>
    <w:p w14:paraId="47BFB78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Ideate stage requires divergent thinking before convergence. This is where creativity becomes a methodological requirement rather than a decorative feature.</w:t>
      </w:r>
    </w:p>
    <w:p w14:paraId="20F1339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Brainstorming would initially generate </w:t>
      </w:r>
      <w:proofErr w:type="gramStart"/>
      <w:r w:rsidRPr="009A27E4">
        <w:rPr>
          <w:rFonts w:ascii="Arial" w:hAnsi="Arial" w:cs="Arial"/>
          <w:sz w:val="22"/>
          <w:szCs w:val="22"/>
        </w:rPr>
        <w:t>several</w:t>
      </w:r>
      <w:proofErr w:type="gramEnd"/>
      <w:r w:rsidRPr="009A27E4">
        <w:rPr>
          <w:rFonts w:ascii="Arial" w:hAnsi="Arial" w:cs="Arial"/>
          <w:sz w:val="22"/>
          <w:szCs w:val="22"/>
        </w:rPr>
        <w:t xml:space="preserve"> possibilities: an AI academic tutor, an automated administrative assistant, an accessibility-focused AI interface, a personalised student-navigation tool, a staff productivity </w:t>
      </w:r>
      <w:proofErr w:type="gramStart"/>
      <w:r w:rsidRPr="009A27E4">
        <w:rPr>
          <w:rFonts w:ascii="Arial" w:hAnsi="Arial" w:cs="Arial"/>
          <w:sz w:val="22"/>
          <w:szCs w:val="22"/>
        </w:rPr>
        <w:t>assistant</w:t>
      </w:r>
      <w:proofErr w:type="gramEnd"/>
      <w:r w:rsidRPr="009A27E4">
        <w:rPr>
          <w:rFonts w:ascii="Arial" w:hAnsi="Arial" w:cs="Arial"/>
          <w:sz w:val="22"/>
          <w:szCs w:val="22"/>
        </w:rPr>
        <w:t xml:space="preserve"> and an integrated student-support ecosystem.</w:t>
      </w:r>
    </w:p>
    <w:p w14:paraId="6055683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Each concept responds to a genuine aspect of the problem, but each also has limitations.</w:t>
      </w:r>
    </w:p>
    <w:p w14:paraId="478B2A6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A fully automated academic tutor could provide scalable assistance but risks reducing education to information exchange. A purely administrative chatbot could reduce routine workload but would address only one part of the student experience. An accessibility-specific tool could create significant value for </w:t>
      </w:r>
      <w:proofErr w:type="gramStart"/>
      <w:r w:rsidRPr="009A27E4">
        <w:rPr>
          <w:rFonts w:ascii="Arial" w:hAnsi="Arial" w:cs="Arial"/>
          <w:sz w:val="22"/>
          <w:szCs w:val="22"/>
        </w:rPr>
        <w:t>some</w:t>
      </w:r>
      <w:proofErr w:type="gramEnd"/>
      <w:r w:rsidRPr="009A27E4">
        <w:rPr>
          <w:rFonts w:ascii="Arial" w:hAnsi="Arial" w:cs="Arial"/>
          <w:sz w:val="22"/>
          <w:szCs w:val="22"/>
        </w:rPr>
        <w:t xml:space="preserve"> users but risks treating inclusion as a separate service rather than a design principle. A staff productivity system could improve efficiency but might provide little direct value to students.</w:t>
      </w:r>
    </w:p>
    <w:p w14:paraId="40E7260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preferred concept therefore emerges through convergence rather than intuition alone.</w:t>
      </w:r>
    </w:p>
    <w:p w14:paraId="7EABE97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proposed innovation is an AI-Augmented UWTSD Student Support Ecosystem. It would not replace existing services. Instead, it would function as an intelligent interface connecting students with appropriate information, </w:t>
      </w:r>
      <w:proofErr w:type="gramStart"/>
      <w:r w:rsidRPr="009A27E4">
        <w:rPr>
          <w:rFonts w:ascii="Arial" w:hAnsi="Arial" w:cs="Arial"/>
          <w:sz w:val="22"/>
          <w:szCs w:val="22"/>
        </w:rPr>
        <w:t>resources</w:t>
      </w:r>
      <w:proofErr w:type="gramEnd"/>
      <w:r w:rsidRPr="009A27E4">
        <w:rPr>
          <w:rFonts w:ascii="Arial" w:hAnsi="Arial" w:cs="Arial"/>
          <w:sz w:val="22"/>
          <w:szCs w:val="22"/>
        </w:rPr>
        <w:t xml:space="preserve"> and human support.</w:t>
      </w:r>
    </w:p>
    <w:p w14:paraId="24282FC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innovation would potentially provide personalised navigation, routine question answering, accessible interaction, multilingual clarification, learning-resource </w:t>
      </w:r>
      <w:proofErr w:type="gramStart"/>
      <w:r w:rsidRPr="009A27E4">
        <w:rPr>
          <w:rFonts w:ascii="Arial" w:hAnsi="Arial" w:cs="Arial"/>
          <w:sz w:val="22"/>
          <w:szCs w:val="22"/>
        </w:rPr>
        <w:t>guidance</w:t>
      </w:r>
      <w:proofErr w:type="gramEnd"/>
      <w:r w:rsidRPr="009A27E4">
        <w:rPr>
          <w:rFonts w:ascii="Arial" w:hAnsi="Arial" w:cs="Arial"/>
          <w:sz w:val="22"/>
          <w:szCs w:val="22"/>
        </w:rPr>
        <w:t xml:space="preserve"> and intelligent escalation to human services. Its function would be to reduce the distance between a student's need and the appropriate response.</w:t>
      </w:r>
    </w:p>
    <w:p w14:paraId="34BEC6E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concept aligns strongly with UWTSD's existing strategic direction. The University's Digital Strategy already emphasises user-centric design, digital inclusion, workflow improvement, automation of common requests and digital innovation, including AI. (UWTSD, </w:t>
      </w:r>
      <w:r w:rsidRPr="009A27E4">
        <w:rPr>
          <w:rFonts w:ascii="Arial" w:hAnsi="Arial" w:cs="Arial"/>
          <w:sz w:val="22"/>
          <w:szCs w:val="22"/>
        </w:rPr>
        <w:lastRenderedPageBreak/>
        <w:t>2023/24. The proposal therefore represents an extension of existing strategic capabilities rather than a disconnected entrepreneurial idea.</w:t>
      </w:r>
    </w:p>
    <w:p w14:paraId="15E085CD"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sz w:val="22"/>
          <w:szCs w:val="22"/>
        </w:rPr>
        <w:t xml:space="preserve">The ideation process also shows that creativity and academic evidence should not </w:t>
      </w:r>
      <w:proofErr w:type="gramStart"/>
      <w:r w:rsidRPr="009A27E4">
        <w:rPr>
          <w:rFonts w:ascii="Arial" w:hAnsi="Arial" w:cs="Arial"/>
          <w:sz w:val="22"/>
          <w:szCs w:val="22"/>
        </w:rPr>
        <w:t>be treated</w:t>
      </w:r>
      <w:proofErr w:type="gramEnd"/>
      <w:r w:rsidRPr="009A27E4">
        <w:rPr>
          <w:rFonts w:ascii="Arial" w:hAnsi="Arial" w:cs="Arial"/>
          <w:sz w:val="22"/>
          <w:szCs w:val="22"/>
        </w:rPr>
        <w:t xml:space="preserve"> as opposites. The literature confirms that AI can support education, that accessibility should </w:t>
      </w:r>
      <w:proofErr w:type="gramStart"/>
      <w:r w:rsidRPr="009A27E4">
        <w:rPr>
          <w:rFonts w:ascii="Arial" w:hAnsi="Arial" w:cs="Arial"/>
          <w:sz w:val="22"/>
          <w:szCs w:val="22"/>
        </w:rPr>
        <w:t>be built</w:t>
      </w:r>
      <w:proofErr w:type="gramEnd"/>
      <w:r w:rsidRPr="009A27E4">
        <w:rPr>
          <w:rFonts w:ascii="Arial" w:hAnsi="Arial" w:cs="Arial"/>
          <w:sz w:val="22"/>
          <w:szCs w:val="22"/>
        </w:rPr>
        <w:t xml:space="preserve"> into digital design, and that Design Thinking can guide innovation. However, it does not specify exactly what UWTSD should build. Entrepreneurial creativity operates in this space between established knowledge and future possibilities.</w:t>
      </w:r>
    </w:p>
    <w:p w14:paraId="6179B7B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is also where the report challenges an overly rigid interpretation of academic knowledge. If every new idea required complete prior evidence before it could </w:t>
      </w:r>
      <w:proofErr w:type="gramStart"/>
      <w:r w:rsidRPr="009A27E4">
        <w:rPr>
          <w:rFonts w:ascii="Arial" w:hAnsi="Arial" w:cs="Arial"/>
          <w:sz w:val="22"/>
          <w:szCs w:val="22"/>
        </w:rPr>
        <w:t>be explored</w:t>
      </w:r>
      <w:proofErr w:type="gramEnd"/>
      <w:r w:rsidRPr="009A27E4">
        <w:rPr>
          <w:rFonts w:ascii="Arial" w:hAnsi="Arial" w:cs="Arial"/>
          <w:sz w:val="22"/>
          <w:szCs w:val="22"/>
        </w:rPr>
        <w:t xml:space="preserve">, innovation would become restricted to variations of already validated solutions. Academic rigour should therefore </w:t>
      </w:r>
      <w:proofErr w:type="gramStart"/>
      <w:r w:rsidRPr="009A27E4">
        <w:rPr>
          <w:rFonts w:ascii="Arial" w:hAnsi="Arial" w:cs="Arial"/>
          <w:sz w:val="22"/>
          <w:szCs w:val="22"/>
        </w:rPr>
        <w:t>be used</w:t>
      </w:r>
      <w:proofErr w:type="gramEnd"/>
      <w:r w:rsidRPr="009A27E4">
        <w:rPr>
          <w:rFonts w:ascii="Arial" w:hAnsi="Arial" w:cs="Arial"/>
          <w:sz w:val="22"/>
          <w:szCs w:val="22"/>
        </w:rPr>
        <w:t xml:space="preserve"> to constrain unsafe claims, not to prevent responsible experimentation.</w:t>
      </w:r>
    </w:p>
    <w:p w14:paraId="15895101" w14:textId="77777777" w:rsidR="00D96F96" w:rsidRDefault="00D96F96" w:rsidP="000260E9">
      <w:pPr>
        <w:pStyle w:val="Heading1"/>
        <w:rPr>
          <w:rFonts w:ascii="Arial" w:hAnsi="Arial" w:cs="Arial"/>
          <w:b/>
          <w:bCs/>
          <w:sz w:val="24"/>
          <w:szCs w:val="24"/>
        </w:rPr>
      </w:pPr>
      <w:bookmarkStart w:id="9" w:name="_Toc237895993"/>
      <w:r w:rsidRPr="0047152A">
        <w:rPr>
          <w:rFonts w:ascii="Arial" w:hAnsi="Arial" w:cs="Arial"/>
          <w:b/>
          <w:bCs/>
          <w:sz w:val="24"/>
          <w:szCs w:val="24"/>
        </w:rPr>
        <w:t>3.4 Prototype: developing the minimum viable innovation.</w:t>
      </w:r>
      <w:bookmarkEnd w:id="9"/>
    </w:p>
    <w:p w14:paraId="206058D8" w14:textId="77777777" w:rsidR="000E41B3" w:rsidRPr="000E41B3" w:rsidRDefault="000E41B3" w:rsidP="000E41B3"/>
    <w:p w14:paraId="4FF55A5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Prototype stage transforms the selected concept into something that can be </w:t>
      </w:r>
      <w:proofErr w:type="gramStart"/>
      <w:r w:rsidRPr="009A27E4">
        <w:rPr>
          <w:rFonts w:ascii="Arial" w:hAnsi="Arial" w:cs="Arial"/>
          <w:sz w:val="22"/>
          <w:szCs w:val="22"/>
        </w:rPr>
        <w:t>tested</w:t>
      </w:r>
      <w:proofErr w:type="gramEnd"/>
      <w:r w:rsidRPr="009A27E4">
        <w:rPr>
          <w:rFonts w:ascii="Arial" w:hAnsi="Arial" w:cs="Arial"/>
          <w:sz w:val="22"/>
          <w:szCs w:val="22"/>
        </w:rPr>
        <w:t>.</w:t>
      </w:r>
    </w:p>
    <w:p w14:paraId="1296D62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initial Minimum Viable Product (MVP) would not attempt to integrate every university service simultaneously. Instead, it would </w:t>
      </w:r>
      <w:proofErr w:type="gramStart"/>
      <w:r w:rsidRPr="009A27E4">
        <w:rPr>
          <w:rFonts w:ascii="Arial" w:hAnsi="Arial" w:cs="Arial"/>
          <w:sz w:val="22"/>
          <w:szCs w:val="22"/>
        </w:rPr>
        <w:t>test</w:t>
      </w:r>
      <w:proofErr w:type="gramEnd"/>
      <w:r w:rsidRPr="009A27E4">
        <w:rPr>
          <w:rFonts w:ascii="Arial" w:hAnsi="Arial" w:cs="Arial"/>
          <w:sz w:val="22"/>
          <w:szCs w:val="22"/>
        </w:rPr>
        <w:t xml:space="preserve"> </w:t>
      </w:r>
      <w:proofErr w:type="gramStart"/>
      <w:r w:rsidRPr="009A27E4">
        <w:rPr>
          <w:rFonts w:ascii="Arial" w:hAnsi="Arial" w:cs="Arial"/>
          <w:sz w:val="22"/>
          <w:szCs w:val="22"/>
        </w:rPr>
        <w:t>a small number of</w:t>
      </w:r>
      <w:proofErr w:type="gramEnd"/>
      <w:r w:rsidRPr="009A27E4">
        <w:rPr>
          <w:rFonts w:ascii="Arial" w:hAnsi="Arial" w:cs="Arial"/>
          <w:sz w:val="22"/>
          <w:szCs w:val="22"/>
        </w:rPr>
        <w:t xml:space="preserve"> high-value interactions. Students could access an AI interface through an existing digital environment and ask questions relating to academic processes, available services, digital learning </w:t>
      </w:r>
      <w:proofErr w:type="gramStart"/>
      <w:r w:rsidRPr="009A27E4">
        <w:rPr>
          <w:rFonts w:ascii="Arial" w:hAnsi="Arial" w:cs="Arial"/>
          <w:sz w:val="22"/>
          <w:szCs w:val="22"/>
        </w:rPr>
        <w:t>resources</w:t>
      </w:r>
      <w:proofErr w:type="gramEnd"/>
      <w:r w:rsidRPr="009A27E4">
        <w:rPr>
          <w:rFonts w:ascii="Arial" w:hAnsi="Arial" w:cs="Arial"/>
          <w:sz w:val="22"/>
          <w:szCs w:val="22"/>
        </w:rPr>
        <w:t xml:space="preserve"> and routine institutional information.</w:t>
      </w:r>
    </w:p>
    <w:p w14:paraId="3FA2724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system would identify the category of request and either provide information, guide the student towards the appropriate service or escalate the interaction to a human professional.</w:t>
      </w:r>
    </w:p>
    <w:p w14:paraId="56060A85" w14:textId="77777777" w:rsidR="00D96F96" w:rsidRPr="009A27E4" w:rsidRDefault="00D96F96" w:rsidP="009A27E4">
      <w:pPr>
        <w:spacing w:line="360" w:lineRule="auto"/>
        <w:rPr>
          <w:rFonts w:ascii="Arial" w:hAnsi="Arial" w:cs="Arial"/>
          <w:b/>
          <w:bCs/>
          <w:sz w:val="22"/>
          <w:szCs w:val="22"/>
        </w:rPr>
      </w:pPr>
      <w:r w:rsidRPr="009A27E4">
        <w:rPr>
          <w:rFonts w:ascii="Arial" w:hAnsi="Arial" w:cs="Arial"/>
          <w:sz w:val="22"/>
          <w:szCs w:val="22"/>
        </w:rPr>
        <w:t xml:space="preserve">Accessibility would </w:t>
      </w:r>
      <w:proofErr w:type="gramStart"/>
      <w:r w:rsidRPr="009A27E4">
        <w:rPr>
          <w:rFonts w:ascii="Arial" w:hAnsi="Arial" w:cs="Arial"/>
          <w:sz w:val="22"/>
          <w:szCs w:val="22"/>
        </w:rPr>
        <w:t>be built</w:t>
      </w:r>
      <w:proofErr w:type="gramEnd"/>
      <w:r w:rsidRPr="009A27E4">
        <w:rPr>
          <w:rFonts w:ascii="Arial" w:hAnsi="Arial" w:cs="Arial"/>
          <w:sz w:val="22"/>
          <w:szCs w:val="22"/>
        </w:rPr>
        <w:t xml:space="preserve"> into the prototype from the outset. Users could interact through text or voice, receive information through text-to-speech, and navigate an interface compatible with screen readers and keyboard controls. Where appropriate, the system could also offer translation and simplified explanations. These features would not only support disabled students, but also increase flexibility for international students, remote learners and users accessing information in varied circumstances.</w:t>
      </w:r>
    </w:p>
    <w:p w14:paraId="40CE612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However, the prototype would deliberately avoid making high-stakes decisions. It would not independently determine academic progression, disability accommodations, disciplinary outcomes, or complex wellbeing interventions. Such boundaries are essential because AI systems can produce inaccurate or biased outputs and because professional accountability cannot simply </w:t>
      </w:r>
      <w:proofErr w:type="gramStart"/>
      <w:r w:rsidRPr="009A27E4">
        <w:rPr>
          <w:rFonts w:ascii="Arial" w:hAnsi="Arial" w:cs="Arial"/>
          <w:sz w:val="22"/>
          <w:szCs w:val="22"/>
        </w:rPr>
        <w:t>be transferred</w:t>
      </w:r>
      <w:proofErr w:type="gramEnd"/>
      <w:r w:rsidRPr="009A27E4">
        <w:rPr>
          <w:rFonts w:ascii="Arial" w:hAnsi="Arial" w:cs="Arial"/>
          <w:sz w:val="22"/>
          <w:szCs w:val="22"/>
        </w:rPr>
        <w:t xml:space="preserve"> to software.</w:t>
      </w:r>
    </w:p>
    <w:p w14:paraId="487261B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This principle is consistent with wider guidance on generative AI in education, which emphasises the importance of responsible use, human </w:t>
      </w:r>
      <w:proofErr w:type="gramStart"/>
      <w:r w:rsidRPr="009A27E4">
        <w:rPr>
          <w:rFonts w:ascii="Arial" w:hAnsi="Arial" w:cs="Arial"/>
          <w:sz w:val="22"/>
          <w:szCs w:val="22"/>
        </w:rPr>
        <w:t>agency</w:t>
      </w:r>
      <w:proofErr w:type="gramEnd"/>
      <w:r w:rsidRPr="009A27E4">
        <w:rPr>
          <w:rFonts w:ascii="Arial" w:hAnsi="Arial" w:cs="Arial"/>
          <w:sz w:val="22"/>
          <w:szCs w:val="22"/>
        </w:rPr>
        <w:t xml:space="preserve"> and appropriate governance (UNESCO, 2023). It also reflects the growing research interest in the risks and opportunities of AI adoption in higher education (Dwivedi et al., 2023; Zawacki-Richter et al., 2019).</w:t>
      </w:r>
    </w:p>
    <w:p w14:paraId="671BCB6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prototype would therefore </w:t>
      </w:r>
      <w:proofErr w:type="gramStart"/>
      <w:r w:rsidRPr="009A27E4">
        <w:rPr>
          <w:rFonts w:ascii="Arial" w:hAnsi="Arial" w:cs="Arial"/>
          <w:sz w:val="22"/>
          <w:szCs w:val="22"/>
        </w:rPr>
        <w:t>be designed</w:t>
      </w:r>
      <w:proofErr w:type="gramEnd"/>
      <w:r w:rsidRPr="009A27E4">
        <w:rPr>
          <w:rFonts w:ascii="Arial" w:hAnsi="Arial" w:cs="Arial"/>
          <w:sz w:val="22"/>
          <w:szCs w:val="22"/>
        </w:rPr>
        <w:t xml:space="preserve"> around the principle: AI handles repetition; people </w:t>
      </w:r>
      <w:proofErr w:type="gramStart"/>
      <w:r w:rsidRPr="009A27E4">
        <w:rPr>
          <w:rFonts w:ascii="Arial" w:hAnsi="Arial" w:cs="Arial"/>
          <w:sz w:val="22"/>
          <w:szCs w:val="22"/>
        </w:rPr>
        <w:t>handle</w:t>
      </w:r>
      <w:proofErr w:type="gramEnd"/>
      <w:r w:rsidRPr="009A27E4">
        <w:rPr>
          <w:rFonts w:ascii="Arial" w:hAnsi="Arial" w:cs="Arial"/>
          <w:sz w:val="22"/>
          <w:szCs w:val="22"/>
        </w:rPr>
        <w:t xml:space="preserve"> complexity</w:t>
      </w:r>
      <w:r w:rsidRPr="009A27E4">
        <w:rPr>
          <w:rFonts w:ascii="Arial" w:hAnsi="Arial" w:cs="Arial"/>
          <w:b/>
          <w:bCs/>
          <w:sz w:val="22"/>
          <w:szCs w:val="22"/>
        </w:rPr>
        <w:t>.</w:t>
      </w:r>
    </w:p>
    <w:p w14:paraId="3056F60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w:t>
      </w:r>
      <w:proofErr w:type="gramStart"/>
      <w:r w:rsidRPr="009A27E4">
        <w:rPr>
          <w:rFonts w:ascii="Arial" w:hAnsi="Arial" w:cs="Arial"/>
          <w:sz w:val="22"/>
          <w:szCs w:val="22"/>
        </w:rPr>
        <w:t>is not intended</w:t>
      </w:r>
      <w:proofErr w:type="gramEnd"/>
      <w:r w:rsidRPr="009A27E4">
        <w:rPr>
          <w:rFonts w:ascii="Arial" w:hAnsi="Arial" w:cs="Arial"/>
          <w:sz w:val="22"/>
          <w:szCs w:val="22"/>
        </w:rPr>
        <w:t xml:space="preserve"> as an absolute division. Rather, it is a starting design principle that can itself be </w:t>
      </w:r>
      <w:proofErr w:type="gramStart"/>
      <w:r w:rsidRPr="009A27E4">
        <w:rPr>
          <w:rFonts w:ascii="Arial" w:hAnsi="Arial" w:cs="Arial"/>
          <w:sz w:val="22"/>
          <w:szCs w:val="22"/>
        </w:rPr>
        <w:t>tested</w:t>
      </w:r>
      <w:proofErr w:type="gramEnd"/>
      <w:r w:rsidRPr="009A27E4">
        <w:rPr>
          <w:rFonts w:ascii="Arial" w:hAnsi="Arial" w:cs="Arial"/>
          <w:sz w:val="22"/>
          <w:szCs w:val="22"/>
        </w:rPr>
        <w:t>.</w:t>
      </w:r>
    </w:p>
    <w:p w14:paraId="132A1D14" w14:textId="77777777" w:rsidR="00D96F96" w:rsidRDefault="00D96F96" w:rsidP="000260E9">
      <w:pPr>
        <w:pStyle w:val="Heading1"/>
        <w:rPr>
          <w:rFonts w:ascii="Arial" w:hAnsi="Arial" w:cs="Arial"/>
          <w:b/>
          <w:bCs/>
          <w:sz w:val="24"/>
          <w:szCs w:val="24"/>
        </w:rPr>
      </w:pPr>
      <w:bookmarkStart w:id="10" w:name="_Toc237895994"/>
      <w:r w:rsidRPr="0047152A">
        <w:rPr>
          <w:rFonts w:ascii="Arial" w:hAnsi="Arial" w:cs="Arial"/>
          <w:b/>
          <w:bCs/>
          <w:sz w:val="24"/>
          <w:szCs w:val="24"/>
        </w:rPr>
        <w:t>3.5 Test: learning before scaling</w:t>
      </w:r>
      <w:bookmarkEnd w:id="10"/>
    </w:p>
    <w:p w14:paraId="64D21F9D" w14:textId="77777777" w:rsidR="000E41B3" w:rsidRPr="000E41B3" w:rsidRDefault="000E41B3" w:rsidP="000E41B3"/>
    <w:p w14:paraId="51AA3F43"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Test stage completes the first Design Thinking cycle but does not represent the end of the innovation process. Testing would involve a small UWTSD pilot with deliberately diverse participants.</w:t>
      </w:r>
    </w:p>
    <w:p w14:paraId="0B49D39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Students would evaluate usability, usefulness, accessibility, trust and whether the system reduces effort. Academic and professional staff would evaluate accuracy, workload </w:t>
      </w:r>
      <w:proofErr w:type="gramStart"/>
      <w:r w:rsidRPr="009A27E4">
        <w:rPr>
          <w:rFonts w:ascii="Arial" w:hAnsi="Arial" w:cs="Arial"/>
          <w:sz w:val="22"/>
          <w:szCs w:val="22"/>
        </w:rPr>
        <w:t>impact</w:t>
      </w:r>
      <w:proofErr w:type="gramEnd"/>
      <w:r w:rsidRPr="009A27E4">
        <w:rPr>
          <w:rFonts w:ascii="Arial" w:hAnsi="Arial" w:cs="Arial"/>
          <w:sz w:val="22"/>
          <w:szCs w:val="22"/>
        </w:rPr>
        <w:t xml:space="preserve"> and the quality of escalation. Accessibility users would </w:t>
      </w:r>
      <w:proofErr w:type="gramStart"/>
      <w:r w:rsidRPr="009A27E4">
        <w:rPr>
          <w:rFonts w:ascii="Arial" w:hAnsi="Arial" w:cs="Arial"/>
          <w:sz w:val="22"/>
          <w:szCs w:val="22"/>
        </w:rPr>
        <w:t>test</w:t>
      </w:r>
      <w:proofErr w:type="gramEnd"/>
      <w:r w:rsidRPr="009A27E4">
        <w:rPr>
          <w:rFonts w:ascii="Arial" w:hAnsi="Arial" w:cs="Arial"/>
          <w:sz w:val="22"/>
          <w:szCs w:val="22"/>
        </w:rPr>
        <w:t xml:space="preserve"> compatibility with assistive technologies. International students could evaluate language and cultural usability. (UWTSD Student Charter, n.d.c; CAST, 2024; Persson et al., 2015)</w:t>
      </w:r>
    </w:p>
    <w:p w14:paraId="2A482BEB" w14:textId="48659345"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evaluation should combine quantitative and qualitative data. Quantitative measures could include response time, percentage of routine enquiries successfully resolved, escalation rates, repeat enquiries, student </w:t>
      </w:r>
      <w:r w:rsidR="00D75A25" w:rsidRPr="009A27E4">
        <w:rPr>
          <w:rFonts w:ascii="Arial" w:hAnsi="Arial" w:cs="Arial"/>
          <w:sz w:val="22"/>
          <w:szCs w:val="22"/>
        </w:rPr>
        <w:t>satisfaction,</w:t>
      </w:r>
      <w:r w:rsidRPr="009A27E4">
        <w:rPr>
          <w:rFonts w:ascii="Arial" w:hAnsi="Arial" w:cs="Arial"/>
          <w:sz w:val="22"/>
          <w:szCs w:val="22"/>
        </w:rPr>
        <w:t xml:space="preserve"> and staff workload perceptions. Qualitative interviews and focus groups would investigate experiences that numerical measures might conceal.</w:t>
      </w:r>
    </w:p>
    <w:p w14:paraId="2DC98FD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most important measure, however, would be whether the system creates additional value rather than additional technology.</w:t>
      </w:r>
    </w:p>
    <w:p w14:paraId="28A0112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For example, if students receive faster answers but become less capable of navigating the university independently, the innovation may have created efficiency without empowerment. If staff spend less time answering routine questions but more time correcting inaccurate AI responses, the innovation has failed its productivity objective. If accessibility improves for </w:t>
      </w:r>
      <w:proofErr w:type="gramStart"/>
      <w:r w:rsidRPr="009A27E4">
        <w:rPr>
          <w:rFonts w:ascii="Arial" w:hAnsi="Arial" w:cs="Arial"/>
          <w:sz w:val="22"/>
          <w:szCs w:val="22"/>
        </w:rPr>
        <w:t>some</w:t>
      </w:r>
      <w:proofErr w:type="gramEnd"/>
      <w:r w:rsidRPr="009A27E4">
        <w:rPr>
          <w:rFonts w:ascii="Arial" w:hAnsi="Arial" w:cs="Arial"/>
          <w:sz w:val="22"/>
          <w:szCs w:val="22"/>
        </w:rPr>
        <w:t xml:space="preserve"> students while becoming more difficult for others, the innovation cannot </w:t>
      </w:r>
      <w:proofErr w:type="gramStart"/>
      <w:r w:rsidRPr="009A27E4">
        <w:rPr>
          <w:rFonts w:ascii="Arial" w:hAnsi="Arial" w:cs="Arial"/>
          <w:sz w:val="22"/>
          <w:szCs w:val="22"/>
        </w:rPr>
        <w:t>be described</w:t>
      </w:r>
      <w:proofErr w:type="gramEnd"/>
      <w:r w:rsidRPr="009A27E4">
        <w:rPr>
          <w:rFonts w:ascii="Arial" w:hAnsi="Arial" w:cs="Arial"/>
          <w:sz w:val="22"/>
          <w:szCs w:val="22"/>
        </w:rPr>
        <w:t xml:space="preserve"> as inclusive.</w:t>
      </w:r>
    </w:p>
    <w:p w14:paraId="1FBF148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Testing therefore needs to </w:t>
      </w:r>
      <w:proofErr w:type="gramStart"/>
      <w:r w:rsidRPr="009A27E4">
        <w:rPr>
          <w:rFonts w:ascii="Arial" w:hAnsi="Arial" w:cs="Arial"/>
          <w:sz w:val="22"/>
          <w:szCs w:val="22"/>
        </w:rPr>
        <w:t>be understood</w:t>
      </w:r>
      <w:proofErr w:type="gramEnd"/>
      <w:r w:rsidRPr="009A27E4">
        <w:rPr>
          <w:rFonts w:ascii="Arial" w:hAnsi="Arial" w:cs="Arial"/>
          <w:sz w:val="22"/>
          <w:szCs w:val="22"/>
        </w:rPr>
        <w:t xml:space="preserve"> as a search for disconfirming evidence as much as confirmation. The purpose is not to prove that the idea works. It is to discover where it does not work.</w:t>
      </w:r>
    </w:p>
    <w:p w14:paraId="0082851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returns to the counterexample principle introduced earlier. The prototype can </w:t>
      </w:r>
      <w:proofErr w:type="gramStart"/>
      <w:r w:rsidRPr="009A27E4">
        <w:rPr>
          <w:rFonts w:ascii="Arial" w:hAnsi="Arial" w:cs="Arial"/>
          <w:sz w:val="22"/>
          <w:szCs w:val="22"/>
        </w:rPr>
        <w:t>be treated</w:t>
      </w:r>
      <w:proofErr w:type="gramEnd"/>
      <w:r w:rsidRPr="009A27E4">
        <w:rPr>
          <w:rFonts w:ascii="Arial" w:hAnsi="Arial" w:cs="Arial"/>
          <w:sz w:val="22"/>
          <w:szCs w:val="22"/>
        </w:rPr>
        <w:t xml:space="preserve"> as an empirical question:</w:t>
      </w:r>
    </w:p>
    <w:p w14:paraId="2A37756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“What evidence would demonstrate that our assumption about AI-enabled support is wrong?”</w:t>
      </w:r>
    </w:p>
    <w:p w14:paraId="2C9ED76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question changes the culture of innovation. Instead of protecting the original idea, the team deliberately searches for its weaknesses. If a student group finds that the interface is inaccessible, the prototype changes. If staff find that automation increases workload, the workflow changes. If students prefer human interaction for certain types of support, the design incorporates stronger escalation pathways.</w:t>
      </w:r>
    </w:p>
    <w:p w14:paraId="64BAE64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process therefore becomes iterative:</w:t>
      </w:r>
    </w:p>
    <w:p w14:paraId="7121B933" w14:textId="77777777" w:rsidR="00D96F96" w:rsidRPr="009A27E4" w:rsidRDefault="00D96F96" w:rsidP="009A27E4">
      <w:pPr>
        <w:spacing w:line="360" w:lineRule="auto"/>
        <w:rPr>
          <w:rFonts w:ascii="Arial" w:hAnsi="Arial" w:cs="Arial"/>
          <w:sz w:val="22"/>
          <w:szCs w:val="22"/>
        </w:rPr>
      </w:pPr>
      <w:r w:rsidRPr="009A27E4">
        <w:rPr>
          <w:rFonts w:ascii="Arial" w:hAnsi="Arial" w:cs="Arial"/>
          <w:b/>
          <w:bCs/>
          <w:sz w:val="22"/>
          <w:szCs w:val="22"/>
        </w:rPr>
        <w:t>Observe → frame → generate → prototype → test → learn → reframe → prototype again.</w:t>
      </w:r>
    </w:p>
    <w:p w14:paraId="35CADBE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is not inconsistency. It is the intended logic of Design Thinking translated into Iterative Thinking.</w:t>
      </w:r>
    </w:p>
    <w:p w14:paraId="426308DB" w14:textId="621EBF40" w:rsidR="00D96F96" w:rsidRDefault="00D96F96" w:rsidP="000260E9">
      <w:pPr>
        <w:pStyle w:val="Heading1"/>
        <w:rPr>
          <w:rFonts w:ascii="Arial" w:hAnsi="Arial" w:cs="Arial"/>
          <w:b/>
          <w:bCs/>
          <w:sz w:val="24"/>
          <w:szCs w:val="24"/>
        </w:rPr>
      </w:pPr>
      <w:bookmarkStart w:id="11" w:name="_Toc237895995"/>
      <w:r w:rsidRPr="0047152A">
        <w:rPr>
          <w:rFonts w:ascii="Arial" w:hAnsi="Arial" w:cs="Arial"/>
          <w:b/>
          <w:bCs/>
          <w:sz w:val="24"/>
          <w:szCs w:val="24"/>
        </w:rPr>
        <w:t xml:space="preserve">4. Diversity, </w:t>
      </w:r>
      <w:r w:rsidR="00D75A25" w:rsidRPr="0047152A">
        <w:rPr>
          <w:rFonts w:ascii="Arial" w:hAnsi="Arial" w:cs="Arial"/>
          <w:b/>
          <w:bCs/>
          <w:sz w:val="24"/>
          <w:szCs w:val="24"/>
        </w:rPr>
        <w:t>inclusion,</w:t>
      </w:r>
      <w:r w:rsidRPr="0047152A">
        <w:rPr>
          <w:rFonts w:ascii="Arial" w:hAnsi="Arial" w:cs="Arial"/>
          <w:b/>
          <w:bCs/>
          <w:sz w:val="24"/>
          <w:szCs w:val="24"/>
        </w:rPr>
        <w:t xml:space="preserve"> and the architecture of the innovation</w:t>
      </w:r>
      <w:bookmarkEnd w:id="11"/>
    </w:p>
    <w:p w14:paraId="488859CA" w14:textId="77777777" w:rsidR="000E41B3" w:rsidRPr="000E41B3" w:rsidRDefault="000E41B3" w:rsidP="000E41B3"/>
    <w:p w14:paraId="6C578E8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Diversity and inclusion should not </w:t>
      </w:r>
      <w:proofErr w:type="gramStart"/>
      <w:r w:rsidRPr="009A27E4">
        <w:rPr>
          <w:rFonts w:ascii="Arial" w:hAnsi="Arial" w:cs="Arial"/>
          <w:sz w:val="22"/>
          <w:szCs w:val="22"/>
        </w:rPr>
        <w:t>be positioned</w:t>
      </w:r>
      <w:proofErr w:type="gramEnd"/>
      <w:r w:rsidRPr="009A27E4">
        <w:rPr>
          <w:rFonts w:ascii="Arial" w:hAnsi="Arial" w:cs="Arial"/>
          <w:sz w:val="22"/>
          <w:szCs w:val="22"/>
        </w:rPr>
        <w:t xml:space="preserve"> as a final subsection added after the technological solution has </w:t>
      </w:r>
      <w:proofErr w:type="gramStart"/>
      <w:r w:rsidRPr="009A27E4">
        <w:rPr>
          <w:rFonts w:ascii="Arial" w:hAnsi="Arial" w:cs="Arial"/>
          <w:sz w:val="22"/>
          <w:szCs w:val="22"/>
        </w:rPr>
        <w:t>been designed</w:t>
      </w:r>
      <w:proofErr w:type="gramEnd"/>
      <w:r w:rsidRPr="009A27E4">
        <w:rPr>
          <w:rFonts w:ascii="Arial" w:hAnsi="Arial" w:cs="Arial"/>
          <w:sz w:val="22"/>
          <w:szCs w:val="22"/>
        </w:rPr>
        <w:t>. They should influence the architecture of the innovation from the Empathise stage onwards.</w:t>
      </w:r>
    </w:p>
    <w:p w14:paraId="7603AA21"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UWTSD's strategic documentation explicitly identifies inclusion and diversity as part of its digital approach, while its disability support and accessibility provisions demonstrate an existing institutional commitment to accessible education (UWTSD, n.d.a; UWTSD, n.d.b). The proposed innovation therefore extends an existing value rather than creating one artificially.</w:t>
      </w:r>
    </w:p>
    <w:p w14:paraId="05A2B32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central design principle should be adaptability rather than standardisation.</w:t>
      </w:r>
    </w:p>
    <w:p w14:paraId="4DBF4F5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A standardised system assumes that providing the same information in the same format creates equality. A human-centred system recognises that equal access may require different routes to the same information.</w:t>
      </w:r>
    </w:p>
    <w:p w14:paraId="3F5449C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For a visually impaired student, spoken interaction may be essential. For another student, text may be preferable. For an international student, additional contextual explanation may reduce uncertainty. For a student experiencing cognitive overload, information presented in smaller sequential steps may be more usable. The system should therefore offer choices rather than assume a single “normal” user.</w:t>
      </w:r>
    </w:p>
    <w:p w14:paraId="1F9E0F9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is where inclusive design becomes strategically relevant. Accessibility research demonstrates that design choices can either reduce or reproduce barriers and current research into AI and disability highlights both the potential benefits of generative tools and the risks of inaccurate or inequitable implementation (Persson et al., 2015; Zhao, 2025).</w:t>
      </w:r>
    </w:p>
    <w:p w14:paraId="0DC9AAB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Inclusion also requires cultural sensitivity. An AI system trained primarily on dominant cultural assumptions could unintentionally interpret communication differently across cultures. Human oversight and diverse testing groups would therefore be necessary. The aim is not for AI to replace cultural understanding but to provide adaptable access to institutional support.</w:t>
      </w:r>
    </w:p>
    <w:p w14:paraId="0CA7F10D" w14:textId="77777777" w:rsidR="00D96F96" w:rsidRDefault="00D96F96" w:rsidP="000260E9">
      <w:pPr>
        <w:pStyle w:val="Heading1"/>
        <w:rPr>
          <w:rFonts w:ascii="Arial" w:hAnsi="Arial" w:cs="Arial"/>
          <w:b/>
          <w:bCs/>
          <w:sz w:val="24"/>
          <w:szCs w:val="24"/>
        </w:rPr>
      </w:pPr>
      <w:bookmarkStart w:id="12" w:name="_Toc237895996"/>
      <w:r w:rsidRPr="0047152A">
        <w:rPr>
          <w:rFonts w:ascii="Arial" w:hAnsi="Arial" w:cs="Arial"/>
          <w:b/>
          <w:bCs/>
          <w:sz w:val="24"/>
          <w:szCs w:val="24"/>
        </w:rPr>
        <w:t xml:space="preserve">5. Sustainability, </w:t>
      </w:r>
      <w:proofErr w:type="gramStart"/>
      <w:r w:rsidRPr="0047152A">
        <w:rPr>
          <w:rFonts w:ascii="Arial" w:hAnsi="Arial" w:cs="Arial"/>
          <w:b/>
          <w:bCs/>
          <w:sz w:val="24"/>
          <w:szCs w:val="24"/>
        </w:rPr>
        <w:t>ethics</w:t>
      </w:r>
      <w:proofErr w:type="gramEnd"/>
      <w:r w:rsidRPr="0047152A">
        <w:rPr>
          <w:rFonts w:ascii="Arial" w:hAnsi="Arial" w:cs="Arial"/>
          <w:b/>
          <w:bCs/>
          <w:sz w:val="24"/>
          <w:szCs w:val="24"/>
        </w:rPr>
        <w:t xml:space="preserve"> and organisational feasibility</w:t>
      </w:r>
      <w:bookmarkEnd w:id="12"/>
    </w:p>
    <w:p w14:paraId="62CF0F61" w14:textId="77777777" w:rsidR="000E41B3" w:rsidRPr="000E41B3" w:rsidRDefault="000E41B3" w:rsidP="000E41B3"/>
    <w:p w14:paraId="21D731C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innovation has potential for operational sustainability because it can increase support capacity without requiring every additional interaction to </w:t>
      </w:r>
      <w:proofErr w:type="gramStart"/>
      <w:r w:rsidRPr="009A27E4">
        <w:rPr>
          <w:rFonts w:ascii="Arial" w:hAnsi="Arial" w:cs="Arial"/>
          <w:sz w:val="22"/>
          <w:szCs w:val="22"/>
        </w:rPr>
        <w:t>be matched</w:t>
      </w:r>
      <w:proofErr w:type="gramEnd"/>
      <w:r w:rsidRPr="009A27E4">
        <w:rPr>
          <w:rFonts w:ascii="Arial" w:hAnsi="Arial" w:cs="Arial"/>
          <w:sz w:val="22"/>
          <w:szCs w:val="22"/>
        </w:rPr>
        <w:t xml:space="preserve"> by a new human transaction. However, technological sustainability requires more than reducing labour costs.</w:t>
      </w:r>
    </w:p>
    <w:p w14:paraId="579D5FA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system would require continuous maintenance, cybersecurity, accessibility auditing, data governance, AI model </w:t>
      </w:r>
      <w:proofErr w:type="gramStart"/>
      <w:r w:rsidRPr="009A27E4">
        <w:rPr>
          <w:rFonts w:ascii="Arial" w:hAnsi="Arial" w:cs="Arial"/>
          <w:sz w:val="22"/>
          <w:szCs w:val="22"/>
        </w:rPr>
        <w:t>evaluation</w:t>
      </w:r>
      <w:proofErr w:type="gramEnd"/>
      <w:r w:rsidRPr="009A27E4">
        <w:rPr>
          <w:rFonts w:ascii="Arial" w:hAnsi="Arial" w:cs="Arial"/>
          <w:sz w:val="22"/>
          <w:szCs w:val="22"/>
        </w:rPr>
        <w:t xml:space="preserve"> and staff training. It would also need a governance structure defining who is accountable when the system produces an incorrect answer.</w:t>
      </w:r>
    </w:p>
    <w:p w14:paraId="4B6B8AF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UWTSD's existing Digital Strategy provides a favourable foundation because it explicitly connects digital transformation with sustainability, data-driven decision-making, user </w:t>
      </w:r>
      <w:proofErr w:type="gramStart"/>
      <w:r w:rsidRPr="009A27E4">
        <w:rPr>
          <w:rFonts w:ascii="Arial" w:hAnsi="Arial" w:cs="Arial"/>
          <w:sz w:val="22"/>
          <w:szCs w:val="22"/>
        </w:rPr>
        <w:t>engagement</w:t>
      </w:r>
      <w:proofErr w:type="gramEnd"/>
      <w:r w:rsidRPr="009A27E4">
        <w:rPr>
          <w:rFonts w:ascii="Arial" w:hAnsi="Arial" w:cs="Arial"/>
          <w:sz w:val="22"/>
          <w:szCs w:val="22"/>
        </w:rPr>
        <w:t xml:space="preserve"> and continuous review (UWTSD, 2023/24). The University's existing AI literacy initiatives and AI-enabled learning activities also suggest that organisational capability is already developing.</w:t>
      </w:r>
    </w:p>
    <w:p w14:paraId="77C01FB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Nevertheless, feasibility should not </w:t>
      </w:r>
      <w:proofErr w:type="gramStart"/>
      <w:r w:rsidRPr="009A27E4">
        <w:rPr>
          <w:rFonts w:ascii="Arial" w:hAnsi="Arial" w:cs="Arial"/>
          <w:sz w:val="22"/>
          <w:szCs w:val="22"/>
        </w:rPr>
        <w:t>be assumed</w:t>
      </w:r>
      <w:proofErr w:type="gramEnd"/>
      <w:r w:rsidRPr="009A27E4">
        <w:rPr>
          <w:rFonts w:ascii="Arial" w:hAnsi="Arial" w:cs="Arial"/>
          <w:sz w:val="22"/>
          <w:szCs w:val="22"/>
        </w:rPr>
        <w:t xml:space="preserve"> simply because the technology exists. A responsible implementation would require a phased approach. The first stage would investigate user needs and map existing support journeys. The second would prototype a limited set of functions. The third would </w:t>
      </w:r>
      <w:proofErr w:type="gramStart"/>
      <w:r w:rsidRPr="009A27E4">
        <w:rPr>
          <w:rFonts w:ascii="Arial" w:hAnsi="Arial" w:cs="Arial"/>
          <w:sz w:val="22"/>
          <w:szCs w:val="22"/>
        </w:rPr>
        <w:t>test</w:t>
      </w:r>
      <w:proofErr w:type="gramEnd"/>
      <w:r w:rsidRPr="009A27E4">
        <w:rPr>
          <w:rFonts w:ascii="Arial" w:hAnsi="Arial" w:cs="Arial"/>
          <w:sz w:val="22"/>
          <w:szCs w:val="22"/>
        </w:rPr>
        <w:t xml:space="preserve"> those functions with diverse users. Only after evidence of value and safety would wider integration </w:t>
      </w:r>
      <w:proofErr w:type="gramStart"/>
      <w:r w:rsidRPr="009A27E4">
        <w:rPr>
          <w:rFonts w:ascii="Arial" w:hAnsi="Arial" w:cs="Arial"/>
          <w:sz w:val="22"/>
          <w:szCs w:val="22"/>
        </w:rPr>
        <w:t>be considered</w:t>
      </w:r>
      <w:proofErr w:type="gramEnd"/>
      <w:r w:rsidRPr="009A27E4">
        <w:rPr>
          <w:rFonts w:ascii="Arial" w:hAnsi="Arial" w:cs="Arial"/>
          <w:sz w:val="22"/>
          <w:szCs w:val="22"/>
        </w:rPr>
        <w:t>.</w:t>
      </w:r>
    </w:p>
    <w:p w14:paraId="208EA453"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This approach also creates an opportunity to make the innovation financially and organisationally viable. Rather than purchasing an enormous system immediately, UWTSD could experiment with a focused MVP and use evidence from the pilot to determine whether wider investment </w:t>
      </w:r>
      <w:proofErr w:type="gramStart"/>
      <w:r w:rsidRPr="009A27E4">
        <w:rPr>
          <w:rFonts w:ascii="Arial" w:hAnsi="Arial" w:cs="Arial"/>
          <w:sz w:val="22"/>
          <w:szCs w:val="22"/>
        </w:rPr>
        <w:t>is justified</w:t>
      </w:r>
      <w:proofErr w:type="gramEnd"/>
      <w:r w:rsidRPr="009A27E4">
        <w:rPr>
          <w:rFonts w:ascii="Arial" w:hAnsi="Arial" w:cs="Arial"/>
          <w:sz w:val="22"/>
          <w:szCs w:val="22"/>
        </w:rPr>
        <w:t>.</w:t>
      </w:r>
    </w:p>
    <w:p w14:paraId="1B42D800" w14:textId="77777777" w:rsidR="00D96F96" w:rsidRDefault="00D96F96" w:rsidP="000260E9">
      <w:pPr>
        <w:pStyle w:val="Heading1"/>
        <w:rPr>
          <w:rFonts w:ascii="Arial" w:hAnsi="Arial" w:cs="Arial"/>
          <w:b/>
          <w:bCs/>
          <w:sz w:val="24"/>
          <w:szCs w:val="24"/>
        </w:rPr>
      </w:pPr>
      <w:bookmarkStart w:id="13" w:name="_Toc237895997"/>
      <w:r w:rsidRPr="0047152A">
        <w:rPr>
          <w:rFonts w:ascii="Arial" w:hAnsi="Arial" w:cs="Arial"/>
          <w:b/>
          <w:bCs/>
          <w:sz w:val="24"/>
          <w:szCs w:val="24"/>
        </w:rPr>
        <w:t xml:space="preserve">6. Critical reflection on innovation, </w:t>
      </w:r>
      <w:proofErr w:type="gramStart"/>
      <w:r w:rsidRPr="0047152A">
        <w:rPr>
          <w:rFonts w:ascii="Arial" w:hAnsi="Arial" w:cs="Arial"/>
          <w:b/>
          <w:bCs/>
          <w:sz w:val="24"/>
          <w:szCs w:val="24"/>
        </w:rPr>
        <w:t>evidence</w:t>
      </w:r>
      <w:proofErr w:type="gramEnd"/>
      <w:r w:rsidRPr="0047152A">
        <w:rPr>
          <w:rFonts w:ascii="Arial" w:hAnsi="Arial" w:cs="Arial"/>
          <w:b/>
          <w:bCs/>
          <w:sz w:val="24"/>
          <w:szCs w:val="24"/>
        </w:rPr>
        <w:t xml:space="preserve"> and academic knowledge</w:t>
      </w:r>
      <w:bookmarkEnd w:id="13"/>
    </w:p>
    <w:p w14:paraId="30717113" w14:textId="77777777" w:rsidR="0047152A" w:rsidRPr="0047152A" w:rsidRDefault="0047152A" w:rsidP="0047152A"/>
    <w:p w14:paraId="6E65354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The report's approach deliberately challenges a potential tension within academic innovation: the tendency to seek certainty before experimentation.</w:t>
      </w:r>
    </w:p>
    <w:p w14:paraId="3BBA480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Academic evidence is indispensable. Without it, an innovation proposal risks becoming an unsupported opinion. However, the absence of extensive evidence about a particular solution does not necessarily demonstrate that the solution lacks value. It may simply indicate that the question has not yet </w:t>
      </w:r>
      <w:proofErr w:type="gramStart"/>
      <w:r w:rsidRPr="009A27E4">
        <w:rPr>
          <w:rFonts w:ascii="Arial" w:hAnsi="Arial" w:cs="Arial"/>
          <w:sz w:val="22"/>
          <w:szCs w:val="22"/>
        </w:rPr>
        <w:t>been sufficiently explored</w:t>
      </w:r>
      <w:proofErr w:type="gramEnd"/>
      <w:r w:rsidRPr="009A27E4">
        <w:rPr>
          <w:rFonts w:ascii="Arial" w:hAnsi="Arial" w:cs="Arial"/>
          <w:sz w:val="22"/>
          <w:szCs w:val="22"/>
        </w:rPr>
        <w:t>.</w:t>
      </w:r>
    </w:p>
    <w:p w14:paraId="746AF16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is why the distinction between evidence and hypothesis is central to the present report.</w:t>
      </w:r>
    </w:p>
    <w:p w14:paraId="45BC4F6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observations informing the opportunity </w:t>
      </w:r>
      <w:proofErr w:type="gramStart"/>
      <w:r w:rsidRPr="009A27E4">
        <w:rPr>
          <w:rFonts w:ascii="Arial" w:hAnsi="Arial" w:cs="Arial"/>
          <w:sz w:val="22"/>
          <w:szCs w:val="22"/>
        </w:rPr>
        <w:t>are not presented</w:t>
      </w:r>
      <w:proofErr w:type="gramEnd"/>
      <w:r w:rsidRPr="009A27E4">
        <w:rPr>
          <w:rFonts w:ascii="Arial" w:hAnsi="Arial" w:cs="Arial"/>
          <w:sz w:val="22"/>
          <w:szCs w:val="22"/>
        </w:rPr>
        <w:t xml:space="preserve"> as universal evidence </w:t>
      </w:r>
      <w:proofErr w:type="gramStart"/>
      <w:r w:rsidRPr="009A27E4">
        <w:rPr>
          <w:rFonts w:ascii="Arial" w:hAnsi="Arial" w:cs="Arial"/>
          <w:sz w:val="22"/>
          <w:szCs w:val="22"/>
        </w:rPr>
        <w:t>are treated</w:t>
      </w:r>
      <w:proofErr w:type="gramEnd"/>
      <w:r w:rsidRPr="009A27E4">
        <w:rPr>
          <w:rFonts w:ascii="Arial" w:hAnsi="Arial" w:cs="Arial"/>
          <w:sz w:val="22"/>
          <w:szCs w:val="22"/>
        </w:rPr>
        <w:t xml:space="preserve"> as hypotheses-generating signals. Academic and sector literature then provides a framework within which those hypotheses can </w:t>
      </w:r>
      <w:proofErr w:type="gramStart"/>
      <w:r w:rsidRPr="009A27E4">
        <w:rPr>
          <w:rFonts w:ascii="Arial" w:hAnsi="Arial" w:cs="Arial"/>
          <w:sz w:val="22"/>
          <w:szCs w:val="22"/>
        </w:rPr>
        <w:t>be examined</w:t>
      </w:r>
      <w:proofErr w:type="gramEnd"/>
      <w:r w:rsidRPr="009A27E4">
        <w:rPr>
          <w:rFonts w:ascii="Arial" w:hAnsi="Arial" w:cs="Arial"/>
          <w:sz w:val="22"/>
          <w:szCs w:val="22"/>
        </w:rPr>
        <w:t xml:space="preserve">. The Design Thinking process provides the mechanism through which they can be </w:t>
      </w:r>
      <w:proofErr w:type="gramStart"/>
      <w:r w:rsidRPr="009A27E4">
        <w:rPr>
          <w:rFonts w:ascii="Arial" w:hAnsi="Arial" w:cs="Arial"/>
          <w:sz w:val="22"/>
          <w:szCs w:val="22"/>
        </w:rPr>
        <w:t>tested</w:t>
      </w:r>
      <w:proofErr w:type="gramEnd"/>
      <w:r w:rsidRPr="009A27E4">
        <w:rPr>
          <w:rFonts w:ascii="Arial" w:hAnsi="Arial" w:cs="Arial"/>
          <w:sz w:val="22"/>
          <w:szCs w:val="22"/>
        </w:rPr>
        <w:t>.</w:t>
      </w:r>
    </w:p>
    <w:p w14:paraId="643F828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This creates a more productive relationship between creativity and academic rigour. Creativity generates possibilities. Academic evidence constrains unsupported claims. Prototyping generates new evidence. Testing produces learning. Iteration then transforms that learning into a more robust proposition.</w:t>
      </w:r>
    </w:p>
    <w:p w14:paraId="737F59E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The argument is therefore not that academic standards should </w:t>
      </w:r>
      <w:proofErr w:type="gramStart"/>
      <w:r w:rsidRPr="009A27E4">
        <w:rPr>
          <w:rFonts w:ascii="Arial" w:hAnsi="Arial" w:cs="Arial"/>
          <w:sz w:val="22"/>
          <w:szCs w:val="22"/>
        </w:rPr>
        <w:t>be abandoned</w:t>
      </w:r>
      <w:proofErr w:type="gramEnd"/>
      <w:r w:rsidRPr="009A27E4">
        <w:rPr>
          <w:rFonts w:ascii="Arial" w:hAnsi="Arial" w:cs="Arial"/>
          <w:sz w:val="22"/>
          <w:szCs w:val="22"/>
        </w:rPr>
        <w:t>. It is that academic standards should distinguish between claims that require evidence and ideas that require testing.</w:t>
      </w:r>
    </w:p>
    <w:p w14:paraId="77A892C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distinction is particularly relevant to entrepreneurship. An entrepreneur cannot wait until every innovation has already </w:t>
      </w:r>
      <w:proofErr w:type="gramStart"/>
      <w:r w:rsidRPr="009A27E4">
        <w:rPr>
          <w:rFonts w:ascii="Arial" w:hAnsi="Arial" w:cs="Arial"/>
          <w:sz w:val="22"/>
          <w:szCs w:val="22"/>
        </w:rPr>
        <w:t>been validated</w:t>
      </w:r>
      <w:proofErr w:type="gramEnd"/>
      <w:r w:rsidRPr="009A27E4">
        <w:rPr>
          <w:rFonts w:ascii="Arial" w:hAnsi="Arial" w:cs="Arial"/>
          <w:sz w:val="22"/>
          <w:szCs w:val="22"/>
        </w:rPr>
        <w:t xml:space="preserve"> by peer-reviewed research. If that were the requirement, the entrepreneur would no longer be innovating. At the same time, responsible entrepreneurship cannot treat intuition as evidence. Design Thinking provides a middle ground: generate creatively, formulate carefully, prototype cheaply, test systematically and adapt according to evidence.</w:t>
      </w:r>
    </w:p>
    <w:p w14:paraId="19132453"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This is also why the apparent “inconsistency” of generating and revising ideas should not necessarily </w:t>
      </w:r>
      <w:proofErr w:type="gramStart"/>
      <w:r w:rsidRPr="009A27E4">
        <w:rPr>
          <w:rFonts w:ascii="Arial" w:hAnsi="Arial" w:cs="Arial"/>
          <w:sz w:val="22"/>
          <w:szCs w:val="22"/>
        </w:rPr>
        <w:t>be interpreted</w:t>
      </w:r>
      <w:proofErr w:type="gramEnd"/>
      <w:r w:rsidRPr="009A27E4">
        <w:rPr>
          <w:rFonts w:ascii="Arial" w:hAnsi="Arial" w:cs="Arial"/>
          <w:sz w:val="22"/>
          <w:szCs w:val="22"/>
        </w:rPr>
        <w:t xml:space="preserve"> negatively. In a linear model, changing an idea can appear to </w:t>
      </w:r>
      <w:r w:rsidRPr="009A27E4">
        <w:rPr>
          <w:rFonts w:ascii="Arial" w:hAnsi="Arial" w:cs="Arial"/>
          <w:sz w:val="22"/>
          <w:szCs w:val="22"/>
        </w:rPr>
        <w:lastRenderedPageBreak/>
        <w:t>indicate uncertainty or failure. In Design Thinking, iteration is evidence that learning has occurred. The objective is not to protect the first idea but to improve the problem-solution relationship.</w:t>
      </w:r>
    </w:p>
    <w:p w14:paraId="0E6543C5"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For an educational institution, this principle has particular significance. Universities are themselves environments designed around learning. An innovative university should therefore be capable not only of teaching established knowledge but also of creating controlled spaces in which new possibilities can </w:t>
      </w:r>
      <w:proofErr w:type="gramStart"/>
      <w:r w:rsidRPr="009A27E4">
        <w:rPr>
          <w:rFonts w:ascii="Arial" w:hAnsi="Arial" w:cs="Arial"/>
          <w:sz w:val="22"/>
          <w:szCs w:val="22"/>
        </w:rPr>
        <w:t>be explored</w:t>
      </w:r>
      <w:proofErr w:type="gramEnd"/>
      <w:r w:rsidRPr="009A27E4">
        <w:rPr>
          <w:rFonts w:ascii="Arial" w:hAnsi="Arial" w:cs="Arial"/>
          <w:sz w:val="22"/>
          <w:szCs w:val="22"/>
        </w:rPr>
        <w:t>.</w:t>
      </w:r>
    </w:p>
    <w:p w14:paraId="5DE59835" w14:textId="77777777" w:rsidR="00D96F96" w:rsidRDefault="00D96F96" w:rsidP="000260E9">
      <w:pPr>
        <w:pStyle w:val="Heading1"/>
        <w:rPr>
          <w:rFonts w:ascii="Arial" w:hAnsi="Arial" w:cs="Arial"/>
          <w:b/>
          <w:bCs/>
          <w:sz w:val="24"/>
          <w:szCs w:val="24"/>
        </w:rPr>
      </w:pPr>
      <w:bookmarkStart w:id="14" w:name="_Toc237895998"/>
      <w:r w:rsidRPr="0047152A">
        <w:rPr>
          <w:rFonts w:ascii="Arial" w:hAnsi="Arial" w:cs="Arial"/>
          <w:b/>
          <w:bCs/>
          <w:sz w:val="24"/>
          <w:szCs w:val="24"/>
        </w:rPr>
        <w:t>7. Conclusion</w:t>
      </w:r>
      <w:bookmarkEnd w:id="14"/>
    </w:p>
    <w:p w14:paraId="2AEFB132" w14:textId="77777777" w:rsidR="000E41B3" w:rsidRPr="000E41B3" w:rsidRDefault="000E41B3" w:rsidP="000E41B3"/>
    <w:p w14:paraId="4C0D199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UWTSD’s principle of “people by default, technology by design” reflects the principle emerging from this analysis. Design Thinking has shown that innovation does not begin with a technology and then search for a problem it might solve; it begins by understanding people, questioning </w:t>
      </w:r>
      <w:proofErr w:type="gramStart"/>
      <w:r w:rsidRPr="009A27E4">
        <w:rPr>
          <w:rFonts w:ascii="Arial" w:hAnsi="Arial" w:cs="Arial"/>
          <w:sz w:val="22"/>
          <w:szCs w:val="22"/>
        </w:rPr>
        <w:t>assumptions</w:t>
      </w:r>
      <w:proofErr w:type="gramEnd"/>
      <w:r w:rsidRPr="009A27E4">
        <w:rPr>
          <w:rFonts w:ascii="Arial" w:hAnsi="Arial" w:cs="Arial"/>
          <w:sz w:val="22"/>
          <w:szCs w:val="22"/>
        </w:rPr>
        <w:t xml:space="preserve"> and remaining open to what their experiences reveal. The proposed AI-enabled student support model is therefore not an answer, but a proposition that can only earn its place through prototyping, </w:t>
      </w:r>
      <w:proofErr w:type="gramStart"/>
      <w:r w:rsidRPr="009A27E4">
        <w:rPr>
          <w:rFonts w:ascii="Arial" w:hAnsi="Arial" w:cs="Arial"/>
          <w:sz w:val="22"/>
          <w:szCs w:val="22"/>
        </w:rPr>
        <w:t>testing</w:t>
      </w:r>
      <w:proofErr w:type="gramEnd"/>
      <w:r w:rsidRPr="009A27E4">
        <w:rPr>
          <w:rFonts w:ascii="Arial" w:hAnsi="Arial" w:cs="Arial"/>
          <w:sz w:val="22"/>
          <w:szCs w:val="22"/>
        </w:rPr>
        <w:t xml:space="preserve"> and learning.</w:t>
      </w:r>
    </w:p>
    <w:p w14:paraId="2D9ADA98"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Do not start with AI and look for a problem. Start with people, identify the problem, and then ask whether AI belongs in the solution!</w:t>
      </w:r>
    </w:p>
    <w:p w14:paraId="28C0C9EB" w14:textId="77777777" w:rsidR="00D96F96" w:rsidRPr="009A27E4" w:rsidRDefault="00D96F96" w:rsidP="009A27E4">
      <w:pPr>
        <w:spacing w:line="360" w:lineRule="auto"/>
        <w:rPr>
          <w:rFonts w:ascii="Arial" w:hAnsi="Arial" w:cs="Arial"/>
          <w:b/>
          <w:bCs/>
          <w:sz w:val="22"/>
          <w:szCs w:val="22"/>
        </w:rPr>
      </w:pPr>
    </w:p>
    <w:p w14:paraId="070F07E7" w14:textId="77777777" w:rsidR="00D96F96" w:rsidRDefault="00D96F96" w:rsidP="000260E9">
      <w:pPr>
        <w:pStyle w:val="Heading1"/>
        <w:rPr>
          <w:rFonts w:ascii="Arial" w:hAnsi="Arial" w:cs="Arial"/>
          <w:b/>
          <w:bCs/>
          <w:sz w:val="24"/>
          <w:szCs w:val="24"/>
        </w:rPr>
      </w:pPr>
      <w:bookmarkStart w:id="15" w:name="_Toc237895999"/>
      <w:r w:rsidRPr="0047152A">
        <w:rPr>
          <w:rFonts w:ascii="Arial" w:hAnsi="Arial" w:cs="Arial"/>
          <w:b/>
          <w:bCs/>
          <w:sz w:val="24"/>
          <w:szCs w:val="24"/>
        </w:rPr>
        <w:t>8. References</w:t>
      </w:r>
      <w:bookmarkEnd w:id="15"/>
    </w:p>
    <w:p w14:paraId="2D3E18A1" w14:textId="77777777" w:rsidR="000E41B3" w:rsidRPr="000E41B3" w:rsidRDefault="000E41B3" w:rsidP="000E41B3"/>
    <w:p w14:paraId="66AEDFFD"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 Baldassarre, B., Calabretta, G., Bocken, N. and Jaskiewicz, T. (2023) ‘Bridging sustainable business model innovation and user-centred design: A systematic literature review’, </w:t>
      </w:r>
      <w:r w:rsidRPr="009A27E4">
        <w:rPr>
          <w:rFonts w:ascii="Arial" w:hAnsi="Arial" w:cs="Arial"/>
          <w:i/>
          <w:iCs/>
          <w:sz w:val="22"/>
          <w:szCs w:val="22"/>
        </w:rPr>
        <w:t>European Journal of Innovation Management</w:t>
      </w:r>
      <w:r w:rsidRPr="009A27E4">
        <w:rPr>
          <w:rFonts w:ascii="Arial" w:hAnsi="Arial" w:cs="Arial"/>
          <w:sz w:val="22"/>
          <w:szCs w:val="22"/>
        </w:rPr>
        <w:t xml:space="preserve">, 26(7), pp.160–176. Available at: </w:t>
      </w:r>
      <w:hyperlink r:id="rId10" w:history="1">
        <w:r w:rsidRPr="009A27E4">
          <w:rPr>
            <w:rStyle w:val="Hyperlink"/>
            <w:rFonts w:ascii="Arial" w:hAnsi="Arial" w:cs="Arial"/>
            <w:sz w:val="22"/>
            <w:szCs w:val="22"/>
          </w:rPr>
          <w:t>Design thinking for innovation: context factors, process, and outcomes - ScienceDirect</w:t>
        </w:r>
      </w:hyperlink>
      <w:r w:rsidRPr="009A27E4">
        <w:rPr>
          <w:rFonts w:ascii="Arial" w:hAnsi="Arial" w:cs="Arial"/>
          <w:sz w:val="22"/>
          <w:szCs w:val="22"/>
        </w:rPr>
        <w:t xml:space="preserve"> (Accessed: 20</w:t>
      </w:r>
      <w:r w:rsidRPr="009A27E4">
        <w:rPr>
          <w:rFonts w:ascii="Arial" w:hAnsi="Arial" w:cs="Arial"/>
          <w:sz w:val="22"/>
          <w:szCs w:val="22"/>
          <w:vertAlign w:val="superscript"/>
        </w:rPr>
        <w:t xml:space="preserve"> </w:t>
      </w:r>
      <w:r w:rsidRPr="009A27E4">
        <w:rPr>
          <w:rFonts w:ascii="Arial" w:hAnsi="Arial" w:cs="Arial"/>
          <w:sz w:val="22"/>
          <w:szCs w:val="22"/>
        </w:rPr>
        <w:t>June 2026).</w:t>
      </w:r>
    </w:p>
    <w:p w14:paraId="5DD3DA2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2. CAST (2024) </w:t>
      </w:r>
      <w:r w:rsidRPr="009A27E4">
        <w:rPr>
          <w:rFonts w:ascii="Arial" w:hAnsi="Arial" w:cs="Arial"/>
          <w:i/>
          <w:iCs/>
          <w:sz w:val="22"/>
          <w:szCs w:val="22"/>
        </w:rPr>
        <w:t>Universal Design for Learning Guidelines 3.0</w:t>
      </w:r>
      <w:r w:rsidRPr="009A27E4">
        <w:rPr>
          <w:rFonts w:ascii="Arial" w:hAnsi="Arial" w:cs="Arial"/>
          <w:sz w:val="22"/>
          <w:szCs w:val="22"/>
        </w:rPr>
        <w:t xml:space="preserve">. Available at: </w:t>
      </w:r>
      <w:hyperlink r:id="rId11" w:history="1">
        <w:r w:rsidRPr="009A27E4">
          <w:rPr>
            <w:rStyle w:val="Hyperlink"/>
            <w:rFonts w:ascii="Arial" w:hAnsi="Arial" w:cs="Arial"/>
            <w:sz w:val="22"/>
            <w:szCs w:val="22"/>
          </w:rPr>
          <w:t>CAST Universal Design for Learning Guidelines</w:t>
        </w:r>
      </w:hyperlink>
      <w:r w:rsidRPr="009A27E4">
        <w:rPr>
          <w:rFonts w:ascii="Arial" w:hAnsi="Arial" w:cs="Arial"/>
          <w:sz w:val="22"/>
          <w:szCs w:val="22"/>
        </w:rPr>
        <w:t xml:space="preserve"> (Accessed: 22 July 2026).</w:t>
      </w:r>
    </w:p>
    <w:p w14:paraId="236503E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3. Dwivedi, Y.K. et al. (2023) ‘So what if ChatGPT wrote it? Multidisciplinary perspectives on opportunities, </w:t>
      </w:r>
      <w:proofErr w:type="gramStart"/>
      <w:r w:rsidRPr="009A27E4">
        <w:rPr>
          <w:rFonts w:ascii="Arial" w:hAnsi="Arial" w:cs="Arial"/>
          <w:sz w:val="22"/>
          <w:szCs w:val="22"/>
        </w:rPr>
        <w:t>challenges</w:t>
      </w:r>
      <w:proofErr w:type="gramEnd"/>
      <w:r w:rsidRPr="009A27E4">
        <w:rPr>
          <w:rFonts w:ascii="Arial" w:hAnsi="Arial" w:cs="Arial"/>
          <w:sz w:val="22"/>
          <w:szCs w:val="22"/>
        </w:rPr>
        <w:t xml:space="preserve"> and implications of generative conversational AI</w:t>
      </w:r>
      <w:proofErr w:type="gramStart"/>
      <w:r w:rsidRPr="009A27E4">
        <w:rPr>
          <w:rFonts w:ascii="Arial" w:hAnsi="Arial" w:cs="Arial"/>
          <w:sz w:val="22"/>
          <w:szCs w:val="22"/>
        </w:rPr>
        <w:t>’,</w:t>
      </w:r>
      <w:proofErr w:type="gramEnd"/>
      <w:r w:rsidRPr="009A27E4">
        <w:rPr>
          <w:rFonts w:ascii="Arial" w:hAnsi="Arial" w:cs="Arial"/>
          <w:sz w:val="22"/>
          <w:szCs w:val="22"/>
        </w:rPr>
        <w:t xml:space="preserve"> </w:t>
      </w:r>
      <w:r w:rsidRPr="009A27E4">
        <w:rPr>
          <w:rFonts w:ascii="Arial" w:hAnsi="Arial" w:cs="Arial"/>
          <w:i/>
          <w:iCs/>
          <w:sz w:val="22"/>
          <w:szCs w:val="22"/>
        </w:rPr>
        <w:t>International Journal of Information Management</w:t>
      </w:r>
      <w:r w:rsidRPr="009A27E4">
        <w:rPr>
          <w:rFonts w:ascii="Arial" w:hAnsi="Arial" w:cs="Arial"/>
          <w:sz w:val="22"/>
          <w:szCs w:val="22"/>
        </w:rPr>
        <w:t xml:space="preserve">, 71, 102642. Available at: </w:t>
      </w:r>
      <w:hyperlink r:id="rId12" w:tgtFrame="_blank" w:history="1">
        <w:r w:rsidRPr="009A27E4">
          <w:rPr>
            <w:rStyle w:val="Hyperlink"/>
            <w:rFonts w:ascii="Arial" w:hAnsi="Arial" w:cs="Arial"/>
            <w:sz w:val="22"/>
            <w:szCs w:val="22"/>
          </w:rPr>
          <w:t>Publisher record</w:t>
        </w:r>
      </w:hyperlink>
      <w:r w:rsidRPr="009A27E4">
        <w:rPr>
          <w:rFonts w:ascii="Arial" w:hAnsi="Arial" w:cs="Arial"/>
          <w:sz w:val="22"/>
          <w:szCs w:val="22"/>
        </w:rPr>
        <w:t xml:space="preserve"> (Accessed: 13 July 2026)</w:t>
      </w:r>
    </w:p>
    <w:p w14:paraId="75547B4D" w14:textId="64A26BF9"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4. Evmenova, A.S., Borup, J. and Shin, J.K. (2024) 'Harnessing the Power of Generative AI to Support ALL Learners', </w:t>
      </w:r>
      <w:r w:rsidR="000C1691" w:rsidRPr="009A27E4">
        <w:rPr>
          <w:rFonts w:ascii="Arial" w:hAnsi="Arial" w:cs="Arial"/>
          <w:i/>
          <w:iCs/>
          <w:sz w:val="22"/>
          <w:szCs w:val="22"/>
        </w:rPr>
        <w:t>Tech Trends</w:t>
      </w:r>
      <w:r w:rsidRPr="009A27E4">
        <w:rPr>
          <w:rFonts w:ascii="Arial" w:hAnsi="Arial" w:cs="Arial"/>
          <w:sz w:val="22"/>
          <w:szCs w:val="22"/>
        </w:rPr>
        <w:t xml:space="preserve">, 68, pp. 820–831. Available at: </w:t>
      </w:r>
      <w:hyperlink r:id="rId13" w:history="1">
        <w:r w:rsidRPr="009A27E4">
          <w:rPr>
            <w:rStyle w:val="Hyperlink"/>
            <w:rFonts w:ascii="Arial" w:hAnsi="Arial" w:cs="Arial"/>
            <w:sz w:val="22"/>
            <w:szCs w:val="22"/>
          </w:rPr>
          <w:t>Harnessing the Power of Generative AI to Support ALL Learners | TechTrends | Springer Nature Link</w:t>
        </w:r>
      </w:hyperlink>
      <w:r w:rsidRPr="009A27E4">
        <w:rPr>
          <w:rFonts w:ascii="Arial" w:hAnsi="Arial" w:cs="Arial"/>
          <w:sz w:val="22"/>
          <w:szCs w:val="22"/>
        </w:rPr>
        <w:t xml:space="preserve"> (Accessed: 1 August 2026).</w:t>
      </w:r>
    </w:p>
    <w:p w14:paraId="450B41DE"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5. Jisc (2024/25) </w:t>
      </w:r>
      <w:r w:rsidRPr="009A27E4">
        <w:rPr>
          <w:rFonts w:ascii="Arial" w:hAnsi="Arial" w:cs="Arial"/>
          <w:i/>
          <w:iCs/>
          <w:sz w:val="22"/>
          <w:szCs w:val="22"/>
        </w:rPr>
        <w:t>Student digital experience insights survey 2024/25: UK higher education (HE) survey findings</w:t>
      </w:r>
      <w:r w:rsidRPr="009A27E4">
        <w:rPr>
          <w:rFonts w:ascii="Arial" w:hAnsi="Arial" w:cs="Arial"/>
          <w:sz w:val="22"/>
          <w:szCs w:val="22"/>
        </w:rPr>
        <w:t xml:space="preserve">. Bristol: Jisc. Available at: </w:t>
      </w:r>
      <w:hyperlink r:id="rId14" w:history="1">
        <w:r w:rsidRPr="009A27E4">
          <w:rPr>
            <w:rStyle w:val="Hyperlink"/>
            <w:rFonts w:ascii="Arial" w:hAnsi="Arial" w:cs="Arial"/>
            <w:sz w:val="22"/>
            <w:szCs w:val="22"/>
          </w:rPr>
          <w:t>2024/25 UK higher education students digital experience insights survey findings | Digital Insights</w:t>
        </w:r>
      </w:hyperlink>
      <w:r w:rsidRPr="009A27E4">
        <w:rPr>
          <w:rFonts w:ascii="Arial" w:hAnsi="Arial" w:cs="Arial"/>
          <w:sz w:val="22"/>
          <w:szCs w:val="22"/>
        </w:rPr>
        <w:t xml:space="preserve"> (Accessed: 13 August 2026).</w:t>
      </w:r>
    </w:p>
    <w:p w14:paraId="5BEAB617"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6. Johansson-Sköldberg, et al. (2013) ‘Design Thinking: Past, Present and Possible Futures’, </w:t>
      </w:r>
      <w:proofErr w:type="gramStart"/>
      <w:r w:rsidRPr="009A27E4">
        <w:rPr>
          <w:rFonts w:ascii="Arial" w:hAnsi="Arial" w:cs="Arial"/>
          <w:i/>
          <w:iCs/>
          <w:sz w:val="22"/>
          <w:szCs w:val="22"/>
        </w:rPr>
        <w:t>Creativity</w:t>
      </w:r>
      <w:proofErr w:type="gramEnd"/>
      <w:r w:rsidRPr="009A27E4">
        <w:rPr>
          <w:rFonts w:ascii="Arial" w:hAnsi="Arial" w:cs="Arial"/>
          <w:i/>
          <w:iCs/>
          <w:sz w:val="22"/>
          <w:szCs w:val="22"/>
        </w:rPr>
        <w:t xml:space="preserve"> and Innovation Management</w:t>
      </w:r>
      <w:r w:rsidRPr="009A27E4">
        <w:rPr>
          <w:rFonts w:ascii="Arial" w:hAnsi="Arial" w:cs="Arial"/>
          <w:sz w:val="22"/>
          <w:szCs w:val="22"/>
        </w:rPr>
        <w:t xml:space="preserve">, 22(2), pp. 121–146. Available at: </w:t>
      </w:r>
      <w:hyperlink r:id="rId15" w:history="1">
        <w:r w:rsidRPr="009A27E4">
          <w:rPr>
            <w:rStyle w:val="Hyperlink"/>
            <w:rFonts w:ascii="Arial" w:hAnsi="Arial" w:cs="Arial"/>
            <w:sz w:val="22"/>
            <w:szCs w:val="22"/>
          </w:rPr>
          <w:t>Design Thinking: Past, Present and Possible Futures</w:t>
        </w:r>
      </w:hyperlink>
      <w:r w:rsidRPr="009A27E4">
        <w:rPr>
          <w:rFonts w:ascii="Arial" w:hAnsi="Arial" w:cs="Arial"/>
          <w:sz w:val="22"/>
          <w:szCs w:val="22"/>
        </w:rPr>
        <w:t xml:space="preserve"> (Accessed: 19 July 2026). </w:t>
      </w:r>
    </w:p>
    <w:p w14:paraId="5658856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7. Liedtka, J. (2018) ‘Why Design Thinking Works’, </w:t>
      </w:r>
      <w:r w:rsidRPr="009A27E4">
        <w:rPr>
          <w:rFonts w:ascii="Arial" w:hAnsi="Arial" w:cs="Arial"/>
          <w:i/>
          <w:iCs/>
          <w:sz w:val="22"/>
          <w:szCs w:val="22"/>
        </w:rPr>
        <w:t>Harvard Business Review</w:t>
      </w:r>
      <w:r w:rsidRPr="009A27E4">
        <w:rPr>
          <w:rFonts w:ascii="Arial" w:hAnsi="Arial" w:cs="Arial"/>
          <w:sz w:val="22"/>
          <w:szCs w:val="22"/>
        </w:rPr>
        <w:t xml:space="preserve">, 96(5), pp. 72–79. Available at: </w:t>
      </w:r>
      <w:hyperlink r:id="rId16" w:history="1">
        <w:r w:rsidRPr="009A27E4">
          <w:rPr>
            <w:rStyle w:val="Hyperlink"/>
            <w:rFonts w:ascii="Arial" w:hAnsi="Arial" w:cs="Arial"/>
            <w:sz w:val="22"/>
            <w:szCs w:val="22"/>
          </w:rPr>
          <w:t>Why Design Thinking Works - EBSCO</w:t>
        </w:r>
      </w:hyperlink>
      <w:r w:rsidRPr="009A27E4">
        <w:rPr>
          <w:rFonts w:ascii="Arial" w:hAnsi="Arial" w:cs="Arial"/>
          <w:sz w:val="22"/>
          <w:szCs w:val="22"/>
        </w:rPr>
        <w:t xml:space="preserve"> (Accessed: 13 August 2026)</w:t>
      </w:r>
    </w:p>
    <w:p w14:paraId="1D0242E5" w14:textId="570B0EC8"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8. Micheli, P., et al (2019) ‘Doing Design Thinking: Conceptual Review, Synthesis, and Research Agenda’, </w:t>
      </w:r>
      <w:r w:rsidRPr="009A27E4">
        <w:rPr>
          <w:rFonts w:ascii="Arial" w:hAnsi="Arial" w:cs="Arial"/>
          <w:i/>
          <w:iCs/>
          <w:sz w:val="22"/>
          <w:szCs w:val="22"/>
        </w:rPr>
        <w:t>Journal of Product Innovation Management</w:t>
      </w:r>
      <w:r w:rsidRPr="009A27E4">
        <w:rPr>
          <w:rFonts w:ascii="Arial" w:hAnsi="Arial" w:cs="Arial"/>
          <w:sz w:val="22"/>
          <w:szCs w:val="22"/>
        </w:rPr>
        <w:t xml:space="preserve">, 36(2), pp. 124–148.Available at: </w:t>
      </w:r>
      <w:hyperlink r:id="rId17" w:history="1">
        <w:r w:rsidR="007D03C7" w:rsidRPr="009A27E4">
          <w:rPr>
            <w:rStyle w:val="Hyperlink"/>
            <w:rFonts w:ascii="Arial" w:hAnsi="Arial" w:cs="Arial"/>
            <w:sz w:val="22"/>
            <w:szCs w:val="22"/>
          </w:rPr>
          <w:t>Doing Design Thinking: Conceptual Review, Synthesis, and Research Agenda - Micheli - 2019 - Journal of Product Innovation Management - Wiley Online Library</w:t>
        </w:r>
      </w:hyperlink>
      <w:r w:rsidR="007D03C7" w:rsidRPr="009A27E4">
        <w:rPr>
          <w:rFonts w:ascii="Arial" w:hAnsi="Arial" w:cs="Arial"/>
          <w:sz w:val="22"/>
          <w:szCs w:val="22"/>
        </w:rPr>
        <w:t xml:space="preserve"> </w:t>
      </w:r>
      <w:r w:rsidRPr="009A27E4">
        <w:rPr>
          <w:rFonts w:ascii="Arial" w:hAnsi="Arial" w:cs="Arial"/>
          <w:sz w:val="22"/>
          <w:szCs w:val="22"/>
        </w:rPr>
        <w:t>(Accessed: 22 June 2026)</w:t>
      </w:r>
    </w:p>
    <w:p w14:paraId="7ACCFE7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9. Persson, H. et al. (2015) ‘Universal design, inclusive design, accessible design, design for all: different concepts—one goal? On the concept of accessibility</w:t>
      </w:r>
      <w:proofErr w:type="gramStart"/>
      <w:r w:rsidRPr="009A27E4">
        <w:rPr>
          <w:rFonts w:ascii="Arial" w:hAnsi="Arial" w:cs="Arial"/>
          <w:sz w:val="22"/>
          <w:szCs w:val="22"/>
        </w:rPr>
        <w:t>’,</w:t>
      </w:r>
      <w:proofErr w:type="gramEnd"/>
      <w:r w:rsidRPr="009A27E4">
        <w:rPr>
          <w:rFonts w:ascii="Arial" w:hAnsi="Arial" w:cs="Arial"/>
          <w:sz w:val="22"/>
          <w:szCs w:val="22"/>
        </w:rPr>
        <w:t xml:space="preserve"> </w:t>
      </w:r>
      <w:r w:rsidRPr="009A27E4">
        <w:rPr>
          <w:rFonts w:ascii="Arial" w:hAnsi="Arial" w:cs="Arial"/>
          <w:i/>
          <w:iCs/>
          <w:sz w:val="22"/>
          <w:szCs w:val="22"/>
        </w:rPr>
        <w:t>Universal Access in the Information Society</w:t>
      </w:r>
      <w:r w:rsidRPr="009A27E4">
        <w:rPr>
          <w:rFonts w:ascii="Arial" w:hAnsi="Arial" w:cs="Arial"/>
          <w:sz w:val="22"/>
          <w:szCs w:val="22"/>
        </w:rPr>
        <w:t xml:space="preserve">, 14, pp.505–526. Available at: </w:t>
      </w:r>
      <w:hyperlink r:id="rId18" w:history="1">
        <w:r w:rsidRPr="009A27E4">
          <w:rPr>
            <w:rStyle w:val="Hyperlink"/>
            <w:rFonts w:ascii="Arial" w:hAnsi="Arial" w:cs="Arial"/>
            <w:sz w:val="22"/>
            <w:szCs w:val="22"/>
          </w:rPr>
          <w:t xml:space="preserve">Universal design, inclusive design, accessible design, design for all: different concepts—one goal? On the concept of accessibility—historical, </w:t>
        </w:r>
        <w:proofErr w:type="gramStart"/>
        <w:r w:rsidRPr="009A27E4">
          <w:rPr>
            <w:rStyle w:val="Hyperlink"/>
            <w:rFonts w:ascii="Arial" w:hAnsi="Arial" w:cs="Arial"/>
            <w:sz w:val="22"/>
            <w:szCs w:val="22"/>
          </w:rPr>
          <w:t>methodological</w:t>
        </w:r>
        <w:proofErr w:type="gramEnd"/>
        <w:r w:rsidRPr="009A27E4">
          <w:rPr>
            <w:rStyle w:val="Hyperlink"/>
            <w:rFonts w:ascii="Arial" w:hAnsi="Arial" w:cs="Arial"/>
            <w:sz w:val="22"/>
            <w:szCs w:val="22"/>
          </w:rPr>
          <w:t xml:space="preserve"> and philosophical aspects | Universal Access in the Information Society | Springer Nature Link</w:t>
        </w:r>
      </w:hyperlink>
      <w:r w:rsidRPr="009A27E4">
        <w:rPr>
          <w:rFonts w:ascii="Arial" w:hAnsi="Arial" w:cs="Arial"/>
          <w:sz w:val="22"/>
          <w:szCs w:val="22"/>
        </w:rPr>
        <w:t xml:space="preserve"> (Accessed: 18 July 2026)</w:t>
      </w:r>
    </w:p>
    <w:p w14:paraId="254A182F"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10. UNESCO (2023) </w:t>
      </w:r>
      <w:r w:rsidRPr="009A27E4">
        <w:rPr>
          <w:rFonts w:ascii="Arial" w:hAnsi="Arial" w:cs="Arial"/>
          <w:i/>
          <w:iCs/>
          <w:sz w:val="22"/>
          <w:szCs w:val="22"/>
        </w:rPr>
        <w:t>Guidance for Generative AI in Education and Research</w:t>
      </w:r>
      <w:r w:rsidRPr="009A27E4">
        <w:rPr>
          <w:rFonts w:ascii="Arial" w:hAnsi="Arial" w:cs="Arial"/>
          <w:sz w:val="22"/>
          <w:szCs w:val="22"/>
        </w:rPr>
        <w:t xml:space="preserve">. Available at: </w:t>
      </w:r>
      <w:hyperlink r:id="rId19" w:history="1">
        <w:r w:rsidRPr="009A27E4">
          <w:rPr>
            <w:rStyle w:val="Hyperlink"/>
            <w:rFonts w:ascii="Arial" w:hAnsi="Arial" w:cs="Arial"/>
            <w:sz w:val="22"/>
            <w:szCs w:val="22"/>
          </w:rPr>
          <w:t>Guidance for generative AI in education and research</w:t>
        </w:r>
      </w:hyperlink>
      <w:r w:rsidRPr="009A27E4">
        <w:rPr>
          <w:rFonts w:ascii="Arial" w:hAnsi="Arial" w:cs="Arial"/>
          <w:sz w:val="22"/>
          <w:szCs w:val="22"/>
        </w:rPr>
        <w:t xml:space="preserve"> (Accessed: 30 July 2026)</w:t>
      </w:r>
    </w:p>
    <w:p w14:paraId="268E828A"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11. University of Wales Trinity Saint David (UWTSD) (n.d.a) </w:t>
      </w:r>
      <w:r w:rsidRPr="009A27E4">
        <w:rPr>
          <w:rFonts w:ascii="Arial" w:hAnsi="Arial" w:cs="Arial"/>
          <w:i/>
          <w:iCs/>
          <w:sz w:val="22"/>
          <w:szCs w:val="22"/>
        </w:rPr>
        <w:t>Accessibility Statement</w:t>
      </w:r>
      <w:r w:rsidRPr="009A27E4">
        <w:rPr>
          <w:rFonts w:ascii="Arial" w:hAnsi="Arial" w:cs="Arial"/>
          <w:sz w:val="22"/>
          <w:szCs w:val="22"/>
        </w:rPr>
        <w:t xml:space="preserve">. Available at: </w:t>
      </w:r>
      <w:hyperlink r:id="rId20" w:history="1">
        <w:r w:rsidRPr="009A27E4">
          <w:rPr>
            <w:rStyle w:val="Hyperlink"/>
            <w:rFonts w:ascii="Arial" w:hAnsi="Arial" w:cs="Arial"/>
            <w:sz w:val="22"/>
            <w:szCs w:val="22"/>
          </w:rPr>
          <w:t>Accessibility | University of Wales Trinity Saint David</w:t>
        </w:r>
      </w:hyperlink>
      <w:r w:rsidRPr="009A27E4">
        <w:rPr>
          <w:rFonts w:ascii="Arial" w:hAnsi="Arial" w:cs="Arial"/>
          <w:sz w:val="22"/>
          <w:szCs w:val="22"/>
        </w:rPr>
        <w:t xml:space="preserve"> (Accessed: 14 July 2026).</w:t>
      </w:r>
    </w:p>
    <w:p w14:paraId="4432BC34"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12. University of Wales Trinity Saint David (UWTSD) (2026) ‘AI simulations helping UWTSD students build real-world professional </w:t>
      </w:r>
      <w:proofErr w:type="gramStart"/>
      <w:r w:rsidRPr="009A27E4">
        <w:rPr>
          <w:rFonts w:ascii="Arial" w:hAnsi="Arial" w:cs="Arial"/>
          <w:sz w:val="22"/>
          <w:szCs w:val="22"/>
        </w:rPr>
        <w:t xml:space="preserve">skills‘.  </w:t>
      </w:r>
      <w:proofErr w:type="gramEnd"/>
      <w:r w:rsidRPr="009A27E4">
        <w:rPr>
          <w:rFonts w:ascii="Arial" w:hAnsi="Arial" w:cs="Arial"/>
          <w:sz w:val="22"/>
          <w:szCs w:val="22"/>
        </w:rPr>
        <w:t xml:space="preserve">Available at: </w:t>
      </w:r>
      <w:hyperlink r:id="rId21" w:history="1">
        <w:r w:rsidRPr="009A27E4">
          <w:rPr>
            <w:rStyle w:val="Hyperlink"/>
            <w:rFonts w:ascii="Arial" w:hAnsi="Arial" w:cs="Arial"/>
            <w:sz w:val="22"/>
            <w:szCs w:val="22"/>
          </w:rPr>
          <w:t>AI simulations helping UWTSD students build real-world professional skills | University of Wales Trinity Saint David</w:t>
        </w:r>
      </w:hyperlink>
      <w:r w:rsidRPr="009A27E4">
        <w:rPr>
          <w:rFonts w:ascii="Arial" w:hAnsi="Arial" w:cs="Arial"/>
          <w:sz w:val="22"/>
          <w:szCs w:val="22"/>
        </w:rPr>
        <w:t xml:space="preserve"> (Accessed: 14 July 2026).</w:t>
      </w:r>
    </w:p>
    <w:p w14:paraId="696AE916"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lastRenderedPageBreak/>
        <w:t xml:space="preserve">13. University of Wales Trinity Saint David (UWTSD) (2023/24) </w:t>
      </w:r>
      <w:r w:rsidRPr="009A27E4">
        <w:rPr>
          <w:rFonts w:ascii="Arial" w:hAnsi="Arial" w:cs="Arial"/>
          <w:i/>
          <w:iCs/>
          <w:sz w:val="22"/>
          <w:szCs w:val="22"/>
        </w:rPr>
        <w:t>Digital Strategy 2021–23 and 2024–26</w:t>
      </w:r>
      <w:r w:rsidRPr="009A27E4">
        <w:rPr>
          <w:rFonts w:ascii="Arial" w:hAnsi="Arial" w:cs="Arial"/>
          <w:sz w:val="22"/>
          <w:szCs w:val="22"/>
        </w:rPr>
        <w:t xml:space="preserve">. Available at: </w:t>
      </w:r>
      <w:hyperlink r:id="rId22" w:history="1">
        <w:r w:rsidRPr="009A27E4">
          <w:rPr>
            <w:rStyle w:val="Hyperlink"/>
            <w:rFonts w:ascii="Arial" w:hAnsi="Arial" w:cs="Arial"/>
            <w:sz w:val="22"/>
            <w:szCs w:val="22"/>
          </w:rPr>
          <w:t>Digital Strategy | University of Wales Trinity Saint David</w:t>
        </w:r>
      </w:hyperlink>
      <w:r w:rsidRPr="009A27E4">
        <w:rPr>
          <w:rFonts w:ascii="Arial" w:hAnsi="Arial" w:cs="Arial"/>
          <w:sz w:val="22"/>
          <w:szCs w:val="22"/>
        </w:rPr>
        <w:t xml:space="preserve"> (Accessed: 14 July 2026).</w:t>
      </w:r>
    </w:p>
    <w:p w14:paraId="457CD4CC"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14. University of Wales Trinity Saint David (UWTSD) (n.d.b) </w:t>
      </w:r>
      <w:r w:rsidRPr="009A27E4">
        <w:rPr>
          <w:rFonts w:ascii="Arial" w:hAnsi="Arial" w:cs="Arial"/>
          <w:i/>
          <w:iCs/>
          <w:sz w:val="22"/>
          <w:szCs w:val="22"/>
        </w:rPr>
        <w:t>Disability Support</w:t>
      </w:r>
      <w:r w:rsidRPr="009A27E4">
        <w:rPr>
          <w:rFonts w:ascii="Arial" w:hAnsi="Arial" w:cs="Arial"/>
          <w:sz w:val="22"/>
          <w:szCs w:val="22"/>
        </w:rPr>
        <w:t xml:space="preserve">. Available at: </w:t>
      </w:r>
      <w:hyperlink r:id="rId23" w:history="1">
        <w:r w:rsidRPr="009A27E4">
          <w:rPr>
            <w:rStyle w:val="Hyperlink"/>
            <w:rFonts w:ascii="Arial" w:hAnsi="Arial" w:cs="Arial"/>
            <w:sz w:val="22"/>
            <w:szCs w:val="22"/>
          </w:rPr>
          <w:t>Disability Support | University of Wales Trinity Saint David</w:t>
        </w:r>
      </w:hyperlink>
      <w:r w:rsidRPr="009A27E4">
        <w:rPr>
          <w:rFonts w:ascii="Arial" w:hAnsi="Arial" w:cs="Arial"/>
          <w:sz w:val="22"/>
          <w:szCs w:val="22"/>
        </w:rPr>
        <w:t xml:space="preserve"> (Accessed: 13 July 2026).</w:t>
      </w:r>
    </w:p>
    <w:p w14:paraId="60FC6DD9"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15. University of Wales Trinity Saint David (UWTSD) (n.d.c) </w:t>
      </w:r>
      <w:r w:rsidRPr="009A27E4">
        <w:rPr>
          <w:rFonts w:ascii="Arial" w:hAnsi="Arial" w:cs="Arial"/>
          <w:i/>
          <w:iCs/>
          <w:sz w:val="22"/>
          <w:szCs w:val="22"/>
        </w:rPr>
        <w:t>Student Charter</w:t>
      </w:r>
      <w:r w:rsidRPr="009A27E4">
        <w:rPr>
          <w:rFonts w:ascii="Arial" w:hAnsi="Arial" w:cs="Arial"/>
          <w:sz w:val="22"/>
          <w:szCs w:val="22"/>
        </w:rPr>
        <w:t xml:space="preserve">. Available at: </w:t>
      </w:r>
      <w:hyperlink r:id="rId24" w:history="1">
        <w:r w:rsidRPr="009A27E4">
          <w:rPr>
            <w:rStyle w:val="Hyperlink"/>
            <w:rFonts w:ascii="Arial" w:hAnsi="Arial" w:cs="Arial"/>
            <w:sz w:val="22"/>
            <w:szCs w:val="22"/>
          </w:rPr>
          <w:t>Student Charter | University of Wales Trinity Saint David</w:t>
        </w:r>
      </w:hyperlink>
      <w:r w:rsidRPr="009A27E4">
        <w:rPr>
          <w:rFonts w:ascii="Arial" w:hAnsi="Arial" w:cs="Arial"/>
          <w:sz w:val="22"/>
          <w:szCs w:val="22"/>
        </w:rPr>
        <w:t xml:space="preserve"> (Accessed: 15 July 2026).</w:t>
      </w:r>
    </w:p>
    <w:p w14:paraId="4F0F1292"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16. University of Wales Trinity Saint David (UWTSD) (2025) ‘What concrete actions are universities taking to integrate advances in digitisation and artificial intelligence?’ Available at: </w:t>
      </w:r>
      <w:hyperlink r:id="rId25" w:history="1">
        <w:r w:rsidRPr="009A27E4">
          <w:rPr>
            <w:rStyle w:val="Hyperlink"/>
            <w:rFonts w:ascii="Arial" w:hAnsi="Arial" w:cs="Arial"/>
            <w:sz w:val="22"/>
            <w:szCs w:val="22"/>
          </w:rPr>
          <w:t>“What concrete actions are universities taking to integrate advances in digitisation and artificial intelligence?” | University of Wales Trinity Saint David</w:t>
        </w:r>
      </w:hyperlink>
      <w:r w:rsidRPr="009A27E4">
        <w:rPr>
          <w:rFonts w:ascii="Arial" w:hAnsi="Arial" w:cs="Arial"/>
          <w:sz w:val="22"/>
          <w:szCs w:val="22"/>
        </w:rPr>
        <w:t xml:space="preserve"> (Accessed: 16 July 2026).</w:t>
      </w:r>
    </w:p>
    <w:p w14:paraId="104844B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17. Vial, G. (2019) ‘Understanding digital transformation: A review and a research agenda’, </w:t>
      </w:r>
      <w:r w:rsidRPr="009A27E4">
        <w:rPr>
          <w:rFonts w:ascii="Arial" w:hAnsi="Arial" w:cs="Arial"/>
          <w:i/>
          <w:iCs/>
          <w:sz w:val="22"/>
          <w:szCs w:val="22"/>
        </w:rPr>
        <w:t>The Journal of Strategic Information Systems</w:t>
      </w:r>
      <w:r w:rsidRPr="009A27E4">
        <w:rPr>
          <w:rFonts w:ascii="Arial" w:hAnsi="Arial" w:cs="Arial"/>
          <w:sz w:val="22"/>
          <w:szCs w:val="22"/>
        </w:rPr>
        <w:t xml:space="preserve">, 28(2), pp.118–144. Available at: </w:t>
      </w:r>
      <w:hyperlink r:id="rId26" w:history="1">
        <w:r w:rsidRPr="009A27E4">
          <w:rPr>
            <w:rStyle w:val="Hyperlink"/>
            <w:rFonts w:ascii="Arial" w:hAnsi="Arial" w:cs="Arial"/>
            <w:sz w:val="22"/>
            <w:szCs w:val="22"/>
          </w:rPr>
          <w:t>Understanding digital transformation: A review and a research agenda - ScienceDirect</w:t>
        </w:r>
      </w:hyperlink>
      <w:r w:rsidRPr="009A27E4">
        <w:rPr>
          <w:rFonts w:ascii="Arial" w:hAnsi="Arial" w:cs="Arial"/>
          <w:sz w:val="22"/>
          <w:szCs w:val="22"/>
        </w:rPr>
        <w:t xml:space="preserve"> (Accessed: 7 August 2026).</w:t>
      </w:r>
    </w:p>
    <w:p w14:paraId="3F817DAB"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18. Zawacki-Richter, et al. (2019) ‘Systematic review of research on artificial intelligence applications in higher education – where are the educators?’, </w:t>
      </w:r>
      <w:r w:rsidRPr="009A27E4">
        <w:rPr>
          <w:rFonts w:ascii="Arial" w:hAnsi="Arial" w:cs="Arial"/>
          <w:i/>
          <w:iCs/>
          <w:sz w:val="22"/>
          <w:szCs w:val="22"/>
        </w:rPr>
        <w:t>International Journal of Educational Technology in Higher Education</w:t>
      </w:r>
      <w:r w:rsidRPr="009A27E4">
        <w:rPr>
          <w:rFonts w:ascii="Arial" w:hAnsi="Arial" w:cs="Arial"/>
          <w:sz w:val="22"/>
          <w:szCs w:val="22"/>
        </w:rPr>
        <w:t xml:space="preserve">, 16, 39. Available at: </w:t>
      </w:r>
      <w:hyperlink r:id="rId27" w:history="1">
        <w:r w:rsidRPr="009A27E4">
          <w:rPr>
            <w:rStyle w:val="Hyperlink"/>
            <w:rFonts w:ascii="Arial" w:hAnsi="Arial" w:cs="Arial"/>
            <w:sz w:val="22"/>
            <w:szCs w:val="22"/>
          </w:rPr>
          <w:t>Systematic review of research on artificial intelligence applications in higher education – where are the educators? | International Journal of Educational Technology in Higher Education | Springer Nature Link</w:t>
        </w:r>
      </w:hyperlink>
      <w:r w:rsidRPr="009A27E4">
        <w:rPr>
          <w:rFonts w:ascii="Arial" w:hAnsi="Arial" w:cs="Arial"/>
          <w:sz w:val="22"/>
          <w:szCs w:val="22"/>
        </w:rPr>
        <w:t xml:space="preserve"> (Accessed: 6 August 2026).</w:t>
      </w:r>
    </w:p>
    <w:p w14:paraId="65BEEAC0" w14:textId="77777777" w:rsidR="00D96F96" w:rsidRPr="009A27E4" w:rsidRDefault="00D96F96" w:rsidP="009A27E4">
      <w:pPr>
        <w:spacing w:line="360" w:lineRule="auto"/>
        <w:rPr>
          <w:rFonts w:ascii="Arial" w:hAnsi="Arial" w:cs="Arial"/>
          <w:sz w:val="22"/>
          <w:szCs w:val="22"/>
        </w:rPr>
      </w:pPr>
      <w:r w:rsidRPr="009A27E4">
        <w:rPr>
          <w:rFonts w:ascii="Arial" w:hAnsi="Arial" w:cs="Arial"/>
          <w:sz w:val="22"/>
          <w:szCs w:val="22"/>
        </w:rPr>
        <w:t xml:space="preserve">19. Zhao, S. (2025) ‘The use of generative AI by students with disabilities in higher education’. Available at: </w:t>
      </w:r>
      <w:hyperlink r:id="rId28" w:history="1">
        <w:r w:rsidRPr="009A27E4">
          <w:rPr>
            <w:rStyle w:val="Hyperlink"/>
            <w:rFonts w:ascii="Arial" w:hAnsi="Arial" w:cs="Arial"/>
            <w:sz w:val="22"/>
            <w:szCs w:val="22"/>
          </w:rPr>
          <w:t>The use of generative AI by students with disabilities in higher education</w:t>
        </w:r>
      </w:hyperlink>
      <w:r w:rsidRPr="009A27E4">
        <w:rPr>
          <w:rFonts w:ascii="Arial" w:hAnsi="Arial" w:cs="Arial"/>
          <w:sz w:val="22"/>
          <w:szCs w:val="22"/>
        </w:rPr>
        <w:t xml:space="preserve"> (Accessed: 6 July 2026).</w:t>
      </w:r>
    </w:p>
    <w:p w14:paraId="6840BB96" w14:textId="77777777" w:rsidR="00D96F96" w:rsidRPr="00D96F96" w:rsidRDefault="00D96F96" w:rsidP="00D96F96">
      <w:r w:rsidRPr="00D96F96">
        <w:t xml:space="preserve">  </w:t>
      </w:r>
    </w:p>
    <w:p w14:paraId="315FE9AB" w14:textId="77777777" w:rsidR="00030995" w:rsidRDefault="00030995"/>
    <w:sectPr w:rsidR="00030995" w:rsidSect="00030995">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0E710" w14:textId="77777777" w:rsidR="004671F2" w:rsidRDefault="004671F2" w:rsidP="0047152A">
      <w:pPr>
        <w:spacing w:after="0" w:line="240" w:lineRule="auto"/>
      </w:pPr>
      <w:r>
        <w:separator/>
      </w:r>
    </w:p>
  </w:endnote>
  <w:endnote w:type="continuationSeparator" w:id="0">
    <w:p w14:paraId="63AE79BF" w14:textId="77777777" w:rsidR="004671F2" w:rsidRDefault="004671F2" w:rsidP="00471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A9DA4" w14:textId="77777777" w:rsidR="0047152A" w:rsidRDefault="004715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3D9D2" w14:textId="77777777" w:rsidR="0047152A" w:rsidRDefault="004715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CEBAF" w14:textId="77777777" w:rsidR="0047152A" w:rsidRDefault="00471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2EB99" w14:textId="77777777" w:rsidR="004671F2" w:rsidRDefault="004671F2" w:rsidP="0047152A">
      <w:pPr>
        <w:spacing w:after="0" w:line="240" w:lineRule="auto"/>
      </w:pPr>
      <w:r>
        <w:separator/>
      </w:r>
    </w:p>
  </w:footnote>
  <w:footnote w:type="continuationSeparator" w:id="0">
    <w:p w14:paraId="15D0C7AB" w14:textId="77777777" w:rsidR="004671F2" w:rsidRDefault="004671F2" w:rsidP="004715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5B45F" w14:textId="77777777" w:rsidR="0047152A" w:rsidRDefault="004715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7995942"/>
      <w:docPartObj>
        <w:docPartGallery w:val="Page Numbers (Top of Page)"/>
        <w:docPartUnique/>
      </w:docPartObj>
    </w:sdtPr>
    <w:sdtContent>
      <w:p w14:paraId="129A93AF" w14:textId="65A9E512" w:rsidR="0047152A" w:rsidRDefault="0047152A">
        <w:pPr>
          <w:pStyle w:val="Header"/>
          <w:jc w:val="center"/>
        </w:pPr>
        <w:r>
          <w:fldChar w:fldCharType="begin"/>
        </w:r>
        <w:r>
          <w:instrText>PAGE   \* MERGEFORMAT</w:instrText>
        </w:r>
        <w:r>
          <w:fldChar w:fldCharType="separate"/>
        </w:r>
        <w:r>
          <w:t>2</w:t>
        </w:r>
        <w:r>
          <w:fldChar w:fldCharType="end"/>
        </w:r>
      </w:p>
    </w:sdtContent>
  </w:sdt>
  <w:p w14:paraId="3CCC443B" w14:textId="77777777" w:rsidR="0047152A" w:rsidRDefault="004715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E1608" w14:textId="77777777" w:rsidR="0047152A" w:rsidRDefault="004715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E164A"/>
    <w:multiLevelType w:val="multilevel"/>
    <w:tmpl w:val="9B3A81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5520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995"/>
    <w:rsid w:val="000260E9"/>
    <w:rsid w:val="00030995"/>
    <w:rsid w:val="00045BBC"/>
    <w:rsid w:val="00054B58"/>
    <w:rsid w:val="000822C1"/>
    <w:rsid w:val="00085D26"/>
    <w:rsid w:val="000C1691"/>
    <w:rsid w:val="000E41B3"/>
    <w:rsid w:val="00132A03"/>
    <w:rsid w:val="001F02A0"/>
    <w:rsid w:val="0026376E"/>
    <w:rsid w:val="00276699"/>
    <w:rsid w:val="002D3404"/>
    <w:rsid w:val="00324D01"/>
    <w:rsid w:val="00364679"/>
    <w:rsid w:val="003719D7"/>
    <w:rsid w:val="0043632C"/>
    <w:rsid w:val="00441C40"/>
    <w:rsid w:val="004671F2"/>
    <w:rsid w:val="0047152A"/>
    <w:rsid w:val="004A059A"/>
    <w:rsid w:val="004C1011"/>
    <w:rsid w:val="0056283F"/>
    <w:rsid w:val="006057D2"/>
    <w:rsid w:val="007D03C7"/>
    <w:rsid w:val="007E46C5"/>
    <w:rsid w:val="008873C2"/>
    <w:rsid w:val="008A1BA9"/>
    <w:rsid w:val="008B059D"/>
    <w:rsid w:val="009148FA"/>
    <w:rsid w:val="009805AA"/>
    <w:rsid w:val="0098272A"/>
    <w:rsid w:val="009A1583"/>
    <w:rsid w:val="009A27E4"/>
    <w:rsid w:val="009E18CF"/>
    <w:rsid w:val="009F541F"/>
    <w:rsid w:val="00AC0468"/>
    <w:rsid w:val="00BC3CBB"/>
    <w:rsid w:val="00C53411"/>
    <w:rsid w:val="00D0699D"/>
    <w:rsid w:val="00D30E25"/>
    <w:rsid w:val="00D75A25"/>
    <w:rsid w:val="00D81DCF"/>
    <w:rsid w:val="00D96F96"/>
    <w:rsid w:val="00DC57B2"/>
    <w:rsid w:val="00E161F1"/>
    <w:rsid w:val="00E276EA"/>
    <w:rsid w:val="00E456FA"/>
    <w:rsid w:val="00E56A8D"/>
    <w:rsid w:val="00E649A8"/>
    <w:rsid w:val="00EB0735"/>
    <w:rsid w:val="00F04E9E"/>
    <w:rsid w:val="00F12F6D"/>
    <w:rsid w:val="00F301BA"/>
    <w:rsid w:val="00F52E53"/>
    <w:rsid w:val="00FE6C47"/>
    <w:rsid w:val="00FE7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CFFF1"/>
  <w15:chartTrackingRefBased/>
  <w15:docId w15:val="{95649110-BE6C-4A3F-BB14-8A621CD5D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9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09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9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9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9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9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9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9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9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995"/>
    <w:rPr>
      <w:rFonts w:eastAsiaTheme="majorEastAsia" w:cstheme="majorBidi"/>
      <w:color w:val="272727" w:themeColor="text1" w:themeTint="D8"/>
    </w:rPr>
  </w:style>
  <w:style w:type="paragraph" w:styleId="Title">
    <w:name w:val="Title"/>
    <w:basedOn w:val="Normal"/>
    <w:next w:val="Normal"/>
    <w:link w:val="TitleChar"/>
    <w:uiPriority w:val="10"/>
    <w:qFormat/>
    <w:rsid w:val="000309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9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995"/>
    <w:pPr>
      <w:spacing w:before="160"/>
      <w:jc w:val="center"/>
    </w:pPr>
    <w:rPr>
      <w:i/>
      <w:iCs/>
      <w:color w:val="404040" w:themeColor="text1" w:themeTint="BF"/>
    </w:rPr>
  </w:style>
  <w:style w:type="character" w:customStyle="1" w:styleId="QuoteChar">
    <w:name w:val="Quote Char"/>
    <w:basedOn w:val="DefaultParagraphFont"/>
    <w:link w:val="Quote"/>
    <w:uiPriority w:val="29"/>
    <w:rsid w:val="00030995"/>
    <w:rPr>
      <w:i/>
      <w:iCs/>
      <w:color w:val="404040" w:themeColor="text1" w:themeTint="BF"/>
    </w:rPr>
  </w:style>
  <w:style w:type="paragraph" w:styleId="ListParagraph">
    <w:name w:val="List Paragraph"/>
    <w:basedOn w:val="Normal"/>
    <w:uiPriority w:val="34"/>
    <w:qFormat/>
    <w:rsid w:val="00030995"/>
    <w:pPr>
      <w:ind w:left="720"/>
      <w:contextualSpacing/>
    </w:pPr>
  </w:style>
  <w:style w:type="character" w:styleId="IntenseEmphasis">
    <w:name w:val="Intense Emphasis"/>
    <w:basedOn w:val="DefaultParagraphFont"/>
    <w:uiPriority w:val="21"/>
    <w:qFormat/>
    <w:rsid w:val="00030995"/>
    <w:rPr>
      <w:i/>
      <w:iCs/>
      <w:color w:val="0F4761" w:themeColor="accent1" w:themeShade="BF"/>
    </w:rPr>
  </w:style>
  <w:style w:type="paragraph" w:styleId="IntenseQuote">
    <w:name w:val="Intense Quote"/>
    <w:basedOn w:val="Normal"/>
    <w:next w:val="Normal"/>
    <w:link w:val="IntenseQuoteChar"/>
    <w:uiPriority w:val="30"/>
    <w:qFormat/>
    <w:rsid w:val="000309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995"/>
    <w:rPr>
      <w:i/>
      <w:iCs/>
      <w:color w:val="0F4761" w:themeColor="accent1" w:themeShade="BF"/>
    </w:rPr>
  </w:style>
  <w:style w:type="character" w:styleId="IntenseReference">
    <w:name w:val="Intense Reference"/>
    <w:basedOn w:val="DefaultParagraphFont"/>
    <w:uiPriority w:val="32"/>
    <w:qFormat/>
    <w:rsid w:val="00030995"/>
    <w:rPr>
      <w:b/>
      <w:bCs/>
      <w:smallCaps/>
      <w:color w:val="0F4761" w:themeColor="accent1" w:themeShade="BF"/>
      <w:spacing w:val="5"/>
    </w:rPr>
  </w:style>
  <w:style w:type="paragraph" w:styleId="NoSpacing">
    <w:name w:val="No Spacing"/>
    <w:link w:val="NoSpacingChar"/>
    <w:uiPriority w:val="1"/>
    <w:qFormat/>
    <w:rsid w:val="0003099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30995"/>
    <w:rPr>
      <w:rFonts w:eastAsiaTheme="minorEastAsia"/>
      <w:kern w:val="0"/>
      <w:sz w:val="22"/>
      <w:szCs w:val="22"/>
      <w:lang w:eastAsia="en-GB"/>
      <w14:ligatures w14:val="none"/>
    </w:rPr>
  </w:style>
  <w:style w:type="character" w:styleId="BookTitle">
    <w:name w:val="Book Title"/>
    <w:basedOn w:val="DefaultParagraphFont"/>
    <w:uiPriority w:val="33"/>
    <w:qFormat/>
    <w:rsid w:val="00F04E9E"/>
    <w:rPr>
      <w:b/>
      <w:bCs/>
      <w:i/>
      <w:iCs/>
      <w:spacing w:val="5"/>
    </w:rPr>
  </w:style>
  <w:style w:type="paragraph" w:styleId="Caption">
    <w:name w:val="caption"/>
    <w:basedOn w:val="Normal"/>
    <w:next w:val="Normal"/>
    <w:uiPriority w:val="35"/>
    <w:semiHidden/>
    <w:unhideWhenUsed/>
    <w:qFormat/>
    <w:rsid w:val="00F04E9E"/>
    <w:pPr>
      <w:spacing w:after="200" w:line="240" w:lineRule="auto"/>
    </w:pPr>
    <w:rPr>
      <w:i/>
      <w:iCs/>
      <w:color w:val="0E2841" w:themeColor="text2"/>
      <w:sz w:val="18"/>
      <w:szCs w:val="18"/>
    </w:rPr>
  </w:style>
  <w:style w:type="character" w:styleId="Emphasis">
    <w:name w:val="Emphasis"/>
    <w:basedOn w:val="DefaultParagraphFont"/>
    <w:uiPriority w:val="20"/>
    <w:qFormat/>
    <w:rsid w:val="00F04E9E"/>
    <w:rPr>
      <w:i/>
      <w:iCs/>
    </w:rPr>
  </w:style>
  <w:style w:type="character" w:styleId="Strong">
    <w:name w:val="Strong"/>
    <w:basedOn w:val="DefaultParagraphFont"/>
    <w:uiPriority w:val="22"/>
    <w:qFormat/>
    <w:rsid w:val="00F04E9E"/>
    <w:rPr>
      <w:b/>
      <w:bCs/>
    </w:rPr>
  </w:style>
  <w:style w:type="character" w:styleId="SubtleEmphasis">
    <w:name w:val="Subtle Emphasis"/>
    <w:basedOn w:val="DefaultParagraphFont"/>
    <w:uiPriority w:val="19"/>
    <w:qFormat/>
    <w:rsid w:val="00F04E9E"/>
    <w:rPr>
      <w:i/>
      <w:iCs/>
      <w:color w:val="404040" w:themeColor="text1" w:themeTint="BF"/>
    </w:rPr>
  </w:style>
  <w:style w:type="character" w:styleId="SubtleReference">
    <w:name w:val="Subtle Reference"/>
    <w:basedOn w:val="DefaultParagraphFont"/>
    <w:uiPriority w:val="31"/>
    <w:qFormat/>
    <w:rsid w:val="00F04E9E"/>
    <w:rPr>
      <w:smallCaps/>
      <w:color w:val="5A5A5A" w:themeColor="text1" w:themeTint="A5"/>
    </w:rPr>
  </w:style>
  <w:style w:type="paragraph" w:styleId="TOCHeading">
    <w:name w:val="TOC Heading"/>
    <w:basedOn w:val="Heading1"/>
    <w:next w:val="Normal"/>
    <w:uiPriority w:val="39"/>
    <w:unhideWhenUsed/>
    <w:qFormat/>
    <w:rsid w:val="00F04E9E"/>
    <w:pPr>
      <w:spacing w:before="240" w:after="0"/>
      <w:outlineLvl w:val="9"/>
    </w:pPr>
    <w:rPr>
      <w:sz w:val="32"/>
      <w:szCs w:val="32"/>
    </w:rPr>
  </w:style>
  <w:style w:type="character" w:styleId="Hyperlink">
    <w:name w:val="Hyperlink"/>
    <w:basedOn w:val="DefaultParagraphFont"/>
    <w:uiPriority w:val="99"/>
    <w:unhideWhenUsed/>
    <w:rsid w:val="00D96F96"/>
    <w:rPr>
      <w:color w:val="467886" w:themeColor="hyperlink"/>
      <w:u w:val="single"/>
    </w:rPr>
  </w:style>
  <w:style w:type="character" w:styleId="UnresolvedMention">
    <w:name w:val="Unresolved Mention"/>
    <w:basedOn w:val="DefaultParagraphFont"/>
    <w:uiPriority w:val="99"/>
    <w:semiHidden/>
    <w:unhideWhenUsed/>
    <w:rsid w:val="00D96F96"/>
    <w:rPr>
      <w:color w:val="605E5C"/>
      <w:shd w:val="clear" w:color="auto" w:fill="E1DFDD"/>
    </w:rPr>
  </w:style>
  <w:style w:type="character" w:styleId="FollowedHyperlink">
    <w:name w:val="FollowedHyperlink"/>
    <w:basedOn w:val="DefaultParagraphFont"/>
    <w:uiPriority w:val="99"/>
    <w:semiHidden/>
    <w:unhideWhenUsed/>
    <w:rsid w:val="00F12F6D"/>
    <w:rPr>
      <w:color w:val="96607D" w:themeColor="followedHyperlink"/>
      <w:u w:val="single"/>
    </w:rPr>
  </w:style>
  <w:style w:type="paragraph" w:styleId="TOC1">
    <w:name w:val="toc 1"/>
    <w:basedOn w:val="Normal"/>
    <w:next w:val="Normal"/>
    <w:autoRedefine/>
    <w:uiPriority w:val="39"/>
    <w:unhideWhenUsed/>
    <w:rsid w:val="00276699"/>
    <w:pPr>
      <w:spacing w:after="100"/>
    </w:pPr>
  </w:style>
  <w:style w:type="paragraph" w:styleId="Header">
    <w:name w:val="header"/>
    <w:basedOn w:val="Normal"/>
    <w:link w:val="HeaderChar"/>
    <w:uiPriority w:val="99"/>
    <w:unhideWhenUsed/>
    <w:rsid w:val="00471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52A"/>
  </w:style>
  <w:style w:type="paragraph" w:styleId="Footer">
    <w:name w:val="footer"/>
    <w:basedOn w:val="Normal"/>
    <w:link w:val="FooterChar"/>
    <w:uiPriority w:val="99"/>
    <w:unhideWhenUsed/>
    <w:rsid w:val="00471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1528-024-00966-x" TargetMode="External"/><Relationship Id="rId18" Type="http://schemas.openxmlformats.org/officeDocument/2006/relationships/hyperlink" Target="https://link.springer.com/article/10.1007/s10209-014-0358-z" TargetMode="External"/><Relationship Id="rId26" Type="http://schemas.openxmlformats.org/officeDocument/2006/relationships/hyperlink" Target="https://www.sciencedirect.com/science/article/pii/S0963868717302196?via%3Dihub" TargetMode="External"/><Relationship Id="rId21" Type="http://schemas.openxmlformats.org/officeDocument/2006/relationships/hyperlink" Target="https://www.uwtsd.ac.uk/news/ai-simulations-helping-uwtsd-students-build-real-world-professional-skills" TargetMode="External"/><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doi.org/10.1016/j.ijinfomgt.2023.102642?utm_source=chatgpt.com" TargetMode="External"/><Relationship Id="rId17" Type="http://schemas.openxmlformats.org/officeDocument/2006/relationships/hyperlink" Target="https://onlinelibrary.wiley.com/doi/abs/10.1111/jpim.12466" TargetMode="External"/><Relationship Id="rId25" Type="http://schemas.openxmlformats.org/officeDocument/2006/relationships/hyperlink" Target="https://www.uwtsd.ac.uk/news/what-concrete-actions-are-universities-taking-integrate-advances-digitisation-and-artificial"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research-ebsco-com.uwtsd.idm.oclc.org/c/onvpsy/viewer/html/5kja3ceu4r" TargetMode="External"/><Relationship Id="rId20" Type="http://schemas.openxmlformats.org/officeDocument/2006/relationships/hyperlink" Target="https://www.uwtsd.ac.uk/accessibility"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dlguidelines.cast.org/" TargetMode="External"/><Relationship Id="rId24" Type="http://schemas.openxmlformats.org/officeDocument/2006/relationships/hyperlink" Target="https://www.uwtsd.ac.uk/student-charter" TargetMode="External"/><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onlinelibrary.wiley.com/doi/epdf/10.1111/caim.12023?saml_referrer" TargetMode="External"/><Relationship Id="rId23" Type="http://schemas.openxmlformats.org/officeDocument/2006/relationships/hyperlink" Target="https://www.uwtsd.ac.uk/study/experience-facilities/student-support-wellbeing/disability-support" TargetMode="External"/><Relationship Id="rId28" Type="http://schemas.openxmlformats.org/officeDocument/2006/relationships/hyperlink" Target="https://pdf.sciencedirectassets.com/272103/1-s2.0-S1096751625X00026/1-s2.0-S1096751625000235/main.pdf?X-Amz-Security-Token=IQoJb3JpZ2luX2VjECEaCXVzLWVhc3QtMSJHMEUCIAgSB1OvFnYFqB2fY2POkWwKXrolgzW1BGUrLaCeqn1WAiEAz32H8I%2FdsRoDWPykzYQ%2BUXGai9jD6JDzBxrIuw6sGcAqvAUI6f%2F%2F%2F%2F%2F%2F%2F%2F%2F%2FARAFGgwwNTkwMDM1NDY4NjUiDD4V6vCvFMWMUsPZ9yqQBWm%2F1OmluZ%2Bxdi3Zh02X%2Fs9JiqbmKaA3jQlvcmQ5uiIe8LT0emWUfgl2kZ%2Fjeb9rwysaE3HYp%2FGzBg7En2oVJRk5NWlP9cshxFoyxvlH0MrEUuaMNukphKlKTc43j3LgdMa8c0AxSWb8FqoL5KJAbkGeVtRcLC4TM3i5UkKUYiEUjSCDK3EFhWJUIBheIUqDm29GmHYPrdqOm4DfpTYXaOpQ9Vq2sio1xwskVy%2B8ctRL1ib4mP6ppPlLI4j1gEmkslHV0fEdTV58YR464TZFzpFZCUFf%2Fpia6OqY%2BmgDg8YJTcjJS0ziWSTDORJFK4oCiuDqsShvvMnkGvvSdXPnOqybw76CCEJ2sv8LxVGZ3C5AsknYwIm28Ub36%2Bfnv7xs60gSgR9cYrO15NEWKJtCBasWXKRf%2FYFlmRZ3DllyK%2FXsW5CNvdaorojImYT5npAs3FYwRq4Fvr%2FX%2F1t2%2Fv%2BmpSuDFZ3k9H2Xhl3hEiLhVmDr61gAXBCZHeti4hW3irohdOL5a9xm7zfFyvPfnJyTdyFk4RetYMDpetOViSC3OQwjK1JcLbBFZGKUg29nT4gzZnI8Qt2OYV0hYCkovadVhLs2AWecIDm0kWxyqfxuefT%2F1L4FwxP8N%2BRBjLO5hVbzKY6mDDbaA7iZQgrjJNALLdYC4LGBR%2FOUwioslL0nQOmnW93dFS4TD2vjE0n29alOWvOk%2FA4nBOgeK8ZQckldnxCVRO4jAArIJGm8hVu0M29%2Fmh7%2FeatShnOeNt6c00Z4OUqzAXaRYx5d7jd3YvBNvSW5i54em9dNyKjbx0dqrX1n8R5DR22dFkaS4Xxqb5%2B%2BRj%2FXfH5Cj4AvWhT7MCEQIZQE0bPoPyyrkSilxrz7hyiuMJPY99MGOrEBHqMOba1JZaxFBPlLthtyCR%2FQXKsnvz6O6c%2FuE13oH%2FtFnMgtI7Ho1HtDJvp188FH6vGczZ%2BRe6V51eblJQUs3OIi6VWHatqsAY2ZBLCL0q5dlqEwgNSrkasC17puJrC4JBvE8nNadPCN7V9bC4FGfhfTDwoOXUBIaXX6%2BVJU9wQpF8ei7SfvM6Pcgu4st2MZN%2BDxumRiB3uUVRd6UzkKbOV6yYS9e3NDSPLEjR9Crgj5&amp;X-Amz-Algorithm=AWS4-HMAC-SHA256&amp;X-Amz-Date=20260813T165757Z&amp;X-Amz-SignedHeaders=host&amp;X-Amz-Expires=300&amp;X-Amz-Credential=ASIAQ3PHCVTY6B7EW24B%2F20260813%2Fus-east-1%2Fs3%2Faws4_request&amp;X-Amz-Signature=d7cd7efd856dffbd9b1fbf63123f8398759ccb5419b7eb9d5d08b2bdecda005f&amp;hash=79a071b8a3eed2232d0491577e246a6e2d0158173ec31cb1e897fac8f3381a86&amp;host=68042c943591013ac2b2430a89b270f6af2c76d8dfd086a07176afe7c76c2c61&amp;pii=S1096751625000235&amp;tid=spdf-c8a6a035-b339-4003-8a2c-2ff01755908e&amp;sid=28635edf8bd936442709ae1731531c8f88e0gxrqa&amp;type=client&amp;tsoh=d3d3LnNjaWVuY2VkaXJlY3QuY29t&amp;rh=d3d3LnNjaWVuY2VkaXJlY3QuY29t&amp;ua=080e01520258525c5651&amp;rr=a2a943063a8ae0c5&amp;cc=ro" TargetMode="External"/><Relationship Id="rId36" Type="http://schemas.openxmlformats.org/officeDocument/2006/relationships/glossaryDocument" Target="glossary/document.xml"/><Relationship Id="rId10" Type="http://schemas.openxmlformats.org/officeDocument/2006/relationships/hyperlink" Target="https://www.sciencedirect.com/org/science/article/pii/S1460106023000597" TargetMode="External"/><Relationship Id="rId19" Type="http://schemas.openxmlformats.org/officeDocument/2006/relationships/hyperlink" Target="https://unesdoc.unesco.org/ark:/48223/pf0000386693?"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igitalinsights.jisc.ac.uk/reports-and-briefings/our-reports/2024-25-uk-higher-education-students-digital-experience-insights-survey-findings/" TargetMode="External"/><Relationship Id="rId22" Type="http://schemas.openxmlformats.org/officeDocument/2006/relationships/hyperlink" Target="https://digitalstrategy.uwtsd.ac.uk/" TargetMode="External"/><Relationship Id="rId27" Type="http://schemas.openxmlformats.org/officeDocument/2006/relationships/hyperlink" Target="https://link.springer.com/article/10.1186/s41239-019-0171-0?"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48006962F64ABA86F3986F576029BD"/>
        <w:category>
          <w:name w:val="General"/>
          <w:gallery w:val="placeholder"/>
        </w:category>
        <w:types>
          <w:type w:val="bbPlcHdr"/>
        </w:types>
        <w:behaviors>
          <w:behavior w:val="content"/>
        </w:behaviors>
        <w:guid w:val="{45AE1AFC-812F-40B4-93C3-75F323B7C9CA}"/>
      </w:docPartPr>
      <w:docPartBody>
        <w:p w:rsidR="006B0CFD" w:rsidRDefault="00652454" w:rsidP="00652454">
          <w:pPr>
            <w:pStyle w:val="F948006962F64ABA86F3986F576029BD"/>
          </w:pPr>
          <w:r>
            <w:rPr>
              <w:rFonts w:asciiTheme="majorHAnsi" w:eastAsiaTheme="majorEastAsia" w:hAnsiTheme="majorHAnsi" w:cstheme="majorBidi"/>
              <w:caps/>
              <w:color w:val="156082" w:themeColor="accent1"/>
              <w:sz w:val="80"/>
              <w:szCs w:val="80"/>
            </w:rPr>
            <w:t>[Document title]</w:t>
          </w:r>
        </w:p>
      </w:docPartBody>
    </w:docPart>
    <w:docPart>
      <w:docPartPr>
        <w:name w:val="A70F197C3A1E46BD8CD782AD53E5F987"/>
        <w:category>
          <w:name w:val="General"/>
          <w:gallery w:val="placeholder"/>
        </w:category>
        <w:types>
          <w:type w:val="bbPlcHdr"/>
        </w:types>
        <w:behaviors>
          <w:behavior w:val="content"/>
        </w:behaviors>
        <w:guid w:val="{C377F44D-AD9E-4EFE-BE0F-4D07A46142C8}"/>
      </w:docPartPr>
      <w:docPartBody>
        <w:p w:rsidR="006B0CFD" w:rsidRDefault="00652454" w:rsidP="00652454">
          <w:pPr>
            <w:pStyle w:val="A70F197C3A1E46BD8CD782AD53E5F98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454"/>
    <w:rsid w:val="00327B1E"/>
    <w:rsid w:val="003D16B8"/>
    <w:rsid w:val="005506F5"/>
    <w:rsid w:val="006057D2"/>
    <w:rsid w:val="00652454"/>
    <w:rsid w:val="006B0CFD"/>
    <w:rsid w:val="008A1BA9"/>
    <w:rsid w:val="00A57317"/>
    <w:rsid w:val="00E161F1"/>
    <w:rsid w:val="00E276EA"/>
    <w:rsid w:val="00E4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48006962F64ABA86F3986F576029BD">
    <w:name w:val="F948006962F64ABA86F3986F576029BD"/>
    <w:rsid w:val="00652454"/>
  </w:style>
  <w:style w:type="paragraph" w:customStyle="1" w:styleId="A70F197C3A1E46BD8CD782AD53E5F987">
    <w:name w:val="A70F197C3A1E46BD8CD782AD53E5F987"/>
    <w:rsid w:val="006524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2026-08-21T00:00:00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D217E8-C21A-4AA8-921D-9D4C89B4B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21</Pages>
  <Words>6687</Words>
  <Characters>42467</Characters>
  <Application>Microsoft Office Word</Application>
  <DocSecurity>0</DocSecurity>
  <Lines>772</Lines>
  <Paragraphs>292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Written Report</dc:subject>
  <dc:creator>andreea bacus</dc:creator>
  <cp:keywords/>
  <dc:description/>
  <cp:lastModifiedBy>andreea bacus</cp:lastModifiedBy>
  <cp:revision>41</cp:revision>
  <dcterms:created xsi:type="dcterms:W3CDTF">2026-08-11T15:00:00Z</dcterms:created>
  <dcterms:modified xsi:type="dcterms:W3CDTF">2026-08-17T20:53:00Z</dcterms:modified>
</cp:coreProperties>
</file>