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E44CC6" w14:textId="77777777" w:rsidR="005A2FD0" w:rsidRDefault="005A2FD0"/>
    <w:p w14:paraId="409F50EB" w14:textId="6028DBEC" w:rsidR="00B06711" w:rsidRDefault="007308FD">
      <w:r>
        <w:t xml:space="preserve">HPCH5001 – </w:t>
      </w:r>
      <w:r w:rsidR="003F0EE9">
        <w:t>Assignment One</w:t>
      </w:r>
      <w:r>
        <w:t xml:space="preserve"> – CONFUCIAN ETHICS</w:t>
      </w:r>
      <w:r w:rsidR="003F0EE9">
        <w:t>-Essay</w:t>
      </w:r>
    </w:p>
    <w:p w14:paraId="6C9426A1" w14:textId="78248FBB" w:rsidR="00B06711" w:rsidRPr="003F0EE9" w:rsidRDefault="00B06711">
      <w:pPr>
        <w:rPr>
          <w:u w:val="single"/>
        </w:rPr>
      </w:pPr>
      <w:r w:rsidRPr="003F0EE9">
        <w:rPr>
          <w:u w:val="single"/>
        </w:rPr>
        <w:t>The Doctrine of the Mean, doe</w:t>
      </w:r>
      <w:r w:rsidR="000144F5" w:rsidRPr="003F0EE9">
        <w:rPr>
          <w:u w:val="single"/>
        </w:rPr>
        <w:t>s</w:t>
      </w:r>
      <w:r w:rsidRPr="003F0EE9">
        <w:rPr>
          <w:u w:val="single"/>
        </w:rPr>
        <w:t xml:space="preserve"> it provide us with a sense that</w:t>
      </w:r>
      <w:r w:rsidR="00857A6C" w:rsidRPr="003F0EE9">
        <w:rPr>
          <w:u w:val="single"/>
        </w:rPr>
        <w:t xml:space="preserve"> to be virtuous</w:t>
      </w:r>
      <w:r w:rsidR="00121DB6" w:rsidRPr="003F0EE9">
        <w:rPr>
          <w:u w:val="single"/>
        </w:rPr>
        <w:t>,</w:t>
      </w:r>
      <w:r w:rsidR="00857A6C" w:rsidRPr="003F0EE9">
        <w:rPr>
          <w:u w:val="single"/>
        </w:rPr>
        <w:t xml:space="preserve"> an action must derive from</w:t>
      </w:r>
      <w:r w:rsidRPr="003F0EE9">
        <w:rPr>
          <w:u w:val="single"/>
        </w:rPr>
        <w:t xml:space="preserve"> </w:t>
      </w:r>
      <w:r w:rsidR="00857A6C" w:rsidRPr="003F0EE9">
        <w:rPr>
          <w:u w:val="single"/>
        </w:rPr>
        <w:t xml:space="preserve">a </w:t>
      </w:r>
      <w:r w:rsidRPr="003F0EE9">
        <w:rPr>
          <w:u w:val="single"/>
        </w:rPr>
        <w:t>moderation of emotion, or is the</w:t>
      </w:r>
      <w:r w:rsidR="000144F5" w:rsidRPr="003F0EE9">
        <w:rPr>
          <w:u w:val="single"/>
        </w:rPr>
        <w:t>re</w:t>
      </w:r>
      <w:r w:rsidRPr="003F0EE9">
        <w:rPr>
          <w:u w:val="single"/>
        </w:rPr>
        <w:t xml:space="preserve"> more to it?</w:t>
      </w:r>
    </w:p>
    <w:p w14:paraId="745BC67F" w14:textId="1A89E599" w:rsidR="00D11F00" w:rsidRDefault="000144F5">
      <w:r>
        <w:t xml:space="preserve">This essay will explore the Doctrine of the Mean, in both the teachings of Confucius and Aristotle. A </w:t>
      </w:r>
      <w:r w:rsidR="00BD381D">
        <w:t>d</w:t>
      </w:r>
      <w:r>
        <w:t>eciphering of a deeper meaning than is initially apparent will be presented. The concept that the whole of the universe can be held in a grain of sand, and that innate wisdom and practiced learning are seen in both traditions as the key to virtue. The understanding that not all virtuous acts are derived from fifty percent, a halfway degree, of emotion felt</w:t>
      </w:r>
      <w:r w:rsidR="00857A6C">
        <w:t>;</w:t>
      </w:r>
      <w:r>
        <w:t xml:space="preserve"> </w:t>
      </w:r>
      <w:r w:rsidR="00857A6C">
        <w:t>t</w:t>
      </w:r>
      <w:r>
        <w:t>hat sometimes an excess or lesser amount is appropriate for any given act, by any given person at any given time</w:t>
      </w:r>
      <w:r w:rsidR="00857A6C">
        <w:t>,</w:t>
      </w:r>
      <w:r>
        <w:t xml:space="preserve"> is </w:t>
      </w:r>
      <w:r w:rsidR="00857A6C">
        <w:t xml:space="preserve">what is </w:t>
      </w:r>
      <w:r>
        <w:t xml:space="preserve">required for </w:t>
      </w:r>
      <w:r w:rsidR="00857A6C">
        <w:t xml:space="preserve">an act </w:t>
      </w:r>
      <w:r>
        <w:t>to be truly virtuous.</w:t>
      </w:r>
    </w:p>
    <w:p w14:paraId="3739D189" w14:textId="6F11A647" w:rsidR="003F0EE9" w:rsidRDefault="003F0EE9">
      <w:pPr>
        <w:rPr>
          <w:i/>
          <w:iCs/>
        </w:rPr>
      </w:pPr>
      <w:r>
        <w:rPr>
          <w:i/>
          <w:iCs/>
        </w:rPr>
        <w:t xml:space="preserve">Confucius </w:t>
      </w:r>
    </w:p>
    <w:p w14:paraId="51B7C971" w14:textId="22767E92" w:rsidR="007308FD" w:rsidRDefault="003F0EE9">
      <w:r>
        <w:t>Confucius (551-479 BC) a Chinese philosopher credited with the development of t</w:t>
      </w:r>
      <w:r w:rsidR="007308FD">
        <w:t xml:space="preserve">he </w:t>
      </w:r>
      <w:r>
        <w:t>D</w:t>
      </w:r>
      <w:r w:rsidR="007308FD">
        <w:t xml:space="preserve">octrine of the </w:t>
      </w:r>
      <w:r>
        <w:t>M</w:t>
      </w:r>
      <w:bookmarkStart w:id="0" w:name="_GoBack"/>
      <w:bookmarkEnd w:id="0"/>
      <w:r w:rsidR="007308FD">
        <w:t xml:space="preserve">ean </w:t>
      </w:r>
      <w:r>
        <w:t>as</w:t>
      </w:r>
      <w:r w:rsidR="007308FD">
        <w:t xml:space="preserve"> part of a collection of treatises on ceremonies, however, it has its own individual standing, and is a product of collective collaboration. The doctrine of the mean is also known as the Chung Yung: “</w:t>
      </w:r>
      <w:r w:rsidR="00B350BD">
        <w:t>It Thus appears that the Chung Yung had been published and commented on separately long before the Sung dynasty.”</w:t>
      </w:r>
      <w:r w:rsidR="00985B35">
        <w:rPr>
          <w:rStyle w:val="FootnoteReference"/>
        </w:rPr>
        <w:footnoteReference w:id="1"/>
      </w:r>
      <w:r w:rsidR="00B350BD">
        <w:t xml:space="preserve"> It is the grandson of Confucius who is ascribed with the authorship of the Chung Yung.</w:t>
      </w:r>
      <w:r w:rsidR="00FF35B0">
        <w:rPr>
          <w:rStyle w:val="FootnoteReference"/>
        </w:rPr>
        <w:footnoteReference w:id="2"/>
      </w:r>
      <w:r w:rsidR="00B350BD">
        <w:t xml:space="preserve"> There is no</w:t>
      </w:r>
      <w:r w:rsidR="007308FD">
        <w:t xml:space="preserve"> </w:t>
      </w:r>
      <w:r w:rsidR="00B350BD">
        <w:t>evidence in the work of the Chung Yung to suggest that Confucius’ Grandson was the composer of the Chung Yung, however, it was agreed by critics and enquiries by the Chinese that there appeared to be adequate reason to believe so</w:t>
      </w:r>
      <w:r w:rsidR="00CA2327">
        <w:t>.</w:t>
      </w:r>
      <w:r w:rsidR="00FF35B0">
        <w:rPr>
          <w:rStyle w:val="FootnoteReference"/>
        </w:rPr>
        <w:footnoteReference w:id="3"/>
      </w:r>
      <w:r w:rsidR="00CA2327">
        <w:t xml:space="preserve"> External evidence</w:t>
      </w:r>
      <w:r w:rsidR="00B350BD">
        <w:t xml:space="preserve"> </w:t>
      </w:r>
      <w:r w:rsidR="00CA2327">
        <w:t>in the historical records give strong grounds for the belief that Confucius’ grandson was the composer of the Chung Yung.</w:t>
      </w:r>
      <w:r w:rsidR="00FF35B0">
        <w:rPr>
          <w:rStyle w:val="FootnoteReference"/>
        </w:rPr>
        <w:footnoteReference w:id="4"/>
      </w:r>
      <w:r w:rsidR="00CA2327">
        <w:t xml:space="preserve"> What is it that the Doctrine of the Mean tells us?</w:t>
      </w:r>
    </w:p>
    <w:p w14:paraId="7F4D12CB" w14:textId="75B7CB36" w:rsidR="00CA2327" w:rsidRPr="00995034" w:rsidRDefault="00CA2327" w:rsidP="00995034">
      <w:pPr>
        <w:ind w:left="720"/>
        <w:rPr>
          <w:color w:val="FF0000"/>
        </w:rPr>
      </w:pPr>
      <w:r>
        <w:t xml:space="preserve">[It] speaks of one principle; </w:t>
      </w:r>
      <w:proofErr w:type="gramStart"/>
      <w:r>
        <w:t>it</w:t>
      </w:r>
      <w:proofErr w:type="gramEnd"/>
      <w:r>
        <w:t xml:space="preserve"> next spreads this out and embraces all things; finally it returns and gathers them up under the one principle. Unroll it and it </w:t>
      </w:r>
      <w:r w:rsidR="00995034">
        <w:t>fills the universe; roll it up and it retires and lies hid in secrecy.</w:t>
      </w:r>
      <w:r w:rsidR="00FF35B0">
        <w:rPr>
          <w:rStyle w:val="FootnoteReference"/>
        </w:rPr>
        <w:footnoteReference w:id="5"/>
      </w:r>
    </w:p>
    <w:p w14:paraId="191F675C" w14:textId="084C6E5B" w:rsidR="007E5B60" w:rsidRDefault="00995034" w:rsidP="00995034">
      <w:r>
        <w:t>The saying that a whole universe is held in a grain of sand is brought to</w:t>
      </w:r>
      <w:r w:rsidR="00857A6C">
        <w:t xml:space="preserve"> my</w:t>
      </w:r>
      <w:r>
        <w:t xml:space="preserve"> mind</w:t>
      </w:r>
      <w:r w:rsidR="00857A6C">
        <w:t xml:space="preserve"> by this reference, and t</w:t>
      </w:r>
      <w:r>
        <w:t>his is the core meaning of the doctrine. The mean not as something midway, but as something harmonious. The ideal, the virtue, is to be found by encompassing the excess and the insufficient; because without the experience, or understanding, of both extremes one would not find the way which is harmonious</w:t>
      </w:r>
      <w:r w:rsidR="00857A6C">
        <w:t xml:space="preserve"> </w:t>
      </w:r>
      <w:r>
        <w:t>within the individual</w:t>
      </w:r>
      <w:r w:rsidR="00857A6C">
        <w:t>,</w:t>
      </w:r>
      <w:r w:rsidR="00F101A2">
        <w:t xml:space="preserve"> whilst also </w:t>
      </w:r>
      <w:r>
        <w:t xml:space="preserve">relating to an understanding of what is good from a secular perspective. </w:t>
      </w:r>
      <w:r w:rsidR="005B6345">
        <w:t>It is</w:t>
      </w:r>
      <w:r w:rsidR="00F101A2">
        <w:t xml:space="preserve"> in</w:t>
      </w:r>
      <w:r w:rsidR="005B6345">
        <w:t xml:space="preserve"> the equilibrium within the movement of emotions we find the correct distinction to act upon. The movement of emotions from excess to insufficient settles in equilibrium, the actions from a correct distinctive are in a state of harmony. “This equilibrium is the great root of the world</w:t>
      </w:r>
      <w:r w:rsidR="00613D84">
        <w:t>, and the harmony is its universal path</w:t>
      </w:r>
      <w:r w:rsidR="00152CD6">
        <w:t>.</w:t>
      </w:r>
      <w:r w:rsidR="00613D84">
        <w:t>”</w:t>
      </w:r>
      <w:r w:rsidR="00FF35B0">
        <w:rPr>
          <w:rStyle w:val="FootnoteReference"/>
        </w:rPr>
        <w:footnoteReference w:id="6"/>
      </w:r>
      <w:r w:rsidR="00613D84">
        <w:t xml:space="preserve"> Where we can find reference to the </w:t>
      </w:r>
      <w:r w:rsidR="00613D84">
        <w:lastRenderedPageBreak/>
        <w:t>state of equilibrium as akin to the “[N]</w:t>
      </w:r>
      <w:proofErr w:type="spellStart"/>
      <w:r w:rsidR="00613D84">
        <w:t>ature</w:t>
      </w:r>
      <w:proofErr w:type="spellEnd"/>
      <w:r w:rsidR="00613D84">
        <w:t xml:space="preserve"> given by heaven, considered absolutely in itself, without deflection or inclination.”</w:t>
      </w:r>
      <w:r w:rsidR="00152CD6">
        <w:rPr>
          <w:rStyle w:val="FootnoteReference"/>
        </w:rPr>
        <w:footnoteReference w:id="7"/>
      </w:r>
      <w:r w:rsidR="00613D84">
        <w:t xml:space="preserve"> Action of one’s nature from external influences, with a reaction </w:t>
      </w:r>
      <w:r w:rsidR="004E6FBF">
        <w:t>from any amount of emotion which is grounded in equilibrium will surely reach the intended target with precision. This is what produces the state of harmony, “and such harmonious response is the path along which all human activities should proceed.”</w:t>
      </w:r>
      <w:r w:rsidR="00152CD6">
        <w:rPr>
          <w:rStyle w:val="FootnoteReference"/>
        </w:rPr>
        <w:footnoteReference w:id="8"/>
      </w:r>
      <w:r w:rsidR="004E6FBF">
        <w:t xml:space="preserve"> Like an arrow flying straight, correctly</w:t>
      </w:r>
      <w:r w:rsidR="00957E8A">
        <w:t xml:space="preserve"> balanced and fired with precision, it cannot fail to hit the target</w:t>
      </w:r>
      <w:r w:rsidR="000E1784">
        <w:t>.</w:t>
      </w:r>
      <w:r w:rsidR="00152CD6">
        <w:rPr>
          <w:rStyle w:val="FootnoteReference"/>
        </w:rPr>
        <w:footnoteReference w:id="9"/>
      </w:r>
      <w:r w:rsidR="00957E8A">
        <w:t xml:space="preserve"> Our emotions being balanced and not fed to excess or undernourished to a p</w:t>
      </w:r>
      <w:r w:rsidR="00F101A2">
        <w:t>o</w:t>
      </w:r>
      <w:r w:rsidR="00957E8A">
        <w:t>int of insufficiency,</w:t>
      </w:r>
      <w:r w:rsidR="00F101A2">
        <w:t xml:space="preserve"> from </w:t>
      </w:r>
      <w:r w:rsidR="00857A6C">
        <w:t>here</w:t>
      </w:r>
      <w:r w:rsidR="00957E8A">
        <w:t xml:space="preserve"> our actions will manifest in such a way that is keeping with a harmonious path, and the road to correct action. It is with virtue in our hearts and wisdom in our thinking we find the way of Heaven which is harmonious to our innate being. </w:t>
      </w:r>
    </w:p>
    <w:p w14:paraId="37983BCD" w14:textId="6EF6FA39" w:rsidR="00F101A2" w:rsidRDefault="00957E8A" w:rsidP="00995034">
      <w:r>
        <w:t xml:space="preserve">“Man has received from Heaven a moral nature by which </w:t>
      </w:r>
      <w:r w:rsidR="007E5B60">
        <w:t>he is constituted a law to himself</w:t>
      </w:r>
      <w:r w:rsidR="00121DB6">
        <w:t>.”</w:t>
      </w:r>
      <w:r w:rsidR="000E1784">
        <w:rPr>
          <w:rStyle w:val="FootnoteReference"/>
        </w:rPr>
        <w:footnoteReference w:id="10"/>
      </w:r>
      <w:r w:rsidR="007E5B60">
        <w:t xml:space="preserve">This refers to freewill and innate processes. </w:t>
      </w:r>
      <w:r w:rsidR="00D5084E">
        <w:t xml:space="preserve">If we are to believe a </w:t>
      </w:r>
      <w:r w:rsidR="007E5B60">
        <w:t xml:space="preserve">man, and of course a woman, has an innate nature which is </w:t>
      </w:r>
      <w:r w:rsidR="00D5084E">
        <w:t xml:space="preserve">good, moral and virtuous, then from this nature man, and woman, embody the laws which dictate on how one should conduct oneself. This simplified understanding gives credence to freewill and determinism. Humans </w:t>
      </w:r>
      <w:r w:rsidR="00FE2A97">
        <w:t>are as their heavenly nature dictates and as dictated by the nature of the individual. Humans can make of themselves what they will, and if their will is good, then they develop the way of the mean, whilst understanding the concept of a whole universe present in a grain of sand</w:t>
      </w:r>
      <w:r w:rsidR="00F101A2">
        <w:t>,</w:t>
      </w:r>
      <w:r w:rsidR="00FE2A97">
        <w:t xml:space="preserve"> and the concept of infinity present in a moment. This is to understand what is hidden in secrecy, all is seen and understood in a blink. One can choose to see what is hidden, or avert one’s eyes, the choice </w:t>
      </w:r>
      <w:r w:rsidR="00857A6C">
        <w:t>is</w:t>
      </w:r>
      <w:r w:rsidR="00F101A2">
        <w:t xml:space="preserve"> </w:t>
      </w:r>
      <w:r w:rsidR="00FE2A97">
        <w:t>the</w:t>
      </w:r>
      <w:r w:rsidR="00F101A2">
        <w:t>re</w:t>
      </w:r>
      <w:r w:rsidR="00FE2A97">
        <w:t xml:space="preserve"> to </w:t>
      </w:r>
      <w:r w:rsidR="00F101A2">
        <w:t xml:space="preserve">be </w:t>
      </w:r>
      <w:r w:rsidR="00FE2A97">
        <w:t>ma</w:t>
      </w:r>
      <w:r w:rsidR="00F101A2">
        <w:t>d</w:t>
      </w:r>
      <w:r w:rsidR="00FE2A97">
        <w:t xml:space="preserve">e and once that choice is made the whole of the universe is apparent for them to see. Some are born with innate wisdom, is my belief, </w:t>
      </w:r>
      <w:r w:rsidR="005A0BBE">
        <w:t>and they are advantaged for sure, however, if that wisdom is not applied willingly on</w:t>
      </w:r>
      <w:r w:rsidR="00F101A2">
        <w:t xml:space="preserve"> a</w:t>
      </w:r>
      <w:r w:rsidR="005A0BBE">
        <w:t xml:space="preserve"> path in pursuit of the good it is all for naught. Some do not have this innateness, theirs is a disadvantaged start on the path, however, through observing the harmonious nature of the world, as in actions of accord, and engaging with the Doctrine of the Mean, which teaches us to ground our emotions in a balance</w:t>
      </w:r>
      <w:r w:rsidR="00F101A2">
        <w:t>d</w:t>
      </w:r>
      <w:r w:rsidR="005A0BBE">
        <w:t xml:space="preserve"> state</w:t>
      </w:r>
      <w:r w:rsidR="00F101A2">
        <w:t xml:space="preserve"> in order</w:t>
      </w:r>
      <w:r w:rsidR="005A0BBE">
        <w:t xml:space="preserve"> to walk the path of Harmony; then the individual will begin to know the way of a good life</w:t>
      </w:r>
      <w:r w:rsidR="00F101A2">
        <w:t>, a virtuous life.</w:t>
      </w:r>
    </w:p>
    <w:p w14:paraId="12AAEA2C" w14:textId="7ECA6FBF" w:rsidR="00857A6C" w:rsidRDefault="00D11F00" w:rsidP="00995034">
      <w:r w:rsidRPr="00D11F00">
        <w:rPr>
          <w:i/>
          <w:iCs/>
        </w:rPr>
        <w:t>Aristotle</w:t>
      </w:r>
      <w:r>
        <w:t xml:space="preserve"> </w:t>
      </w:r>
    </w:p>
    <w:p w14:paraId="6D7C70FB" w14:textId="506DEEB4" w:rsidR="009434A9" w:rsidRPr="00C8026E" w:rsidRDefault="00B452B2" w:rsidP="00995034">
      <w:r>
        <w:t xml:space="preserve">In the works of the ancient Greek Philosopher Aristotle (384-322 BC), we see the balance of emotion and action in the doctrine of the mean: “[A] settled state issuing in choice, in a mean determined by </w:t>
      </w:r>
      <w:r>
        <w:lastRenderedPageBreak/>
        <w:t>a rational; principle, viz the one by which the agent of practical wisdom would determine it.”</w:t>
      </w:r>
      <w:r w:rsidR="000E1784">
        <w:rPr>
          <w:rStyle w:val="FootnoteReference"/>
        </w:rPr>
        <w:footnoteReference w:id="11"/>
      </w:r>
      <w:r>
        <w:t xml:space="preserve">An agent should then act </w:t>
      </w:r>
      <w:r w:rsidR="006F64D3">
        <w:t>in a way which is not too excessive or insufficient, they should act with the right reasons and the right amount of action at the right time. The right determination is not easily encapsulated</w:t>
      </w:r>
      <w:r w:rsidR="00117E37">
        <w:t>: “[B]</w:t>
      </w:r>
      <w:proofErr w:type="spellStart"/>
      <w:r w:rsidR="00117E37">
        <w:t>ut</w:t>
      </w:r>
      <w:proofErr w:type="spellEnd"/>
      <w:r w:rsidR="00117E37">
        <w:t xml:space="preserve"> has to be the task of the educated judgement of the particular wise agent responding to the indefinitely variable range of circumstances in which action is required.”</w:t>
      </w:r>
      <w:r w:rsidR="002649EA">
        <w:rPr>
          <w:rStyle w:val="FootnoteReference"/>
        </w:rPr>
        <w:footnoteReference w:id="12"/>
      </w:r>
      <w:r w:rsidR="00117E37">
        <w:t xml:space="preserve"> Here we can see similarities in both the means of Aristotle and Confucianism. Confucianism recognises the variety and extent of emotions, actions and circumstances also.  </w:t>
      </w:r>
      <w:r w:rsidR="002A5E44">
        <w:t>For one to follow the rule of the mean instruction can be gained by the vast knowledge of the universe, or what is contained within a single atom. If we are to seek answers in the mean should we interpret it as a way of moderation in all things? We may seek answers among other ancient Greeks: “Wisdom is the leader</w:t>
      </w:r>
      <w:r w:rsidR="001C3C8D">
        <w:t>:</w:t>
      </w:r>
      <w:r w:rsidR="002A5E44">
        <w:t xml:space="preserve"> next follows moderation</w:t>
      </w:r>
      <w:r w:rsidR="001C3C8D">
        <w:t>; and from the union of these two with courage springs justice. – Plato, Laws [613c]”</w:t>
      </w:r>
      <w:r w:rsidR="002649EA">
        <w:rPr>
          <w:rStyle w:val="FootnoteReference"/>
        </w:rPr>
        <w:footnoteReference w:id="13"/>
      </w:r>
      <w:r w:rsidR="001C3C8D">
        <w:t xml:space="preserve"> “As Epicurus[55-135 AD] noted: If one oversteps the bounds of moderation, the greatest pleasures cease to be.”</w:t>
      </w:r>
      <w:r w:rsidR="002649EA">
        <w:rPr>
          <w:rStyle w:val="FootnoteReference"/>
        </w:rPr>
        <w:footnoteReference w:id="14"/>
      </w:r>
      <w:r w:rsidR="001C3C8D">
        <w:t xml:space="preserve"> “Self-knowledge is the very essence of moderation, and in this I agree with him who dedicated the inscription ‘Know Thyself’ at Delphi</w:t>
      </w:r>
      <w:r w:rsidR="00876BD4">
        <w:t>. – Plato, Charmides [164d]”</w:t>
      </w:r>
      <w:r w:rsidR="008B0653">
        <w:rPr>
          <w:rStyle w:val="FootnoteReference"/>
        </w:rPr>
        <w:footnoteReference w:id="15"/>
      </w:r>
      <w:r w:rsidR="008B0653">
        <w:t xml:space="preserve"> We hear such, also, in</w:t>
      </w:r>
      <w:r w:rsidR="00125A82">
        <w:t xml:space="preserve"> Shakespeare’s words spoken by the wise Polonius to his Son </w:t>
      </w:r>
      <w:proofErr w:type="spellStart"/>
      <w:r w:rsidR="00125A82">
        <w:t>Leartes</w:t>
      </w:r>
      <w:proofErr w:type="spellEnd"/>
      <w:r w:rsidR="00125A82">
        <w:t xml:space="preserve"> “This above all-to thine own self be true</w:t>
      </w:r>
      <w:r w:rsidR="00017273">
        <w:t>. And it must follow, as the night the day. Thou canst not then be false to any man.”</w:t>
      </w:r>
      <w:r w:rsidR="008B0653">
        <w:rPr>
          <w:rStyle w:val="FootnoteReference"/>
        </w:rPr>
        <w:footnoteReference w:id="16"/>
      </w:r>
      <w:r w:rsidR="00017273">
        <w:t>We see in these wise words the sense of self cultivation as enforcing a middle way, and the midway as a way of preference, that emotional extremes bring imbalances which knock one off of the moral path. Action, to be a moral action, must be imbued with the correct amount of emotion, our good intentions do not always lead to right action if self-knowledge and wisdom are denied. To know oneself is the greatest form of knowledge</w:t>
      </w:r>
      <w:r w:rsidR="009434A9">
        <w:t>, to be true to oneself is the strongest of truths, and to be good to oneself is the highest form of good. If we are to take these three premises as true, then their can be no selfish acts. If I act for myself, I act for the greater good. Within the mean we find temperance and moderation, but to act in this way could lead to a moderate action, which may not suffice in all given situations. Sometimes extreme circumstances require extreme action, or no action at all, to bring about a resolution.</w:t>
      </w:r>
      <w:r w:rsidR="00D75BB2">
        <w:t xml:space="preserve"> To further this point Aristotle gives deeper understanding</w:t>
      </w:r>
      <w:r w:rsidR="008B0653">
        <w:t>, i</w:t>
      </w:r>
      <w:r w:rsidR="00D75BB2">
        <w:t>n all that has continuity and can be d</w:t>
      </w:r>
      <w:r w:rsidR="00612674">
        <w:t>ivided, more or less, or an equal amount, can be taken, and that amount taken can be related to either us or the thing in itself, “ [B]y the intermediate relative to us that which is neither too much nor to little – and this is not one, nor the same for all.”</w:t>
      </w:r>
      <w:r w:rsidR="008B0653">
        <w:rPr>
          <w:rStyle w:val="FootnoteReference"/>
        </w:rPr>
        <w:footnoteReference w:id="17"/>
      </w:r>
      <w:r w:rsidR="00612674">
        <w:t xml:space="preserve"> Aristotle gives the example of a famous ancient Greek athlete, Milo; He would require more sustenance on average tha</w:t>
      </w:r>
      <w:r w:rsidR="00D11F00">
        <w:t>n</w:t>
      </w:r>
      <w:r w:rsidR="00612674">
        <w:t xml:space="preserve"> a novice athlete. There is no average </w:t>
      </w:r>
      <w:r w:rsidR="00C8026E">
        <w:t>amount of sustenance for all men, each must be assessed by virtue of his own body mass and training regime, which of course would be more intense for an experienced athlete. “Thus a master of any art avoids excess and defect, but seeks the intermediate and chooses this – not in the object but relative to us.”</w:t>
      </w:r>
      <w:r w:rsidR="008B0653">
        <w:rPr>
          <w:rStyle w:val="FootnoteReference"/>
        </w:rPr>
        <w:footnoteReference w:id="18"/>
      </w:r>
      <w:r w:rsidR="00C8026E">
        <w:rPr>
          <w:color w:val="FF0000"/>
        </w:rPr>
        <w:t xml:space="preserve"> </w:t>
      </w:r>
      <w:r w:rsidR="00C8026E">
        <w:t xml:space="preserve">The mean then is not </w:t>
      </w:r>
      <w:r w:rsidR="00C8026E">
        <w:lastRenderedPageBreak/>
        <w:t xml:space="preserve">something consistent as at first it would appear, it is not fifty percent of a whole, not a halfway mark. We can not arrive at the mean by walking fifty miles of a hundred mile journey, and know that because we have applied a certain amount of energy </w:t>
      </w:r>
      <w:r w:rsidR="00A23A64">
        <w:t>, eaten a certain amount of food and ha</w:t>
      </w:r>
      <w:r w:rsidR="00D11F00">
        <w:t>d</w:t>
      </w:r>
      <w:r w:rsidR="00A23A64">
        <w:t xml:space="preserve"> a certain amount of rest, that exactly the same amount will be required for the next fifty miles. The last fifty miles will be different by way of terrain and climate, although these may be known the combination of elements are not always predictable. Also, to be configured is the fact that we have already walked fifty miles and our bodies will either be fatigued</w:t>
      </w:r>
      <w:r w:rsidR="00D11F00">
        <w:t>,</w:t>
      </w:r>
      <w:r w:rsidR="00A23A64">
        <w:t xml:space="preserve"> o</w:t>
      </w:r>
      <w:r w:rsidR="00D11F00">
        <w:t>r</w:t>
      </w:r>
      <w:r w:rsidR="00A23A64">
        <w:t xml:space="preserve"> our spirits invigorated, this cannot be known. The point at which we reach halfway will be different for each of us on the same journey. Obviously, there will be a milestone to mark the distance, and this will be consistent, but this only dictates the miles covered.  At this point a walker may have used up thirty percent of their food, or eighty percent of their energy because they started with vigour</w:t>
      </w:r>
      <w:r w:rsidR="00B06711">
        <w:t xml:space="preserve"> and being previously well fed did not require so much food. Some configurations will be known and some unknown. The experienced and wise walker will plan his journey accordingly.  It is by practice and correct application, and the making of mistakes, pulling on our own innate abilities that we can carry on this journey. To be virtuous is a combination of both what is innate and what is learnt and practiced, a balance of both according to what is appropriate for the conditions of any given situation.</w:t>
      </w:r>
    </w:p>
    <w:p w14:paraId="75EF59CA" w14:textId="2E4F5098" w:rsidR="00876BD4" w:rsidRDefault="009434A9" w:rsidP="00995034">
      <w:r>
        <w:t xml:space="preserve">I posit that the mean does not promote a middle way, as is mapped out in a chart; the percentage of emotion required will be dictated by the circumstances </w:t>
      </w:r>
      <w:r w:rsidR="00674802">
        <w:t>in which the action is required. We lead a lamb with gentle hands, to guide an army great physical strength is required. The individual who is innately virtuous, whether that virtuousness is acquired through nurture or nature is of no significance, will act with the right amount of emotional intention. The Doctrine of the Mean does give practical guidance on a superficial level, however deeper understanding of the mean leads to a deeper wisdom, and this wisdom will not only guide our actions but inform us of the knowledge that comes from the continued practice of virtuous acts</w:t>
      </w:r>
      <w:r w:rsidR="00756463">
        <w:t xml:space="preserve">, the effect of one small act of kindness, as tiny as a grain of sand, can lead to a multitude of good acts and effect change in the whole universe. It teaches us that even if we think that a small act of </w:t>
      </w:r>
      <w:r w:rsidR="00756463" w:rsidRPr="00814EBC">
        <w:rPr>
          <w:i/>
          <w:iCs/>
        </w:rPr>
        <w:t>kindness</w:t>
      </w:r>
      <w:r w:rsidR="00756463">
        <w:t xml:space="preserve"> is not worth our attention, the rippling effect to others is </w:t>
      </w:r>
      <w:r w:rsidR="00756463" w:rsidRPr="005D6787">
        <w:t>inevitable</w:t>
      </w:r>
      <w:r w:rsidR="00756463">
        <w:t>, and great changes can be made not only in the world around us but in our own being.</w:t>
      </w:r>
    </w:p>
    <w:p w14:paraId="0C7F6D5D" w14:textId="77777777" w:rsidR="00B06711" w:rsidRDefault="00B06711" w:rsidP="00995034">
      <w:pPr>
        <w:rPr>
          <w:b/>
          <w:bCs/>
          <w:color w:val="002060"/>
        </w:rPr>
      </w:pPr>
    </w:p>
    <w:p w14:paraId="1DDD8F21" w14:textId="77777777" w:rsidR="00B06711" w:rsidRDefault="00B06711" w:rsidP="00995034">
      <w:pPr>
        <w:rPr>
          <w:b/>
          <w:bCs/>
          <w:color w:val="002060"/>
        </w:rPr>
      </w:pPr>
    </w:p>
    <w:p w14:paraId="44F585C2" w14:textId="77777777" w:rsidR="00B06711" w:rsidRDefault="00B06711" w:rsidP="00995034">
      <w:pPr>
        <w:rPr>
          <w:b/>
          <w:bCs/>
          <w:color w:val="002060"/>
        </w:rPr>
      </w:pPr>
    </w:p>
    <w:p w14:paraId="537D932D" w14:textId="77777777" w:rsidR="00B06711" w:rsidRDefault="00B06711" w:rsidP="00995034">
      <w:pPr>
        <w:rPr>
          <w:b/>
          <w:bCs/>
          <w:color w:val="002060"/>
        </w:rPr>
      </w:pPr>
    </w:p>
    <w:p w14:paraId="4CBEA521" w14:textId="77777777" w:rsidR="00B06711" w:rsidRDefault="00B06711" w:rsidP="00995034">
      <w:pPr>
        <w:rPr>
          <w:b/>
          <w:bCs/>
          <w:color w:val="002060"/>
        </w:rPr>
      </w:pPr>
    </w:p>
    <w:p w14:paraId="34B29B3E" w14:textId="77777777" w:rsidR="00B06711" w:rsidRDefault="00B06711" w:rsidP="00995034">
      <w:pPr>
        <w:rPr>
          <w:b/>
          <w:bCs/>
          <w:color w:val="002060"/>
        </w:rPr>
      </w:pPr>
    </w:p>
    <w:p w14:paraId="1E731996" w14:textId="77777777" w:rsidR="00B06711" w:rsidRDefault="00B06711" w:rsidP="00995034">
      <w:pPr>
        <w:rPr>
          <w:b/>
          <w:bCs/>
          <w:color w:val="002060"/>
        </w:rPr>
      </w:pPr>
    </w:p>
    <w:p w14:paraId="3C212BBC" w14:textId="77777777" w:rsidR="00B06711" w:rsidRDefault="00B06711" w:rsidP="00995034">
      <w:pPr>
        <w:rPr>
          <w:b/>
          <w:bCs/>
          <w:color w:val="002060"/>
        </w:rPr>
      </w:pPr>
    </w:p>
    <w:p w14:paraId="58171C58" w14:textId="77777777" w:rsidR="00B06711" w:rsidRDefault="00B06711" w:rsidP="00995034">
      <w:pPr>
        <w:rPr>
          <w:b/>
          <w:bCs/>
          <w:color w:val="002060"/>
        </w:rPr>
      </w:pPr>
    </w:p>
    <w:p w14:paraId="6DA00530" w14:textId="77777777" w:rsidR="00B06711" w:rsidRDefault="00B06711" w:rsidP="00995034">
      <w:pPr>
        <w:rPr>
          <w:b/>
          <w:bCs/>
          <w:color w:val="002060"/>
        </w:rPr>
      </w:pPr>
    </w:p>
    <w:p w14:paraId="6263BBE8" w14:textId="77777777" w:rsidR="00B06711" w:rsidRDefault="00B06711" w:rsidP="00995034">
      <w:pPr>
        <w:rPr>
          <w:b/>
          <w:bCs/>
          <w:color w:val="002060"/>
        </w:rPr>
      </w:pPr>
    </w:p>
    <w:p w14:paraId="75C6B20E" w14:textId="77777777" w:rsidR="00B06711" w:rsidRDefault="00B06711" w:rsidP="00995034">
      <w:pPr>
        <w:rPr>
          <w:b/>
          <w:bCs/>
          <w:color w:val="002060"/>
        </w:rPr>
      </w:pPr>
    </w:p>
    <w:p w14:paraId="26B5940C" w14:textId="77777777" w:rsidR="00B06711" w:rsidRDefault="00B06711" w:rsidP="00995034">
      <w:pPr>
        <w:rPr>
          <w:b/>
          <w:bCs/>
          <w:color w:val="002060"/>
        </w:rPr>
      </w:pPr>
    </w:p>
    <w:p w14:paraId="7795BE17" w14:textId="77777777" w:rsidR="00B06711" w:rsidRDefault="00B06711" w:rsidP="00995034">
      <w:pPr>
        <w:rPr>
          <w:b/>
          <w:bCs/>
          <w:color w:val="002060"/>
        </w:rPr>
      </w:pPr>
    </w:p>
    <w:p w14:paraId="11C95B30" w14:textId="77777777" w:rsidR="00B06711" w:rsidRDefault="00B06711" w:rsidP="00995034">
      <w:pPr>
        <w:rPr>
          <w:b/>
          <w:bCs/>
          <w:color w:val="002060"/>
        </w:rPr>
      </w:pPr>
    </w:p>
    <w:p w14:paraId="7ECDB8E3" w14:textId="46AA63F4" w:rsidR="00B506C5" w:rsidRDefault="00B506C5" w:rsidP="00995034">
      <w:pPr>
        <w:rPr>
          <w:b/>
          <w:bCs/>
          <w:color w:val="002060"/>
        </w:rPr>
      </w:pPr>
      <w:r>
        <w:rPr>
          <w:b/>
          <w:bCs/>
          <w:color w:val="002060"/>
        </w:rPr>
        <w:t>Bibliography</w:t>
      </w:r>
    </w:p>
    <w:p w14:paraId="0961FE3D" w14:textId="77777777" w:rsidR="008B0653" w:rsidRDefault="00B506C5" w:rsidP="005D6787">
      <w:pPr>
        <w:spacing w:before="240"/>
      </w:pPr>
      <w:bookmarkStart w:id="1" w:name="_Hlk42098914"/>
      <w:r>
        <w:t xml:space="preserve">Aristotle, </w:t>
      </w:r>
      <w:r w:rsidR="005D6787">
        <w:rPr>
          <w:i/>
          <w:iCs/>
        </w:rPr>
        <w:t xml:space="preserve">The Nicomachean Ethics, </w:t>
      </w:r>
      <w:r w:rsidR="005D6787">
        <w:t>Translated by David Ross (Oxford University Press, 1991)</w:t>
      </w:r>
      <w:bookmarkEnd w:id="1"/>
    </w:p>
    <w:p w14:paraId="29D94340" w14:textId="6E6DE7C9" w:rsidR="005D6787" w:rsidRDefault="005D6787" w:rsidP="005D6787">
      <w:pPr>
        <w:spacing w:before="240"/>
      </w:pPr>
      <w:r>
        <w:t xml:space="preserve">Attfield, Robin, </w:t>
      </w:r>
      <w:r>
        <w:rPr>
          <w:i/>
          <w:iCs/>
        </w:rPr>
        <w:t>Ethics, an Overview</w:t>
      </w:r>
      <w:r>
        <w:t xml:space="preserve"> (London: Continuum 2012)</w:t>
      </w:r>
    </w:p>
    <w:p w14:paraId="2747ADF8" w14:textId="63473EE5" w:rsidR="00814EBC" w:rsidRDefault="00814EBC" w:rsidP="005D6787">
      <w:pPr>
        <w:spacing w:before="240"/>
      </w:pPr>
      <w:bookmarkStart w:id="2" w:name="_Hlk42100461"/>
      <w:proofErr w:type="spellStart"/>
      <w:r>
        <w:t>Beabout</w:t>
      </w:r>
      <w:proofErr w:type="spellEnd"/>
      <w:r>
        <w:t xml:space="preserve">, Gregory R. </w:t>
      </w:r>
      <w:r>
        <w:rPr>
          <w:i/>
          <w:iCs/>
        </w:rPr>
        <w:t xml:space="preserve">Ethics – The Art of Character </w:t>
      </w:r>
      <w:r>
        <w:t>(Glastonbury: Wooden Books Ltd, 2016)</w:t>
      </w:r>
    </w:p>
    <w:bookmarkEnd w:id="2"/>
    <w:p w14:paraId="3F44D1B3" w14:textId="24CD5E6E" w:rsidR="00814EBC" w:rsidRDefault="00814EBC" w:rsidP="005D6787">
      <w:pPr>
        <w:spacing w:before="240"/>
      </w:pPr>
      <w:r>
        <w:t xml:space="preserve">Confucius, </w:t>
      </w:r>
      <w:r>
        <w:rPr>
          <w:i/>
          <w:iCs/>
        </w:rPr>
        <w:t xml:space="preserve">The Analects, </w:t>
      </w:r>
      <w:r>
        <w:t>Translated by D.C. Lau (London: Penguin 1979)</w:t>
      </w:r>
    </w:p>
    <w:p w14:paraId="75AC6D90" w14:textId="39F16ED8" w:rsidR="00814EBC" w:rsidRPr="00F722E9" w:rsidRDefault="00814EBC" w:rsidP="005D6787">
      <w:pPr>
        <w:spacing w:before="240"/>
      </w:pPr>
      <w:proofErr w:type="spellStart"/>
      <w:r>
        <w:t>Curzer</w:t>
      </w:r>
      <w:proofErr w:type="spellEnd"/>
      <w:r>
        <w:t xml:space="preserve">, Howard J. </w:t>
      </w:r>
      <w:r w:rsidRPr="00F722E9">
        <w:t>An Aristotelian Doctrine of the Mean in the Mencius?</w:t>
      </w:r>
      <w:r w:rsidR="00F722E9">
        <w:t xml:space="preserve"> </w:t>
      </w:r>
      <w:r w:rsidRPr="0037030A">
        <w:rPr>
          <w:i/>
          <w:iCs/>
        </w:rPr>
        <w:t xml:space="preserve"> </w:t>
      </w:r>
      <w:r w:rsidR="00F722E9">
        <w:rPr>
          <w:i/>
          <w:iCs/>
        </w:rPr>
        <w:t xml:space="preserve">Dao </w:t>
      </w:r>
      <w:r w:rsidR="00F722E9" w:rsidRPr="00F722E9">
        <w:t>(2012) 11, p53-62</w:t>
      </w:r>
    </w:p>
    <w:p w14:paraId="726DC14A" w14:textId="340BBCBB" w:rsidR="00814EBC" w:rsidRDefault="00814EBC" w:rsidP="005D6787">
      <w:pPr>
        <w:spacing w:before="240"/>
      </w:pPr>
      <w:proofErr w:type="spellStart"/>
      <w:r>
        <w:t>Honderich</w:t>
      </w:r>
      <w:proofErr w:type="spellEnd"/>
      <w:r>
        <w:t xml:space="preserve">, Ted, ed., </w:t>
      </w:r>
      <w:r>
        <w:rPr>
          <w:i/>
          <w:iCs/>
        </w:rPr>
        <w:t>The Oxford Companion to Philosophy</w:t>
      </w:r>
      <w:r w:rsidR="0037030A">
        <w:rPr>
          <w:i/>
          <w:iCs/>
        </w:rPr>
        <w:t xml:space="preserve"> </w:t>
      </w:r>
      <w:r w:rsidR="0037030A">
        <w:t>(Oxford University Press 1995)</w:t>
      </w:r>
    </w:p>
    <w:p w14:paraId="0FD8E3A2" w14:textId="32CB2E2D" w:rsidR="00556B9B" w:rsidRDefault="0037030A" w:rsidP="005D6787">
      <w:pPr>
        <w:spacing w:before="240"/>
        <w:rPr>
          <w:i/>
          <w:iCs/>
        </w:rPr>
      </w:pPr>
      <w:bookmarkStart w:id="3" w:name="_Hlk42097271"/>
      <w:proofErr w:type="spellStart"/>
      <w:r>
        <w:t>Legge</w:t>
      </w:r>
      <w:proofErr w:type="spellEnd"/>
      <w:r>
        <w:t xml:space="preserve">, </w:t>
      </w:r>
      <w:r>
        <w:rPr>
          <w:i/>
          <w:iCs/>
        </w:rPr>
        <w:t>Confucian Analects, The Great Learning and The Doctrine of the Mean</w:t>
      </w:r>
      <w:r w:rsidR="00F722E9">
        <w:rPr>
          <w:i/>
          <w:iCs/>
        </w:rPr>
        <w:t xml:space="preserve">. </w:t>
      </w:r>
      <w:r w:rsidR="00075E4C" w:rsidRPr="00F722E9">
        <w:t>https</w:t>
      </w:r>
      <w:r w:rsidR="00075E4C" w:rsidRPr="00075E4C">
        <w:t>://www-fulcrum-org.ezproxy.uwtsd.ac.uk/concern/monographs/8s45q929d accessed 27 May 2020</w:t>
      </w:r>
    </w:p>
    <w:bookmarkEnd w:id="3"/>
    <w:p w14:paraId="2B5C8C5C" w14:textId="37B743D9" w:rsidR="0037030A" w:rsidRPr="00F722E9" w:rsidRDefault="00556B9B" w:rsidP="005D6787">
      <w:pPr>
        <w:spacing w:before="240"/>
      </w:pPr>
      <w:r>
        <w:t xml:space="preserve">Ralph, Lisa, </w:t>
      </w:r>
      <w:r w:rsidRPr="00F722E9">
        <w:t>On Mirrors of Virtue,</w:t>
      </w:r>
      <w:r w:rsidR="0037030A" w:rsidRPr="00F722E9">
        <w:t xml:space="preserve"> </w:t>
      </w:r>
      <w:r w:rsidR="00F722E9">
        <w:rPr>
          <w:i/>
          <w:iCs/>
        </w:rPr>
        <w:t xml:space="preserve">Dao </w:t>
      </w:r>
      <w:r w:rsidR="00F722E9">
        <w:t>(2011) 10, pp349-357</w:t>
      </w:r>
    </w:p>
    <w:p w14:paraId="1201159F" w14:textId="10DF3219" w:rsidR="004328BC" w:rsidRDefault="004328BC" w:rsidP="0093111E">
      <w:r>
        <w:t xml:space="preserve">Shakespeare, William, </w:t>
      </w:r>
      <w:r>
        <w:rPr>
          <w:i/>
          <w:iCs/>
        </w:rPr>
        <w:t>The Complete Works</w:t>
      </w:r>
      <w:r w:rsidR="0093111E">
        <w:rPr>
          <w:i/>
          <w:iCs/>
        </w:rPr>
        <w:t xml:space="preserve"> </w:t>
      </w:r>
      <w:r w:rsidR="0093111E">
        <w:t>(London: Collins, 1966)</w:t>
      </w:r>
    </w:p>
    <w:p w14:paraId="3D2A0A70" w14:textId="3F80A4D1" w:rsidR="0093111E" w:rsidRDefault="002B5E94" w:rsidP="0093111E">
      <w:proofErr w:type="gramStart"/>
      <w:r>
        <w:t>Slinglander,Edward.</w:t>
      </w:r>
      <w:r w:rsidRPr="002B5E94">
        <w:t>https://moodle.uwtsd.ac.uk/pluginfile.php/371658/mod_resource/content/1/Confucius_Analects_translated_by_Edward_Slingerland.pdf</w:t>
      </w:r>
      <w:proofErr w:type="gramEnd"/>
      <w:r>
        <w:t xml:space="preserve"> accessed 27.05.2020</w:t>
      </w:r>
    </w:p>
    <w:p w14:paraId="188DE17C" w14:textId="77777777" w:rsidR="00F05A72" w:rsidRDefault="00F05A72" w:rsidP="00F05A72">
      <w:pPr>
        <w:spacing w:before="240"/>
      </w:pPr>
      <w:r>
        <w:t xml:space="preserve">Swanton, Christine, </w:t>
      </w:r>
      <w:r w:rsidRPr="0037030A">
        <w:t>Remastering Morals with Aristotle and Confucius by Mary Sim</w:t>
      </w:r>
      <w:r>
        <w:t xml:space="preserve">, Book Review in </w:t>
      </w:r>
      <w:r>
        <w:rPr>
          <w:i/>
          <w:iCs/>
        </w:rPr>
        <w:t xml:space="preserve">Philosophy East and West, </w:t>
      </w:r>
      <w:r>
        <w:t>59:2 pp230-233</w:t>
      </w:r>
    </w:p>
    <w:p w14:paraId="453FC95B" w14:textId="77777777" w:rsidR="002B5E94" w:rsidRPr="0093111E" w:rsidRDefault="002B5E94" w:rsidP="0093111E"/>
    <w:p w14:paraId="40B2BB76" w14:textId="63EAC371" w:rsidR="005D6787" w:rsidRPr="00814EBC" w:rsidRDefault="005D6787" w:rsidP="005D6787">
      <w:pPr>
        <w:spacing w:before="240"/>
        <w:rPr>
          <w:b/>
          <w:bCs/>
        </w:rPr>
      </w:pPr>
    </w:p>
    <w:p w14:paraId="02D51886" w14:textId="77777777" w:rsidR="00B506C5" w:rsidRPr="00B506C5" w:rsidRDefault="00B506C5" w:rsidP="00995034">
      <w:pPr>
        <w:rPr>
          <w:b/>
          <w:bCs/>
          <w:color w:val="002060"/>
        </w:rPr>
      </w:pPr>
    </w:p>
    <w:sectPr w:rsidR="00B506C5" w:rsidRPr="00B506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929332" w14:textId="77777777" w:rsidR="00614FC8" w:rsidRDefault="00614FC8" w:rsidP="00985B35">
      <w:pPr>
        <w:spacing w:after="0" w:line="240" w:lineRule="auto"/>
      </w:pPr>
      <w:r>
        <w:separator/>
      </w:r>
    </w:p>
  </w:endnote>
  <w:endnote w:type="continuationSeparator" w:id="0">
    <w:p w14:paraId="42D70222" w14:textId="77777777" w:rsidR="00614FC8" w:rsidRDefault="00614FC8" w:rsidP="00985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A400A6" w14:textId="77777777" w:rsidR="00614FC8" w:rsidRDefault="00614FC8" w:rsidP="00985B35">
      <w:pPr>
        <w:spacing w:after="0" w:line="240" w:lineRule="auto"/>
      </w:pPr>
      <w:r>
        <w:separator/>
      </w:r>
    </w:p>
  </w:footnote>
  <w:footnote w:type="continuationSeparator" w:id="0">
    <w:p w14:paraId="0967DBA6" w14:textId="77777777" w:rsidR="00614FC8" w:rsidRDefault="00614FC8" w:rsidP="00985B35">
      <w:pPr>
        <w:spacing w:after="0" w:line="240" w:lineRule="auto"/>
      </w:pPr>
      <w:r>
        <w:continuationSeparator/>
      </w:r>
    </w:p>
  </w:footnote>
  <w:footnote w:id="1">
    <w:p w14:paraId="3DFB8B70" w14:textId="617C33FB" w:rsidR="00985B35" w:rsidRPr="00FF35B0" w:rsidRDefault="00985B35" w:rsidP="00FF35B0">
      <w:pPr>
        <w:spacing w:before="240"/>
        <w:rPr>
          <w:i/>
          <w:iCs/>
        </w:rPr>
      </w:pPr>
      <w:r>
        <w:rPr>
          <w:rStyle w:val="FootnoteReference"/>
        </w:rPr>
        <w:footnoteRef/>
      </w:r>
      <w:r>
        <w:t xml:space="preserve"> </w:t>
      </w:r>
      <w:r w:rsidR="00FF35B0">
        <w:t xml:space="preserve">Confucius. James </w:t>
      </w:r>
      <w:proofErr w:type="spellStart"/>
      <w:r>
        <w:t>Legge</w:t>
      </w:r>
      <w:proofErr w:type="spellEnd"/>
      <w:r>
        <w:t xml:space="preserve">, </w:t>
      </w:r>
      <w:r>
        <w:rPr>
          <w:i/>
          <w:iCs/>
        </w:rPr>
        <w:t xml:space="preserve">Confucian Analects, The Great Learning and The Doctrine of the Mean. </w:t>
      </w:r>
      <w:r w:rsidRPr="00F722E9">
        <w:t>https</w:t>
      </w:r>
      <w:r w:rsidRPr="00075E4C">
        <w:t>://www-fulcrum-org.ezproxy.uwtsd.ac.uk/concern/monographs/8s45q929d accessed 27 May 2020</w:t>
      </w:r>
      <w:r w:rsidR="00FF35B0">
        <w:t xml:space="preserve"> p 35</w:t>
      </w:r>
    </w:p>
  </w:footnote>
  <w:footnote w:id="2">
    <w:p w14:paraId="0F89195D" w14:textId="33D0849C" w:rsidR="00FF35B0" w:rsidRDefault="00FF35B0">
      <w:pPr>
        <w:pStyle w:val="FootnoteText"/>
      </w:pPr>
      <w:r>
        <w:rPr>
          <w:rStyle w:val="FootnoteReference"/>
        </w:rPr>
        <w:footnoteRef/>
      </w:r>
      <w:r>
        <w:t xml:space="preserve"> ibid</w:t>
      </w:r>
    </w:p>
  </w:footnote>
  <w:footnote w:id="3">
    <w:p w14:paraId="4362F1DC" w14:textId="73A5CC75" w:rsidR="00FF35B0" w:rsidRDefault="00FF35B0">
      <w:pPr>
        <w:pStyle w:val="FootnoteText"/>
      </w:pPr>
      <w:r>
        <w:rPr>
          <w:rStyle w:val="FootnoteReference"/>
        </w:rPr>
        <w:footnoteRef/>
      </w:r>
      <w:r>
        <w:t xml:space="preserve"> Ibid p 36</w:t>
      </w:r>
    </w:p>
  </w:footnote>
  <w:footnote w:id="4">
    <w:p w14:paraId="15E41CB1" w14:textId="503CE51C" w:rsidR="00FF35B0" w:rsidRDefault="00FF35B0">
      <w:pPr>
        <w:pStyle w:val="FootnoteText"/>
      </w:pPr>
      <w:r>
        <w:rPr>
          <w:rStyle w:val="FootnoteReference"/>
        </w:rPr>
        <w:footnoteRef/>
      </w:r>
      <w:r>
        <w:t xml:space="preserve"> ibid</w:t>
      </w:r>
    </w:p>
  </w:footnote>
  <w:footnote w:id="5">
    <w:p w14:paraId="4A6B50CB" w14:textId="7C694DC3" w:rsidR="00FF35B0" w:rsidRDefault="00FF35B0">
      <w:pPr>
        <w:pStyle w:val="FootnoteText"/>
      </w:pPr>
      <w:r>
        <w:rPr>
          <w:rStyle w:val="FootnoteReference"/>
        </w:rPr>
        <w:footnoteRef/>
      </w:r>
      <w:r>
        <w:t xml:space="preserve"> Ibid p 44</w:t>
      </w:r>
    </w:p>
  </w:footnote>
  <w:footnote w:id="6">
    <w:p w14:paraId="257B92E7" w14:textId="491FDD7B" w:rsidR="00FF35B0" w:rsidRDefault="00FF35B0">
      <w:pPr>
        <w:pStyle w:val="FootnoteText"/>
      </w:pPr>
      <w:r>
        <w:rPr>
          <w:rStyle w:val="FootnoteReference"/>
        </w:rPr>
        <w:footnoteRef/>
      </w:r>
      <w:r>
        <w:t xml:space="preserve"> </w:t>
      </w:r>
      <w:r w:rsidR="00152CD6">
        <w:t>Ibid p 45</w:t>
      </w:r>
    </w:p>
  </w:footnote>
  <w:footnote w:id="7">
    <w:p w14:paraId="515F3ECA" w14:textId="67A25DB5" w:rsidR="00152CD6" w:rsidRDefault="00152CD6">
      <w:pPr>
        <w:pStyle w:val="FootnoteText"/>
      </w:pPr>
      <w:r>
        <w:rPr>
          <w:rStyle w:val="FootnoteReference"/>
        </w:rPr>
        <w:footnoteRef/>
      </w:r>
      <w:r>
        <w:t xml:space="preserve"> ibid</w:t>
      </w:r>
    </w:p>
  </w:footnote>
  <w:footnote w:id="8">
    <w:p w14:paraId="3E12D7F5" w14:textId="7DDE40B5" w:rsidR="00152CD6" w:rsidRDefault="00152CD6">
      <w:pPr>
        <w:pStyle w:val="FootnoteText"/>
      </w:pPr>
      <w:r>
        <w:rPr>
          <w:rStyle w:val="FootnoteReference"/>
        </w:rPr>
        <w:footnoteRef/>
      </w:r>
      <w:r>
        <w:t xml:space="preserve"> Ibid p46</w:t>
      </w:r>
    </w:p>
  </w:footnote>
  <w:footnote w:id="9">
    <w:p w14:paraId="668C2B58" w14:textId="7AC47211" w:rsidR="00152CD6" w:rsidRDefault="00152CD6" w:rsidP="000E1784">
      <w:pPr>
        <w:spacing w:before="240"/>
      </w:pPr>
      <w:r>
        <w:rPr>
          <w:rStyle w:val="FootnoteReference"/>
        </w:rPr>
        <w:footnoteRef/>
      </w:r>
      <w:r>
        <w:t xml:space="preserve"> Both Aristotle and Confucius use the analogy of hitting a target, in reference to the Mean. “To miss the mark easy to hit it is difficult.” </w:t>
      </w:r>
      <w:r w:rsidR="000E1784">
        <w:t xml:space="preserve">Aristotle, </w:t>
      </w:r>
      <w:r w:rsidR="000E1784">
        <w:rPr>
          <w:i/>
          <w:iCs/>
        </w:rPr>
        <w:t xml:space="preserve">The Nicomachean Ethics, </w:t>
      </w:r>
      <w:r w:rsidR="000E1784">
        <w:t>translated by David Ross (Oxford University Press, 1991) p 38</w:t>
      </w:r>
      <w:r>
        <w:t xml:space="preserve">[1006b] This also illustrates that the virtuous path is not an easy one. We see similarities in Edward </w:t>
      </w:r>
      <w:proofErr w:type="spellStart"/>
      <w:r>
        <w:t>Sling</w:t>
      </w:r>
      <w:r w:rsidR="00A22ED5">
        <w:t>l</w:t>
      </w:r>
      <w:r>
        <w:t>and</w:t>
      </w:r>
      <w:r w:rsidR="00A22ED5">
        <w:t>er’</w:t>
      </w:r>
      <w:r>
        <w:t>s</w:t>
      </w:r>
      <w:proofErr w:type="spellEnd"/>
      <w:r>
        <w:t xml:space="preserve"> translation of the Analects “The word for </w:t>
      </w:r>
      <w:r w:rsidR="00A22ED5">
        <w:t>‘hitting the bullseye’ (Zhong) was most commonly understood in in its metaphoric meaning of ‘the mean’ of virtue, and as with virtue success in archery could only be obtained by a person focused on their inner state rather than external success</w:t>
      </w:r>
      <w:r w:rsidR="000E1784">
        <w:t>.</w:t>
      </w:r>
      <w:r w:rsidR="00A22ED5">
        <w:t>”</w:t>
      </w:r>
      <w:r w:rsidR="000E1784">
        <w:t xml:space="preserve"> </w:t>
      </w:r>
      <w:r w:rsidR="00A22ED5" w:rsidRPr="002B5E94">
        <w:t>https://moodle.uwtsd.ac.uk/pluginfile.php/371658/mod_resource/content/1/Confucius_Analects_translated_by_Edward_Slingerland.pdf</w:t>
      </w:r>
      <w:r w:rsidR="00A22ED5">
        <w:t xml:space="preserve"> accessed 27.05.2020 p 19</w:t>
      </w:r>
    </w:p>
  </w:footnote>
  <w:footnote w:id="10">
    <w:p w14:paraId="7FED812D" w14:textId="3D6D095A" w:rsidR="0000212E" w:rsidRDefault="000E1784">
      <w:pPr>
        <w:pStyle w:val="FootnoteText"/>
      </w:pPr>
      <w:r>
        <w:rPr>
          <w:rStyle w:val="FootnoteReference"/>
        </w:rPr>
        <w:footnoteRef/>
      </w:r>
      <w:r>
        <w:t xml:space="preserve"> </w:t>
      </w:r>
      <w:proofErr w:type="spellStart"/>
      <w:r>
        <w:t>Legge</w:t>
      </w:r>
      <w:proofErr w:type="spellEnd"/>
      <w:r>
        <w:t xml:space="preserve"> p 46. </w:t>
      </w:r>
      <w:proofErr w:type="spellStart"/>
      <w:r w:rsidR="0000212E">
        <w:t>Legge</w:t>
      </w:r>
      <w:proofErr w:type="spellEnd"/>
      <w:r w:rsidR="0000212E">
        <w:t xml:space="preserve"> collects this idea from the authors of the Doctrine of the Mean</w:t>
      </w:r>
      <w:r w:rsidR="0082652A">
        <w:t xml:space="preserve">. </w:t>
      </w:r>
      <w:proofErr w:type="spellStart"/>
      <w:r w:rsidR="0082652A">
        <w:t>Legge</w:t>
      </w:r>
      <w:proofErr w:type="spellEnd"/>
      <w:r w:rsidR="0082652A">
        <w:t xml:space="preserve"> makes the further claim that of this moral nature “as he possesses it, absolutely and relatively</w:t>
      </w:r>
      <w:r w:rsidR="002649EA">
        <w:t>, in perfection, or attains to such possession of it…” that a man may possess or attain such that is reference to an innate or learnt nature.</w:t>
      </w:r>
    </w:p>
  </w:footnote>
  <w:footnote w:id="11">
    <w:p w14:paraId="6F4ECD64" w14:textId="0AB2DC36" w:rsidR="000E1784" w:rsidRDefault="000E1784" w:rsidP="000E1784">
      <w:pPr>
        <w:spacing w:before="240"/>
      </w:pPr>
      <w:r>
        <w:rPr>
          <w:rStyle w:val="FootnoteReference"/>
        </w:rPr>
        <w:footnoteRef/>
      </w:r>
      <w:r>
        <w:t xml:space="preserve"> Ted </w:t>
      </w:r>
      <w:proofErr w:type="spellStart"/>
      <w:r>
        <w:t>Honderich</w:t>
      </w:r>
      <w:proofErr w:type="spellEnd"/>
      <w:r>
        <w:t xml:space="preserve">, ed., </w:t>
      </w:r>
      <w:r>
        <w:rPr>
          <w:i/>
          <w:iCs/>
        </w:rPr>
        <w:t xml:space="preserve">The Oxford Companion to Philosophy </w:t>
      </w:r>
      <w:r>
        <w:t>(Oxford University Press 1995)</w:t>
      </w:r>
      <w:r w:rsidR="002649EA">
        <w:t xml:space="preserve"> p540</w:t>
      </w:r>
    </w:p>
    <w:p w14:paraId="62C7986A" w14:textId="3D2A6DBD" w:rsidR="000E1784" w:rsidRDefault="000E1784">
      <w:pPr>
        <w:pStyle w:val="FootnoteText"/>
      </w:pPr>
    </w:p>
  </w:footnote>
  <w:footnote w:id="12">
    <w:p w14:paraId="29307FDC" w14:textId="0BF7FC21" w:rsidR="002649EA" w:rsidRDefault="002649EA">
      <w:pPr>
        <w:pStyle w:val="FootnoteText"/>
      </w:pPr>
      <w:r>
        <w:rPr>
          <w:rStyle w:val="FootnoteReference"/>
        </w:rPr>
        <w:footnoteRef/>
      </w:r>
      <w:r>
        <w:t xml:space="preserve"> ibid</w:t>
      </w:r>
    </w:p>
  </w:footnote>
  <w:footnote w:id="13">
    <w:p w14:paraId="61878B02" w14:textId="54509361" w:rsidR="002649EA" w:rsidRDefault="002649EA" w:rsidP="002649EA">
      <w:pPr>
        <w:spacing w:before="240"/>
      </w:pPr>
      <w:r>
        <w:rPr>
          <w:rStyle w:val="FootnoteReference"/>
        </w:rPr>
        <w:footnoteRef/>
      </w:r>
      <w:r>
        <w:t xml:space="preserve"> Gregory R. </w:t>
      </w:r>
      <w:proofErr w:type="spellStart"/>
      <w:r>
        <w:t>Beabout</w:t>
      </w:r>
      <w:proofErr w:type="spellEnd"/>
      <w:r>
        <w:t xml:space="preserve">, </w:t>
      </w:r>
      <w:r>
        <w:rPr>
          <w:i/>
          <w:iCs/>
        </w:rPr>
        <w:t xml:space="preserve">Ethics – The Art of Character </w:t>
      </w:r>
      <w:r>
        <w:t>(Glastonbury: Wooden Books Ltd, 2016) p 21</w:t>
      </w:r>
    </w:p>
  </w:footnote>
  <w:footnote w:id="14">
    <w:p w14:paraId="03BBEC35" w14:textId="05E4B5D7" w:rsidR="002649EA" w:rsidRDefault="002649EA">
      <w:pPr>
        <w:pStyle w:val="FootnoteText"/>
      </w:pPr>
      <w:r>
        <w:rPr>
          <w:rStyle w:val="FootnoteReference"/>
        </w:rPr>
        <w:footnoteRef/>
      </w:r>
      <w:r>
        <w:t xml:space="preserve"> Ibid p24</w:t>
      </w:r>
    </w:p>
  </w:footnote>
  <w:footnote w:id="15">
    <w:p w14:paraId="5A9BF206" w14:textId="74C63BD1" w:rsidR="008B0653" w:rsidRDefault="008B0653">
      <w:pPr>
        <w:pStyle w:val="FootnoteText"/>
      </w:pPr>
      <w:r>
        <w:rPr>
          <w:rStyle w:val="FootnoteReference"/>
        </w:rPr>
        <w:footnoteRef/>
      </w:r>
      <w:r>
        <w:t xml:space="preserve"> ibid</w:t>
      </w:r>
    </w:p>
  </w:footnote>
  <w:footnote w:id="16">
    <w:p w14:paraId="6D0BEFDA" w14:textId="32542825" w:rsidR="008B0653" w:rsidRDefault="008B0653">
      <w:pPr>
        <w:pStyle w:val="FootnoteText"/>
      </w:pPr>
      <w:r>
        <w:rPr>
          <w:rStyle w:val="FootnoteReference"/>
        </w:rPr>
        <w:footnoteRef/>
      </w:r>
      <w:r>
        <w:t xml:space="preserve"> Hamlet Act 1 scene 3. William</w:t>
      </w:r>
      <w:r w:rsidRPr="008B0653">
        <w:t xml:space="preserve"> </w:t>
      </w:r>
      <w:r>
        <w:t xml:space="preserve">Shakespeare, </w:t>
      </w:r>
      <w:r>
        <w:rPr>
          <w:i/>
          <w:iCs/>
        </w:rPr>
        <w:t xml:space="preserve">The Complete Works </w:t>
      </w:r>
      <w:r>
        <w:t xml:space="preserve">(London: Collins, 1966) p1034 </w:t>
      </w:r>
    </w:p>
  </w:footnote>
  <w:footnote w:id="17">
    <w:p w14:paraId="1AA7BC36" w14:textId="6F20D833" w:rsidR="008B0653" w:rsidRDefault="008B0653" w:rsidP="008B0653">
      <w:pPr>
        <w:spacing w:before="240"/>
      </w:pPr>
      <w:r>
        <w:rPr>
          <w:rStyle w:val="FootnoteReference"/>
        </w:rPr>
        <w:footnoteRef/>
      </w:r>
      <w:r>
        <w:t xml:space="preserve"> Aristotle, </w:t>
      </w:r>
      <w:r>
        <w:rPr>
          <w:i/>
          <w:iCs/>
        </w:rPr>
        <w:t xml:space="preserve">The Nicomachean Ethics, </w:t>
      </w:r>
      <w:r>
        <w:t>Translated by David Ross (Oxford University Press, 1991)</w:t>
      </w:r>
      <w:r w:rsidR="00CF7359">
        <w:t xml:space="preserve"> </w:t>
      </w:r>
      <w:r>
        <w:t>p 37 [1106a]</w:t>
      </w:r>
    </w:p>
  </w:footnote>
  <w:footnote w:id="18">
    <w:p w14:paraId="02A05006" w14:textId="5AEC4EA2" w:rsidR="008B0653" w:rsidRDefault="008B0653">
      <w:pPr>
        <w:pStyle w:val="FootnoteText"/>
      </w:pPr>
      <w:r>
        <w:rPr>
          <w:rStyle w:val="FootnoteReference"/>
        </w:rPr>
        <w:footnoteRef/>
      </w:r>
      <w:r>
        <w:t xml:space="preserve"> ibid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8FD"/>
    <w:rsid w:val="0000212E"/>
    <w:rsid w:val="000144F5"/>
    <w:rsid w:val="00017273"/>
    <w:rsid w:val="00075E4C"/>
    <w:rsid w:val="000E1784"/>
    <w:rsid w:val="00117E37"/>
    <w:rsid w:val="00121DB6"/>
    <w:rsid w:val="00125A82"/>
    <w:rsid w:val="00152CD6"/>
    <w:rsid w:val="001A0569"/>
    <w:rsid w:val="001C3C8D"/>
    <w:rsid w:val="002649EA"/>
    <w:rsid w:val="002A5E44"/>
    <w:rsid w:val="002B5E94"/>
    <w:rsid w:val="0037030A"/>
    <w:rsid w:val="003F0EE9"/>
    <w:rsid w:val="004328BC"/>
    <w:rsid w:val="004E6FBF"/>
    <w:rsid w:val="00556B9B"/>
    <w:rsid w:val="005A0BBE"/>
    <w:rsid w:val="005A2FD0"/>
    <w:rsid w:val="005B6345"/>
    <w:rsid w:val="005D6787"/>
    <w:rsid w:val="00612674"/>
    <w:rsid w:val="00613D84"/>
    <w:rsid w:val="00614FC8"/>
    <w:rsid w:val="00626F1A"/>
    <w:rsid w:val="00674802"/>
    <w:rsid w:val="006F64D3"/>
    <w:rsid w:val="007308FD"/>
    <w:rsid w:val="00756463"/>
    <w:rsid w:val="007E5B60"/>
    <w:rsid w:val="00814EBC"/>
    <w:rsid w:val="0082652A"/>
    <w:rsid w:val="00857A6C"/>
    <w:rsid w:val="00876BD4"/>
    <w:rsid w:val="008B0653"/>
    <w:rsid w:val="008B4ED0"/>
    <w:rsid w:val="0093111E"/>
    <w:rsid w:val="009434A9"/>
    <w:rsid w:val="00957E8A"/>
    <w:rsid w:val="00985B35"/>
    <w:rsid w:val="00995034"/>
    <w:rsid w:val="00A22ED5"/>
    <w:rsid w:val="00A23A64"/>
    <w:rsid w:val="00B06711"/>
    <w:rsid w:val="00B350BD"/>
    <w:rsid w:val="00B452B2"/>
    <w:rsid w:val="00B506C5"/>
    <w:rsid w:val="00BD381D"/>
    <w:rsid w:val="00C8026E"/>
    <w:rsid w:val="00CA2327"/>
    <w:rsid w:val="00CF7359"/>
    <w:rsid w:val="00D11F00"/>
    <w:rsid w:val="00D5084E"/>
    <w:rsid w:val="00D75BB2"/>
    <w:rsid w:val="00F05A72"/>
    <w:rsid w:val="00F101A2"/>
    <w:rsid w:val="00F514A4"/>
    <w:rsid w:val="00F722E9"/>
    <w:rsid w:val="00FE2A97"/>
    <w:rsid w:val="00FF3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204F4"/>
  <w15:chartTrackingRefBased/>
  <w15:docId w15:val="{52C1D8EF-4624-42C7-B69D-460C3C2CF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A2F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2FD0"/>
    <w:rPr>
      <w:rFonts w:ascii="Segoe UI" w:hAnsi="Segoe UI" w:cs="Segoe UI"/>
      <w:sz w:val="18"/>
      <w:szCs w:val="18"/>
    </w:rPr>
  </w:style>
  <w:style w:type="paragraph" w:styleId="FootnoteText">
    <w:name w:val="footnote text"/>
    <w:basedOn w:val="Normal"/>
    <w:link w:val="FootnoteTextChar"/>
    <w:uiPriority w:val="99"/>
    <w:semiHidden/>
    <w:unhideWhenUsed/>
    <w:rsid w:val="00985B3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85B35"/>
    <w:rPr>
      <w:sz w:val="20"/>
      <w:szCs w:val="20"/>
    </w:rPr>
  </w:style>
  <w:style w:type="character" w:styleId="FootnoteReference">
    <w:name w:val="footnote reference"/>
    <w:basedOn w:val="DefaultParagraphFont"/>
    <w:uiPriority w:val="99"/>
    <w:semiHidden/>
    <w:unhideWhenUsed/>
    <w:rsid w:val="00985B3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424D21-5B5E-4CB4-9A18-E06534C8E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614</TotalTime>
  <Pages>5</Pages>
  <Words>1909</Words>
  <Characters>10882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Wendie Kosek (1710841)</dc:creator>
  <cp:keywords/>
  <dc:description/>
  <cp:lastModifiedBy>Wendie Kosek (1710841)</cp:lastModifiedBy>
  <cp:revision>22</cp:revision>
  <cp:lastPrinted>2020-06-03T12:13:00Z</cp:lastPrinted>
  <dcterms:created xsi:type="dcterms:W3CDTF">2020-05-31T08:46:00Z</dcterms:created>
  <dcterms:modified xsi:type="dcterms:W3CDTF">2020-06-06T12:41:00Z</dcterms:modified>
</cp:coreProperties>
</file>