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2331A07C"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B64921" w:rsidRPr="00B64921">
        <w:rPr>
          <w:rFonts w:ascii="Arial" w:hAnsi="Arial" w:cs="Arial"/>
          <w:b/>
          <w:bCs/>
          <w:sz w:val="28"/>
          <w:szCs w:val="28"/>
        </w:rPr>
        <w:t>Component 2 Written Assignment (Research report)</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4F5444D9" w:rsidR="00715990" w:rsidRPr="004068D7" w:rsidRDefault="00715990" w:rsidP="00041A5A">
      <w:pPr>
        <w:spacing w:line="360" w:lineRule="auto"/>
        <w:rPr>
          <w:rFonts w:ascii="Arial" w:hAnsi="Arial" w:cs="Arial"/>
          <w:sz w:val="28"/>
          <w:szCs w:val="28"/>
        </w:rPr>
      </w:pPr>
      <w:r w:rsidRPr="004068D7">
        <w:rPr>
          <w:rFonts w:ascii="Arial" w:hAnsi="Arial" w:cs="Arial"/>
          <w:b/>
          <w:bCs/>
          <w:sz w:val="28"/>
          <w:szCs w:val="28"/>
        </w:rPr>
        <w:t>Student ID</w:t>
      </w:r>
      <w:r w:rsidRPr="004068D7">
        <w:rPr>
          <w:rFonts w:ascii="Arial" w:hAnsi="Arial" w:cs="Arial"/>
          <w:sz w:val="28"/>
          <w:szCs w:val="28"/>
        </w:rPr>
        <w:t xml:space="preserve">: </w:t>
      </w:r>
      <w:r w:rsidR="00733813" w:rsidRPr="004068D7">
        <w:rPr>
          <w:rFonts w:ascii="Arial" w:hAnsi="Arial" w:cs="Arial"/>
          <w:sz w:val="28"/>
          <w:szCs w:val="28"/>
        </w:rPr>
        <w:t>2328061</w:t>
      </w:r>
    </w:p>
    <w:p w14:paraId="01D5D8DB" w14:textId="03ED09ED" w:rsidR="00FF5B70" w:rsidRPr="004068D7" w:rsidRDefault="00FF5B70" w:rsidP="00041A5A">
      <w:pPr>
        <w:spacing w:line="360" w:lineRule="auto"/>
        <w:rPr>
          <w:rFonts w:ascii="Arial" w:hAnsi="Arial" w:cs="Arial"/>
          <w:sz w:val="28"/>
          <w:szCs w:val="28"/>
        </w:rPr>
      </w:pPr>
    </w:p>
    <w:p w14:paraId="37A27DB3" w14:textId="05998E87" w:rsidR="00FF5B70" w:rsidRPr="00733813" w:rsidRDefault="00FF5B70" w:rsidP="00041A5A">
      <w:pPr>
        <w:spacing w:line="360" w:lineRule="auto"/>
        <w:rPr>
          <w:rFonts w:ascii="Arial" w:hAnsi="Arial" w:cs="Arial"/>
          <w:sz w:val="28"/>
          <w:szCs w:val="28"/>
        </w:rPr>
      </w:pPr>
      <w:r w:rsidRPr="00733813">
        <w:rPr>
          <w:rFonts w:ascii="Arial" w:hAnsi="Arial" w:cs="Arial"/>
          <w:b/>
          <w:bCs/>
          <w:sz w:val="28"/>
          <w:szCs w:val="28"/>
        </w:rPr>
        <w:t>Student Name</w:t>
      </w:r>
      <w:r w:rsidRPr="00733813">
        <w:rPr>
          <w:rFonts w:ascii="Arial" w:hAnsi="Arial" w:cs="Arial"/>
          <w:sz w:val="28"/>
          <w:szCs w:val="28"/>
        </w:rPr>
        <w:t xml:space="preserve">: </w:t>
      </w:r>
      <w:r w:rsidR="00733813" w:rsidRPr="00733813">
        <w:rPr>
          <w:rFonts w:ascii="Arial" w:hAnsi="Arial" w:cs="Arial"/>
          <w:sz w:val="28"/>
          <w:szCs w:val="28"/>
        </w:rPr>
        <w:t>Cristea Florin C</w:t>
      </w:r>
      <w:r w:rsidR="00733813">
        <w:rPr>
          <w:rFonts w:ascii="Arial" w:hAnsi="Arial" w:cs="Arial"/>
          <w:sz w:val="28"/>
          <w:szCs w:val="28"/>
        </w:rPr>
        <w:t xml:space="preserve">ristian </w:t>
      </w:r>
    </w:p>
    <w:p w14:paraId="638A4615" w14:textId="77777777" w:rsidR="00715990" w:rsidRPr="00733813" w:rsidRDefault="00715990" w:rsidP="00041A5A">
      <w:pPr>
        <w:spacing w:line="360" w:lineRule="auto"/>
        <w:rPr>
          <w:rFonts w:ascii="Arial" w:hAnsi="Arial" w:cs="Arial"/>
          <w:sz w:val="28"/>
          <w:szCs w:val="28"/>
        </w:rPr>
      </w:pPr>
    </w:p>
    <w:p w14:paraId="0B04E018" w14:textId="22CD3DDE"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1934B8">
        <w:rPr>
          <w:rFonts w:ascii="Arial" w:hAnsi="Arial" w:cs="Arial"/>
          <w:sz w:val="28"/>
          <w:szCs w:val="28"/>
        </w:rPr>
        <w:t>12</w:t>
      </w:r>
      <w:r w:rsidR="00733813">
        <w:rPr>
          <w:rFonts w:ascii="Arial" w:hAnsi="Arial" w:cs="Arial"/>
          <w:sz w:val="28"/>
          <w:szCs w:val="28"/>
        </w:rPr>
        <w:t>.0</w:t>
      </w:r>
      <w:r w:rsidR="001934B8">
        <w:rPr>
          <w:rFonts w:ascii="Arial" w:hAnsi="Arial" w:cs="Arial"/>
          <w:sz w:val="28"/>
          <w:szCs w:val="28"/>
        </w:rPr>
        <w:t>8</w:t>
      </w:r>
      <w:r w:rsidR="00733813">
        <w:rPr>
          <w:rFonts w:ascii="Arial" w:hAnsi="Arial" w:cs="Arial"/>
          <w:sz w:val="28"/>
          <w:szCs w:val="28"/>
        </w:rPr>
        <w:t>.2026</w:t>
      </w:r>
    </w:p>
    <w:p w14:paraId="19AA26A9" w14:textId="2F99F205" w:rsidR="00FF5B70" w:rsidRPr="00AD0E8D" w:rsidRDefault="00FF5B70" w:rsidP="00041A5A">
      <w:pPr>
        <w:spacing w:line="360" w:lineRule="auto"/>
        <w:rPr>
          <w:rFonts w:ascii="Arial" w:hAnsi="Arial" w:cs="Arial"/>
          <w:sz w:val="28"/>
          <w:szCs w:val="28"/>
        </w:rPr>
      </w:pPr>
    </w:p>
    <w:p w14:paraId="3FE66E60" w14:textId="436455CE"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733813" w:rsidRPr="00733813">
        <w:rPr>
          <w:rFonts w:ascii="Arial" w:hAnsi="Arial" w:cs="Arial"/>
          <w:b/>
          <w:bCs/>
          <w:sz w:val="28"/>
          <w:szCs w:val="28"/>
        </w:rPr>
        <w:t>Eleni Koutsogeorgou-Andreou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3BDC5CBA" w14:textId="77777777" w:rsidR="00850EE9" w:rsidRPr="00850EE9" w:rsidRDefault="004068D7" w:rsidP="00850EE9">
      <w:pPr>
        <w:pStyle w:val="ListParagraph"/>
        <w:numPr>
          <w:ilvl w:val="0"/>
          <w:numId w:val="2"/>
        </w:numPr>
        <w:spacing w:line="360" w:lineRule="auto"/>
        <w:rPr>
          <w:rFonts w:ascii="Arial" w:hAnsi="Arial" w:cs="Arial"/>
          <w:sz w:val="22"/>
        </w:rPr>
      </w:pPr>
      <w:r w:rsidRPr="00850EE9">
        <w:rPr>
          <w:rFonts w:ascii="Arial" w:hAnsi="Arial" w:cs="Arial"/>
          <w:sz w:val="22"/>
        </w:rPr>
        <w:lastRenderedPageBreak/>
        <w:t xml:space="preserve">Introduction </w:t>
      </w:r>
      <w:r w:rsidRPr="00850EE9">
        <w:rPr>
          <w:rFonts w:ascii="Arial" w:hAnsi="Arial" w:cs="Arial"/>
          <w:sz w:val="22"/>
        </w:rPr>
        <w:br/>
      </w:r>
      <w:r w:rsidRPr="00850EE9">
        <w:rPr>
          <w:rFonts w:ascii="Arial" w:hAnsi="Arial" w:cs="Arial"/>
          <w:sz w:val="22"/>
        </w:rPr>
        <w:br/>
        <w:t xml:space="preserve">Digital technology is increasingly integrated within health and social care. In the UK, it is common for people to use digital systems to book appointments, search for health information, contact professionals, view medical records, monitor health conditions and receive health advice. Digital health can offer opportunities to improve access, independence, communication and involvement. However, digitising health and social care may also exclude people who find it difficult to access or use technology. Older adults are important members of this discussion because they heavily utilise health and social care but can experience digital exclusion at a disproportionate rate. </w:t>
      </w:r>
      <w:r w:rsidRPr="00850EE9">
        <w:rPr>
          <w:rFonts w:ascii="Arial" w:hAnsi="Arial" w:cs="Arial"/>
          <w:sz w:val="22"/>
        </w:rPr>
        <w:br/>
      </w:r>
      <w:r w:rsidRPr="00850EE9">
        <w:rPr>
          <w:rFonts w:ascii="Arial" w:hAnsi="Arial" w:cs="Arial"/>
          <w:sz w:val="22"/>
        </w:rPr>
        <w:br/>
        <w:t xml:space="preserve">Digital health involves the use of technology to support health and wellbeing. It can include electronic records systems, patient portals, mobile applications, telephone consultations, telehealth, wearable technologies, remote monitoring and communication between service users and professionals. Digital inclusion means more than owning a smartphone or having internet access. Having appropriate equipment and connectivity is only one part of digital inclusion. Digital inclusion also involves skills, confidence, motivation and knowing how to use technology effectively. Digital exclusion is likely to occur when individuals lack access, skills, confidence, support or motivation to use digital services. </w:t>
      </w:r>
      <w:r w:rsidRPr="00850EE9">
        <w:rPr>
          <w:rFonts w:ascii="Arial" w:hAnsi="Arial" w:cs="Arial"/>
          <w:sz w:val="22"/>
        </w:rPr>
        <w:br/>
      </w:r>
      <w:r w:rsidRPr="00850EE9">
        <w:rPr>
          <w:rFonts w:ascii="Arial" w:hAnsi="Arial" w:cs="Arial"/>
          <w:sz w:val="22"/>
        </w:rPr>
        <w:br/>
        <w:t xml:space="preserve">While some people are confident using smartphones and computers, other people may struggle with technology. For example, older adults should not be viewed as homogenous group who all lack technological skills. Some may find technology challenging because of a lack of experience, financial circumstances, disability, sensory impairment, dependence on others, health conditions or privacy concerns. NHS England describes older people as a group who may be particularly affected by digital exclusion, especially those aged over 75 years. NHS England also states that digital pathways must be at least as good as alternative options that do not use technology </w:t>
      </w:r>
      <w:r w:rsidRPr="00850EE9">
        <w:rPr>
          <w:rFonts w:ascii="Arial" w:hAnsi="Arial" w:cs="Arial"/>
          <w:sz w:val="22"/>
        </w:rPr>
        <w:br/>
      </w:r>
      <w:r w:rsidRPr="00850EE9">
        <w:rPr>
          <w:rFonts w:ascii="Arial" w:hAnsi="Arial" w:cs="Arial"/>
          <w:sz w:val="22"/>
        </w:rPr>
        <w:br/>
      </w:r>
    </w:p>
    <w:p w14:paraId="56039933" w14:textId="77777777" w:rsidR="00850EE9" w:rsidRPr="00850EE9" w:rsidRDefault="00850EE9" w:rsidP="00850EE9">
      <w:pPr>
        <w:pStyle w:val="ListParagraph"/>
        <w:spacing w:line="360" w:lineRule="auto"/>
        <w:rPr>
          <w:rFonts w:ascii="Arial" w:hAnsi="Arial" w:cs="Arial"/>
          <w:sz w:val="22"/>
        </w:rPr>
      </w:pPr>
    </w:p>
    <w:p w14:paraId="34F4D816" w14:textId="0FDE1621" w:rsidR="004068D7" w:rsidRPr="00850EE9" w:rsidRDefault="004068D7" w:rsidP="00850EE9">
      <w:pPr>
        <w:pStyle w:val="ListParagraph"/>
        <w:spacing w:line="360" w:lineRule="auto"/>
        <w:rPr>
          <w:rFonts w:ascii="Arial" w:hAnsi="Arial" w:cs="Arial"/>
          <w:sz w:val="22"/>
        </w:rPr>
      </w:pPr>
      <w:r w:rsidRPr="00850EE9">
        <w:rPr>
          <w:rFonts w:ascii="Arial" w:hAnsi="Arial" w:cs="Arial"/>
          <w:sz w:val="22"/>
        </w:rPr>
        <w:br/>
      </w:r>
    </w:p>
    <w:p w14:paraId="61E0EC07" w14:textId="77777777" w:rsidR="004068D7" w:rsidRPr="00850EE9" w:rsidRDefault="004068D7" w:rsidP="00850EE9">
      <w:pPr>
        <w:pStyle w:val="ListParagraph"/>
        <w:spacing w:line="360" w:lineRule="auto"/>
        <w:rPr>
          <w:rFonts w:ascii="Arial" w:hAnsi="Arial" w:cs="Arial"/>
          <w:sz w:val="22"/>
        </w:rPr>
      </w:pPr>
    </w:p>
    <w:p w14:paraId="32EF1216" w14:textId="77777777" w:rsidR="004068D7" w:rsidRPr="00850EE9" w:rsidRDefault="004068D7" w:rsidP="00850EE9">
      <w:pPr>
        <w:pStyle w:val="ListParagraph"/>
        <w:numPr>
          <w:ilvl w:val="0"/>
          <w:numId w:val="2"/>
        </w:numPr>
        <w:spacing w:line="360" w:lineRule="auto"/>
        <w:rPr>
          <w:rFonts w:ascii="Arial" w:hAnsi="Arial" w:cs="Arial"/>
          <w:sz w:val="22"/>
        </w:rPr>
      </w:pPr>
      <w:r w:rsidRPr="00850EE9">
        <w:rPr>
          <w:rFonts w:ascii="Arial" w:hAnsi="Arial" w:cs="Arial"/>
          <w:sz w:val="22"/>
        </w:rPr>
        <w:lastRenderedPageBreak/>
        <w:t>Background</w:t>
      </w:r>
    </w:p>
    <w:p w14:paraId="18959CA7" w14:textId="77777777" w:rsidR="004068D7" w:rsidRPr="00850EE9" w:rsidRDefault="004068D7" w:rsidP="00850EE9">
      <w:pPr>
        <w:pStyle w:val="ListParagraph"/>
        <w:spacing w:line="360" w:lineRule="auto"/>
        <w:rPr>
          <w:rFonts w:ascii="Arial" w:hAnsi="Arial" w:cs="Arial"/>
          <w:sz w:val="22"/>
        </w:rPr>
      </w:pPr>
    </w:p>
    <w:p w14:paraId="43CE09BD" w14:textId="63190F9E" w:rsidR="002C5AC0" w:rsidRPr="00850EE9" w:rsidRDefault="004068D7" w:rsidP="00850EE9">
      <w:pPr>
        <w:pStyle w:val="ListParagraph"/>
        <w:spacing w:line="360" w:lineRule="auto"/>
        <w:rPr>
          <w:rFonts w:ascii="Arial" w:hAnsi="Arial" w:cs="Arial"/>
          <w:sz w:val="22"/>
        </w:rPr>
      </w:pPr>
      <w:r w:rsidRPr="00850EE9">
        <w:rPr>
          <w:rFonts w:ascii="Arial" w:hAnsi="Arial" w:cs="Arial"/>
          <w:sz w:val="22"/>
        </w:rPr>
        <w:t xml:space="preserve">Digital transformation has already taken significant hold within health and social care in the UK. These services are now well-established within primary care settings, secondary care services and community services. Requirements from NHS England for digital services include online booking and registration for GP services, consultations and viewing medical records (NHS England, 2023). The NHS Long Term Plan also made digital-first primary care one of its priorities for NHS service improvements (NHS England, 2019). </w:t>
      </w:r>
      <w:r w:rsidRPr="00850EE9">
        <w:rPr>
          <w:rFonts w:ascii="Arial" w:hAnsi="Arial" w:cs="Arial"/>
          <w:sz w:val="22"/>
        </w:rPr>
        <w:br/>
        <w:t xml:space="preserve">Digital health includes a number of benefits which could help many older adults. Attending appointments online can save individuals time and travel. Digital services can sometimes provide faster access to information and allow individuals to contact professionals from home. Digital technologies may also promote independence, for example, by allowing older people to track elements of their health or stay in contact with friends, family and professionals. </w:t>
      </w:r>
      <w:r w:rsidRPr="00850EE9">
        <w:rPr>
          <w:rFonts w:ascii="Arial" w:hAnsi="Arial" w:cs="Arial"/>
          <w:sz w:val="22"/>
        </w:rPr>
        <w:br/>
        <w:t xml:space="preserve">Access to digital services also poses risks of creating inequalities. NHS England (2023) estimates that there are 10 million adults in the UK with insufficient foundation digital skills to engage with online services. Older adults are recognised as one of the groups who are at risk of digital exclusion. There are wider determinants of digital exclusion which link to socioeconomic inequalities. For example, older adults that are living in poverty may be unable to afford devices, broadband or mobile data plans. Other individuals may require help from family members or carers to access digital services. </w:t>
      </w:r>
      <w:r w:rsidRPr="00850EE9">
        <w:rPr>
          <w:rFonts w:ascii="Arial" w:hAnsi="Arial" w:cs="Arial"/>
          <w:sz w:val="22"/>
        </w:rPr>
        <w:br/>
        <w:t xml:space="preserve">Policy documents in the UK have recognised that service transformation must not exclude people. NHS England’s Inclusive Digital Healthcare framework states that new digital health and care pathways must aim to be “at least as good” as existing services that use alternative, non-digital channels (NHS England, 2023). This principle is especially important for older adults. Pushing everyone towards digital technology risks widening current inequalities rather than narrowing them. </w:t>
      </w:r>
      <w:r w:rsidRPr="00850EE9">
        <w:rPr>
          <w:rFonts w:ascii="Arial" w:hAnsi="Arial" w:cs="Arial"/>
          <w:sz w:val="22"/>
        </w:rPr>
        <w:br/>
        <w:t xml:space="preserve">Accessible Information Standard also provides important considerations that should be applied to digital services. The standard states that NHS and adult social care organisations must work to identify, record, flag, share, meet and review individuals’ communication and information needs. The refreshed standard specifically says that individuals should be able to access and understand information about health and care services, and receive support to communicate if required (NHSE, 2025a). Digital services must be designed which consider accessibility. For example, healthcare providers should consider how their services can be used by people with sensory </w:t>
      </w:r>
      <w:r w:rsidRPr="00850EE9">
        <w:rPr>
          <w:rFonts w:ascii="Arial" w:hAnsi="Arial" w:cs="Arial"/>
          <w:sz w:val="22"/>
        </w:rPr>
        <w:lastRenderedPageBreak/>
        <w:t xml:space="preserve">impairments and other disabilities. </w:t>
      </w:r>
      <w:r w:rsidRPr="00850EE9">
        <w:rPr>
          <w:rFonts w:ascii="Arial" w:hAnsi="Arial" w:cs="Arial"/>
          <w:sz w:val="22"/>
        </w:rPr>
        <w:br/>
      </w:r>
      <w:r w:rsidRPr="00850EE9">
        <w:rPr>
          <w:rFonts w:ascii="Arial" w:hAnsi="Arial" w:cs="Arial"/>
          <w:sz w:val="22"/>
        </w:rPr>
        <w:br/>
        <w:t xml:space="preserve">Care Act 2014 also has implications for adult social care settings. The Act states that care and support should focus on wellbeing, personal dignity, participation and control. Technology has the potential to support these values by increasing independence and access to helpful information and services. However, services should not become over-reliant on technology in a way that reduces individual’s autonomy or excludes people. </w:t>
      </w:r>
      <w:r w:rsidRPr="00850EE9">
        <w:rPr>
          <w:rFonts w:ascii="Arial" w:hAnsi="Arial" w:cs="Arial"/>
          <w:sz w:val="22"/>
        </w:rPr>
        <w:br/>
      </w:r>
      <w:r w:rsidRPr="00850EE9">
        <w:rPr>
          <w:rFonts w:ascii="Arial" w:hAnsi="Arial" w:cs="Arial"/>
          <w:sz w:val="22"/>
        </w:rPr>
        <w:br/>
      </w:r>
    </w:p>
    <w:p w14:paraId="5C681F29" w14:textId="67327925" w:rsidR="002C5AC0" w:rsidRPr="00850EE9" w:rsidRDefault="00850EE9" w:rsidP="00850EE9">
      <w:pPr>
        <w:spacing w:line="360" w:lineRule="auto"/>
        <w:ind w:left="360"/>
        <w:rPr>
          <w:rFonts w:ascii="Arial" w:hAnsi="Arial" w:cs="Arial"/>
          <w:sz w:val="22"/>
        </w:rPr>
      </w:pPr>
      <w:r w:rsidRPr="00850EE9">
        <w:rPr>
          <w:rFonts w:ascii="Arial" w:hAnsi="Arial" w:cs="Arial"/>
          <w:sz w:val="22"/>
        </w:rPr>
        <w:t>3.</w:t>
      </w:r>
      <w:r w:rsidR="002C5AC0" w:rsidRPr="00850EE9">
        <w:rPr>
          <w:rFonts w:ascii="Arial" w:hAnsi="Arial" w:cs="Arial"/>
          <w:sz w:val="22"/>
        </w:rPr>
        <w:t xml:space="preserve">Methods </w:t>
      </w:r>
      <w:r w:rsidR="002C5AC0" w:rsidRPr="00850EE9">
        <w:rPr>
          <w:rFonts w:ascii="Arial" w:hAnsi="Arial" w:cs="Arial"/>
          <w:sz w:val="22"/>
        </w:rPr>
        <w:br/>
      </w:r>
      <w:r w:rsidR="002C5AC0" w:rsidRPr="00850EE9">
        <w:rPr>
          <w:rFonts w:ascii="Arial" w:hAnsi="Arial" w:cs="Arial"/>
          <w:sz w:val="22"/>
        </w:rPr>
        <w:br/>
        <w:t xml:space="preserve">The scoping review methodology was chosen for this assignment because it aimed to explore existing evidence and identify key themes/topics rather than assessing the effectiveness of one intervention or treatment. It is appropriate to use a scoping review method when research has varied in methodology, population and measured outcomes. </w:t>
      </w:r>
      <w:r w:rsidR="002C5AC0" w:rsidRPr="00850EE9">
        <w:rPr>
          <w:rFonts w:ascii="Arial" w:hAnsi="Arial" w:cs="Arial"/>
          <w:sz w:val="22"/>
        </w:rPr>
        <w:br/>
      </w:r>
      <w:r w:rsidR="002C5AC0" w:rsidRPr="00850EE9">
        <w:rPr>
          <w:rFonts w:ascii="Arial" w:hAnsi="Arial" w:cs="Arial"/>
          <w:sz w:val="22"/>
        </w:rPr>
        <w:br/>
        <w:t xml:space="preserve">The design of the review was informed by the aim and central question. Research was predominantly identified through searching for articles related to barriers, facilitators, and benefits of digital-health among older people in the UK. Peer reviewed articles were used for this review and policy reports/editorials/conference abstracts/opinion pieces were excluded from the main evidence synthesis. </w:t>
      </w:r>
      <w:r w:rsidR="002C5AC0" w:rsidRPr="00850EE9">
        <w:rPr>
          <w:rFonts w:ascii="Arial" w:hAnsi="Arial" w:cs="Arial"/>
          <w:sz w:val="22"/>
        </w:rPr>
        <w:br/>
      </w:r>
      <w:r w:rsidR="002C5AC0" w:rsidRPr="00850EE9">
        <w:rPr>
          <w:rFonts w:ascii="Arial" w:hAnsi="Arial" w:cs="Arial"/>
          <w:sz w:val="22"/>
        </w:rPr>
        <w:br/>
        <w:t xml:space="preserve">Search strategy </w:t>
      </w:r>
      <w:r w:rsidR="002C5AC0" w:rsidRPr="00850EE9">
        <w:rPr>
          <w:rFonts w:ascii="Arial" w:hAnsi="Arial" w:cs="Arial"/>
          <w:sz w:val="22"/>
        </w:rPr>
        <w:br/>
      </w:r>
      <w:r w:rsidR="002C5AC0" w:rsidRPr="00850EE9">
        <w:rPr>
          <w:rFonts w:ascii="Arial" w:hAnsi="Arial" w:cs="Arial"/>
          <w:sz w:val="22"/>
        </w:rPr>
        <w:br/>
        <w:t xml:space="preserve">A search strategy was created based around key concepts from the review question. Terms included: </w:t>
      </w:r>
      <w:r w:rsidR="002C5AC0" w:rsidRPr="00850EE9">
        <w:rPr>
          <w:rFonts w:ascii="Arial" w:hAnsi="Arial" w:cs="Arial"/>
          <w:sz w:val="22"/>
        </w:rPr>
        <w:br/>
      </w:r>
      <w:r w:rsidR="002C5AC0" w:rsidRPr="00850EE9">
        <w:rPr>
          <w:rFonts w:ascii="Arial" w:hAnsi="Arial" w:cs="Arial"/>
          <w:sz w:val="22"/>
        </w:rPr>
        <w:br/>
        <w:t xml:space="preserve">* “older adults” </w:t>
      </w:r>
      <w:r w:rsidR="002C5AC0" w:rsidRPr="00850EE9">
        <w:rPr>
          <w:rFonts w:ascii="Arial" w:hAnsi="Arial" w:cs="Arial"/>
          <w:sz w:val="22"/>
        </w:rPr>
        <w:br/>
        <w:t xml:space="preserve">* “older people” </w:t>
      </w:r>
      <w:r w:rsidR="002C5AC0" w:rsidRPr="00850EE9">
        <w:rPr>
          <w:rFonts w:ascii="Arial" w:hAnsi="Arial" w:cs="Arial"/>
          <w:sz w:val="22"/>
        </w:rPr>
        <w:br/>
        <w:t xml:space="preserve">* “digital health” </w:t>
      </w:r>
      <w:r w:rsidR="002C5AC0" w:rsidRPr="00850EE9">
        <w:rPr>
          <w:rFonts w:ascii="Arial" w:hAnsi="Arial" w:cs="Arial"/>
          <w:sz w:val="22"/>
        </w:rPr>
        <w:br/>
        <w:t xml:space="preserve">* “digital technology” </w:t>
      </w:r>
      <w:r w:rsidR="002C5AC0" w:rsidRPr="00850EE9">
        <w:rPr>
          <w:rFonts w:ascii="Arial" w:hAnsi="Arial" w:cs="Arial"/>
          <w:sz w:val="22"/>
        </w:rPr>
        <w:br/>
        <w:t xml:space="preserve">* “digital inclusion” </w:t>
      </w:r>
      <w:r w:rsidR="002C5AC0" w:rsidRPr="00850EE9">
        <w:rPr>
          <w:rFonts w:ascii="Arial" w:hAnsi="Arial" w:cs="Arial"/>
          <w:sz w:val="22"/>
        </w:rPr>
        <w:br/>
        <w:t xml:space="preserve">* “digital exclusion” </w:t>
      </w:r>
      <w:r w:rsidR="002C5AC0" w:rsidRPr="00850EE9">
        <w:rPr>
          <w:rFonts w:ascii="Arial" w:hAnsi="Arial" w:cs="Arial"/>
          <w:sz w:val="22"/>
        </w:rPr>
        <w:br/>
        <w:t xml:space="preserve">* “healthcare” </w:t>
      </w:r>
      <w:r w:rsidR="002C5AC0" w:rsidRPr="00850EE9">
        <w:rPr>
          <w:rFonts w:ascii="Arial" w:hAnsi="Arial" w:cs="Arial"/>
          <w:sz w:val="22"/>
        </w:rPr>
        <w:br/>
        <w:t xml:space="preserve">* “primary care” </w:t>
      </w:r>
      <w:r w:rsidR="002C5AC0" w:rsidRPr="00850EE9">
        <w:rPr>
          <w:rFonts w:ascii="Arial" w:hAnsi="Arial" w:cs="Arial"/>
          <w:sz w:val="22"/>
        </w:rPr>
        <w:br/>
      </w:r>
      <w:r w:rsidR="002C5AC0" w:rsidRPr="00850EE9">
        <w:rPr>
          <w:rFonts w:ascii="Arial" w:hAnsi="Arial" w:cs="Arial"/>
          <w:sz w:val="22"/>
        </w:rPr>
        <w:lastRenderedPageBreak/>
        <w:t xml:space="preserve">* “NHS” </w:t>
      </w:r>
      <w:r w:rsidR="002C5AC0" w:rsidRPr="00850EE9">
        <w:rPr>
          <w:rFonts w:ascii="Arial" w:hAnsi="Arial" w:cs="Arial"/>
          <w:sz w:val="22"/>
        </w:rPr>
        <w:br/>
        <w:t xml:space="preserve">* “United Kingdom” OR “England” </w:t>
      </w:r>
      <w:r w:rsidR="002C5AC0" w:rsidRPr="00850EE9">
        <w:rPr>
          <w:rFonts w:ascii="Arial" w:hAnsi="Arial" w:cs="Arial"/>
          <w:sz w:val="22"/>
        </w:rPr>
        <w:br/>
        <w:t xml:space="preserve">* “health technology” </w:t>
      </w:r>
      <w:r w:rsidR="002C5AC0" w:rsidRPr="00850EE9">
        <w:rPr>
          <w:rFonts w:ascii="Arial" w:hAnsi="Arial" w:cs="Arial"/>
          <w:sz w:val="22"/>
        </w:rPr>
        <w:br/>
      </w:r>
      <w:r w:rsidR="002C5AC0" w:rsidRPr="00850EE9">
        <w:rPr>
          <w:rFonts w:ascii="Arial" w:hAnsi="Arial" w:cs="Arial"/>
          <w:sz w:val="22"/>
        </w:rPr>
        <w:br/>
        <w:t xml:space="preserve">Inclusion criteria </w:t>
      </w:r>
      <w:r w:rsidR="002C5AC0" w:rsidRPr="00850EE9">
        <w:rPr>
          <w:rFonts w:ascii="Arial" w:hAnsi="Arial" w:cs="Arial"/>
          <w:sz w:val="22"/>
        </w:rPr>
        <w:br/>
      </w:r>
      <w:r w:rsidR="002C5AC0" w:rsidRPr="00850EE9">
        <w:rPr>
          <w:rFonts w:ascii="Arial" w:hAnsi="Arial" w:cs="Arial"/>
          <w:sz w:val="22"/>
        </w:rPr>
        <w:br/>
        <w:t xml:space="preserve">Articles were included in the review if: </w:t>
      </w:r>
      <w:r w:rsidR="002C5AC0" w:rsidRPr="00850EE9">
        <w:rPr>
          <w:rFonts w:ascii="Arial" w:hAnsi="Arial" w:cs="Arial"/>
          <w:sz w:val="22"/>
        </w:rPr>
        <w:br/>
      </w:r>
      <w:r w:rsidR="002C5AC0" w:rsidRPr="00850EE9">
        <w:rPr>
          <w:rFonts w:ascii="Arial" w:hAnsi="Arial" w:cs="Arial"/>
          <w:sz w:val="22"/>
        </w:rPr>
        <w:br/>
        <w:t xml:space="preserve">* they were peer-reviewed academic journal articles; </w:t>
      </w:r>
      <w:r w:rsidR="002C5AC0" w:rsidRPr="00850EE9">
        <w:rPr>
          <w:rFonts w:ascii="Arial" w:hAnsi="Arial" w:cs="Arial"/>
          <w:sz w:val="22"/>
        </w:rPr>
        <w:br/>
        <w:t xml:space="preserve">* focused on or were highly relevant to older adults; </w:t>
      </w:r>
      <w:r w:rsidR="002C5AC0" w:rsidRPr="00850EE9">
        <w:rPr>
          <w:rFonts w:ascii="Arial" w:hAnsi="Arial" w:cs="Arial"/>
          <w:sz w:val="22"/>
        </w:rPr>
        <w:br/>
        <w:t xml:space="preserve">* explored digital technology, digital health or digitalised healthcare; </w:t>
      </w:r>
      <w:r w:rsidR="002C5AC0" w:rsidRPr="00850EE9">
        <w:rPr>
          <w:rFonts w:ascii="Arial" w:hAnsi="Arial" w:cs="Arial"/>
          <w:sz w:val="22"/>
        </w:rPr>
        <w:br/>
        <w:t xml:space="preserve">* discussed experiences, barriers/facilitators to access/trust/use; </w:t>
      </w:r>
      <w:r w:rsidR="002C5AC0" w:rsidRPr="00850EE9">
        <w:rPr>
          <w:rFonts w:ascii="Arial" w:hAnsi="Arial" w:cs="Arial"/>
          <w:sz w:val="22"/>
        </w:rPr>
        <w:br/>
        <w:t xml:space="preserve">* focused on or were highly relevant to health/social care practice in the UK/digital-health in the UK; </w:t>
      </w:r>
      <w:r w:rsidR="002C5AC0" w:rsidRPr="00850EE9">
        <w:rPr>
          <w:rFonts w:ascii="Arial" w:hAnsi="Arial" w:cs="Arial"/>
          <w:sz w:val="22"/>
        </w:rPr>
        <w:br/>
        <w:t xml:space="preserve">* were written in English. </w:t>
      </w:r>
      <w:r w:rsidR="002C5AC0" w:rsidRPr="00850EE9">
        <w:rPr>
          <w:rFonts w:ascii="Arial" w:hAnsi="Arial" w:cs="Arial"/>
          <w:sz w:val="22"/>
        </w:rPr>
        <w:br/>
      </w:r>
      <w:r w:rsidR="002C5AC0" w:rsidRPr="00850EE9">
        <w:rPr>
          <w:rFonts w:ascii="Arial" w:hAnsi="Arial" w:cs="Arial"/>
          <w:sz w:val="22"/>
        </w:rPr>
        <w:br/>
        <w:t xml:space="preserve">Exclusion criteria </w:t>
      </w:r>
      <w:r w:rsidR="002C5AC0" w:rsidRPr="00850EE9">
        <w:rPr>
          <w:rFonts w:ascii="Arial" w:hAnsi="Arial" w:cs="Arial"/>
          <w:sz w:val="22"/>
        </w:rPr>
        <w:br/>
      </w:r>
      <w:r w:rsidR="002C5AC0" w:rsidRPr="00850EE9">
        <w:rPr>
          <w:rFonts w:ascii="Arial" w:hAnsi="Arial" w:cs="Arial"/>
          <w:sz w:val="22"/>
        </w:rPr>
        <w:br/>
        <w:t xml:space="preserve">The literature review excluded: </w:t>
      </w:r>
      <w:r w:rsidR="002C5AC0" w:rsidRPr="00850EE9">
        <w:rPr>
          <w:rFonts w:ascii="Arial" w:hAnsi="Arial" w:cs="Arial"/>
          <w:sz w:val="22"/>
        </w:rPr>
        <w:br/>
      </w:r>
      <w:r w:rsidR="002C5AC0" w:rsidRPr="00850EE9">
        <w:rPr>
          <w:rFonts w:ascii="Arial" w:hAnsi="Arial" w:cs="Arial"/>
          <w:sz w:val="22"/>
        </w:rPr>
        <w:br/>
        <w:t xml:space="preserve">* UK government policy documents (used in the background section); </w:t>
      </w:r>
      <w:r w:rsidR="002C5AC0" w:rsidRPr="00850EE9">
        <w:rPr>
          <w:rFonts w:ascii="Arial" w:hAnsi="Arial" w:cs="Arial"/>
          <w:sz w:val="22"/>
        </w:rPr>
        <w:br/>
        <w:t xml:space="preserve">* NHS guidance (used in the background); </w:t>
      </w:r>
      <w:r w:rsidR="002C5AC0" w:rsidRPr="00850EE9">
        <w:rPr>
          <w:rFonts w:ascii="Arial" w:hAnsi="Arial" w:cs="Arial"/>
          <w:sz w:val="22"/>
        </w:rPr>
        <w:br/>
        <w:t xml:space="preserve">* Professional guidance (used in the background); </w:t>
      </w:r>
      <w:r w:rsidR="002C5AC0" w:rsidRPr="00850EE9">
        <w:rPr>
          <w:rFonts w:ascii="Arial" w:hAnsi="Arial" w:cs="Arial"/>
          <w:sz w:val="22"/>
        </w:rPr>
        <w:br/>
        <w:t xml:space="preserve">* Editorials; </w:t>
      </w:r>
      <w:r w:rsidR="002C5AC0" w:rsidRPr="00850EE9">
        <w:rPr>
          <w:rFonts w:ascii="Arial" w:hAnsi="Arial" w:cs="Arial"/>
          <w:sz w:val="22"/>
        </w:rPr>
        <w:br/>
        <w:t xml:space="preserve">* Conference abstracts/proceedings; </w:t>
      </w:r>
      <w:r w:rsidR="002C5AC0" w:rsidRPr="00850EE9">
        <w:rPr>
          <w:rFonts w:ascii="Arial" w:hAnsi="Arial" w:cs="Arial"/>
          <w:sz w:val="22"/>
        </w:rPr>
        <w:br/>
        <w:t xml:space="preserve">* Opinion pieces; </w:t>
      </w:r>
      <w:r w:rsidR="002C5AC0" w:rsidRPr="00850EE9">
        <w:rPr>
          <w:rFonts w:ascii="Arial" w:hAnsi="Arial" w:cs="Arial"/>
          <w:sz w:val="22"/>
        </w:rPr>
        <w:br/>
        <w:t xml:space="preserve">* Non peer reviewed website articles; </w:t>
      </w:r>
      <w:r w:rsidR="002C5AC0" w:rsidRPr="00850EE9">
        <w:rPr>
          <w:rFonts w:ascii="Arial" w:hAnsi="Arial" w:cs="Arial"/>
          <w:sz w:val="22"/>
        </w:rPr>
        <w:br/>
        <w:t xml:space="preserve">* Studies that do not directly discuss digital technology or focus on older people’s experiences. </w:t>
      </w:r>
      <w:r w:rsidR="002C5AC0" w:rsidRPr="00850EE9">
        <w:rPr>
          <w:rFonts w:ascii="Arial" w:hAnsi="Arial" w:cs="Arial"/>
          <w:sz w:val="22"/>
        </w:rPr>
        <w:br/>
      </w:r>
      <w:r w:rsidR="002C5AC0" w:rsidRPr="00850EE9">
        <w:rPr>
          <w:rFonts w:ascii="Arial" w:hAnsi="Arial" w:cs="Arial"/>
          <w:sz w:val="22"/>
        </w:rPr>
        <w:br/>
        <w:t xml:space="preserve">Government/policy documents were used within the background section of the paper to provide context on the current UK practice and legislative climate. </w:t>
      </w:r>
      <w:r w:rsidR="002C5AC0" w:rsidRPr="00850EE9">
        <w:rPr>
          <w:rFonts w:ascii="Arial" w:hAnsi="Arial" w:cs="Arial"/>
          <w:sz w:val="22"/>
        </w:rPr>
        <w:br/>
      </w:r>
      <w:r w:rsidR="002C5AC0" w:rsidRPr="00850EE9">
        <w:rPr>
          <w:rFonts w:ascii="Arial" w:hAnsi="Arial" w:cs="Arial"/>
          <w:sz w:val="22"/>
        </w:rPr>
        <w:br/>
        <w:t xml:space="preserve">Data analysis </w:t>
      </w:r>
      <w:r w:rsidR="002C5AC0" w:rsidRPr="00850EE9">
        <w:rPr>
          <w:rFonts w:ascii="Arial" w:hAnsi="Arial" w:cs="Arial"/>
          <w:sz w:val="22"/>
        </w:rPr>
        <w:br/>
      </w:r>
      <w:r w:rsidR="002C5AC0" w:rsidRPr="00850EE9">
        <w:rPr>
          <w:rFonts w:ascii="Arial" w:hAnsi="Arial" w:cs="Arial"/>
          <w:sz w:val="22"/>
        </w:rPr>
        <w:br/>
        <w:t xml:space="preserve">The articles were analysed using a thematic analysis. Details were extracted about the study purpose, population, location/settin </w:t>
      </w:r>
      <w:r w:rsidR="002C5AC0" w:rsidRPr="00850EE9">
        <w:rPr>
          <w:rFonts w:ascii="Arial" w:hAnsi="Arial" w:cs="Arial"/>
          <w:sz w:val="22"/>
        </w:rPr>
        <w:br/>
      </w:r>
      <w:r w:rsidR="002C5AC0" w:rsidRPr="00850EE9">
        <w:rPr>
          <w:rFonts w:ascii="Arial" w:hAnsi="Arial" w:cs="Arial"/>
          <w:sz w:val="22"/>
        </w:rPr>
        <w:lastRenderedPageBreak/>
        <w:br/>
        <w:t xml:space="preserve">Usefully were methodologies and primary findings. Key points were compared between articles. </w:t>
      </w:r>
      <w:r w:rsidR="002C5AC0" w:rsidRPr="00850EE9">
        <w:rPr>
          <w:rFonts w:ascii="Arial" w:hAnsi="Arial" w:cs="Arial"/>
          <w:sz w:val="22"/>
        </w:rPr>
        <w:br/>
      </w:r>
      <w:r w:rsidR="002C5AC0" w:rsidRPr="00850EE9">
        <w:rPr>
          <w:rFonts w:ascii="Arial" w:hAnsi="Arial" w:cs="Arial"/>
          <w:sz w:val="22"/>
        </w:rPr>
        <w:br/>
        <w:t xml:space="preserve">Three key themes are discussed in this paper: </w:t>
      </w:r>
      <w:r w:rsidR="002C5AC0" w:rsidRPr="00850EE9">
        <w:rPr>
          <w:rFonts w:ascii="Arial" w:hAnsi="Arial" w:cs="Arial"/>
          <w:sz w:val="22"/>
        </w:rPr>
        <w:br/>
      </w:r>
      <w:r w:rsidR="002C5AC0" w:rsidRPr="00850EE9">
        <w:rPr>
          <w:rFonts w:ascii="Arial" w:hAnsi="Arial" w:cs="Arial"/>
          <w:sz w:val="22"/>
        </w:rPr>
        <w:br/>
        <w:t xml:space="preserve">* Digital exclusion/barriers to digital skills/confidence </w:t>
      </w:r>
      <w:r w:rsidR="002C5AC0" w:rsidRPr="00850EE9">
        <w:rPr>
          <w:rFonts w:ascii="Arial" w:hAnsi="Arial" w:cs="Arial"/>
          <w:sz w:val="22"/>
        </w:rPr>
        <w:br/>
        <w:t xml:space="preserve">* Accessibility/trust/human support </w:t>
      </w:r>
      <w:r w:rsidR="002C5AC0" w:rsidRPr="00850EE9">
        <w:rPr>
          <w:rFonts w:ascii="Arial" w:hAnsi="Arial" w:cs="Arial"/>
          <w:sz w:val="22"/>
        </w:rPr>
        <w:br/>
        <w:t xml:space="preserve">* Benefits/independence/wellbeing </w:t>
      </w:r>
    </w:p>
    <w:p w14:paraId="5CD6B74B" w14:textId="77777777" w:rsidR="002C5AC0" w:rsidRPr="00850EE9" w:rsidRDefault="002C5AC0" w:rsidP="00850EE9">
      <w:pPr>
        <w:pStyle w:val="ListParagraph"/>
        <w:spacing w:line="360" w:lineRule="auto"/>
        <w:rPr>
          <w:rFonts w:ascii="Arial" w:hAnsi="Arial" w:cs="Arial"/>
          <w:sz w:val="22"/>
        </w:rPr>
      </w:pPr>
    </w:p>
    <w:p w14:paraId="5BC91157" w14:textId="0E047A5B" w:rsidR="002C5AC0" w:rsidRPr="00850EE9" w:rsidRDefault="002C5AC0" w:rsidP="00850EE9">
      <w:pPr>
        <w:pStyle w:val="ListParagraph"/>
        <w:spacing w:line="360" w:lineRule="auto"/>
        <w:rPr>
          <w:rFonts w:ascii="Arial" w:hAnsi="Arial" w:cs="Arial"/>
          <w:sz w:val="22"/>
        </w:rPr>
      </w:pPr>
      <w:r w:rsidRPr="00850EE9">
        <w:rPr>
          <w:rFonts w:ascii="Arial" w:hAnsi="Arial" w:cs="Arial"/>
          <w:sz w:val="22"/>
        </w:rPr>
        <w:t xml:space="preserve">Study selection </w:t>
      </w:r>
      <w:r w:rsidRPr="00850EE9">
        <w:rPr>
          <w:rFonts w:ascii="Arial" w:hAnsi="Arial" w:cs="Arial"/>
          <w:sz w:val="22"/>
        </w:rPr>
        <w:br/>
      </w:r>
      <w:r w:rsidRPr="00850EE9">
        <w:rPr>
          <w:rFonts w:ascii="Arial" w:hAnsi="Arial" w:cs="Arial"/>
          <w:sz w:val="22"/>
        </w:rPr>
        <w:br/>
        <w:t xml:space="preserve">Five articles were included in this review. The studies used mixed methodologies, with qualitative studies, mixed-method studies and quantitative studies included. Methodological differences between studies are acceptable because this scoping review sought to identify how wide-reaching the evidence is and understand the patterns that can be measured but also individual lived experiences. </w:t>
      </w:r>
      <w:r w:rsidRPr="00850EE9">
        <w:rPr>
          <w:rFonts w:ascii="Arial" w:hAnsi="Arial" w:cs="Arial"/>
          <w:sz w:val="22"/>
        </w:rPr>
        <w:br/>
      </w:r>
      <w:r w:rsidRPr="00850EE9">
        <w:rPr>
          <w:rFonts w:ascii="Arial" w:hAnsi="Arial" w:cs="Arial"/>
          <w:sz w:val="22"/>
        </w:rPr>
        <w:br/>
        <w:t>The studies used in this review were Wilson (2018), Matthews et al. (2019), Tanhamira et al. (20’24), Ahmed et al. (20’24) and Chadwick et al. (20’24).</w:t>
      </w:r>
      <w:r w:rsidRPr="00850EE9">
        <w:rPr>
          <w:rFonts w:ascii="Arial" w:hAnsi="Arial" w:cs="Arial"/>
          <w:sz w:val="22"/>
        </w:rPr>
        <w:br/>
      </w:r>
      <w:r w:rsidRPr="00850EE9">
        <w:rPr>
          <w:rFonts w:ascii="Arial" w:hAnsi="Arial" w:cs="Arial"/>
          <w:sz w:val="22"/>
        </w:rPr>
        <w:br/>
        <w:t xml:space="preserve">Ethical considerations </w:t>
      </w:r>
      <w:r w:rsidRPr="00850EE9">
        <w:rPr>
          <w:rFonts w:ascii="Arial" w:hAnsi="Arial" w:cs="Arial"/>
          <w:sz w:val="22"/>
        </w:rPr>
        <w:br/>
      </w:r>
      <w:r w:rsidRPr="00850EE9">
        <w:rPr>
          <w:rFonts w:ascii="Arial" w:hAnsi="Arial" w:cs="Arial"/>
          <w:sz w:val="22"/>
        </w:rPr>
        <w:br/>
        <w:t xml:space="preserve">As this assignment does not recruit any participants and used already published data, formal consent was not needed. There are no ethical considerations that directly impact the research methodology. However, ethics is still an important concept in academic research. </w:t>
      </w:r>
      <w:r w:rsidRPr="00850EE9">
        <w:rPr>
          <w:rFonts w:ascii="Arial" w:hAnsi="Arial" w:cs="Arial"/>
          <w:sz w:val="22"/>
        </w:rPr>
        <w:br/>
      </w:r>
      <w:r w:rsidRPr="00850EE9">
        <w:rPr>
          <w:rFonts w:ascii="Arial" w:hAnsi="Arial" w:cs="Arial"/>
          <w:sz w:val="22"/>
        </w:rPr>
        <w:br/>
        <w:t xml:space="preserve">It is the researcher’s responsibility to ensure the original studies are represented accurately, that all quotes and ideas are properly cited using Harvard referencing and that there is no plagiarism in their work. Furthermore, trying to make studies “support” your argument is unethical and incorrect – findings should be reported honestly and not taken out of context. Ensuring academic integrity can be especially important in qualitative research where participants have shared their lived experiences. </w:t>
      </w:r>
      <w:r w:rsidRPr="00850EE9">
        <w:rPr>
          <w:rFonts w:ascii="Arial" w:hAnsi="Arial" w:cs="Arial"/>
          <w:sz w:val="22"/>
        </w:rPr>
        <w:br/>
      </w:r>
      <w:r w:rsidRPr="00850EE9">
        <w:rPr>
          <w:rFonts w:ascii="Arial" w:hAnsi="Arial" w:cs="Arial"/>
          <w:sz w:val="22"/>
        </w:rPr>
        <w:br/>
        <w:t xml:space="preserve">Researchers should also be mindful that discussing older peoples’ health, abilities </w:t>
      </w:r>
      <w:r w:rsidRPr="00850EE9">
        <w:rPr>
          <w:rFonts w:ascii="Arial" w:hAnsi="Arial" w:cs="Arial"/>
          <w:sz w:val="22"/>
        </w:rPr>
        <w:lastRenderedPageBreak/>
        <w:t xml:space="preserve">and technology-use can be a sensitive topic. Some older adults may experience dangerous health inequalities, feel like a burden to their family/carers or be struggling to use digital technology. This review will not utilise quotes that portray older adults as incompetent or seem any individual age group incapable of using technology. Language is used carefully to remind the reader there is diversity of experience within the “older people” population. </w:t>
      </w:r>
    </w:p>
    <w:p w14:paraId="0D1911B0" w14:textId="77777777" w:rsidR="002C5AC0" w:rsidRPr="00850EE9" w:rsidRDefault="002C5AC0" w:rsidP="00850EE9">
      <w:pPr>
        <w:spacing w:line="360" w:lineRule="auto"/>
        <w:rPr>
          <w:rFonts w:ascii="Arial" w:hAnsi="Arial" w:cs="Arial"/>
          <w:sz w:val="22"/>
        </w:rPr>
      </w:pPr>
    </w:p>
    <w:p w14:paraId="46A7F565" w14:textId="77777777" w:rsidR="00857D19" w:rsidRPr="00850EE9" w:rsidRDefault="00857D19" w:rsidP="00850EE9">
      <w:pPr>
        <w:spacing w:line="360" w:lineRule="auto"/>
        <w:rPr>
          <w:rFonts w:ascii="Arial" w:hAnsi="Arial" w:cs="Arial"/>
          <w:sz w:val="22"/>
        </w:rPr>
      </w:pPr>
    </w:p>
    <w:p w14:paraId="5FD60330" w14:textId="77777777" w:rsidR="00857D19" w:rsidRPr="00850EE9" w:rsidRDefault="00857D19" w:rsidP="00850EE9">
      <w:pPr>
        <w:spacing w:line="360" w:lineRule="auto"/>
        <w:rPr>
          <w:rFonts w:ascii="Arial" w:hAnsi="Arial" w:cs="Arial"/>
          <w:sz w:val="22"/>
        </w:rPr>
      </w:pPr>
    </w:p>
    <w:p w14:paraId="70893813" w14:textId="531CABC8" w:rsidR="00857D19" w:rsidRPr="00850EE9" w:rsidRDefault="00857D19" w:rsidP="00850EE9">
      <w:pPr>
        <w:spacing w:line="360" w:lineRule="auto"/>
        <w:rPr>
          <w:rFonts w:ascii="Arial" w:hAnsi="Arial" w:cs="Arial"/>
          <w:sz w:val="22"/>
        </w:rPr>
        <w:sectPr w:rsidR="00857D19" w:rsidRPr="00850EE9" w:rsidSect="002C5AC0">
          <w:footerReference w:type="default" r:id="rId7"/>
          <w:pgSz w:w="11906" w:h="16838" w:code="9"/>
          <w:pgMar w:top="1440" w:right="1440" w:bottom="1440" w:left="1440" w:header="709" w:footer="709" w:gutter="0"/>
          <w:cols w:space="708"/>
          <w:titlePg/>
          <w:docGrid w:linePitch="360"/>
        </w:sectPr>
      </w:pPr>
    </w:p>
    <w:p w14:paraId="5322A7B3" w14:textId="754CD90A" w:rsidR="00857D19" w:rsidRPr="00850EE9" w:rsidRDefault="00857D19" w:rsidP="00850EE9">
      <w:pPr>
        <w:spacing w:line="360" w:lineRule="auto"/>
        <w:rPr>
          <w:rFonts w:ascii="Arial" w:hAnsi="Arial" w:cs="Arial"/>
          <w:sz w:val="22"/>
        </w:rPr>
      </w:pPr>
      <w:r w:rsidRPr="00850EE9">
        <w:rPr>
          <w:rFonts w:ascii="Arial" w:hAnsi="Arial" w:cs="Arial"/>
          <w:sz w:val="22"/>
        </w:rPr>
        <w:lastRenderedPageBreak/>
        <w:t xml:space="preserve">4.Results </w:t>
      </w:r>
      <w:r w:rsidR="00850EE9">
        <w:rPr>
          <w:rFonts w:ascii="Arial" w:hAnsi="Arial" w:cs="Arial"/>
          <w:sz w:val="22"/>
        </w:rPr>
        <w:t xml:space="preserve"> </w:t>
      </w:r>
      <w:r w:rsidRPr="00850EE9">
        <w:rPr>
          <w:rFonts w:ascii="Arial" w:hAnsi="Arial" w:cs="Arial"/>
          <w:sz w:val="22"/>
        </w:rPr>
        <w:t xml:space="preserve">Summary of selected studies. </w:t>
      </w:r>
    </w:p>
    <w:p w14:paraId="6E547C8F" w14:textId="77777777" w:rsidR="00857D19" w:rsidRPr="00850EE9" w:rsidRDefault="00857D19" w:rsidP="00850EE9">
      <w:pPr>
        <w:spacing w:line="360" w:lineRule="auto"/>
        <w:rPr>
          <w:rFonts w:ascii="Arial" w:hAnsi="Arial" w:cs="Arial"/>
          <w:sz w:val="22"/>
        </w:rPr>
      </w:pPr>
    </w:p>
    <w:tbl>
      <w:tblPr>
        <w:tblStyle w:val="TableGrid"/>
        <w:tblpPr w:leftFromText="180" w:rightFromText="180" w:vertAnchor="page" w:horzAnchor="margin" w:tblpY="3001"/>
        <w:tblW w:w="0" w:type="auto"/>
        <w:tblLook w:val="04A0" w:firstRow="1" w:lastRow="0" w:firstColumn="1" w:lastColumn="0" w:noHBand="0" w:noVBand="1"/>
      </w:tblPr>
      <w:tblGrid>
        <w:gridCol w:w="3487"/>
        <w:gridCol w:w="3487"/>
        <w:gridCol w:w="3487"/>
        <w:gridCol w:w="3487"/>
      </w:tblGrid>
      <w:tr w:rsidR="00857D19" w:rsidRPr="00850EE9" w14:paraId="667DA008" w14:textId="77777777" w:rsidTr="00857D19">
        <w:tc>
          <w:tcPr>
            <w:tcW w:w="3487" w:type="dxa"/>
          </w:tcPr>
          <w:p w14:paraId="44B0E8A2"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Study</w:t>
            </w:r>
          </w:p>
        </w:tc>
        <w:tc>
          <w:tcPr>
            <w:tcW w:w="3487" w:type="dxa"/>
          </w:tcPr>
          <w:p w14:paraId="51D95D3A"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Design and population </w:t>
            </w:r>
          </w:p>
        </w:tc>
        <w:tc>
          <w:tcPr>
            <w:tcW w:w="3487" w:type="dxa"/>
          </w:tcPr>
          <w:p w14:paraId="1ADA53C3"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Main findings </w:t>
            </w:r>
          </w:p>
        </w:tc>
        <w:tc>
          <w:tcPr>
            <w:tcW w:w="3487" w:type="dxa"/>
          </w:tcPr>
          <w:p w14:paraId="44CC2393"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Relevance </w:t>
            </w:r>
          </w:p>
        </w:tc>
      </w:tr>
      <w:tr w:rsidR="00857D19" w:rsidRPr="00850EE9" w14:paraId="0B650691" w14:textId="77777777" w:rsidTr="00857D19">
        <w:tc>
          <w:tcPr>
            <w:tcW w:w="3487" w:type="dxa"/>
          </w:tcPr>
          <w:p w14:paraId="7C7146BE"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Wilson(2018)</w:t>
            </w:r>
          </w:p>
        </w:tc>
        <w:tc>
          <w:tcPr>
            <w:tcW w:w="3487" w:type="dxa"/>
          </w:tcPr>
          <w:p w14:paraId="20B3E02F"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Mixed method study 32 adults aged over 65 </w:t>
            </w:r>
          </w:p>
        </w:tc>
        <w:tc>
          <w:tcPr>
            <w:tcW w:w="3487" w:type="dxa"/>
          </w:tcPr>
          <w:p w14:paraId="2FAC39FA"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Digital technology was associated with emotional attachment and perceptions of self-worth, although excessive dependence could potentially negatively affect belonging.</w:t>
            </w:r>
          </w:p>
        </w:tc>
        <w:tc>
          <w:tcPr>
            <w:tcW w:w="3487" w:type="dxa"/>
          </w:tcPr>
          <w:p w14:paraId="7D38E98F"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Demonstrates potential wellbeing benefits and risks</w:t>
            </w:r>
          </w:p>
        </w:tc>
      </w:tr>
      <w:tr w:rsidR="00857D19" w:rsidRPr="00850EE9" w14:paraId="13064333" w14:textId="77777777" w:rsidTr="00857D19">
        <w:tc>
          <w:tcPr>
            <w:tcW w:w="3487" w:type="dxa"/>
          </w:tcPr>
          <w:p w14:paraId="3DB9A6A4"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Matthews and Nazroo and Marshall(2019)</w:t>
            </w:r>
          </w:p>
        </w:tc>
        <w:tc>
          <w:tcPr>
            <w:tcW w:w="3487" w:type="dxa"/>
          </w:tcPr>
          <w:p w14:paraId="163AC3BD"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Quantitative analysis of internet use among older adults in England</w:t>
            </w:r>
          </w:p>
        </w:tc>
        <w:tc>
          <w:tcPr>
            <w:tcW w:w="3487" w:type="dxa"/>
          </w:tcPr>
          <w:p w14:paraId="6773DB30"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Internet use increased across successive cohorts, but substantial inequalities remained according to age and socioeconomic circumstances.</w:t>
            </w:r>
          </w:p>
        </w:tc>
        <w:tc>
          <w:tcPr>
            <w:tcW w:w="3487" w:type="dxa"/>
          </w:tcPr>
          <w:p w14:paraId="62AC9CBF"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Demonstrates changing patterns of digital inclusion</w:t>
            </w:r>
          </w:p>
        </w:tc>
      </w:tr>
      <w:tr w:rsidR="00857D19" w:rsidRPr="00850EE9" w14:paraId="12DDF82C" w14:textId="77777777" w:rsidTr="00857D19">
        <w:tc>
          <w:tcPr>
            <w:tcW w:w="3487" w:type="dxa"/>
          </w:tcPr>
          <w:p w14:paraId="724CC002"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Tanhamira, Randhawa and Hewson (2024)</w:t>
            </w:r>
          </w:p>
        </w:tc>
        <w:tc>
          <w:tcPr>
            <w:tcW w:w="3487" w:type="dxa"/>
          </w:tcPr>
          <w:p w14:paraId="056F0DAF"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Qualitative interviews with 16 community-dwelling older people in Hertfordshire </w:t>
            </w:r>
          </w:p>
        </w:tc>
        <w:tc>
          <w:tcPr>
            <w:tcW w:w="3487" w:type="dxa"/>
          </w:tcPr>
          <w:p w14:paraId="106C96EB"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Digital technologies supported social contact, health and exercise but experiences were affected by pandemic and individual circumstances</w:t>
            </w:r>
          </w:p>
        </w:tc>
        <w:tc>
          <w:tcPr>
            <w:tcW w:w="3487" w:type="dxa"/>
          </w:tcPr>
          <w:p w14:paraId="30E66C85"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Provide UK evidence concerning benefits and experiences </w:t>
            </w:r>
          </w:p>
        </w:tc>
      </w:tr>
      <w:tr w:rsidR="00857D19" w:rsidRPr="00850EE9" w14:paraId="1B395D02" w14:textId="77777777" w:rsidTr="00857D19">
        <w:tc>
          <w:tcPr>
            <w:tcW w:w="3487" w:type="dxa"/>
          </w:tcPr>
          <w:p w14:paraId="688658E5"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Ahmed et al. (2024)</w:t>
            </w:r>
          </w:p>
        </w:tc>
        <w:tc>
          <w:tcPr>
            <w:tcW w:w="3487" w:type="dxa"/>
          </w:tcPr>
          <w:p w14:paraId="050D29C7"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Qualitative focus groups with older adults from South </w:t>
            </w:r>
            <w:r w:rsidRPr="00850EE9">
              <w:rPr>
                <w:rFonts w:ascii="Arial" w:hAnsi="Arial" w:cs="Arial"/>
                <w:sz w:val="22"/>
                <w:szCs w:val="22"/>
              </w:rPr>
              <w:lastRenderedPageBreak/>
              <w:t>Asian,Black African and Carribean backgrounds</w:t>
            </w:r>
          </w:p>
        </w:tc>
        <w:tc>
          <w:tcPr>
            <w:tcW w:w="3487" w:type="dxa"/>
          </w:tcPr>
          <w:p w14:paraId="65086FF0"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lastRenderedPageBreak/>
              <w:t xml:space="preserve">Digitalised primary care created opportunities but also barriers </w:t>
            </w:r>
            <w:r w:rsidRPr="00850EE9">
              <w:rPr>
                <w:rFonts w:ascii="Arial" w:hAnsi="Arial" w:cs="Arial"/>
                <w:sz w:val="22"/>
                <w:szCs w:val="22"/>
              </w:rPr>
              <w:lastRenderedPageBreak/>
              <w:t>related to language,accessibility, trust and inequality</w:t>
            </w:r>
          </w:p>
        </w:tc>
        <w:tc>
          <w:tcPr>
            <w:tcW w:w="3487" w:type="dxa"/>
          </w:tcPr>
          <w:p w14:paraId="0FBB3051"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lastRenderedPageBreak/>
              <w:t xml:space="preserve">Highlights ethnicity and health inequality </w:t>
            </w:r>
          </w:p>
        </w:tc>
      </w:tr>
      <w:tr w:rsidR="00857D19" w:rsidRPr="00850EE9" w14:paraId="6ABFCE8E" w14:textId="77777777" w:rsidTr="00857D19">
        <w:tc>
          <w:tcPr>
            <w:tcW w:w="3487" w:type="dxa"/>
          </w:tcPr>
          <w:p w14:paraId="02B1D771"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Chadwick et al. (2024)</w:t>
            </w:r>
          </w:p>
        </w:tc>
        <w:tc>
          <w:tcPr>
            <w:tcW w:w="3487" w:type="dxa"/>
          </w:tcPr>
          <w:p w14:paraId="7BA2C8FD"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Qualitative interviews with 26 people using digital health in England</w:t>
            </w:r>
          </w:p>
        </w:tc>
        <w:tc>
          <w:tcPr>
            <w:tcW w:w="3487" w:type="dxa"/>
          </w:tcPr>
          <w:p w14:paraId="2F0581EF"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Barriers included lack of skills, limited support, anxiety ,distrust and perceptions that digital health was ,, not for them’’</w:t>
            </w:r>
          </w:p>
        </w:tc>
        <w:tc>
          <w:tcPr>
            <w:tcW w:w="3487" w:type="dxa"/>
          </w:tcPr>
          <w:p w14:paraId="01566726" w14:textId="77777777" w:rsidR="00857D19" w:rsidRPr="00850EE9" w:rsidRDefault="00857D19" w:rsidP="00850EE9">
            <w:pPr>
              <w:spacing w:line="360" w:lineRule="auto"/>
              <w:rPr>
                <w:rFonts w:ascii="Arial" w:hAnsi="Arial" w:cs="Arial"/>
                <w:sz w:val="22"/>
                <w:szCs w:val="22"/>
              </w:rPr>
            </w:pPr>
            <w:r w:rsidRPr="00850EE9">
              <w:rPr>
                <w:rFonts w:ascii="Arial" w:hAnsi="Arial" w:cs="Arial"/>
                <w:sz w:val="22"/>
                <w:szCs w:val="22"/>
              </w:rPr>
              <w:t xml:space="preserve">Provides direct evidence of barriers and facilitators </w:t>
            </w:r>
          </w:p>
        </w:tc>
      </w:tr>
    </w:tbl>
    <w:p w14:paraId="164B819C" w14:textId="77777777" w:rsidR="00857D19" w:rsidRPr="00850EE9" w:rsidRDefault="00857D19" w:rsidP="00850EE9">
      <w:pPr>
        <w:spacing w:line="360" w:lineRule="auto"/>
        <w:rPr>
          <w:rFonts w:ascii="Arial" w:hAnsi="Arial" w:cs="Arial"/>
          <w:sz w:val="22"/>
        </w:rPr>
      </w:pPr>
    </w:p>
    <w:p w14:paraId="5012B755" w14:textId="77777777" w:rsidR="00857D19" w:rsidRPr="00850EE9" w:rsidRDefault="00857D19" w:rsidP="00850EE9">
      <w:pPr>
        <w:spacing w:line="360" w:lineRule="auto"/>
        <w:rPr>
          <w:rFonts w:ascii="Arial" w:hAnsi="Arial" w:cs="Arial"/>
          <w:sz w:val="22"/>
        </w:rPr>
      </w:pPr>
    </w:p>
    <w:p w14:paraId="7673F687" w14:textId="77777777" w:rsidR="00857D19" w:rsidRPr="00850EE9" w:rsidRDefault="00857D19" w:rsidP="00850EE9">
      <w:pPr>
        <w:spacing w:line="360" w:lineRule="auto"/>
        <w:rPr>
          <w:rFonts w:ascii="Arial" w:hAnsi="Arial" w:cs="Arial"/>
          <w:sz w:val="22"/>
        </w:rPr>
        <w:sectPr w:rsidR="00857D19" w:rsidRPr="00850EE9" w:rsidSect="002C5AC0">
          <w:pgSz w:w="16838" w:h="11906" w:orient="landscape" w:code="9"/>
          <w:pgMar w:top="1440" w:right="1440" w:bottom="1440" w:left="1440" w:header="709" w:footer="709" w:gutter="0"/>
          <w:cols w:space="708"/>
          <w:titlePg/>
          <w:docGrid w:linePitch="360"/>
        </w:sectPr>
      </w:pPr>
    </w:p>
    <w:p w14:paraId="39408341" w14:textId="77777777" w:rsidR="00E7339F" w:rsidRPr="00850EE9" w:rsidRDefault="00E7339F" w:rsidP="00850EE9">
      <w:pPr>
        <w:spacing w:line="360" w:lineRule="auto"/>
        <w:rPr>
          <w:rFonts w:ascii="Arial" w:hAnsi="Arial" w:cs="Arial"/>
          <w:sz w:val="22"/>
        </w:rPr>
      </w:pPr>
      <w:r w:rsidRPr="00850EE9">
        <w:rPr>
          <w:rFonts w:ascii="Arial" w:hAnsi="Arial" w:cs="Arial"/>
          <w:sz w:val="22"/>
        </w:rPr>
        <w:lastRenderedPageBreak/>
        <w:t xml:space="preserve">Theme 1: Digital exclusion, skills and confidence </w:t>
      </w:r>
      <w:r w:rsidRPr="00850EE9">
        <w:rPr>
          <w:rFonts w:ascii="Arial" w:hAnsi="Arial" w:cs="Arial"/>
          <w:sz w:val="22"/>
        </w:rPr>
        <w:br/>
      </w:r>
      <w:r w:rsidRPr="00850EE9">
        <w:rPr>
          <w:rFonts w:ascii="Arial" w:hAnsi="Arial" w:cs="Arial"/>
          <w:sz w:val="22"/>
        </w:rPr>
        <w:br/>
        <w:t xml:space="preserve">A recurring theme within the literature is that digital exclusion extends beyond access to internet services. Matthews, Nazroo and Marshall (2019) provide evidence that patterns of internet use among older people in England have changed over time, with younger age cohorts being more likely to engage with digital technology. These findings indicate that exclusion is neither fixed nor purely based on chronological age: increased participation is likely as successive generations become increasingly engaged with technology throughout working life. </w:t>
      </w:r>
      <w:r w:rsidRPr="00850EE9">
        <w:rPr>
          <w:rFonts w:ascii="Arial" w:hAnsi="Arial" w:cs="Arial"/>
          <w:sz w:val="22"/>
        </w:rPr>
        <w:br/>
      </w:r>
      <w:r w:rsidRPr="00850EE9">
        <w:rPr>
          <w:rFonts w:ascii="Arial" w:hAnsi="Arial" w:cs="Arial"/>
          <w:sz w:val="22"/>
        </w:rPr>
        <w:br/>
        <w:t xml:space="preserve">Nonetheless, gaps in participation persist. Age, socioeconomics and other social determinants can impact experience and access to technology. This matters in health and social care because people who experience inequalities in health may also be the people least able to access online services. </w:t>
      </w:r>
      <w:r w:rsidRPr="00850EE9">
        <w:rPr>
          <w:rFonts w:ascii="Arial" w:hAnsi="Arial" w:cs="Arial"/>
          <w:sz w:val="22"/>
        </w:rPr>
        <w:br/>
      </w:r>
      <w:r w:rsidRPr="00850EE9">
        <w:rPr>
          <w:rFonts w:ascii="Arial" w:hAnsi="Arial" w:cs="Arial"/>
          <w:sz w:val="22"/>
        </w:rPr>
        <w:br/>
        <w:t xml:space="preserve">Further support for this argument can be found in Chadwick et al. (2024). They recruited participants accessing kidney services in England and found variability in engagement with digital health. Some participants avoided engaging with digital health technology because they didn’t engage with digital technology generally. Additionally, some participants thought digital health services were “not for them.” Limitations in opportunity to develop skills, family support, age-related perceptions and anxiety were reported as key factors. </w:t>
      </w:r>
      <w:r w:rsidRPr="00850EE9">
        <w:rPr>
          <w:rFonts w:ascii="Arial" w:hAnsi="Arial" w:cs="Arial"/>
          <w:sz w:val="22"/>
        </w:rPr>
        <w:br/>
      </w:r>
      <w:r w:rsidRPr="00850EE9">
        <w:rPr>
          <w:rFonts w:ascii="Arial" w:hAnsi="Arial" w:cs="Arial"/>
          <w:sz w:val="22"/>
        </w:rPr>
        <w:br/>
      </w:r>
      <w:r w:rsidRPr="00850EE9">
        <w:rPr>
          <w:rFonts w:ascii="Arial" w:hAnsi="Arial" w:cs="Arial"/>
          <w:sz w:val="22"/>
        </w:rPr>
        <w:br/>
        <w:t xml:space="preserve">Theme 2: Accessibility, trust and human support </w:t>
      </w:r>
      <w:r w:rsidRPr="00850EE9">
        <w:rPr>
          <w:rFonts w:ascii="Arial" w:hAnsi="Arial" w:cs="Arial"/>
          <w:sz w:val="22"/>
        </w:rPr>
        <w:br/>
      </w:r>
      <w:r w:rsidRPr="00850EE9">
        <w:rPr>
          <w:rFonts w:ascii="Arial" w:hAnsi="Arial" w:cs="Arial"/>
          <w:sz w:val="22"/>
        </w:rPr>
        <w:br/>
        <w:t xml:space="preserve">The second theme relates to accessibility and the need for human support. Ahmed et al. (20) focused on older adults from South Asian, Black African and Caribbean backgrounds living in England and Wales. They found that digitalisation can exacerbate inequalities related to language, socioeconomic circumstances and cultural influences. </w:t>
      </w:r>
      <w:r w:rsidRPr="00850EE9">
        <w:rPr>
          <w:rFonts w:ascii="Arial" w:hAnsi="Arial" w:cs="Arial"/>
          <w:sz w:val="22"/>
        </w:rPr>
        <w:br/>
      </w:r>
      <w:r w:rsidRPr="00850EE9">
        <w:rPr>
          <w:rFonts w:ascii="Arial" w:hAnsi="Arial" w:cs="Arial"/>
          <w:sz w:val="22"/>
        </w:rPr>
        <w:br/>
        <w:t xml:space="preserve">Language and cultural barriers are important because digital primary care could be difficult to access for minority ethnic older adults who do not speak fluent English or who are not familiar with the UK healthcare system. An online system may function well but still be inaccessible to some people who cannot understand the language, navigation terms or who lack trust in the service. </w:t>
      </w:r>
      <w:r w:rsidRPr="00850EE9">
        <w:rPr>
          <w:rFonts w:ascii="Arial" w:hAnsi="Arial" w:cs="Arial"/>
          <w:sz w:val="22"/>
        </w:rPr>
        <w:br/>
      </w:r>
      <w:r w:rsidRPr="00850EE9">
        <w:rPr>
          <w:rFonts w:ascii="Arial" w:hAnsi="Arial" w:cs="Arial"/>
          <w:sz w:val="22"/>
        </w:rPr>
        <w:br/>
        <w:t>Of note, Chadwick et al. (20) identified anxiety and distrust as significant barriers to digital-</w:t>
      </w:r>
      <w:r w:rsidRPr="00850EE9">
        <w:rPr>
          <w:rFonts w:ascii="Arial" w:hAnsi="Arial" w:cs="Arial"/>
          <w:sz w:val="22"/>
        </w:rPr>
        <w:lastRenderedPageBreak/>
        <w:t xml:space="preserve">health use among their participants. Both studies highlight how inclusion intersects with psychosocial issues as well as literacy skills. </w:t>
      </w:r>
      <w:r w:rsidRPr="00850EE9">
        <w:rPr>
          <w:rFonts w:ascii="Arial" w:hAnsi="Arial" w:cs="Arial"/>
          <w:sz w:val="22"/>
        </w:rPr>
        <w:br/>
      </w:r>
      <w:r w:rsidRPr="00850EE9">
        <w:rPr>
          <w:rFonts w:ascii="Arial" w:hAnsi="Arial" w:cs="Arial"/>
          <w:sz w:val="22"/>
        </w:rPr>
        <w:br/>
        <w:t xml:space="preserve">The support from family, carers and professionals may help to mitigate issues highlighted by Chadwick et al. (2020). For example, older people may rely on family members to access and support use of technology. Yet, this does not account for older adults who live alone, lack nearby family support or who do not want others to see personal health information. </w:t>
      </w:r>
      <w:r w:rsidRPr="00850EE9">
        <w:rPr>
          <w:rFonts w:ascii="Arial" w:hAnsi="Arial" w:cs="Arial"/>
          <w:sz w:val="22"/>
        </w:rPr>
        <w:br/>
      </w:r>
      <w:r w:rsidRPr="00850EE9">
        <w:rPr>
          <w:rFonts w:ascii="Arial" w:hAnsi="Arial" w:cs="Arial"/>
          <w:sz w:val="22"/>
        </w:rPr>
        <w:br/>
        <w:t xml:space="preserve">The Accessible Information Standard provides a legal framework to ensure this happens. NHS and adult social care organisations are required to identify and act on people’s communication and information needs (NHS England, 20). Digital services should be accessible to everyone while offering alternatives for people unable to use technology. </w:t>
      </w:r>
      <w:r w:rsidRPr="00850EE9">
        <w:rPr>
          <w:rFonts w:ascii="Arial" w:hAnsi="Arial" w:cs="Arial"/>
          <w:sz w:val="22"/>
        </w:rPr>
        <w:br/>
      </w:r>
      <w:r w:rsidRPr="00850EE9">
        <w:rPr>
          <w:rFonts w:ascii="Arial" w:hAnsi="Arial" w:cs="Arial"/>
          <w:sz w:val="22"/>
        </w:rPr>
        <w:br/>
      </w:r>
    </w:p>
    <w:p w14:paraId="0BA9E99B" w14:textId="77777777" w:rsidR="00B64921" w:rsidRPr="00850EE9" w:rsidRDefault="00E7339F" w:rsidP="00850EE9">
      <w:pPr>
        <w:spacing w:line="360" w:lineRule="auto"/>
        <w:rPr>
          <w:rFonts w:ascii="Arial" w:hAnsi="Arial" w:cs="Arial"/>
          <w:sz w:val="22"/>
        </w:rPr>
      </w:pPr>
      <w:r w:rsidRPr="00850EE9">
        <w:rPr>
          <w:rFonts w:ascii="Arial" w:hAnsi="Arial" w:cs="Arial"/>
          <w:sz w:val="22"/>
        </w:rPr>
        <w:t xml:space="preserve">Theme 3: Benefits, independence and wellbeing </w:t>
      </w:r>
      <w:r w:rsidRPr="00850EE9">
        <w:rPr>
          <w:rFonts w:ascii="Arial" w:hAnsi="Arial" w:cs="Arial"/>
          <w:sz w:val="22"/>
        </w:rPr>
        <w:br/>
      </w:r>
      <w:r w:rsidRPr="00850EE9">
        <w:rPr>
          <w:rFonts w:ascii="Arial" w:hAnsi="Arial" w:cs="Arial"/>
          <w:sz w:val="22"/>
        </w:rPr>
        <w:br/>
        <w:t xml:space="preserve">The third theme relates to the potential benefits digital technology can provide. The growing prevalence of digital health can help older adults live independently, maintain contact with health services and sustain social connections. </w:t>
      </w:r>
      <w:r w:rsidRPr="00850EE9">
        <w:rPr>
          <w:rFonts w:ascii="Arial" w:hAnsi="Arial" w:cs="Arial"/>
          <w:sz w:val="22"/>
        </w:rPr>
        <w:br/>
      </w:r>
      <w:r w:rsidRPr="00850EE9">
        <w:rPr>
          <w:rFonts w:ascii="Arial" w:hAnsi="Arial" w:cs="Arial"/>
          <w:sz w:val="22"/>
        </w:rPr>
        <w:br/>
        <w:t xml:space="preserve">Wilson (2018) interviewed 32 participants aged 65+ over six months. Through thematic analysis, three themes were generated: frequency of technology use was positively related to emotional attachment to technologies. Furthermore, technology use was positively associated with perceived self-worth. </w:t>
      </w:r>
      <w:r w:rsidRPr="00850EE9">
        <w:rPr>
          <w:rFonts w:ascii="Arial" w:hAnsi="Arial" w:cs="Arial"/>
          <w:sz w:val="22"/>
        </w:rPr>
        <w:br/>
      </w:r>
      <w:r w:rsidRPr="00850EE9">
        <w:rPr>
          <w:rFonts w:ascii="Arial" w:hAnsi="Arial" w:cs="Arial"/>
          <w:sz w:val="22"/>
        </w:rPr>
        <w:br/>
      </w:r>
      <w:r w:rsidRPr="00850EE9">
        <w:rPr>
          <w:rFonts w:ascii="Arial" w:hAnsi="Arial" w:cs="Arial"/>
          <w:sz w:val="22"/>
        </w:rPr>
        <w:br/>
        <w:t xml:space="preserve">Tanhamira, Randhawa and Hewson (20) more recently investigated older adults’ experiences with technology in the UK. They recruited 16 community dwelling adults living in Hertfordshire and qualitatively explored their experiences of technology use throughout the COVID-19 pandemic. </w:t>
      </w:r>
      <w:r w:rsidRPr="00850EE9">
        <w:rPr>
          <w:rFonts w:ascii="Arial" w:hAnsi="Arial" w:cs="Arial"/>
          <w:sz w:val="22"/>
        </w:rPr>
        <w:br/>
      </w:r>
      <w:r w:rsidRPr="00850EE9">
        <w:rPr>
          <w:rFonts w:ascii="Arial" w:hAnsi="Arial" w:cs="Arial"/>
          <w:sz w:val="22"/>
        </w:rPr>
        <w:br/>
        <w:t xml:space="preserve">Participants noted that the pandemic had affected social contact and mental wellbeing. However, they were largely able to adapt by using digital technologies for health services, exercise and social interaction. </w:t>
      </w:r>
      <w:r w:rsidRPr="00850EE9">
        <w:rPr>
          <w:rFonts w:ascii="Arial" w:hAnsi="Arial" w:cs="Arial"/>
          <w:sz w:val="22"/>
        </w:rPr>
        <w:br/>
      </w:r>
      <w:r w:rsidRPr="00850EE9">
        <w:rPr>
          <w:rFonts w:ascii="Arial" w:hAnsi="Arial" w:cs="Arial"/>
          <w:sz w:val="22"/>
        </w:rPr>
        <w:br/>
        <w:t xml:space="preserve">Digital technology could therefore play a role in promoting healthy ageing. For example, </w:t>
      </w:r>
      <w:r w:rsidRPr="00850EE9">
        <w:rPr>
          <w:rFonts w:ascii="Arial" w:hAnsi="Arial" w:cs="Arial"/>
          <w:sz w:val="22"/>
        </w:rPr>
        <w:lastRenderedPageBreak/>
        <w:t xml:space="preserve">technology allows older adults to keep in touch with friends and family or access services that support health monitoring. Video consultations can minimise travel and digital apps can remind patients to take medicine and provide health information. </w:t>
      </w:r>
      <w:r w:rsidRPr="00850EE9">
        <w:rPr>
          <w:rFonts w:ascii="Arial" w:hAnsi="Arial" w:cs="Arial"/>
          <w:sz w:val="22"/>
        </w:rPr>
        <w:br/>
      </w:r>
      <w:r w:rsidRPr="00850EE9">
        <w:rPr>
          <w:rFonts w:ascii="Arial" w:hAnsi="Arial" w:cs="Arial"/>
          <w:sz w:val="22"/>
        </w:rPr>
        <w:br/>
      </w:r>
      <w:r w:rsidR="00B64921" w:rsidRPr="00850EE9">
        <w:rPr>
          <w:rFonts w:ascii="Arial" w:hAnsi="Arial" w:cs="Arial"/>
          <w:sz w:val="22"/>
        </w:rPr>
        <w:t xml:space="preserve">5. Discussion </w:t>
      </w:r>
    </w:p>
    <w:p w14:paraId="48E816F5" w14:textId="77777777" w:rsidR="00B64921" w:rsidRPr="00850EE9" w:rsidRDefault="00A70B96" w:rsidP="00850EE9">
      <w:pPr>
        <w:spacing w:line="360" w:lineRule="auto"/>
        <w:rPr>
          <w:rFonts w:ascii="Arial" w:hAnsi="Arial" w:cs="Arial"/>
          <w:sz w:val="22"/>
        </w:rPr>
      </w:pPr>
      <w:r w:rsidRPr="00850EE9">
        <w:rPr>
          <w:rFonts w:ascii="Arial" w:hAnsi="Arial" w:cs="Arial"/>
          <w:sz w:val="22"/>
        </w:rPr>
        <w:t xml:space="preserve">The objective of this scoping review was to understand what barriers, facilitators and benefits exist when it comes to digital health services amongst older people living in the UK. Based on the evidence presented, it can be concluded that digital health can provide valuable benefits, however these are intrinsically linked to digital inclusion. </w:t>
      </w:r>
      <w:r w:rsidRPr="00850EE9">
        <w:rPr>
          <w:rFonts w:ascii="Arial" w:hAnsi="Arial" w:cs="Arial"/>
          <w:sz w:val="22"/>
        </w:rPr>
        <w:br/>
      </w:r>
      <w:r w:rsidRPr="00850EE9">
        <w:rPr>
          <w:rFonts w:ascii="Arial" w:hAnsi="Arial" w:cs="Arial"/>
          <w:sz w:val="22"/>
        </w:rPr>
        <w:br/>
        <w:t xml:space="preserve">Firstly, age is no longer a determinant of digital exclusion. Matthews, Nazroo and Marshall (2019) highlight changing trends of internet-use amongst older adults living in England. This suggests that future generations of older adults may be more digitally-savvy than their predecessors. However, socioeconomic and age disparities continue to exist, therefore digital exclusion still affects many older people. </w:t>
      </w:r>
      <w:r w:rsidRPr="00850EE9">
        <w:rPr>
          <w:rFonts w:ascii="Arial" w:hAnsi="Arial" w:cs="Arial"/>
          <w:sz w:val="22"/>
        </w:rPr>
        <w:br/>
      </w:r>
      <w:r w:rsidRPr="00850EE9">
        <w:rPr>
          <w:rFonts w:ascii="Arial" w:hAnsi="Arial" w:cs="Arial"/>
          <w:sz w:val="22"/>
        </w:rPr>
        <w:br/>
        <w:t xml:space="preserve">Secondly, there are clear barriers to technology usage in terms of literacy and confidence. Chadwick et al. (2024) highlight that some older adults simply lack confidence and do not feel that digital healthcare is relevant to them. This highlights that technologies usefulness must be clearly understood. </w:t>
      </w:r>
      <w:r w:rsidRPr="00850EE9">
        <w:rPr>
          <w:rFonts w:ascii="Arial" w:hAnsi="Arial" w:cs="Arial"/>
          <w:sz w:val="22"/>
        </w:rPr>
        <w:br/>
      </w:r>
      <w:r w:rsidRPr="00850EE9">
        <w:rPr>
          <w:rFonts w:ascii="Arial" w:hAnsi="Arial" w:cs="Arial"/>
          <w:sz w:val="22"/>
        </w:rPr>
        <w:br/>
        <w:t xml:space="preserve">In other words, people need to perceive technology as useful. For instance, a smartphone application with hundreds of features may be overwhelming and deemed useless by an older person. A simpler application providing one or two useful functions may be more valued. An ElderCare-type application could potentially have an emphasis on accessible information about appointments, medication or health reminders, health records, communication with health or social care services and perhaps simple explanations of health information. In short, simplicity and relevance over quantity. </w:t>
      </w:r>
      <w:r w:rsidRPr="00850EE9">
        <w:rPr>
          <w:rFonts w:ascii="Arial" w:hAnsi="Arial" w:cs="Arial"/>
          <w:sz w:val="22"/>
        </w:rPr>
        <w:br/>
      </w:r>
      <w:r w:rsidRPr="00850EE9">
        <w:rPr>
          <w:rFonts w:ascii="Arial" w:hAnsi="Arial" w:cs="Arial"/>
          <w:sz w:val="22"/>
        </w:rPr>
        <w:br/>
        <w:t xml:space="preserve">Thirdly, we know that digital exclusion can widen health inequalities. Ahmed et al. (2024) showed that ethnicity, language and socioeconomic factors must be considered when digitalising primary care. It can therefore be argued that all digital transformation should be viewed through an equality, diversity and inclusion lens. </w:t>
      </w:r>
      <w:r w:rsidRPr="00850EE9">
        <w:rPr>
          <w:rFonts w:ascii="Arial" w:hAnsi="Arial" w:cs="Arial"/>
          <w:sz w:val="22"/>
        </w:rPr>
        <w:br/>
      </w:r>
      <w:r w:rsidRPr="00850EE9">
        <w:rPr>
          <w:rFonts w:ascii="Arial" w:hAnsi="Arial" w:cs="Arial"/>
          <w:sz w:val="22"/>
        </w:rPr>
        <w:br/>
        <w:t xml:space="preserve">This is reflected within NHS England's Inclusive Digital Healthcare (IDH) framework (NHS England, 2023). The IDH framework recognises that older people, as well as socially </w:t>
      </w:r>
      <w:r w:rsidRPr="00850EE9">
        <w:rPr>
          <w:rFonts w:ascii="Arial" w:hAnsi="Arial" w:cs="Arial"/>
          <w:sz w:val="22"/>
        </w:rPr>
        <w:lastRenderedPageBreak/>
        <w:t xml:space="preserve">deprived groups are at heightened risk of digital exclusion. </w:t>
      </w:r>
      <w:r w:rsidRPr="00850EE9">
        <w:rPr>
          <w:rFonts w:ascii="Arial" w:hAnsi="Arial" w:cs="Arial"/>
          <w:sz w:val="22"/>
        </w:rPr>
        <w:br/>
      </w:r>
      <w:r w:rsidRPr="00850EE9">
        <w:rPr>
          <w:rFonts w:ascii="Arial" w:hAnsi="Arial" w:cs="Arial"/>
          <w:sz w:val="22"/>
        </w:rPr>
        <w:br/>
        <w:t xml:space="preserve">Equitable services understand that some users will require additional support to access services. For example, a wheelchair user may require physical support to access a building, however the service they receive once inside should be equal to that of anyone else. Therefore, although digital services may be available to everyone they can still exclude people who cannot access them. </w:t>
      </w:r>
      <w:r w:rsidRPr="00850EE9">
        <w:rPr>
          <w:rFonts w:ascii="Arial" w:hAnsi="Arial" w:cs="Arial"/>
          <w:sz w:val="22"/>
        </w:rPr>
        <w:br/>
      </w:r>
      <w:r w:rsidRPr="00850EE9">
        <w:rPr>
          <w:rFonts w:ascii="Arial" w:hAnsi="Arial" w:cs="Arial"/>
          <w:sz w:val="22"/>
        </w:rPr>
        <w:br/>
        <w:t xml:space="preserve">Fourthly, technology cannot replace human interaction. Wilson (2018) summarises how digital technology can improve certain aspects of wellbeing but goes on to say that technology could never replace an individuals sense of belonging. </w:t>
      </w:r>
      <w:r w:rsidRPr="00850EE9">
        <w:rPr>
          <w:rFonts w:ascii="Arial" w:hAnsi="Arial" w:cs="Arial"/>
          <w:sz w:val="22"/>
        </w:rPr>
        <w:br/>
      </w:r>
      <w:r w:rsidRPr="00850EE9">
        <w:rPr>
          <w:rFonts w:ascii="Arial" w:hAnsi="Arial" w:cs="Arial"/>
          <w:sz w:val="22"/>
        </w:rPr>
        <w:br/>
        <w:t xml:space="preserve">Fifthly, accessibility and co-design are absolutely critical. As demonstrated by Chadwick et al. (2024) and evident within the IDH framework, services need to be co-designed with users. In terms of digital health services for older people, services need to be designed with older people. </w:t>
      </w:r>
      <w:r w:rsidRPr="00850EE9">
        <w:rPr>
          <w:rFonts w:ascii="Arial" w:hAnsi="Arial" w:cs="Arial"/>
          <w:sz w:val="22"/>
        </w:rPr>
        <w:br/>
      </w:r>
      <w:r w:rsidRPr="00850EE9">
        <w:rPr>
          <w:rFonts w:ascii="Arial" w:hAnsi="Arial" w:cs="Arial"/>
          <w:sz w:val="22"/>
        </w:rPr>
        <w:br/>
        <w:t xml:space="preserve">We know this is already considered by NHS England who have an Accessible Information Standard which requires organisations to consider peoples communication and information needs (NHS England, 2025a). Current versions of the standard also prioritise accessible digital communication methods and user-involvement (NHS England, 2025b). </w:t>
      </w:r>
      <w:r w:rsidRPr="00850EE9">
        <w:rPr>
          <w:rFonts w:ascii="Arial" w:hAnsi="Arial" w:cs="Arial"/>
          <w:sz w:val="22"/>
        </w:rPr>
        <w:br/>
      </w:r>
      <w:r w:rsidRPr="00850EE9">
        <w:rPr>
          <w:rFonts w:ascii="Arial" w:hAnsi="Arial" w:cs="Arial"/>
          <w:sz w:val="22"/>
        </w:rPr>
        <w:br/>
        <w:t xml:space="preserve">Lastly, the evidence highlights how trust is important when it comes to digital services. Chadwick et al. (2024) found that distrust and anxiety played a large role in negatively influencing digital-health engagement. This reinforces how healthcare providers must be transparent about how they use, store and protect peoples information. </w:t>
      </w:r>
      <w:r w:rsidRPr="00850EE9">
        <w:rPr>
          <w:rFonts w:ascii="Arial" w:hAnsi="Arial" w:cs="Arial"/>
          <w:sz w:val="22"/>
        </w:rPr>
        <w:br/>
      </w:r>
      <w:r w:rsidRPr="00850EE9">
        <w:rPr>
          <w:rFonts w:ascii="Arial" w:hAnsi="Arial" w:cs="Arial"/>
          <w:sz w:val="22"/>
        </w:rPr>
        <w:br/>
        <w:t xml:space="preserve">As Chadwick et al. highlight, older people may distrust technology for fear of making mistakes or sending information to the wrong people. They may also be worried about medical identity theft. As such, digital confidence requires trust as well as knowledge and training. </w:t>
      </w:r>
      <w:r w:rsidRPr="00850EE9">
        <w:rPr>
          <w:rFonts w:ascii="Arial" w:hAnsi="Arial" w:cs="Arial"/>
          <w:sz w:val="22"/>
        </w:rPr>
        <w:br/>
      </w:r>
      <w:r w:rsidRPr="00850EE9">
        <w:rPr>
          <w:rFonts w:ascii="Arial" w:hAnsi="Arial" w:cs="Arial"/>
          <w:sz w:val="22"/>
        </w:rPr>
        <w:br/>
        <w:t xml:space="preserve">The evidence supports a blended approach. Digital services should be offered as part of a wider selection of both digital and non-digital options. This is especially important for social care. </w:t>
      </w:r>
      <w:r w:rsidRPr="00850EE9">
        <w:rPr>
          <w:rFonts w:ascii="Arial" w:hAnsi="Arial" w:cs="Arial"/>
          <w:sz w:val="22"/>
        </w:rPr>
        <w:br/>
      </w:r>
      <w:r w:rsidRPr="00850EE9">
        <w:rPr>
          <w:rFonts w:ascii="Arial" w:hAnsi="Arial" w:cs="Arial"/>
          <w:sz w:val="22"/>
        </w:rPr>
        <w:br/>
        <w:t xml:space="preserve">Digital services should be used to support this, not complicate it. Concerns around trust and </w:t>
      </w:r>
      <w:r w:rsidRPr="00850EE9">
        <w:rPr>
          <w:rFonts w:ascii="Arial" w:hAnsi="Arial" w:cs="Arial"/>
          <w:sz w:val="22"/>
        </w:rPr>
        <w:lastRenderedPageBreak/>
        <w:t xml:space="preserve">digital literacy highlight how an ElderCare application would need to be usable, accessible, secure and personalised. The application should allow users to see any health information they want to understand, have access to accessible information about appointments, medication or health reminders, have access to health records, contact health or social care services and perhaps have complex health information explained to them in simpler terms. </w:t>
      </w:r>
    </w:p>
    <w:p w14:paraId="55FD7D8C" w14:textId="77777777" w:rsidR="00B64921" w:rsidRPr="00850EE9" w:rsidRDefault="00B64921" w:rsidP="00850EE9">
      <w:pPr>
        <w:spacing w:line="360" w:lineRule="auto"/>
        <w:rPr>
          <w:rFonts w:ascii="Arial" w:hAnsi="Arial" w:cs="Arial"/>
          <w:sz w:val="22"/>
        </w:rPr>
      </w:pPr>
    </w:p>
    <w:p w14:paraId="6AB5111E" w14:textId="30080C3C" w:rsidR="00B64921" w:rsidRPr="00850EE9" w:rsidRDefault="00B64921" w:rsidP="00850EE9">
      <w:pPr>
        <w:spacing w:line="360" w:lineRule="auto"/>
        <w:rPr>
          <w:rFonts w:ascii="Arial" w:hAnsi="Arial" w:cs="Arial"/>
          <w:sz w:val="22"/>
        </w:rPr>
      </w:pPr>
      <w:r w:rsidRPr="00850EE9">
        <w:rPr>
          <w:rFonts w:ascii="Arial" w:hAnsi="Arial" w:cs="Arial"/>
          <w:sz w:val="22"/>
        </w:rPr>
        <w:t xml:space="preserve">7. Conclusion </w:t>
      </w:r>
      <w:r w:rsidRPr="00850EE9">
        <w:rPr>
          <w:rFonts w:ascii="Arial" w:hAnsi="Arial" w:cs="Arial"/>
          <w:sz w:val="22"/>
        </w:rPr>
        <w:br/>
      </w:r>
      <w:r w:rsidRPr="00850EE9">
        <w:rPr>
          <w:rFonts w:ascii="Arial" w:hAnsi="Arial" w:cs="Arial"/>
          <w:sz w:val="22"/>
        </w:rPr>
        <w:br/>
        <w:t xml:space="preserve">This scoping review explored barriers, facilitators and benefits of digital health among older populations in the UK. Digital technology has the potential to enhance independence, promote access to healthcare and support wellbeing among older people. Evidence from this review shows that digital technology can maintain communication and support independence among older adults living alone or with disabilities. </w:t>
      </w:r>
      <w:r w:rsidRPr="00850EE9">
        <w:rPr>
          <w:rFonts w:ascii="Arial" w:hAnsi="Arial" w:cs="Arial"/>
          <w:sz w:val="22"/>
        </w:rPr>
        <w:br/>
      </w:r>
      <w:r w:rsidRPr="00850EE9">
        <w:rPr>
          <w:rFonts w:ascii="Arial" w:hAnsi="Arial" w:cs="Arial"/>
          <w:sz w:val="22"/>
        </w:rPr>
        <w:br/>
        <w:t xml:space="preserve">However, the benefits of digital health are not reaching everyone. Three key themes were identified across studies. Firstly, digital exclusion is multifactorial and linked to skills, confidence, socioeconomic factors, access to devices and prior experience. Secondly, trust, accessibility and human support were key to successful engagement. Thirdly, digital technology has the potential to provide benefits for older adults’ independence, communication and wellbeing if designed with the user in mind. </w:t>
      </w:r>
      <w:r w:rsidRPr="00850EE9">
        <w:rPr>
          <w:rFonts w:ascii="Arial" w:hAnsi="Arial" w:cs="Arial"/>
          <w:sz w:val="22"/>
        </w:rPr>
        <w:br/>
      </w:r>
      <w:r w:rsidRPr="00850EE9">
        <w:rPr>
          <w:rFonts w:ascii="Arial" w:hAnsi="Arial" w:cs="Arial"/>
          <w:sz w:val="22"/>
        </w:rPr>
        <w:br/>
        <w:t xml:space="preserve">Older people should not be seen as inherently incapable of using digital technology. Rather, healthcare and social care professionals should avoid making assumptions about older people and assess individual needs and capabilities. Some older adults will be able to use digital services independently. Others may require training, accessible information, support from family members, or alternative ways to access services. </w:t>
      </w:r>
      <w:r w:rsidRPr="00850EE9">
        <w:rPr>
          <w:rFonts w:ascii="Arial" w:hAnsi="Arial" w:cs="Arial"/>
          <w:sz w:val="22"/>
        </w:rPr>
        <w:br/>
      </w:r>
      <w:r w:rsidRPr="00850EE9">
        <w:rPr>
          <w:rFonts w:ascii="Arial" w:hAnsi="Arial" w:cs="Arial"/>
          <w:sz w:val="22"/>
        </w:rPr>
        <w:br/>
      </w:r>
      <w:r w:rsidRPr="00850EE9">
        <w:rPr>
          <w:rFonts w:ascii="Arial" w:hAnsi="Arial" w:cs="Arial"/>
          <w:sz w:val="22"/>
        </w:rPr>
        <w:br/>
      </w:r>
      <w:r w:rsidRPr="00850EE9">
        <w:rPr>
          <w:rFonts w:ascii="Arial" w:hAnsi="Arial" w:cs="Arial"/>
          <w:sz w:val="22"/>
        </w:rPr>
        <w:br/>
        <w:t xml:space="preserve">8. Recommendations </w:t>
      </w:r>
      <w:r w:rsidRPr="00850EE9">
        <w:rPr>
          <w:rFonts w:ascii="Arial" w:hAnsi="Arial" w:cs="Arial"/>
          <w:sz w:val="22"/>
        </w:rPr>
        <w:br/>
      </w:r>
      <w:r w:rsidRPr="00850EE9">
        <w:rPr>
          <w:rFonts w:ascii="Arial" w:hAnsi="Arial" w:cs="Arial"/>
          <w:sz w:val="22"/>
        </w:rPr>
        <w:br/>
        <w:t xml:space="preserve">Recommendation 1: Continue to provide non-digital alternatives </w:t>
      </w:r>
      <w:r w:rsidRPr="00850EE9">
        <w:rPr>
          <w:rFonts w:ascii="Arial" w:hAnsi="Arial" w:cs="Arial"/>
          <w:sz w:val="22"/>
        </w:rPr>
        <w:br/>
      </w:r>
      <w:r w:rsidRPr="00850EE9">
        <w:rPr>
          <w:rFonts w:ascii="Arial" w:hAnsi="Arial" w:cs="Arial"/>
          <w:sz w:val="22"/>
        </w:rPr>
        <w:br/>
        <w:t xml:space="preserve">Organisations should continue to offer telephone, face-to-face and other suitable alternatives for people who cannot use digital services. A digital-first approach should not be allowed to become digital-only. </w:t>
      </w:r>
      <w:r w:rsidRPr="00850EE9">
        <w:rPr>
          <w:rFonts w:ascii="Arial" w:hAnsi="Arial" w:cs="Arial"/>
          <w:sz w:val="22"/>
        </w:rPr>
        <w:br/>
      </w:r>
      <w:r w:rsidRPr="00850EE9">
        <w:rPr>
          <w:rFonts w:ascii="Arial" w:hAnsi="Arial" w:cs="Arial"/>
          <w:sz w:val="22"/>
        </w:rPr>
        <w:lastRenderedPageBreak/>
        <w:br/>
        <w:t xml:space="preserve">Recommendation 2: Assess individual digital needs </w:t>
      </w:r>
      <w:r w:rsidRPr="00850EE9">
        <w:rPr>
          <w:rFonts w:ascii="Arial" w:hAnsi="Arial" w:cs="Arial"/>
          <w:sz w:val="22"/>
        </w:rPr>
        <w:br/>
      </w:r>
      <w:r w:rsidRPr="00850EE9">
        <w:rPr>
          <w:rFonts w:ascii="Arial" w:hAnsi="Arial" w:cs="Arial"/>
          <w:sz w:val="22"/>
        </w:rPr>
        <w:br/>
        <w:t xml:space="preserve">Healthcare and social care professionals should ask service users about their devices, internet connectivity, digital skills, confidence levels and whether they have any accessibility requirements. </w:t>
      </w:r>
      <w:r w:rsidRPr="00850EE9">
        <w:rPr>
          <w:rFonts w:ascii="Arial" w:hAnsi="Arial" w:cs="Arial"/>
          <w:sz w:val="22"/>
        </w:rPr>
        <w:br/>
      </w:r>
      <w:r w:rsidRPr="00850EE9">
        <w:rPr>
          <w:rFonts w:ascii="Arial" w:hAnsi="Arial" w:cs="Arial"/>
          <w:sz w:val="22"/>
        </w:rPr>
        <w:br/>
        <w:t xml:space="preserve">Recommendation 3: Provide ongoing digital support </w:t>
      </w:r>
      <w:r w:rsidRPr="00850EE9">
        <w:rPr>
          <w:rFonts w:ascii="Arial" w:hAnsi="Arial" w:cs="Arial"/>
          <w:sz w:val="22"/>
        </w:rPr>
        <w:br/>
      </w:r>
      <w:r w:rsidRPr="00850EE9">
        <w:rPr>
          <w:rFonts w:ascii="Arial" w:hAnsi="Arial" w:cs="Arial"/>
          <w:sz w:val="22"/>
        </w:rPr>
        <w:br/>
        <w:t xml:space="preserve">Digital services should include mechanisms for on-going practical digital support. Community groups, carers, libraries, voluntary organisations and health and social care services could play a role in providing support and reducing digital exclusion. </w:t>
      </w:r>
      <w:r w:rsidRPr="00850EE9">
        <w:rPr>
          <w:rFonts w:ascii="Arial" w:hAnsi="Arial" w:cs="Arial"/>
          <w:sz w:val="22"/>
        </w:rPr>
        <w:br/>
      </w:r>
      <w:r w:rsidRPr="00850EE9">
        <w:rPr>
          <w:rFonts w:ascii="Arial" w:hAnsi="Arial" w:cs="Arial"/>
          <w:sz w:val="22"/>
        </w:rPr>
        <w:br/>
        <w:t xml:space="preserve">Recommendation 4: Co-design digital services with older adults </w:t>
      </w:r>
      <w:r w:rsidRPr="00850EE9">
        <w:rPr>
          <w:rFonts w:ascii="Arial" w:hAnsi="Arial" w:cs="Arial"/>
          <w:sz w:val="22"/>
        </w:rPr>
        <w:br/>
      </w:r>
      <w:r w:rsidRPr="00850EE9">
        <w:rPr>
          <w:rFonts w:ascii="Arial" w:hAnsi="Arial" w:cs="Arial"/>
          <w:sz w:val="22"/>
        </w:rPr>
        <w:br/>
        <w:t xml:space="preserve">Older adults should be involved in the design, testing and development of digital tools. Additional effort should be made to include people from socially deprived backgrounds and minoritised ethnic groups. </w:t>
      </w:r>
      <w:r w:rsidRPr="00850EE9">
        <w:rPr>
          <w:rFonts w:ascii="Arial" w:hAnsi="Arial" w:cs="Arial"/>
          <w:sz w:val="22"/>
        </w:rPr>
        <w:br/>
      </w:r>
      <w:r w:rsidRPr="00850EE9">
        <w:rPr>
          <w:rFonts w:ascii="Arial" w:hAnsi="Arial" w:cs="Arial"/>
          <w:sz w:val="22"/>
        </w:rPr>
        <w:br/>
        <w:t xml:space="preserve">Recommendation 5: Improve accessibility of digital services </w:t>
      </w:r>
      <w:r w:rsidRPr="00850EE9">
        <w:rPr>
          <w:rFonts w:ascii="Arial" w:hAnsi="Arial" w:cs="Arial"/>
          <w:sz w:val="22"/>
        </w:rPr>
        <w:br/>
      </w:r>
      <w:r w:rsidRPr="00850EE9">
        <w:rPr>
          <w:rFonts w:ascii="Arial" w:hAnsi="Arial" w:cs="Arial"/>
          <w:sz w:val="22"/>
        </w:rPr>
        <w:br/>
        <w:t xml:space="preserve">Digital services should use plain language, intuitive navigation, accessible fonts, high contrast ratios, screen reader capability and include other accessibility features. Accessibility should be built into the design process. </w:t>
      </w:r>
      <w:r w:rsidRPr="00850EE9">
        <w:rPr>
          <w:rFonts w:ascii="Arial" w:hAnsi="Arial" w:cs="Arial"/>
          <w:sz w:val="22"/>
        </w:rPr>
        <w:br/>
      </w:r>
      <w:r w:rsidRPr="00850EE9">
        <w:rPr>
          <w:rFonts w:ascii="Arial" w:hAnsi="Arial" w:cs="Arial"/>
          <w:sz w:val="22"/>
        </w:rPr>
        <w:br/>
        <w:t xml:space="preserve">Recommendation 6: Build trust and digital safety </w:t>
      </w:r>
      <w:r w:rsidRPr="00850EE9">
        <w:rPr>
          <w:rFonts w:ascii="Arial" w:hAnsi="Arial" w:cs="Arial"/>
          <w:sz w:val="22"/>
        </w:rPr>
        <w:br/>
      </w:r>
      <w:r w:rsidRPr="00850EE9">
        <w:rPr>
          <w:rFonts w:ascii="Arial" w:hAnsi="Arial" w:cs="Arial"/>
          <w:sz w:val="22"/>
        </w:rPr>
        <w:br/>
        <w:t xml:space="preserve">Healthcare professionals should be transparent about how they collect, store and use personal information. Older adults who engage with digital services should be provided with easy to understand information about how to stay safe. </w:t>
      </w:r>
      <w:r w:rsidRPr="00850EE9">
        <w:rPr>
          <w:rFonts w:ascii="Arial" w:hAnsi="Arial" w:cs="Arial"/>
          <w:sz w:val="22"/>
        </w:rPr>
        <w:br/>
      </w:r>
      <w:r w:rsidRPr="00850EE9">
        <w:rPr>
          <w:rFonts w:ascii="Arial" w:hAnsi="Arial" w:cs="Arial"/>
          <w:sz w:val="22"/>
        </w:rPr>
        <w:br/>
        <w:t xml:space="preserve">Recommendation 7: Explore integrated digital health platforms </w:t>
      </w:r>
      <w:r w:rsidRPr="00850EE9">
        <w:rPr>
          <w:rFonts w:ascii="Arial" w:hAnsi="Arial" w:cs="Arial"/>
          <w:sz w:val="22"/>
        </w:rPr>
        <w:br/>
      </w:r>
      <w:r w:rsidRPr="00850EE9">
        <w:rPr>
          <w:rFonts w:ascii="Arial" w:hAnsi="Arial" w:cs="Arial"/>
          <w:sz w:val="22"/>
        </w:rPr>
        <w:br/>
        <w:t xml:space="preserve">Researchers should explore whether integrated digital health platforms can improve independence and reduce the fragmentation of services. Ideally, older adults should be able to access health information, appointments, reminders and communication via the same system. </w:t>
      </w:r>
      <w:r w:rsidRPr="00850EE9">
        <w:rPr>
          <w:rFonts w:ascii="Arial" w:hAnsi="Arial" w:cs="Arial"/>
          <w:sz w:val="22"/>
        </w:rPr>
        <w:br/>
      </w:r>
      <w:r w:rsidRPr="00850EE9">
        <w:rPr>
          <w:rFonts w:ascii="Arial" w:hAnsi="Arial" w:cs="Arial"/>
          <w:sz w:val="22"/>
        </w:rPr>
        <w:lastRenderedPageBreak/>
        <w:br/>
        <w:t xml:space="preserve">Recommendation 8: Address underlying health inequalities </w:t>
      </w:r>
      <w:r w:rsidRPr="00850EE9">
        <w:rPr>
          <w:rFonts w:ascii="Arial" w:hAnsi="Arial" w:cs="Arial"/>
          <w:sz w:val="22"/>
        </w:rPr>
        <w:br/>
      </w:r>
      <w:r w:rsidRPr="00850EE9">
        <w:rPr>
          <w:rFonts w:ascii="Arial" w:hAnsi="Arial" w:cs="Arial"/>
          <w:sz w:val="22"/>
        </w:rPr>
        <w:br/>
        <w:t>UK researchers should continue to explore digital health inequalities among socially deprived groups, people living alone, people living in rural areas, disabled people, and minoritised ethnic groups. Researchers should assess whether digital interventions improve health outcomes rather than measuring technology usage alone.</w:t>
      </w:r>
    </w:p>
    <w:p w14:paraId="29AD64C8" w14:textId="77777777" w:rsidR="00B64921" w:rsidRPr="00850EE9" w:rsidRDefault="00B64921" w:rsidP="00850EE9">
      <w:pPr>
        <w:spacing w:line="360" w:lineRule="auto"/>
        <w:rPr>
          <w:rFonts w:ascii="Arial" w:hAnsi="Arial" w:cs="Arial"/>
          <w:sz w:val="22"/>
        </w:rPr>
      </w:pPr>
    </w:p>
    <w:p w14:paraId="28709A3F" w14:textId="77777777" w:rsidR="00B64921" w:rsidRPr="00850EE9" w:rsidRDefault="00B64921" w:rsidP="00850EE9">
      <w:pPr>
        <w:spacing w:line="360" w:lineRule="auto"/>
        <w:rPr>
          <w:rFonts w:ascii="Arial" w:hAnsi="Arial" w:cs="Arial"/>
          <w:sz w:val="22"/>
        </w:rPr>
      </w:pPr>
    </w:p>
    <w:p w14:paraId="08AC0501" w14:textId="77777777" w:rsidR="00B64921" w:rsidRPr="00850EE9" w:rsidRDefault="00B64921" w:rsidP="00850EE9">
      <w:pPr>
        <w:spacing w:line="360" w:lineRule="auto"/>
        <w:rPr>
          <w:rFonts w:ascii="Arial" w:hAnsi="Arial" w:cs="Arial"/>
          <w:sz w:val="22"/>
        </w:rPr>
      </w:pPr>
    </w:p>
    <w:p w14:paraId="634D060F" w14:textId="77777777" w:rsidR="00B64921" w:rsidRPr="00850EE9" w:rsidRDefault="00B64921" w:rsidP="00850EE9">
      <w:pPr>
        <w:spacing w:line="360" w:lineRule="auto"/>
        <w:rPr>
          <w:rFonts w:ascii="Arial" w:hAnsi="Arial" w:cs="Arial"/>
          <w:sz w:val="22"/>
        </w:rPr>
      </w:pPr>
    </w:p>
    <w:p w14:paraId="7F1A320E" w14:textId="77777777" w:rsidR="00B64921" w:rsidRPr="00850EE9" w:rsidRDefault="00B64921" w:rsidP="00850EE9">
      <w:pPr>
        <w:spacing w:line="360" w:lineRule="auto"/>
        <w:rPr>
          <w:rFonts w:ascii="Arial" w:hAnsi="Arial" w:cs="Arial"/>
          <w:sz w:val="22"/>
        </w:rPr>
      </w:pPr>
    </w:p>
    <w:p w14:paraId="1EB99490" w14:textId="77777777" w:rsidR="00B64921" w:rsidRPr="00850EE9" w:rsidRDefault="00B64921" w:rsidP="00850EE9">
      <w:pPr>
        <w:spacing w:line="360" w:lineRule="auto"/>
        <w:rPr>
          <w:rFonts w:ascii="Arial" w:hAnsi="Arial" w:cs="Arial"/>
          <w:sz w:val="22"/>
        </w:rPr>
      </w:pPr>
    </w:p>
    <w:p w14:paraId="200FFD48" w14:textId="77777777" w:rsidR="00B64921" w:rsidRPr="00850EE9" w:rsidRDefault="00B64921" w:rsidP="00850EE9">
      <w:pPr>
        <w:spacing w:line="360" w:lineRule="auto"/>
        <w:rPr>
          <w:rFonts w:ascii="Arial" w:hAnsi="Arial" w:cs="Arial"/>
          <w:sz w:val="22"/>
        </w:rPr>
      </w:pPr>
    </w:p>
    <w:p w14:paraId="3157CF90" w14:textId="77777777" w:rsidR="00B64921" w:rsidRPr="00850EE9" w:rsidRDefault="00B64921" w:rsidP="00850EE9">
      <w:pPr>
        <w:spacing w:line="360" w:lineRule="auto"/>
        <w:rPr>
          <w:rFonts w:ascii="Arial" w:hAnsi="Arial" w:cs="Arial"/>
          <w:sz w:val="22"/>
        </w:rPr>
      </w:pPr>
    </w:p>
    <w:p w14:paraId="11D8F2F1" w14:textId="77777777" w:rsidR="00B64921" w:rsidRPr="00850EE9" w:rsidRDefault="00B64921" w:rsidP="00850EE9">
      <w:pPr>
        <w:spacing w:line="360" w:lineRule="auto"/>
        <w:rPr>
          <w:rFonts w:ascii="Arial" w:hAnsi="Arial" w:cs="Arial"/>
          <w:sz w:val="22"/>
        </w:rPr>
      </w:pPr>
    </w:p>
    <w:p w14:paraId="7A5F0437" w14:textId="77777777" w:rsidR="00B64921" w:rsidRPr="00850EE9" w:rsidRDefault="00B64921" w:rsidP="00850EE9">
      <w:pPr>
        <w:spacing w:line="360" w:lineRule="auto"/>
        <w:rPr>
          <w:rFonts w:ascii="Arial" w:hAnsi="Arial" w:cs="Arial"/>
          <w:sz w:val="22"/>
        </w:rPr>
      </w:pPr>
    </w:p>
    <w:p w14:paraId="4F2EAB2A" w14:textId="77777777" w:rsidR="00B64921" w:rsidRPr="00850EE9" w:rsidRDefault="00B64921" w:rsidP="00850EE9">
      <w:pPr>
        <w:spacing w:line="360" w:lineRule="auto"/>
        <w:rPr>
          <w:rFonts w:ascii="Arial" w:hAnsi="Arial" w:cs="Arial"/>
          <w:sz w:val="22"/>
        </w:rPr>
      </w:pPr>
    </w:p>
    <w:p w14:paraId="7CCDEB9B" w14:textId="77777777" w:rsidR="00B64921" w:rsidRPr="00850EE9" w:rsidRDefault="00B64921" w:rsidP="00850EE9">
      <w:pPr>
        <w:spacing w:line="360" w:lineRule="auto"/>
        <w:rPr>
          <w:rFonts w:ascii="Arial" w:hAnsi="Arial" w:cs="Arial"/>
          <w:sz w:val="22"/>
        </w:rPr>
      </w:pPr>
    </w:p>
    <w:p w14:paraId="2F3D7D58" w14:textId="77777777" w:rsidR="00B64921" w:rsidRPr="00850EE9" w:rsidRDefault="00B64921" w:rsidP="00850EE9">
      <w:pPr>
        <w:spacing w:line="360" w:lineRule="auto"/>
        <w:rPr>
          <w:rFonts w:ascii="Arial" w:hAnsi="Arial" w:cs="Arial"/>
          <w:sz w:val="22"/>
        </w:rPr>
      </w:pPr>
    </w:p>
    <w:p w14:paraId="0DA4991D" w14:textId="77777777" w:rsidR="00B64921" w:rsidRPr="00850EE9" w:rsidRDefault="00B64921" w:rsidP="00850EE9">
      <w:pPr>
        <w:spacing w:line="360" w:lineRule="auto"/>
        <w:rPr>
          <w:rFonts w:ascii="Arial" w:hAnsi="Arial" w:cs="Arial"/>
          <w:sz w:val="22"/>
        </w:rPr>
      </w:pPr>
    </w:p>
    <w:p w14:paraId="5C48A9F7" w14:textId="77777777" w:rsidR="00B64921" w:rsidRPr="00850EE9" w:rsidRDefault="00B64921" w:rsidP="00850EE9">
      <w:pPr>
        <w:spacing w:line="360" w:lineRule="auto"/>
        <w:rPr>
          <w:rFonts w:ascii="Arial" w:hAnsi="Arial" w:cs="Arial"/>
          <w:sz w:val="22"/>
        </w:rPr>
      </w:pPr>
    </w:p>
    <w:p w14:paraId="01B1A2B1" w14:textId="77777777" w:rsidR="00B64921" w:rsidRPr="00850EE9" w:rsidRDefault="00B64921" w:rsidP="00850EE9">
      <w:pPr>
        <w:spacing w:line="360" w:lineRule="auto"/>
        <w:rPr>
          <w:rFonts w:ascii="Arial" w:hAnsi="Arial" w:cs="Arial"/>
          <w:sz w:val="22"/>
        </w:rPr>
      </w:pPr>
    </w:p>
    <w:p w14:paraId="05C0BD78" w14:textId="77777777" w:rsidR="00850EE9" w:rsidRDefault="00850EE9" w:rsidP="00850EE9">
      <w:pPr>
        <w:spacing w:line="360" w:lineRule="auto"/>
        <w:rPr>
          <w:rFonts w:ascii="Arial" w:hAnsi="Arial" w:cs="Arial"/>
          <w:sz w:val="22"/>
        </w:rPr>
      </w:pPr>
    </w:p>
    <w:p w14:paraId="57AA6996" w14:textId="77777777" w:rsidR="00850EE9" w:rsidRDefault="00850EE9" w:rsidP="00850EE9">
      <w:pPr>
        <w:spacing w:line="360" w:lineRule="auto"/>
        <w:rPr>
          <w:rFonts w:ascii="Arial" w:hAnsi="Arial" w:cs="Arial"/>
          <w:sz w:val="22"/>
        </w:rPr>
      </w:pPr>
    </w:p>
    <w:p w14:paraId="33B52127" w14:textId="77777777" w:rsidR="00850EE9" w:rsidRDefault="00850EE9" w:rsidP="00850EE9">
      <w:pPr>
        <w:spacing w:line="360" w:lineRule="auto"/>
        <w:rPr>
          <w:rFonts w:ascii="Arial" w:hAnsi="Arial" w:cs="Arial"/>
          <w:sz w:val="22"/>
        </w:rPr>
      </w:pPr>
    </w:p>
    <w:p w14:paraId="25795833" w14:textId="77777777" w:rsidR="00850EE9" w:rsidRDefault="00850EE9" w:rsidP="00850EE9">
      <w:pPr>
        <w:spacing w:line="360" w:lineRule="auto"/>
        <w:rPr>
          <w:rFonts w:ascii="Arial" w:hAnsi="Arial" w:cs="Arial"/>
          <w:sz w:val="22"/>
        </w:rPr>
      </w:pPr>
    </w:p>
    <w:p w14:paraId="21FB39D0" w14:textId="77777777" w:rsidR="00850EE9" w:rsidRDefault="00850EE9" w:rsidP="00850EE9">
      <w:pPr>
        <w:spacing w:line="360" w:lineRule="auto"/>
        <w:rPr>
          <w:rFonts w:ascii="Arial" w:hAnsi="Arial" w:cs="Arial"/>
          <w:sz w:val="22"/>
        </w:rPr>
      </w:pPr>
    </w:p>
    <w:p w14:paraId="62692316" w14:textId="3B39583F" w:rsidR="00857D19" w:rsidRPr="00850EE9" w:rsidRDefault="00B64921" w:rsidP="00850EE9">
      <w:pPr>
        <w:spacing w:line="360" w:lineRule="auto"/>
        <w:rPr>
          <w:rFonts w:ascii="Arial" w:hAnsi="Arial" w:cs="Arial"/>
          <w:sz w:val="22"/>
        </w:rPr>
      </w:pPr>
      <w:r w:rsidRPr="00850EE9">
        <w:rPr>
          <w:rFonts w:ascii="Arial" w:hAnsi="Arial" w:cs="Arial"/>
          <w:sz w:val="22"/>
        </w:rPr>
        <w:lastRenderedPageBreak/>
        <w:t xml:space="preserve">References: </w:t>
      </w:r>
    </w:p>
    <w:p w14:paraId="3F071461" w14:textId="13DC8C11" w:rsidR="00B64921" w:rsidRPr="00857D19" w:rsidRDefault="00B64921" w:rsidP="00850EE9">
      <w:pPr>
        <w:spacing w:line="360" w:lineRule="auto"/>
        <w:rPr>
          <w:rFonts w:ascii="Arial" w:hAnsi="Arial" w:cs="Arial"/>
          <w:sz w:val="22"/>
        </w:rPr>
      </w:pPr>
      <w:r w:rsidRPr="00850EE9">
        <w:rPr>
          <w:rFonts w:ascii="Arial" w:hAnsi="Arial" w:cs="Arial"/>
          <w:sz w:val="22"/>
        </w:rPr>
        <w:t>Ahmed, N., Hall, A., Poku, B., McDermott, J., Astbury, J. and Todd, C. (2024) ‘Experiences and views of older adults of South Asian, Black African, and Caribbean backgrounds about the digitalization of primary care services since the COVID-19 pandemic: qualitative focus group study’, JMIR Formative Research, 8, e57580. doi: 10.2196/57580.</w:t>
      </w:r>
      <w:r w:rsidRPr="00850EE9">
        <w:rPr>
          <w:rFonts w:ascii="Arial" w:hAnsi="Arial" w:cs="Arial"/>
          <w:sz w:val="22"/>
        </w:rPr>
        <w:br/>
      </w:r>
      <w:r w:rsidRPr="00850EE9">
        <w:rPr>
          <w:rFonts w:ascii="Arial" w:hAnsi="Arial" w:cs="Arial"/>
          <w:sz w:val="22"/>
        </w:rPr>
        <w:br/>
        <w:t>Chadwick, H., Laverty, L., Finnigan, R., Elias, R., Farrington, K., Caskey, F.J. and van der Veer, S.N. (2024) ‘Engagement with digital health technologies among older people living in socially deprived areas: qualitative study of influencing factors’, JMIR Formative Research, 8, e60483. doi: 10.2196/60483.</w:t>
      </w:r>
      <w:r w:rsidRPr="00850EE9">
        <w:rPr>
          <w:rFonts w:ascii="Arial" w:hAnsi="Arial" w:cs="Arial"/>
          <w:sz w:val="22"/>
        </w:rPr>
        <w:br/>
      </w:r>
      <w:r w:rsidRPr="00850EE9">
        <w:rPr>
          <w:rFonts w:ascii="Arial" w:hAnsi="Arial" w:cs="Arial"/>
          <w:sz w:val="22"/>
        </w:rPr>
        <w:br/>
        <w:t>Matthews, K., Nazroo, J. and Marshall, A. (2019) ‘Digital inclusion in later life: cohort changes in internet use over a ten-year period in England’, Ageing &amp; Society, 39(9), pp. 1914–1933. doi: 10.1017/S0144686X18000325.</w:t>
      </w:r>
      <w:r w:rsidRPr="00850EE9">
        <w:rPr>
          <w:rFonts w:ascii="Arial" w:hAnsi="Arial" w:cs="Arial"/>
          <w:sz w:val="22"/>
        </w:rPr>
        <w:br/>
      </w:r>
      <w:r w:rsidRPr="00850EE9">
        <w:rPr>
          <w:rFonts w:ascii="Arial" w:hAnsi="Arial" w:cs="Arial"/>
          <w:sz w:val="22"/>
        </w:rPr>
        <w:br/>
        <w:t>NHS England (2019) The NHS Long Term Plan. London: NHS England.</w:t>
      </w:r>
      <w:r w:rsidRPr="00850EE9">
        <w:rPr>
          <w:rFonts w:ascii="Arial" w:hAnsi="Arial" w:cs="Arial"/>
          <w:sz w:val="22"/>
        </w:rPr>
        <w:br/>
      </w:r>
      <w:r w:rsidRPr="00850EE9">
        <w:rPr>
          <w:rFonts w:ascii="Arial" w:hAnsi="Arial" w:cs="Arial"/>
          <w:sz w:val="22"/>
        </w:rPr>
        <w:br/>
        <w:t>NHS England (2023) Inclusive digital healthcare: a framework for NHS action on digital inclusion. London: NHS England.</w:t>
      </w:r>
      <w:r w:rsidRPr="00850EE9">
        <w:rPr>
          <w:rFonts w:ascii="Arial" w:hAnsi="Arial" w:cs="Arial"/>
          <w:sz w:val="22"/>
        </w:rPr>
        <w:br/>
      </w:r>
      <w:r w:rsidRPr="00850EE9">
        <w:rPr>
          <w:rFonts w:ascii="Arial" w:hAnsi="Arial" w:cs="Arial"/>
          <w:sz w:val="22"/>
        </w:rPr>
        <w:br/>
        <w:t>NHS England (2025a) Accessible Information Standard – requirements (DAPB1605). London: NHS England.</w:t>
      </w:r>
      <w:r w:rsidRPr="00850EE9">
        <w:rPr>
          <w:rFonts w:ascii="Arial" w:hAnsi="Arial" w:cs="Arial"/>
          <w:sz w:val="22"/>
        </w:rPr>
        <w:br/>
      </w:r>
      <w:r w:rsidRPr="00850EE9">
        <w:rPr>
          <w:rFonts w:ascii="Arial" w:hAnsi="Arial" w:cs="Arial"/>
          <w:sz w:val="22"/>
        </w:rPr>
        <w:br/>
        <w:t>NHS England (2025b) Accessible Information Standard – implementation guidance. London: NHS England.</w:t>
      </w:r>
      <w:r w:rsidRPr="00850EE9">
        <w:rPr>
          <w:rFonts w:ascii="Arial" w:hAnsi="Arial" w:cs="Arial"/>
          <w:sz w:val="22"/>
        </w:rPr>
        <w:br/>
      </w:r>
      <w:r w:rsidRPr="00850EE9">
        <w:rPr>
          <w:rFonts w:ascii="Arial" w:hAnsi="Arial" w:cs="Arial"/>
          <w:sz w:val="22"/>
        </w:rPr>
        <w:br/>
        <w:t>Tanhamira, L-A., Randhawa, G. and Hewson, D. (2024) ‘Exploring the perceptions and experiences of older people on the use of digital technologies during the COVID-19 pandemic: a qualitative study’, Aging Clinical and Experimental Research, 36, 220. doi: 10.1007/s40520-024-02878-5.</w:t>
      </w:r>
      <w:r w:rsidRPr="00850EE9">
        <w:rPr>
          <w:rFonts w:ascii="Arial" w:hAnsi="Arial" w:cs="Arial"/>
          <w:sz w:val="22"/>
        </w:rPr>
        <w:br/>
      </w:r>
      <w:r w:rsidRPr="00850EE9">
        <w:rPr>
          <w:rFonts w:ascii="Arial" w:hAnsi="Arial" w:cs="Arial"/>
          <w:sz w:val="22"/>
        </w:rPr>
        <w:br/>
        <w:t>Wilson, C. (2018) ‘Is it love or loneliness? Exploring the impact of everyday digital technology use on the wellbeing of older adults’, Ageing &amp; Society, 38(7), pp. 1307–1331. doi: 10.1017/S0144686X16001537.</w:t>
      </w:r>
      <w:r w:rsidRPr="00850EE9">
        <w:rPr>
          <w:rFonts w:ascii="Arial" w:hAnsi="Arial" w:cs="Arial"/>
          <w:sz w:val="22"/>
        </w:rPr>
        <w:br/>
      </w:r>
      <w:r w:rsidRPr="00850EE9">
        <w:rPr>
          <w:rFonts w:ascii="Arial" w:hAnsi="Arial" w:cs="Arial"/>
          <w:sz w:val="22"/>
        </w:rPr>
        <w:br/>
        <w:t xml:space="preserve">The selected journal articles are traceable through academic sources: Wilson's study is </w:t>
      </w:r>
      <w:r w:rsidRPr="00850EE9">
        <w:rPr>
          <w:rFonts w:ascii="Arial" w:hAnsi="Arial" w:cs="Arial"/>
          <w:sz w:val="22"/>
        </w:rPr>
        <w:lastRenderedPageBreak/>
        <w:t>indexed by Cambridge University Press and University of Stirling; Matthews, Nazroo and Marshall's research is published in Ageing &amp; Society; and the 2024 UK studies are available through PubMed/JMIR.</w:t>
      </w:r>
      <w:r w:rsidRPr="00850EE9">
        <w:rPr>
          <w:rFonts w:ascii="Arial" w:hAnsi="Arial" w:cs="Arial"/>
          <w:sz w:val="22"/>
        </w:rPr>
        <w:br/>
      </w:r>
      <w:r w:rsidRPr="00850EE9">
        <w:rPr>
          <w:rFonts w:ascii="Arial" w:hAnsi="Arial" w:cs="Arial"/>
          <w:sz w:val="22"/>
        </w:rPr>
        <w:br/>
        <w:t>The UK policy context used in the background is supported by NHS England's current digital-inclusion and accessibility guidance, including the requirement that digital pathways should not be worse tha</w:t>
      </w:r>
      <w:r w:rsidRPr="00B64921">
        <w:rPr>
          <w:rFonts w:ascii="Arial" w:hAnsi="Arial" w:cs="Arial"/>
          <w:sz w:val="22"/>
        </w:rPr>
        <w:t>n non-digital alternatives.</w:t>
      </w:r>
    </w:p>
    <w:sectPr w:rsidR="00B64921" w:rsidRPr="00857D19" w:rsidSect="00857D1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94E0A" w14:textId="77777777" w:rsidR="00A75768" w:rsidRDefault="00A75768" w:rsidP="00545684">
      <w:pPr>
        <w:spacing w:after="0" w:line="240" w:lineRule="auto"/>
      </w:pPr>
      <w:r>
        <w:separator/>
      </w:r>
    </w:p>
  </w:endnote>
  <w:endnote w:type="continuationSeparator" w:id="0">
    <w:p w14:paraId="554436E8" w14:textId="77777777" w:rsidR="00A75768" w:rsidRDefault="00A7576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CFD80" w14:textId="77777777" w:rsidR="00A75768" w:rsidRDefault="00A75768" w:rsidP="00545684">
      <w:pPr>
        <w:spacing w:after="0" w:line="240" w:lineRule="auto"/>
      </w:pPr>
      <w:r>
        <w:separator/>
      </w:r>
    </w:p>
  </w:footnote>
  <w:footnote w:type="continuationSeparator" w:id="0">
    <w:p w14:paraId="3EBB92DE" w14:textId="77777777" w:rsidR="00A75768" w:rsidRDefault="00A7576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845A3"/>
    <w:multiLevelType w:val="hybridMultilevel"/>
    <w:tmpl w:val="73DC57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6A616D"/>
    <w:multiLevelType w:val="hybridMultilevel"/>
    <w:tmpl w:val="BFCEDC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CF42F1"/>
    <w:multiLevelType w:val="hybridMultilevel"/>
    <w:tmpl w:val="D04438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975A69"/>
    <w:multiLevelType w:val="hybridMultilevel"/>
    <w:tmpl w:val="E898C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B672B0"/>
    <w:multiLevelType w:val="hybridMultilevel"/>
    <w:tmpl w:val="77C09D1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F2B373C"/>
    <w:multiLevelType w:val="hybridMultilevel"/>
    <w:tmpl w:val="8050EB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265231082">
    <w:abstractNumId w:val="3"/>
  </w:num>
  <w:num w:numId="3" w16cid:durableId="1323004952">
    <w:abstractNumId w:val="0"/>
  </w:num>
  <w:num w:numId="4" w16cid:durableId="917010699">
    <w:abstractNumId w:val="5"/>
  </w:num>
  <w:num w:numId="5" w16cid:durableId="1219975921">
    <w:abstractNumId w:val="2"/>
  </w:num>
  <w:num w:numId="6" w16cid:durableId="617641783">
    <w:abstractNumId w:val="4"/>
  </w:num>
  <w:num w:numId="7" w16cid:durableId="2075155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01D5"/>
    <w:rsid w:val="00041A5A"/>
    <w:rsid w:val="000A5161"/>
    <w:rsid w:val="000B7CD5"/>
    <w:rsid w:val="0014525B"/>
    <w:rsid w:val="001934B8"/>
    <w:rsid w:val="001C6EA2"/>
    <w:rsid w:val="00216C85"/>
    <w:rsid w:val="00260277"/>
    <w:rsid w:val="00273EDD"/>
    <w:rsid w:val="002A15DA"/>
    <w:rsid w:val="002C3965"/>
    <w:rsid w:val="002C5AC0"/>
    <w:rsid w:val="00321C4C"/>
    <w:rsid w:val="00380294"/>
    <w:rsid w:val="003A220F"/>
    <w:rsid w:val="003B5B7F"/>
    <w:rsid w:val="004068D7"/>
    <w:rsid w:val="004903AA"/>
    <w:rsid w:val="004E6C3B"/>
    <w:rsid w:val="00545684"/>
    <w:rsid w:val="0061260B"/>
    <w:rsid w:val="00680D74"/>
    <w:rsid w:val="00715990"/>
    <w:rsid w:val="00733813"/>
    <w:rsid w:val="00784670"/>
    <w:rsid w:val="00792527"/>
    <w:rsid w:val="00850EE9"/>
    <w:rsid w:val="00857D19"/>
    <w:rsid w:val="00866B7B"/>
    <w:rsid w:val="008E5015"/>
    <w:rsid w:val="009D1D1E"/>
    <w:rsid w:val="00A035FD"/>
    <w:rsid w:val="00A70967"/>
    <w:rsid w:val="00A70B96"/>
    <w:rsid w:val="00A75768"/>
    <w:rsid w:val="00AD0E8D"/>
    <w:rsid w:val="00B64921"/>
    <w:rsid w:val="00D769F0"/>
    <w:rsid w:val="00D92CDC"/>
    <w:rsid w:val="00E00F9F"/>
    <w:rsid w:val="00E614D4"/>
    <w:rsid w:val="00E7339F"/>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338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4047</Words>
  <Characters>23072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cristea florin cristian</cp:lastModifiedBy>
  <cp:revision>5</cp:revision>
  <dcterms:created xsi:type="dcterms:W3CDTF">2026-07-08T09:47:00Z</dcterms:created>
  <dcterms:modified xsi:type="dcterms:W3CDTF">2026-08-12T09:51:00Z</dcterms:modified>
</cp:coreProperties>
</file>