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81EBC" w14:textId="77777777" w:rsidR="00536B0B" w:rsidRDefault="00536B0B" w:rsidP="00536B0B">
      <w:pPr>
        <w:tabs>
          <w:tab w:val="left" w:pos="3125"/>
        </w:tabs>
        <w:spacing w:line="276" w:lineRule="auto"/>
        <w:rPr>
          <w:rFonts w:asciiTheme="minorHAnsi" w:hAnsiTheme="minorHAnsi" w:cstheme="minorHAnsi"/>
          <w:sz w:val="24"/>
          <w:szCs w:val="24"/>
        </w:rPr>
      </w:pPr>
      <w:r>
        <w:rPr>
          <w:rFonts w:asciiTheme="minorHAnsi" w:hAnsiTheme="minorHAnsi" w:cstheme="minorHAnsi"/>
          <w:sz w:val="24"/>
          <w:szCs w:val="24"/>
        </w:rPr>
        <w:tab/>
      </w:r>
    </w:p>
    <w:p w14:paraId="3BFF0890" w14:textId="77777777" w:rsidR="00536B0B" w:rsidRDefault="00536B0B" w:rsidP="00536B0B">
      <w:pPr>
        <w:tabs>
          <w:tab w:val="left" w:pos="3125"/>
        </w:tabs>
        <w:spacing w:line="276" w:lineRule="auto"/>
        <w:rPr>
          <w:rFonts w:asciiTheme="minorHAnsi" w:hAnsiTheme="minorHAnsi" w:cstheme="minorHAnsi"/>
          <w:sz w:val="24"/>
          <w:szCs w:val="24"/>
        </w:rPr>
      </w:pPr>
    </w:p>
    <w:p w14:paraId="7066D851" w14:textId="77777777" w:rsidR="00536B0B" w:rsidRDefault="00536B0B" w:rsidP="00536B0B">
      <w:pPr>
        <w:tabs>
          <w:tab w:val="left" w:pos="3125"/>
        </w:tabs>
        <w:spacing w:line="276" w:lineRule="auto"/>
        <w:rPr>
          <w:rFonts w:asciiTheme="minorHAnsi" w:hAnsiTheme="minorHAnsi" w:cstheme="minorHAnsi"/>
          <w:sz w:val="24"/>
          <w:szCs w:val="24"/>
        </w:rPr>
      </w:pPr>
    </w:p>
    <w:p w14:paraId="053FFAC6" w14:textId="77777777" w:rsidR="00536B0B" w:rsidRDefault="00536B0B" w:rsidP="00536B0B">
      <w:pPr>
        <w:tabs>
          <w:tab w:val="left" w:pos="3125"/>
        </w:tabs>
        <w:spacing w:line="276" w:lineRule="auto"/>
        <w:rPr>
          <w:rFonts w:asciiTheme="minorHAnsi" w:hAnsiTheme="minorHAnsi" w:cstheme="minorHAnsi"/>
          <w:sz w:val="24"/>
          <w:szCs w:val="24"/>
        </w:rPr>
      </w:pPr>
    </w:p>
    <w:p w14:paraId="234021C7" w14:textId="77777777" w:rsidR="00536B0B" w:rsidRPr="00A156D1" w:rsidRDefault="00536B0B" w:rsidP="00536B0B">
      <w:pPr>
        <w:tabs>
          <w:tab w:val="left" w:pos="3125"/>
        </w:tabs>
        <w:spacing w:line="276" w:lineRule="auto"/>
        <w:rPr>
          <w:rFonts w:asciiTheme="minorHAnsi" w:hAnsiTheme="minorHAnsi" w:cstheme="minorHAnsi"/>
          <w:sz w:val="28"/>
          <w:szCs w:val="28"/>
        </w:rPr>
      </w:pPr>
    </w:p>
    <w:p w14:paraId="0E037680" w14:textId="77777777" w:rsidR="00A156D1" w:rsidRDefault="00536B0B" w:rsidP="00536B0B">
      <w:pPr>
        <w:tabs>
          <w:tab w:val="left" w:pos="3554"/>
        </w:tabs>
        <w:spacing w:line="276" w:lineRule="auto"/>
        <w:rPr>
          <w:rFonts w:asciiTheme="minorHAnsi" w:hAnsiTheme="minorHAnsi" w:cstheme="minorHAnsi"/>
          <w:sz w:val="28"/>
          <w:szCs w:val="28"/>
        </w:rPr>
      </w:pPr>
      <w:r w:rsidRPr="00A156D1">
        <w:rPr>
          <w:rFonts w:asciiTheme="minorHAnsi" w:hAnsiTheme="minorHAnsi" w:cstheme="minorHAnsi"/>
          <w:sz w:val="28"/>
          <w:szCs w:val="28"/>
        </w:rPr>
        <w:tab/>
      </w:r>
    </w:p>
    <w:p w14:paraId="4B2D9E0B" w14:textId="77777777" w:rsidR="00A156D1" w:rsidRDefault="00A156D1" w:rsidP="00536B0B">
      <w:pPr>
        <w:tabs>
          <w:tab w:val="left" w:pos="3554"/>
        </w:tabs>
        <w:spacing w:line="276" w:lineRule="auto"/>
        <w:rPr>
          <w:rFonts w:asciiTheme="minorHAnsi" w:hAnsiTheme="minorHAnsi" w:cstheme="minorHAnsi"/>
          <w:sz w:val="28"/>
          <w:szCs w:val="28"/>
        </w:rPr>
      </w:pPr>
    </w:p>
    <w:p w14:paraId="2BB3E092" w14:textId="77777777" w:rsidR="00A156D1" w:rsidRDefault="00A156D1" w:rsidP="00536B0B">
      <w:pPr>
        <w:tabs>
          <w:tab w:val="left" w:pos="3554"/>
        </w:tabs>
        <w:spacing w:line="276" w:lineRule="auto"/>
        <w:rPr>
          <w:rFonts w:asciiTheme="minorHAnsi" w:hAnsiTheme="minorHAnsi" w:cstheme="minorHAnsi"/>
          <w:sz w:val="28"/>
          <w:szCs w:val="28"/>
        </w:rPr>
      </w:pPr>
    </w:p>
    <w:p w14:paraId="5B8175B8" w14:textId="77777777" w:rsidR="00A156D1" w:rsidRDefault="00A156D1" w:rsidP="00536B0B">
      <w:pPr>
        <w:tabs>
          <w:tab w:val="left" w:pos="3554"/>
        </w:tabs>
        <w:spacing w:line="276" w:lineRule="auto"/>
        <w:rPr>
          <w:rFonts w:asciiTheme="minorHAnsi" w:hAnsiTheme="minorHAnsi" w:cstheme="minorHAnsi"/>
          <w:sz w:val="28"/>
          <w:szCs w:val="28"/>
        </w:rPr>
      </w:pPr>
    </w:p>
    <w:p w14:paraId="316552EB" w14:textId="77777777" w:rsidR="00A156D1" w:rsidRDefault="00A156D1" w:rsidP="00536B0B">
      <w:pPr>
        <w:tabs>
          <w:tab w:val="left" w:pos="3554"/>
        </w:tabs>
        <w:spacing w:line="276" w:lineRule="auto"/>
        <w:rPr>
          <w:rFonts w:asciiTheme="minorHAnsi" w:hAnsiTheme="minorHAnsi" w:cstheme="minorHAnsi"/>
          <w:sz w:val="28"/>
          <w:szCs w:val="28"/>
        </w:rPr>
      </w:pPr>
    </w:p>
    <w:p w14:paraId="5FD29330" w14:textId="77777777" w:rsidR="00A156D1" w:rsidRDefault="00A156D1" w:rsidP="00536B0B">
      <w:pPr>
        <w:tabs>
          <w:tab w:val="left" w:pos="3554"/>
        </w:tabs>
        <w:spacing w:line="276" w:lineRule="auto"/>
        <w:rPr>
          <w:rFonts w:asciiTheme="minorHAnsi" w:hAnsiTheme="minorHAnsi" w:cstheme="minorHAnsi"/>
          <w:sz w:val="28"/>
          <w:szCs w:val="28"/>
        </w:rPr>
      </w:pPr>
    </w:p>
    <w:p w14:paraId="52127EBA" w14:textId="5EA66696" w:rsidR="00A156D1" w:rsidRPr="00A156D1" w:rsidRDefault="00A156D1" w:rsidP="00536B0B">
      <w:pPr>
        <w:tabs>
          <w:tab w:val="left" w:pos="3554"/>
        </w:tabs>
        <w:spacing w:line="276" w:lineRule="auto"/>
        <w:rPr>
          <w:rFonts w:asciiTheme="minorHAnsi" w:hAnsiTheme="minorHAnsi" w:cstheme="minorHAnsi"/>
          <w:sz w:val="28"/>
          <w:szCs w:val="28"/>
        </w:rPr>
      </w:pPr>
      <w:r>
        <w:rPr>
          <w:rFonts w:asciiTheme="minorHAnsi" w:hAnsiTheme="minorHAnsi" w:cstheme="minorHAnsi"/>
          <w:sz w:val="28"/>
          <w:szCs w:val="28"/>
        </w:rPr>
        <w:t xml:space="preserve">                                                       </w:t>
      </w:r>
      <w:r w:rsidR="00536B0B" w:rsidRPr="00A156D1">
        <w:rPr>
          <w:rFonts w:asciiTheme="minorHAnsi" w:hAnsiTheme="minorHAnsi" w:cstheme="minorHAnsi"/>
          <w:sz w:val="28"/>
          <w:szCs w:val="28"/>
        </w:rPr>
        <w:t xml:space="preserve">Ella Jade Smith </w:t>
      </w:r>
    </w:p>
    <w:p w14:paraId="45EEB11A" w14:textId="59510102" w:rsidR="00536B0B" w:rsidRPr="00A156D1" w:rsidRDefault="00536B0B" w:rsidP="00A156D1">
      <w:pPr>
        <w:tabs>
          <w:tab w:val="left" w:pos="3554"/>
        </w:tabs>
        <w:spacing w:line="276" w:lineRule="auto"/>
        <w:rPr>
          <w:rFonts w:asciiTheme="minorHAnsi" w:hAnsiTheme="minorHAnsi" w:cstheme="minorHAnsi"/>
          <w:sz w:val="28"/>
          <w:szCs w:val="28"/>
        </w:rPr>
      </w:pPr>
      <w:r w:rsidRPr="00A156D1">
        <w:rPr>
          <w:rFonts w:asciiTheme="minorHAnsi" w:hAnsiTheme="minorHAnsi" w:cstheme="minorHAnsi"/>
          <w:sz w:val="28"/>
          <w:szCs w:val="28"/>
        </w:rPr>
        <w:tab/>
        <w:t>0</w:t>
      </w:r>
      <w:r w:rsidR="00A156D1" w:rsidRPr="00A156D1">
        <w:rPr>
          <w:rFonts w:asciiTheme="minorHAnsi" w:hAnsiTheme="minorHAnsi" w:cstheme="minorHAnsi"/>
          <w:sz w:val="28"/>
          <w:szCs w:val="28"/>
        </w:rPr>
        <w:t>3/05/2022</w:t>
      </w:r>
    </w:p>
    <w:p w14:paraId="61FF0E4F" w14:textId="3289FC96" w:rsidR="00A156D1" w:rsidRPr="00A156D1" w:rsidRDefault="00A156D1" w:rsidP="00A156D1">
      <w:pPr>
        <w:tabs>
          <w:tab w:val="left" w:pos="3554"/>
        </w:tabs>
        <w:spacing w:line="276" w:lineRule="auto"/>
        <w:rPr>
          <w:rFonts w:asciiTheme="minorHAnsi" w:hAnsiTheme="minorHAnsi" w:cstheme="minorHAnsi"/>
          <w:sz w:val="28"/>
          <w:szCs w:val="28"/>
        </w:rPr>
      </w:pPr>
      <w:r w:rsidRPr="00A156D1">
        <w:rPr>
          <w:rFonts w:asciiTheme="minorHAnsi" w:hAnsiTheme="minorHAnsi" w:cstheme="minorHAnsi"/>
          <w:sz w:val="28"/>
          <w:szCs w:val="28"/>
        </w:rPr>
        <w:tab/>
        <w:t>UWTSD</w:t>
      </w:r>
    </w:p>
    <w:p w14:paraId="72ABC428" w14:textId="688CA5D5" w:rsidR="00A156D1" w:rsidRPr="00A156D1" w:rsidRDefault="00A156D1" w:rsidP="00A156D1">
      <w:pPr>
        <w:tabs>
          <w:tab w:val="left" w:pos="3554"/>
        </w:tabs>
        <w:spacing w:line="276" w:lineRule="auto"/>
        <w:rPr>
          <w:rFonts w:asciiTheme="minorHAnsi" w:hAnsiTheme="minorHAnsi" w:cstheme="minorHAnsi"/>
          <w:sz w:val="28"/>
          <w:szCs w:val="28"/>
        </w:rPr>
      </w:pPr>
      <w:r w:rsidRPr="00A156D1">
        <w:rPr>
          <w:rFonts w:asciiTheme="minorHAnsi" w:hAnsiTheme="minorHAnsi" w:cstheme="minorHAnsi"/>
          <w:sz w:val="28"/>
          <w:szCs w:val="28"/>
        </w:rPr>
        <w:tab/>
        <w:t xml:space="preserve">Legal Processes </w:t>
      </w:r>
    </w:p>
    <w:p w14:paraId="5D122D20" w14:textId="77777777" w:rsidR="00A156D1" w:rsidRDefault="00A156D1" w:rsidP="00536B0B">
      <w:pPr>
        <w:tabs>
          <w:tab w:val="left" w:pos="3554"/>
        </w:tabs>
        <w:spacing w:line="276" w:lineRule="auto"/>
        <w:rPr>
          <w:rFonts w:asciiTheme="minorHAnsi" w:hAnsiTheme="minorHAnsi" w:cstheme="minorHAnsi"/>
          <w:sz w:val="24"/>
          <w:szCs w:val="24"/>
        </w:rPr>
      </w:pPr>
    </w:p>
    <w:p w14:paraId="6002236E" w14:textId="77777777" w:rsidR="00536B0B" w:rsidRDefault="00536B0B" w:rsidP="00536B0B">
      <w:pPr>
        <w:tabs>
          <w:tab w:val="left" w:pos="3125"/>
        </w:tabs>
        <w:spacing w:line="276" w:lineRule="auto"/>
        <w:rPr>
          <w:rFonts w:asciiTheme="minorHAnsi" w:hAnsiTheme="minorHAnsi" w:cstheme="minorHAnsi"/>
          <w:sz w:val="24"/>
          <w:szCs w:val="24"/>
        </w:rPr>
      </w:pPr>
    </w:p>
    <w:p w14:paraId="63E17007" w14:textId="77777777" w:rsidR="00536B0B" w:rsidRDefault="00536B0B" w:rsidP="00536B0B">
      <w:pPr>
        <w:tabs>
          <w:tab w:val="left" w:pos="3125"/>
        </w:tabs>
        <w:spacing w:line="276" w:lineRule="auto"/>
        <w:rPr>
          <w:rFonts w:asciiTheme="minorHAnsi" w:hAnsiTheme="minorHAnsi" w:cstheme="minorHAnsi"/>
          <w:sz w:val="24"/>
          <w:szCs w:val="24"/>
        </w:rPr>
      </w:pPr>
    </w:p>
    <w:p w14:paraId="6E8C3646" w14:textId="77777777" w:rsidR="00536B0B" w:rsidRDefault="00536B0B" w:rsidP="00536B0B">
      <w:pPr>
        <w:tabs>
          <w:tab w:val="left" w:pos="3125"/>
        </w:tabs>
        <w:spacing w:line="276" w:lineRule="auto"/>
        <w:rPr>
          <w:rFonts w:asciiTheme="minorHAnsi" w:hAnsiTheme="minorHAnsi" w:cstheme="minorHAnsi"/>
          <w:sz w:val="24"/>
          <w:szCs w:val="24"/>
        </w:rPr>
      </w:pPr>
    </w:p>
    <w:p w14:paraId="08D10BF2" w14:textId="77777777" w:rsidR="00536B0B" w:rsidRDefault="00536B0B" w:rsidP="00536B0B">
      <w:pPr>
        <w:tabs>
          <w:tab w:val="left" w:pos="3125"/>
        </w:tabs>
        <w:spacing w:line="276" w:lineRule="auto"/>
        <w:rPr>
          <w:rFonts w:asciiTheme="minorHAnsi" w:hAnsiTheme="minorHAnsi" w:cstheme="minorHAnsi"/>
          <w:sz w:val="24"/>
          <w:szCs w:val="24"/>
        </w:rPr>
      </w:pPr>
    </w:p>
    <w:p w14:paraId="3637D2DB" w14:textId="77777777" w:rsidR="00536B0B" w:rsidRDefault="00536B0B" w:rsidP="00536B0B">
      <w:pPr>
        <w:tabs>
          <w:tab w:val="left" w:pos="3125"/>
        </w:tabs>
        <w:spacing w:line="276" w:lineRule="auto"/>
        <w:rPr>
          <w:rFonts w:asciiTheme="minorHAnsi" w:hAnsiTheme="minorHAnsi" w:cstheme="minorHAnsi"/>
          <w:sz w:val="24"/>
          <w:szCs w:val="24"/>
        </w:rPr>
      </w:pPr>
    </w:p>
    <w:p w14:paraId="361E90CF" w14:textId="77777777" w:rsidR="00536B0B" w:rsidRDefault="00536B0B" w:rsidP="00536B0B">
      <w:pPr>
        <w:tabs>
          <w:tab w:val="left" w:pos="3125"/>
        </w:tabs>
        <w:spacing w:line="276" w:lineRule="auto"/>
        <w:rPr>
          <w:rFonts w:asciiTheme="minorHAnsi" w:hAnsiTheme="minorHAnsi" w:cstheme="minorHAnsi"/>
          <w:sz w:val="24"/>
          <w:szCs w:val="24"/>
        </w:rPr>
      </w:pPr>
    </w:p>
    <w:p w14:paraId="7884A58A" w14:textId="77777777" w:rsidR="00536B0B" w:rsidRDefault="00536B0B" w:rsidP="00536B0B">
      <w:pPr>
        <w:tabs>
          <w:tab w:val="left" w:pos="3125"/>
        </w:tabs>
        <w:spacing w:line="276" w:lineRule="auto"/>
        <w:rPr>
          <w:rFonts w:asciiTheme="minorHAnsi" w:hAnsiTheme="minorHAnsi" w:cstheme="minorHAnsi"/>
          <w:sz w:val="24"/>
          <w:szCs w:val="24"/>
        </w:rPr>
      </w:pPr>
    </w:p>
    <w:p w14:paraId="1CCD72B0" w14:textId="77777777" w:rsidR="00536B0B" w:rsidRDefault="00536B0B" w:rsidP="00536B0B">
      <w:pPr>
        <w:tabs>
          <w:tab w:val="left" w:pos="3125"/>
        </w:tabs>
        <w:spacing w:line="276" w:lineRule="auto"/>
        <w:rPr>
          <w:rFonts w:asciiTheme="minorHAnsi" w:hAnsiTheme="minorHAnsi" w:cstheme="minorHAnsi"/>
          <w:sz w:val="24"/>
          <w:szCs w:val="24"/>
        </w:rPr>
      </w:pPr>
    </w:p>
    <w:p w14:paraId="1EE3AE4F" w14:textId="77777777" w:rsidR="00536B0B" w:rsidRDefault="00536B0B" w:rsidP="00536B0B">
      <w:pPr>
        <w:tabs>
          <w:tab w:val="left" w:pos="3125"/>
        </w:tabs>
        <w:spacing w:line="276" w:lineRule="auto"/>
        <w:rPr>
          <w:rFonts w:asciiTheme="minorHAnsi" w:hAnsiTheme="minorHAnsi" w:cstheme="minorHAnsi"/>
          <w:sz w:val="24"/>
          <w:szCs w:val="24"/>
        </w:rPr>
      </w:pPr>
    </w:p>
    <w:p w14:paraId="7BF8EA6A"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6F278EA7"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068522D5"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60255EFB"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30621A00"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23389777"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19C2959A"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57DDB5D2"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483EE5CD"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77338CE7"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22FDB32C"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22B21DFF"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6ED54B71"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57199E73"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1B018D6D" w14:textId="77777777" w:rsidR="00A156D1" w:rsidRDefault="00A156D1" w:rsidP="00536B0B">
      <w:pPr>
        <w:tabs>
          <w:tab w:val="left" w:pos="3125"/>
        </w:tabs>
        <w:spacing w:line="276" w:lineRule="auto"/>
        <w:jc w:val="center"/>
        <w:rPr>
          <w:rFonts w:asciiTheme="minorHAnsi" w:hAnsiTheme="minorHAnsi" w:cstheme="minorHAnsi"/>
          <w:sz w:val="24"/>
          <w:szCs w:val="24"/>
        </w:rPr>
      </w:pPr>
    </w:p>
    <w:p w14:paraId="48B88B95" w14:textId="0CE07BFF" w:rsidR="00A13048" w:rsidRPr="00A156D1" w:rsidRDefault="00536B0B" w:rsidP="00536B0B">
      <w:pPr>
        <w:tabs>
          <w:tab w:val="left" w:pos="3125"/>
        </w:tabs>
        <w:spacing w:line="276" w:lineRule="auto"/>
        <w:jc w:val="center"/>
        <w:rPr>
          <w:rFonts w:asciiTheme="minorHAnsi" w:hAnsiTheme="minorHAnsi" w:cstheme="minorHAnsi"/>
          <w:b/>
          <w:bCs/>
          <w:sz w:val="24"/>
          <w:szCs w:val="24"/>
        </w:rPr>
      </w:pPr>
      <w:r w:rsidRPr="00A156D1">
        <w:rPr>
          <w:rFonts w:asciiTheme="minorHAnsi" w:hAnsiTheme="minorHAnsi" w:cstheme="minorHAnsi"/>
          <w:b/>
          <w:bCs/>
          <w:sz w:val="24"/>
          <w:szCs w:val="24"/>
        </w:rPr>
        <w:t>Statutory Interpretation:</w:t>
      </w:r>
    </w:p>
    <w:p w14:paraId="6ACFBAFA" w14:textId="77777777" w:rsidR="00A13048" w:rsidRPr="00821FD4" w:rsidRDefault="00A13048" w:rsidP="00A13048">
      <w:pPr>
        <w:spacing w:line="276" w:lineRule="auto"/>
        <w:rPr>
          <w:rFonts w:asciiTheme="minorHAnsi" w:hAnsiTheme="minorHAnsi" w:cstheme="minorHAnsi"/>
          <w:sz w:val="24"/>
          <w:szCs w:val="24"/>
        </w:rPr>
      </w:pPr>
    </w:p>
    <w:p w14:paraId="3E44FF95"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Unambiguous legislation is crucial to the effective operation of a good government. The legislation gives effect to the parliamentary democracy in the United Kingdom. These laws allow for productive policy, effective translation of principles, and distinct provisions into legal remedies, while conciliating between legislatures’ contradictory intentions, perceptions, and expectations. The enactment of legislation is complicated due to external pressures and unforeseeable circumstances (Heaton, 2013).</w:t>
      </w:r>
    </w:p>
    <w:p w14:paraId="780DCD38" w14:textId="77777777" w:rsidR="00A13048" w:rsidRPr="00AE47CE" w:rsidRDefault="00A13048" w:rsidP="00A13048">
      <w:pPr>
        <w:spacing w:line="276" w:lineRule="auto"/>
        <w:rPr>
          <w:rFonts w:asciiTheme="minorHAnsi" w:hAnsiTheme="minorHAnsi" w:cstheme="minorHAnsi"/>
          <w:sz w:val="24"/>
          <w:szCs w:val="24"/>
        </w:rPr>
      </w:pPr>
    </w:p>
    <w:p w14:paraId="4486D23B"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Statutory interpretation refers to the procedure whereby the courts interpret the application of statutory provisions (Quinn, 2020). Statutory interpretation aids the English courts in their functioning. Parliament has the role of making and approving laws, and other law-making bodies such as government ministers can pass laws through delegated legislation. The structure of the English legal system is based on Common Law (Law Commission, 1969). Judges develop the Common Law by making a judgment at the end of each case. A statute refers to a law made by Parliament. The ambiguities in the language used in statutes are open to misinterpretation. Statutory interpretation is necessary to avoid judges forming their own biases and creating their own judgements (Law Commission, 1969). </w:t>
      </w:r>
    </w:p>
    <w:p w14:paraId="033C0910" w14:textId="77777777" w:rsidR="00A13048" w:rsidRPr="00AE47CE" w:rsidRDefault="00A13048" w:rsidP="00A13048">
      <w:pPr>
        <w:spacing w:line="276" w:lineRule="auto"/>
        <w:rPr>
          <w:rFonts w:asciiTheme="minorHAnsi" w:hAnsiTheme="minorHAnsi" w:cstheme="minorHAnsi"/>
          <w:sz w:val="24"/>
          <w:szCs w:val="24"/>
        </w:rPr>
      </w:pPr>
    </w:p>
    <w:p w14:paraId="3134664F"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The application of statutory interpretation to statutes within the courts proves challenging. Judges </w:t>
      </w:r>
      <w:proofErr w:type="gramStart"/>
      <w:r w:rsidRPr="00AE47CE">
        <w:rPr>
          <w:rFonts w:asciiTheme="minorHAnsi" w:hAnsiTheme="minorHAnsi" w:cstheme="minorHAnsi"/>
          <w:sz w:val="24"/>
          <w:szCs w:val="24"/>
        </w:rPr>
        <w:t>have to</w:t>
      </w:r>
      <w:proofErr w:type="gramEnd"/>
      <w:r w:rsidRPr="00AE47CE">
        <w:rPr>
          <w:rFonts w:asciiTheme="minorHAnsi" w:hAnsiTheme="minorHAnsi" w:cstheme="minorHAnsi"/>
          <w:sz w:val="24"/>
          <w:szCs w:val="24"/>
        </w:rPr>
        <w:t xml:space="preserve"> keep Parliament’s original intentions for the Act in mind. Parliamentary purpose is difficult to interpret (UK Parliament, 2022). The development of a statute by Parliament makes it difficult for judges to understand the language used in legislation. The language used in enacting legislation varies depending on the ideologies of parliamentary parties. Additional ambiguity in statutes arises from the drafter’s written intention and the judge’s comprehension of the words. Statutory interpretation is vital for the challenges associated with statutes enforced by Parliament. Legislation is often unclear in covering a specific underlying objective (UK Parliament, 2022). The courts are therefore required to interpret legislation passed by Parliament. </w:t>
      </w:r>
    </w:p>
    <w:p w14:paraId="4245A0B8" w14:textId="77777777" w:rsidR="00A13048" w:rsidRPr="00AE47CE" w:rsidRDefault="00A13048" w:rsidP="00A13048">
      <w:pPr>
        <w:spacing w:line="276" w:lineRule="auto"/>
        <w:rPr>
          <w:rFonts w:asciiTheme="minorHAnsi" w:hAnsiTheme="minorHAnsi" w:cstheme="minorHAnsi"/>
          <w:sz w:val="24"/>
          <w:szCs w:val="24"/>
        </w:rPr>
      </w:pPr>
    </w:p>
    <w:p w14:paraId="04339049"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Lawmakers should be more transparent in expressing their intentions via statute. Drafting errors made during the enactment of legislation and statutes cause issues. The Scottish Law Commission (2022) communicates that these issues include the volume, opinions, preparation, and consultation considered during the process. The volume of legislation is an inaccurate guide to measure the quality of legislation in the United Kingdom by reason of changes in drafting layout. Bigger margins mean legislatures have fewer words to implement into the drafting stages of the Act (The Scottish Law Commission, 2022).</w:t>
      </w:r>
    </w:p>
    <w:p w14:paraId="4932E10A" w14:textId="77777777" w:rsidR="00A13048" w:rsidRPr="00AE47CE" w:rsidRDefault="00A13048" w:rsidP="00A13048">
      <w:pPr>
        <w:spacing w:line="276" w:lineRule="auto"/>
        <w:rPr>
          <w:rFonts w:asciiTheme="minorHAnsi" w:hAnsiTheme="minorHAnsi" w:cstheme="minorHAnsi"/>
          <w:sz w:val="24"/>
          <w:szCs w:val="24"/>
        </w:rPr>
      </w:pPr>
    </w:p>
    <w:p w14:paraId="77A3BCBF"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lastRenderedPageBreak/>
        <w:t xml:space="preserve">Furthermore, Parliamentary counsel communicates that big </w:t>
      </w:r>
      <w:proofErr w:type="gramStart"/>
      <w:r w:rsidRPr="00AE47CE">
        <w:rPr>
          <w:rFonts w:asciiTheme="minorHAnsi" w:hAnsiTheme="minorHAnsi" w:cstheme="minorHAnsi"/>
          <w:sz w:val="24"/>
          <w:szCs w:val="24"/>
        </w:rPr>
        <w:t>bills’</w:t>
      </w:r>
      <w:proofErr w:type="gramEnd"/>
      <w:r w:rsidRPr="00AE47CE">
        <w:rPr>
          <w:rFonts w:asciiTheme="minorHAnsi" w:hAnsiTheme="minorHAnsi" w:cstheme="minorHAnsi"/>
          <w:sz w:val="24"/>
          <w:szCs w:val="24"/>
        </w:rPr>
        <w:t xml:space="preserve"> are a primary issue for concern in the preparation of legislation. Due to late amendments regarding new concerns in the process stages of the bill, there is an increase in the imprecise language used in the report stage (Parliament, 2022). Controversial parties’ opinions toward specific bills mean the number of acts increases to satisfy various legislatures’ goals and desires. Lowering standards of legislation in the United Kingdom. A report by Parliament (2022) states that the broad scope of the bills allows for more amendments to be made. Increasing the chances of drafters being able to scrutinise bills effectively (Parliament, 2022). Leaving statute and legislation open to interpretation. Lowering the status of legislation within the United Kingdom. For this reason, there have been rules implemented to examine the effect of statutory interpretation on the status of legislation (The Scottish Law Commission, 2022).</w:t>
      </w:r>
    </w:p>
    <w:p w14:paraId="5F8CF447" w14:textId="77777777" w:rsidR="00A13048" w:rsidRPr="00AE47CE" w:rsidRDefault="00A13048" w:rsidP="00A13048">
      <w:pPr>
        <w:spacing w:line="276" w:lineRule="auto"/>
        <w:rPr>
          <w:rFonts w:asciiTheme="minorHAnsi" w:hAnsiTheme="minorHAnsi" w:cstheme="minorHAnsi"/>
          <w:sz w:val="24"/>
          <w:szCs w:val="24"/>
        </w:rPr>
      </w:pPr>
    </w:p>
    <w:p w14:paraId="3D84429A" w14:textId="77777777" w:rsidR="00A13048" w:rsidRPr="00AE47CE" w:rsidRDefault="00A13048" w:rsidP="00A13048">
      <w:pPr>
        <w:spacing w:line="276" w:lineRule="auto"/>
        <w:rPr>
          <w:rFonts w:asciiTheme="minorHAnsi" w:hAnsiTheme="minorHAnsi" w:cstheme="minorHAnsi"/>
          <w:sz w:val="24"/>
          <w:szCs w:val="24"/>
        </w:rPr>
      </w:pPr>
    </w:p>
    <w:p w14:paraId="15FBDC9F" w14:textId="1238A424"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The rules that </w:t>
      </w:r>
      <w:proofErr w:type="gramStart"/>
      <w:r w:rsidRPr="00AE47CE">
        <w:rPr>
          <w:rFonts w:asciiTheme="minorHAnsi" w:hAnsiTheme="minorHAnsi" w:cstheme="minorHAnsi"/>
          <w:sz w:val="24"/>
          <w:szCs w:val="24"/>
        </w:rPr>
        <w:t>judges</w:t>
      </w:r>
      <w:proofErr w:type="gramEnd"/>
      <w:r w:rsidRPr="00AE47CE">
        <w:rPr>
          <w:rFonts w:asciiTheme="minorHAnsi" w:hAnsiTheme="minorHAnsi" w:cstheme="minorHAnsi"/>
          <w:sz w:val="24"/>
          <w:szCs w:val="24"/>
        </w:rPr>
        <w:t xml:space="preserve"> use as a guideline for interpreting statutes include </w:t>
      </w:r>
      <w:r w:rsidR="001B6503">
        <w:rPr>
          <w:rFonts w:asciiTheme="minorHAnsi" w:hAnsiTheme="minorHAnsi" w:cstheme="minorHAnsi"/>
          <w:sz w:val="24"/>
          <w:szCs w:val="24"/>
        </w:rPr>
        <w:t>t</w:t>
      </w:r>
      <w:r w:rsidRPr="00AE47CE">
        <w:rPr>
          <w:rFonts w:asciiTheme="minorHAnsi" w:hAnsiTheme="minorHAnsi" w:cstheme="minorHAnsi"/>
          <w:sz w:val="24"/>
          <w:szCs w:val="24"/>
        </w:rPr>
        <w:t xml:space="preserve">he literal rule that interprets statutes by using the ordinary and natural meaning of the words to obtain the intention of Parliament (Greenawalt, 2013). The natural meaning of the statute is applied even when a case involving absurdity is involved. However, the basis of the literal rule upholds the doctrine of separation of powers (Greenawalt, 2013). The literal rule fails to recognise language limitations and complexities. Highlighted in the case of (Fisher v Bell [1961]). Judges have raised concerns about determining the ordinary meaning. Illustrated in (R v Maginnis [1987]). The challenges posed by the literal rule mean absurdities and injustice undermine the public’s trust in statutes as a primary source of law (FLANAGAN, 2010). </w:t>
      </w:r>
    </w:p>
    <w:p w14:paraId="7A4B8EF5" w14:textId="77777777" w:rsidR="00A13048" w:rsidRPr="00AE47CE" w:rsidRDefault="00A13048" w:rsidP="00A13048">
      <w:pPr>
        <w:spacing w:line="276" w:lineRule="auto"/>
        <w:rPr>
          <w:rFonts w:asciiTheme="minorHAnsi" w:hAnsiTheme="minorHAnsi" w:cstheme="minorHAnsi"/>
          <w:sz w:val="24"/>
          <w:szCs w:val="24"/>
        </w:rPr>
      </w:pPr>
    </w:p>
    <w:p w14:paraId="709BE165" w14:textId="36B8F831" w:rsidR="009D7B33"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The Golden</w:t>
      </w:r>
      <w:r w:rsidR="002F2A61">
        <w:rPr>
          <w:rFonts w:asciiTheme="minorHAnsi" w:hAnsiTheme="minorHAnsi" w:cstheme="minorHAnsi"/>
          <w:sz w:val="24"/>
          <w:szCs w:val="24"/>
        </w:rPr>
        <w:t xml:space="preserve"> rule</w:t>
      </w:r>
      <w:r w:rsidRPr="00AE47CE">
        <w:rPr>
          <w:rFonts w:asciiTheme="minorHAnsi" w:hAnsiTheme="minorHAnsi" w:cstheme="minorHAnsi"/>
          <w:sz w:val="24"/>
          <w:szCs w:val="24"/>
        </w:rPr>
        <w:t xml:space="preserve"> developed for judges is used in cases where absurdities are created by the literal rule. </w:t>
      </w:r>
      <w:r w:rsidR="002F2A61">
        <w:rPr>
          <w:rFonts w:asciiTheme="minorHAnsi" w:hAnsiTheme="minorHAnsi" w:cstheme="minorHAnsi"/>
          <w:sz w:val="24"/>
          <w:szCs w:val="24"/>
        </w:rPr>
        <w:t>The</w:t>
      </w:r>
      <w:r w:rsidR="000B4DFF">
        <w:rPr>
          <w:rFonts w:asciiTheme="minorHAnsi" w:hAnsiTheme="minorHAnsi" w:cstheme="minorHAnsi"/>
          <w:sz w:val="24"/>
          <w:szCs w:val="24"/>
        </w:rPr>
        <w:t xml:space="preserve">se obscurities </w:t>
      </w:r>
      <w:r w:rsidR="008B6542">
        <w:rPr>
          <w:rFonts w:asciiTheme="minorHAnsi" w:hAnsiTheme="minorHAnsi" w:cstheme="minorHAnsi"/>
          <w:sz w:val="24"/>
          <w:szCs w:val="24"/>
        </w:rPr>
        <w:t xml:space="preserve">should not be a result of </w:t>
      </w:r>
      <w:r w:rsidR="00FE52AA">
        <w:rPr>
          <w:rFonts w:asciiTheme="minorHAnsi" w:hAnsiTheme="minorHAnsi" w:cstheme="minorHAnsi"/>
          <w:sz w:val="24"/>
          <w:szCs w:val="24"/>
        </w:rPr>
        <w:t xml:space="preserve">the legislature’s </w:t>
      </w:r>
      <w:r w:rsidR="003474CB">
        <w:rPr>
          <w:rFonts w:asciiTheme="minorHAnsi" w:hAnsiTheme="minorHAnsi" w:cstheme="minorHAnsi"/>
          <w:sz w:val="24"/>
          <w:szCs w:val="24"/>
        </w:rPr>
        <w:t>objective.</w:t>
      </w:r>
      <w:r w:rsidRPr="00AE47CE">
        <w:rPr>
          <w:rFonts w:asciiTheme="minorHAnsi" w:hAnsiTheme="minorHAnsi" w:cstheme="minorHAnsi"/>
          <w:sz w:val="24"/>
          <w:szCs w:val="24"/>
        </w:rPr>
        <w:t xml:space="preserve"> Absurdity originating from the literal</w:t>
      </w:r>
      <w:r w:rsidR="004D3D0B">
        <w:rPr>
          <w:rFonts w:asciiTheme="minorHAnsi" w:hAnsiTheme="minorHAnsi" w:cstheme="minorHAnsi"/>
          <w:sz w:val="24"/>
          <w:szCs w:val="24"/>
        </w:rPr>
        <w:t xml:space="preserve"> approach </w:t>
      </w:r>
      <w:r w:rsidRPr="00AE47CE">
        <w:rPr>
          <w:rFonts w:asciiTheme="minorHAnsi" w:hAnsiTheme="minorHAnsi" w:cstheme="minorHAnsi"/>
          <w:sz w:val="24"/>
          <w:szCs w:val="24"/>
        </w:rPr>
        <w:t xml:space="preserve">requires judges to use the golden rule to substitute a reasonable meaning in accordance with the statute. Intervention for justice without absurdity is not applicable (London and </w:t>
      </w:r>
      <w:proofErr w:type="gramStart"/>
      <w:r w:rsidRPr="00AE47CE">
        <w:rPr>
          <w:rFonts w:asciiTheme="minorHAnsi" w:hAnsiTheme="minorHAnsi" w:cstheme="minorHAnsi"/>
          <w:sz w:val="24"/>
          <w:szCs w:val="24"/>
        </w:rPr>
        <w:t>North Eastern</w:t>
      </w:r>
      <w:proofErr w:type="gramEnd"/>
      <w:r w:rsidRPr="00AE47CE">
        <w:rPr>
          <w:rFonts w:asciiTheme="minorHAnsi" w:hAnsiTheme="minorHAnsi" w:cstheme="minorHAnsi"/>
          <w:sz w:val="24"/>
          <w:szCs w:val="24"/>
        </w:rPr>
        <w:t xml:space="preserve"> Railway v Berriman, [1946]) (Bennion, 2007). The golden rule heightens the possibility of creating unnecessary judicial precedent that would force Parliament into lengthy amendments. Allowing judges to interpret the meaning of statutes as they perceive reasonable in pursuing justice in any given situation infringes the separation of powers. The case of (Alder v George [1964]) demonstrates this principle. Advantages of the golden rule include rectifying logic and preventing loopholes in the law. The </w:t>
      </w:r>
      <w:r w:rsidR="00B1179F">
        <w:rPr>
          <w:rFonts w:asciiTheme="minorHAnsi" w:hAnsiTheme="minorHAnsi" w:cstheme="minorHAnsi"/>
          <w:sz w:val="24"/>
          <w:szCs w:val="24"/>
        </w:rPr>
        <w:t>g</w:t>
      </w:r>
      <w:r w:rsidRPr="00AE47CE">
        <w:rPr>
          <w:rFonts w:asciiTheme="minorHAnsi" w:hAnsiTheme="minorHAnsi" w:cstheme="minorHAnsi"/>
          <w:sz w:val="24"/>
          <w:szCs w:val="24"/>
        </w:rPr>
        <w:t>olden rule is a principle that keeps parliamentary intention circulating in the courts because outcomes from the application of the golden rule follow parliamentary objectives more closely. Furthermore, the golden rule permits the immediate rectification of drafting errors in statutes (R v Allen, [1872]) (Thrombe, 2019). Arguably withholding the status of legislation as the primary source of law in the United Kingdom.</w:t>
      </w:r>
    </w:p>
    <w:p w14:paraId="7D703D21" w14:textId="77777777" w:rsidR="00B1179F" w:rsidRDefault="00B1179F" w:rsidP="00A13048">
      <w:pPr>
        <w:spacing w:line="276" w:lineRule="auto"/>
        <w:rPr>
          <w:rFonts w:asciiTheme="minorHAnsi" w:hAnsiTheme="minorHAnsi" w:cstheme="minorHAnsi"/>
          <w:sz w:val="24"/>
          <w:szCs w:val="24"/>
        </w:rPr>
      </w:pPr>
    </w:p>
    <w:p w14:paraId="75CB0E45" w14:textId="77777777" w:rsidR="00B1179F" w:rsidRDefault="00B1179F" w:rsidP="00A13048">
      <w:pPr>
        <w:spacing w:line="276" w:lineRule="auto"/>
        <w:rPr>
          <w:rFonts w:asciiTheme="minorHAnsi" w:hAnsiTheme="minorHAnsi" w:cstheme="minorHAnsi"/>
          <w:sz w:val="24"/>
          <w:szCs w:val="24"/>
        </w:rPr>
      </w:pPr>
    </w:p>
    <w:p w14:paraId="47410ED1" w14:textId="50A0AB52"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lastRenderedPageBreak/>
        <w:t xml:space="preserve">Additionally, the courts in the United Kingdom use the mischief rule in constructing the meanings of words in the statutes. The mischief rule is the oldest rule used by the English </w:t>
      </w:r>
      <w:r w:rsidR="00852BBA">
        <w:rPr>
          <w:rFonts w:asciiTheme="minorHAnsi" w:hAnsiTheme="minorHAnsi" w:cstheme="minorHAnsi"/>
          <w:sz w:val="24"/>
          <w:szCs w:val="24"/>
        </w:rPr>
        <w:t>C</w:t>
      </w:r>
      <w:r w:rsidRPr="00AE47CE">
        <w:rPr>
          <w:rFonts w:asciiTheme="minorHAnsi" w:hAnsiTheme="minorHAnsi" w:cstheme="minorHAnsi"/>
          <w:sz w:val="24"/>
          <w:szCs w:val="24"/>
        </w:rPr>
        <w:t xml:space="preserve">ourts in cases where ambiguity is present (Heydon’s Case, [1584]). Under the rule, the courts are set to determine the </w:t>
      </w:r>
      <w:r w:rsidR="00852BBA">
        <w:rPr>
          <w:rFonts w:asciiTheme="minorHAnsi" w:hAnsiTheme="minorHAnsi" w:cstheme="minorHAnsi"/>
          <w:sz w:val="24"/>
          <w:szCs w:val="24"/>
        </w:rPr>
        <w:t>‘</w:t>
      </w:r>
      <w:r w:rsidRPr="00AE47CE">
        <w:rPr>
          <w:rFonts w:asciiTheme="minorHAnsi" w:hAnsiTheme="minorHAnsi" w:cstheme="minorHAnsi"/>
          <w:sz w:val="24"/>
          <w:szCs w:val="24"/>
        </w:rPr>
        <w:t>mischief</w:t>
      </w:r>
      <w:r w:rsidR="00852BBA">
        <w:rPr>
          <w:rFonts w:asciiTheme="minorHAnsi" w:hAnsiTheme="minorHAnsi" w:cstheme="minorHAnsi"/>
          <w:sz w:val="24"/>
          <w:szCs w:val="24"/>
        </w:rPr>
        <w:t>’</w:t>
      </w:r>
      <w:r w:rsidRPr="00AE47CE">
        <w:rPr>
          <w:rFonts w:asciiTheme="minorHAnsi" w:hAnsiTheme="minorHAnsi" w:cstheme="minorHAnsi"/>
          <w:sz w:val="24"/>
          <w:szCs w:val="24"/>
        </w:rPr>
        <w:t xml:space="preserve"> in the statute, determine the intention of Parliament and remedy the ‘mischief’ to meet Parliament’s intention (DPP V Bull, [1995]) (Styles, 1994). This rule, however, allows judges to apply their views, prejudices, and sense of morality in interpreting and applying statutes (Bray, 2019). As stated by Bray (2019), </w:t>
      </w:r>
      <w:r w:rsidR="009F1B73">
        <w:rPr>
          <w:rFonts w:asciiTheme="minorHAnsi" w:hAnsiTheme="minorHAnsi" w:cstheme="minorHAnsi"/>
          <w:sz w:val="24"/>
          <w:szCs w:val="24"/>
        </w:rPr>
        <w:t>t</w:t>
      </w:r>
      <w:r w:rsidRPr="00AE47CE">
        <w:rPr>
          <w:rFonts w:asciiTheme="minorHAnsi" w:hAnsiTheme="minorHAnsi" w:cstheme="minorHAnsi"/>
          <w:sz w:val="24"/>
          <w:szCs w:val="24"/>
        </w:rPr>
        <w:t xml:space="preserve">he </w:t>
      </w:r>
      <w:r w:rsidR="009F1B73">
        <w:rPr>
          <w:rFonts w:asciiTheme="minorHAnsi" w:hAnsiTheme="minorHAnsi" w:cstheme="minorHAnsi"/>
          <w:sz w:val="24"/>
          <w:szCs w:val="24"/>
        </w:rPr>
        <w:t>m</w:t>
      </w:r>
      <w:r w:rsidRPr="00AE47CE">
        <w:rPr>
          <w:rFonts w:asciiTheme="minorHAnsi" w:hAnsiTheme="minorHAnsi" w:cstheme="minorHAnsi"/>
          <w:sz w:val="24"/>
          <w:szCs w:val="24"/>
        </w:rPr>
        <w:t xml:space="preserve">ischief rule allows judges to create a judicial precedent in contrast to the statute’s text. The mischief rule of statutory interpretation </w:t>
      </w:r>
      <w:r w:rsidR="009C2D6C">
        <w:rPr>
          <w:rFonts w:asciiTheme="minorHAnsi" w:hAnsiTheme="minorHAnsi" w:cstheme="minorHAnsi"/>
          <w:sz w:val="24"/>
          <w:szCs w:val="24"/>
        </w:rPr>
        <w:t xml:space="preserve">arguably </w:t>
      </w:r>
      <w:r w:rsidRPr="00AE47CE">
        <w:rPr>
          <w:rFonts w:asciiTheme="minorHAnsi" w:hAnsiTheme="minorHAnsi" w:cstheme="minorHAnsi"/>
          <w:sz w:val="24"/>
          <w:szCs w:val="24"/>
        </w:rPr>
        <w:t>diminishes the status of legislation as the primary source of law in the United Kingdom.</w:t>
      </w:r>
    </w:p>
    <w:p w14:paraId="25E23507" w14:textId="77777777" w:rsidR="00A13048" w:rsidRPr="00AE47CE" w:rsidRDefault="00A13048" w:rsidP="00A13048">
      <w:pPr>
        <w:spacing w:line="276" w:lineRule="auto"/>
        <w:rPr>
          <w:rFonts w:asciiTheme="minorHAnsi" w:hAnsiTheme="minorHAnsi" w:cstheme="minorHAnsi"/>
          <w:sz w:val="24"/>
          <w:szCs w:val="24"/>
        </w:rPr>
      </w:pPr>
    </w:p>
    <w:p w14:paraId="721923DC" w14:textId="77777777"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Moreover, the purposive approach aims at resolving the statute’s purpose before examining the statute’s interpretation of words and is used in the European Court of Justice. The purposive approach determines the intention of Parliament through the legislation (Owens, 2001). The rule is a flexible approach and gives judges a broad scope of law developed through the perception of Parliament’s intention. Furthermore, the rule allows the courts to use intrinsic aids in seeking Parliament’s intention. For example, The House of Lords used the purposive approach to relax the rule regarding Hansard (Pepper v Hart, [1992]) (Lees, 2014). The purposive approach is essential because the rule allows judges to interpret domestic legislation in correspondence with EU Law and give effect to EU directives. Furthermore, the rule grants judges to deal with matters unforeseen by Parliament during drafting. Apparent in (R (</w:t>
      </w:r>
      <w:proofErr w:type="spellStart"/>
      <w:r w:rsidRPr="00AE47CE">
        <w:rPr>
          <w:rFonts w:asciiTheme="minorHAnsi" w:hAnsiTheme="minorHAnsi" w:cstheme="minorHAnsi"/>
          <w:sz w:val="24"/>
          <w:szCs w:val="24"/>
        </w:rPr>
        <w:t>Quintavalle</w:t>
      </w:r>
      <w:proofErr w:type="spellEnd"/>
      <w:r w:rsidRPr="00AE47CE">
        <w:rPr>
          <w:rFonts w:asciiTheme="minorHAnsi" w:hAnsiTheme="minorHAnsi" w:cstheme="minorHAnsi"/>
          <w:sz w:val="24"/>
          <w:szCs w:val="24"/>
        </w:rPr>
        <w:t>) v Secretary of State for Health [2003) (Lees, 2014). The approach withholds the status of legislation as the primary source of law in the United Kingdom, as a rule, allows judges to develop the law consistently toward Parliament’s intention (Lees, 2014).</w:t>
      </w:r>
    </w:p>
    <w:p w14:paraId="4981925A" w14:textId="77777777" w:rsidR="00A13048" w:rsidRPr="00AE47CE" w:rsidRDefault="00A13048" w:rsidP="00A13048">
      <w:pPr>
        <w:spacing w:line="276" w:lineRule="auto"/>
        <w:rPr>
          <w:rFonts w:asciiTheme="minorHAnsi" w:hAnsiTheme="minorHAnsi" w:cstheme="minorHAnsi"/>
          <w:sz w:val="24"/>
          <w:szCs w:val="24"/>
        </w:rPr>
      </w:pPr>
    </w:p>
    <w:p w14:paraId="0AD86209" w14:textId="3F9E7819" w:rsidR="00A13048" w:rsidRPr="00AE47CE"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On the other hand, the purposive </w:t>
      </w:r>
      <w:r w:rsidR="00F16575">
        <w:rPr>
          <w:rFonts w:asciiTheme="minorHAnsi" w:hAnsiTheme="minorHAnsi" w:cstheme="minorHAnsi"/>
          <w:sz w:val="24"/>
          <w:szCs w:val="24"/>
        </w:rPr>
        <w:t>rule</w:t>
      </w:r>
      <w:r w:rsidR="006D6461">
        <w:rPr>
          <w:rFonts w:asciiTheme="minorHAnsi" w:hAnsiTheme="minorHAnsi" w:cstheme="minorHAnsi"/>
          <w:sz w:val="24"/>
          <w:szCs w:val="24"/>
        </w:rPr>
        <w:t xml:space="preserve"> provides</w:t>
      </w:r>
      <w:r w:rsidRPr="00AE47CE">
        <w:rPr>
          <w:rFonts w:asciiTheme="minorHAnsi" w:hAnsiTheme="minorHAnsi" w:cstheme="minorHAnsi"/>
          <w:sz w:val="24"/>
          <w:szCs w:val="24"/>
        </w:rPr>
        <w:t xml:space="preserve"> judges </w:t>
      </w:r>
      <w:r w:rsidR="006D6461">
        <w:rPr>
          <w:rFonts w:asciiTheme="minorHAnsi" w:hAnsiTheme="minorHAnsi" w:cstheme="minorHAnsi"/>
          <w:sz w:val="24"/>
          <w:szCs w:val="24"/>
        </w:rPr>
        <w:t xml:space="preserve">with </w:t>
      </w:r>
      <w:r w:rsidRPr="00AE47CE">
        <w:rPr>
          <w:rFonts w:asciiTheme="minorHAnsi" w:hAnsiTheme="minorHAnsi" w:cstheme="minorHAnsi"/>
          <w:sz w:val="24"/>
          <w:szCs w:val="24"/>
        </w:rPr>
        <w:t xml:space="preserve">a </w:t>
      </w:r>
      <w:r w:rsidR="00727C41">
        <w:rPr>
          <w:rFonts w:asciiTheme="minorHAnsi" w:hAnsiTheme="minorHAnsi" w:cstheme="minorHAnsi"/>
          <w:sz w:val="24"/>
          <w:szCs w:val="24"/>
        </w:rPr>
        <w:t>comprehensive</w:t>
      </w:r>
      <w:r w:rsidRPr="00AE47CE">
        <w:rPr>
          <w:rFonts w:asciiTheme="minorHAnsi" w:hAnsiTheme="minorHAnsi" w:cstheme="minorHAnsi"/>
          <w:sz w:val="24"/>
          <w:szCs w:val="24"/>
        </w:rPr>
        <w:t xml:space="preserve"> scope of dominance to </w:t>
      </w:r>
      <w:r w:rsidR="008B38B1">
        <w:rPr>
          <w:rFonts w:asciiTheme="minorHAnsi" w:hAnsiTheme="minorHAnsi" w:cstheme="minorHAnsi"/>
          <w:sz w:val="24"/>
          <w:szCs w:val="24"/>
        </w:rPr>
        <w:t>advance</w:t>
      </w:r>
      <w:r w:rsidRPr="00AE47CE">
        <w:rPr>
          <w:rFonts w:asciiTheme="minorHAnsi" w:hAnsiTheme="minorHAnsi" w:cstheme="minorHAnsi"/>
          <w:sz w:val="24"/>
          <w:szCs w:val="24"/>
        </w:rPr>
        <w:t xml:space="preserve"> the law, appropriating </w:t>
      </w:r>
      <w:r w:rsidR="001863EA">
        <w:rPr>
          <w:rFonts w:asciiTheme="minorHAnsi" w:hAnsiTheme="minorHAnsi" w:cstheme="minorHAnsi"/>
          <w:sz w:val="24"/>
          <w:szCs w:val="24"/>
        </w:rPr>
        <w:t>Parliamentary power</w:t>
      </w:r>
      <w:r w:rsidRPr="00AE47CE">
        <w:rPr>
          <w:rFonts w:asciiTheme="minorHAnsi" w:hAnsiTheme="minorHAnsi" w:cstheme="minorHAnsi"/>
          <w:sz w:val="24"/>
          <w:szCs w:val="24"/>
        </w:rPr>
        <w:t>. Such power means judges use their own interpretation and opinions of Parliament’s intention. Plausibly infringing the separation of powers and diminishing the status of legislation as a primary source of law in the United Kingdom (Lees, 2014).</w:t>
      </w:r>
    </w:p>
    <w:p w14:paraId="2A35B6DB" w14:textId="77777777" w:rsidR="00A13048" w:rsidRPr="00AE47CE" w:rsidRDefault="00A13048" w:rsidP="00A13048">
      <w:pPr>
        <w:spacing w:line="276" w:lineRule="auto"/>
        <w:rPr>
          <w:rFonts w:asciiTheme="minorHAnsi" w:hAnsiTheme="minorHAnsi" w:cstheme="minorHAnsi"/>
          <w:sz w:val="24"/>
          <w:szCs w:val="24"/>
        </w:rPr>
      </w:pPr>
    </w:p>
    <w:p w14:paraId="69B4C340" w14:textId="7CB23F55" w:rsidR="00A13048" w:rsidRPr="00821FD4" w:rsidRDefault="00A13048" w:rsidP="00A13048">
      <w:pPr>
        <w:spacing w:line="276" w:lineRule="auto"/>
        <w:rPr>
          <w:rFonts w:asciiTheme="minorHAnsi" w:hAnsiTheme="minorHAnsi" w:cstheme="minorHAnsi"/>
          <w:sz w:val="24"/>
          <w:szCs w:val="24"/>
        </w:rPr>
      </w:pPr>
      <w:r w:rsidRPr="00AE47CE">
        <w:rPr>
          <w:rFonts w:asciiTheme="minorHAnsi" w:hAnsiTheme="minorHAnsi" w:cstheme="minorHAnsi"/>
          <w:sz w:val="24"/>
          <w:szCs w:val="24"/>
        </w:rPr>
        <w:t xml:space="preserve">Conclusively, the argument put forward </w:t>
      </w:r>
      <w:r w:rsidR="005842AA">
        <w:rPr>
          <w:rFonts w:asciiTheme="minorHAnsi" w:hAnsiTheme="minorHAnsi" w:cstheme="minorHAnsi"/>
          <w:sz w:val="24"/>
          <w:szCs w:val="24"/>
        </w:rPr>
        <w:t>regarding</w:t>
      </w:r>
      <w:r w:rsidRPr="00AE47CE">
        <w:rPr>
          <w:rFonts w:asciiTheme="minorHAnsi" w:hAnsiTheme="minorHAnsi" w:cstheme="minorHAnsi"/>
          <w:sz w:val="24"/>
          <w:szCs w:val="24"/>
        </w:rPr>
        <w:t xml:space="preserve"> the principle of statutory interpretation diminishes the status of legislation as the primary source of law in the United Kingdom is reasonable. The process involving statutory interpretation gives judges and legislature the possibility to develop the law by means of prejudice and matter of opinion to a reasonable extent. Ambiguity and complications that arise with the misuse of language and the process of enactment and misinterpretation when interpreting statutes mean there will always be an injustice (Wilson et al., 2020). Nonetheless, the rules of statutory interpretation, considerably the purposive approach, mean the courts have exerted their power to make </w:t>
      </w:r>
      <w:r w:rsidRPr="00AE47CE">
        <w:rPr>
          <w:rFonts w:asciiTheme="minorHAnsi" w:hAnsiTheme="minorHAnsi" w:cstheme="minorHAnsi"/>
          <w:sz w:val="24"/>
          <w:szCs w:val="24"/>
        </w:rPr>
        <w:lastRenderedPageBreak/>
        <w:t>sure that the principle of statutory interpretation upholds the status of legislation as the primary source of law in the United Kingdom (Wilson et al., 2020).</w:t>
      </w:r>
    </w:p>
    <w:p w14:paraId="56B36A55" w14:textId="77777777" w:rsidR="00A13048" w:rsidRDefault="00A13048" w:rsidP="00A13048">
      <w:pPr>
        <w:spacing w:line="276" w:lineRule="auto"/>
      </w:pPr>
    </w:p>
    <w:p w14:paraId="0B16DFEF" w14:textId="77777777" w:rsidR="00AB7A9C" w:rsidRDefault="000428B2" w:rsidP="000428B2">
      <w:pPr>
        <w:tabs>
          <w:tab w:val="left" w:pos="3568"/>
        </w:tabs>
        <w:spacing w:line="276" w:lineRule="auto"/>
      </w:pPr>
      <w:r>
        <w:t xml:space="preserve">                                                                           </w:t>
      </w:r>
    </w:p>
    <w:p w14:paraId="2858819A" w14:textId="77777777" w:rsidR="00AB7A9C" w:rsidRDefault="00AB7A9C" w:rsidP="000428B2">
      <w:pPr>
        <w:tabs>
          <w:tab w:val="left" w:pos="3568"/>
        </w:tabs>
        <w:spacing w:line="276" w:lineRule="auto"/>
      </w:pPr>
    </w:p>
    <w:p w14:paraId="0EF84004" w14:textId="77777777" w:rsidR="00AB7A9C" w:rsidRDefault="00AB7A9C" w:rsidP="000428B2">
      <w:pPr>
        <w:tabs>
          <w:tab w:val="left" w:pos="3568"/>
        </w:tabs>
        <w:spacing w:line="276" w:lineRule="auto"/>
      </w:pPr>
    </w:p>
    <w:p w14:paraId="30C4F4A4" w14:textId="77777777" w:rsidR="00AB7A9C" w:rsidRDefault="00AB7A9C" w:rsidP="000428B2">
      <w:pPr>
        <w:tabs>
          <w:tab w:val="left" w:pos="3568"/>
        </w:tabs>
        <w:spacing w:line="276" w:lineRule="auto"/>
      </w:pPr>
    </w:p>
    <w:p w14:paraId="452C61B9" w14:textId="77777777" w:rsidR="00AB7A9C" w:rsidRDefault="00AB7A9C" w:rsidP="000428B2">
      <w:pPr>
        <w:tabs>
          <w:tab w:val="left" w:pos="3568"/>
        </w:tabs>
        <w:spacing w:line="276" w:lineRule="auto"/>
      </w:pPr>
    </w:p>
    <w:p w14:paraId="71F643D0" w14:textId="77777777" w:rsidR="00AB7A9C" w:rsidRDefault="00AB7A9C" w:rsidP="000428B2">
      <w:pPr>
        <w:tabs>
          <w:tab w:val="left" w:pos="3568"/>
        </w:tabs>
        <w:spacing w:line="276" w:lineRule="auto"/>
      </w:pPr>
    </w:p>
    <w:p w14:paraId="4C8C6BDA" w14:textId="77777777" w:rsidR="00AB7A9C" w:rsidRDefault="00AB7A9C" w:rsidP="000428B2">
      <w:pPr>
        <w:tabs>
          <w:tab w:val="left" w:pos="3568"/>
        </w:tabs>
        <w:spacing w:line="276" w:lineRule="auto"/>
      </w:pPr>
    </w:p>
    <w:p w14:paraId="58C505B9" w14:textId="77777777" w:rsidR="00AB7A9C" w:rsidRDefault="00AB7A9C" w:rsidP="000428B2">
      <w:pPr>
        <w:tabs>
          <w:tab w:val="left" w:pos="3568"/>
        </w:tabs>
        <w:spacing w:line="276" w:lineRule="auto"/>
      </w:pPr>
    </w:p>
    <w:p w14:paraId="613C4F50" w14:textId="77777777" w:rsidR="00AB7A9C" w:rsidRDefault="00AB7A9C" w:rsidP="000428B2">
      <w:pPr>
        <w:tabs>
          <w:tab w:val="left" w:pos="3568"/>
        </w:tabs>
        <w:spacing w:line="276" w:lineRule="auto"/>
      </w:pPr>
    </w:p>
    <w:p w14:paraId="76DC2417" w14:textId="77777777" w:rsidR="00AB7A9C" w:rsidRDefault="00AB7A9C" w:rsidP="000428B2">
      <w:pPr>
        <w:tabs>
          <w:tab w:val="left" w:pos="3568"/>
        </w:tabs>
        <w:spacing w:line="276" w:lineRule="auto"/>
      </w:pPr>
    </w:p>
    <w:p w14:paraId="14C1E127" w14:textId="77777777" w:rsidR="00AB7A9C" w:rsidRDefault="00AB7A9C" w:rsidP="000428B2">
      <w:pPr>
        <w:tabs>
          <w:tab w:val="left" w:pos="3568"/>
        </w:tabs>
        <w:spacing w:line="276" w:lineRule="auto"/>
      </w:pPr>
    </w:p>
    <w:p w14:paraId="011125A6" w14:textId="77777777" w:rsidR="00AB7A9C" w:rsidRDefault="00AB7A9C" w:rsidP="000428B2">
      <w:pPr>
        <w:tabs>
          <w:tab w:val="left" w:pos="3568"/>
        </w:tabs>
        <w:spacing w:line="276" w:lineRule="auto"/>
      </w:pPr>
    </w:p>
    <w:p w14:paraId="27A92477" w14:textId="77777777" w:rsidR="00AB7A9C" w:rsidRDefault="00AB7A9C" w:rsidP="000428B2">
      <w:pPr>
        <w:tabs>
          <w:tab w:val="left" w:pos="3568"/>
        </w:tabs>
        <w:spacing w:line="276" w:lineRule="auto"/>
      </w:pPr>
    </w:p>
    <w:p w14:paraId="616F7835" w14:textId="77777777" w:rsidR="00AB7A9C" w:rsidRDefault="00AB7A9C" w:rsidP="000428B2">
      <w:pPr>
        <w:tabs>
          <w:tab w:val="left" w:pos="3568"/>
        </w:tabs>
        <w:spacing w:line="276" w:lineRule="auto"/>
      </w:pPr>
    </w:p>
    <w:p w14:paraId="5D7F9E9C" w14:textId="77777777" w:rsidR="00AB7A9C" w:rsidRDefault="00AB7A9C" w:rsidP="000428B2">
      <w:pPr>
        <w:tabs>
          <w:tab w:val="left" w:pos="3568"/>
        </w:tabs>
        <w:spacing w:line="276" w:lineRule="auto"/>
      </w:pPr>
    </w:p>
    <w:p w14:paraId="5D53B584" w14:textId="77777777" w:rsidR="00AB7A9C" w:rsidRDefault="00AB7A9C" w:rsidP="000428B2">
      <w:pPr>
        <w:tabs>
          <w:tab w:val="left" w:pos="3568"/>
        </w:tabs>
        <w:spacing w:line="276" w:lineRule="auto"/>
      </w:pPr>
    </w:p>
    <w:p w14:paraId="6DE3C4CB" w14:textId="77777777" w:rsidR="00AB7A9C" w:rsidRDefault="00AB7A9C" w:rsidP="000428B2">
      <w:pPr>
        <w:tabs>
          <w:tab w:val="left" w:pos="3568"/>
        </w:tabs>
        <w:spacing w:line="276" w:lineRule="auto"/>
      </w:pPr>
    </w:p>
    <w:p w14:paraId="14A49E95" w14:textId="77777777" w:rsidR="00AB7A9C" w:rsidRDefault="00AB7A9C" w:rsidP="000428B2">
      <w:pPr>
        <w:tabs>
          <w:tab w:val="left" w:pos="3568"/>
        </w:tabs>
        <w:spacing w:line="276" w:lineRule="auto"/>
      </w:pPr>
    </w:p>
    <w:p w14:paraId="4BFE2BC3" w14:textId="77777777" w:rsidR="00AB7A9C" w:rsidRDefault="00AB7A9C" w:rsidP="000428B2">
      <w:pPr>
        <w:tabs>
          <w:tab w:val="left" w:pos="3568"/>
        </w:tabs>
        <w:spacing w:line="276" w:lineRule="auto"/>
      </w:pPr>
    </w:p>
    <w:p w14:paraId="1DA68F2B" w14:textId="77777777" w:rsidR="00AB7A9C" w:rsidRDefault="00AB7A9C" w:rsidP="000428B2">
      <w:pPr>
        <w:tabs>
          <w:tab w:val="left" w:pos="3568"/>
        </w:tabs>
        <w:spacing w:line="276" w:lineRule="auto"/>
      </w:pPr>
    </w:p>
    <w:p w14:paraId="3D151821" w14:textId="77777777" w:rsidR="00AB7A9C" w:rsidRDefault="00AB7A9C" w:rsidP="000428B2">
      <w:pPr>
        <w:tabs>
          <w:tab w:val="left" w:pos="3568"/>
        </w:tabs>
        <w:spacing w:line="276" w:lineRule="auto"/>
      </w:pPr>
    </w:p>
    <w:p w14:paraId="02BD0855" w14:textId="77777777" w:rsidR="00AB7A9C" w:rsidRDefault="00AB7A9C" w:rsidP="000428B2">
      <w:pPr>
        <w:tabs>
          <w:tab w:val="left" w:pos="3568"/>
        </w:tabs>
        <w:spacing w:line="276" w:lineRule="auto"/>
      </w:pPr>
    </w:p>
    <w:p w14:paraId="67F7E4F9" w14:textId="77777777" w:rsidR="00AB7A9C" w:rsidRDefault="00AB7A9C" w:rsidP="000428B2">
      <w:pPr>
        <w:tabs>
          <w:tab w:val="left" w:pos="3568"/>
        </w:tabs>
        <w:spacing w:line="276" w:lineRule="auto"/>
      </w:pPr>
    </w:p>
    <w:p w14:paraId="305551D7" w14:textId="77777777" w:rsidR="00AB7A9C" w:rsidRDefault="00AB7A9C" w:rsidP="000428B2">
      <w:pPr>
        <w:tabs>
          <w:tab w:val="left" w:pos="3568"/>
        </w:tabs>
        <w:spacing w:line="276" w:lineRule="auto"/>
      </w:pPr>
    </w:p>
    <w:p w14:paraId="0AB771E4" w14:textId="77777777" w:rsidR="00AB7A9C" w:rsidRDefault="00AB7A9C" w:rsidP="000428B2">
      <w:pPr>
        <w:tabs>
          <w:tab w:val="left" w:pos="3568"/>
        </w:tabs>
        <w:spacing w:line="276" w:lineRule="auto"/>
      </w:pPr>
    </w:p>
    <w:p w14:paraId="17234589" w14:textId="77777777" w:rsidR="00AB7A9C" w:rsidRDefault="00AB7A9C" w:rsidP="000428B2">
      <w:pPr>
        <w:tabs>
          <w:tab w:val="left" w:pos="3568"/>
        </w:tabs>
        <w:spacing w:line="276" w:lineRule="auto"/>
      </w:pPr>
    </w:p>
    <w:p w14:paraId="18D9CD08" w14:textId="77777777" w:rsidR="00AB7A9C" w:rsidRDefault="00AB7A9C" w:rsidP="000428B2">
      <w:pPr>
        <w:tabs>
          <w:tab w:val="left" w:pos="3568"/>
        </w:tabs>
        <w:spacing w:line="276" w:lineRule="auto"/>
      </w:pPr>
    </w:p>
    <w:p w14:paraId="40C3EE7E" w14:textId="77777777" w:rsidR="00AB7A9C" w:rsidRDefault="00AB7A9C" w:rsidP="000428B2">
      <w:pPr>
        <w:tabs>
          <w:tab w:val="left" w:pos="3568"/>
        </w:tabs>
        <w:spacing w:line="276" w:lineRule="auto"/>
      </w:pPr>
    </w:p>
    <w:p w14:paraId="3AF6C85E" w14:textId="77777777" w:rsidR="00AB7A9C" w:rsidRDefault="00AB7A9C" w:rsidP="000428B2">
      <w:pPr>
        <w:tabs>
          <w:tab w:val="left" w:pos="3568"/>
        </w:tabs>
        <w:spacing w:line="276" w:lineRule="auto"/>
      </w:pPr>
    </w:p>
    <w:p w14:paraId="2798E554" w14:textId="77777777" w:rsidR="00AB7A9C" w:rsidRDefault="00AB7A9C" w:rsidP="000428B2">
      <w:pPr>
        <w:tabs>
          <w:tab w:val="left" w:pos="3568"/>
        </w:tabs>
        <w:spacing w:line="276" w:lineRule="auto"/>
      </w:pPr>
    </w:p>
    <w:p w14:paraId="08AE246E" w14:textId="77777777" w:rsidR="00AB7A9C" w:rsidRDefault="00AB7A9C" w:rsidP="000428B2">
      <w:pPr>
        <w:tabs>
          <w:tab w:val="left" w:pos="3568"/>
        </w:tabs>
        <w:spacing w:line="276" w:lineRule="auto"/>
      </w:pPr>
    </w:p>
    <w:p w14:paraId="078FAAE6" w14:textId="77777777" w:rsidR="00AB7A9C" w:rsidRDefault="00AB7A9C" w:rsidP="000428B2">
      <w:pPr>
        <w:tabs>
          <w:tab w:val="left" w:pos="3568"/>
        </w:tabs>
        <w:spacing w:line="276" w:lineRule="auto"/>
      </w:pPr>
    </w:p>
    <w:p w14:paraId="4FADB6ED" w14:textId="77777777" w:rsidR="00AB7A9C" w:rsidRDefault="00AB7A9C" w:rsidP="000428B2">
      <w:pPr>
        <w:tabs>
          <w:tab w:val="left" w:pos="3568"/>
        </w:tabs>
        <w:spacing w:line="276" w:lineRule="auto"/>
      </w:pPr>
    </w:p>
    <w:p w14:paraId="4291B504" w14:textId="77777777" w:rsidR="00AB7A9C" w:rsidRDefault="00AB7A9C" w:rsidP="000428B2">
      <w:pPr>
        <w:tabs>
          <w:tab w:val="left" w:pos="3568"/>
        </w:tabs>
        <w:spacing w:line="276" w:lineRule="auto"/>
      </w:pPr>
    </w:p>
    <w:p w14:paraId="4DED0BBF" w14:textId="77777777" w:rsidR="00AB7A9C" w:rsidRDefault="00AB7A9C" w:rsidP="000428B2">
      <w:pPr>
        <w:tabs>
          <w:tab w:val="left" w:pos="3568"/>
        </w:tabs>
        <w:spacing w:line="276" w:lineRule="auto"/>
      </w:pPr>
    </w:p>
    <w:p w14:paraId="09E571E1" w14:textId="77777777" w:rsidR="00AB7A9C" w:rsidRDefault="00AB7A9C" w:rsidP="000428B2">
      <w:pPr>
        <w:tabs>
          <w:tab w:val="left" w:pos="3568"/>
        </w:tabs>
        <w:spacing w:line="276" w:lineRule="auto"/>
      </w:pPr>
    </w:p>
    <w:p w14:paraId="57A5E4CE" w14:textId="77777777" w:rsidR="00AB7A9C" w:rsidRDefault="00AB7A9C" w:rsidP="000428B2">
      <w:pPr>
        <w:tabs>
          <w:tab w:val="left" w:pos="3568"/>
        </w:tabs>
        <w:spacing w:line="276" w:lineRule="auto"/>
      </w:pPr>
    </w:p>
    <w:p w14:paraId="61847122" w14:textId="77777777" w:rsidR="00AB7A9C" w:rsidRDefault="00AB7A9C" w:rsidP="000428B2">
      <w:pPr>
        <w:tabs>
          <w:tab w:val="left" w:pos="3568"/>
        </w:tabs>
        <w:spacing w:line="276" w:lineRule="auto"/>
      </w:pPr>
    </w:p>
    <w:p w14:paraId="457563DD" w14:textId="77777777" w:rsidR="00AB7A9C" w:rsidRDefault="00AB7A9C" w:rsidP="000428B2">
      <w:pPr>
        <w:tabs>
          <w:tab w:val="left" w:pos="3568"/>
        </w:tabs>
        <w:spacing w:line="276" w:lineRule="auto"/>
      </w:pPr>
    </w:p>
    <w:p w14:paraId="5F51DF39" w14:textId="77777777" w:rsidR="00AB7A9C" w:rsidRDefault="00AB7A9C" w:rsidP="000428B2">
      <w:pPr>
        <w:tabs>
          <w:tab w:val="left" w:pos="3568"/>
        </w:tabs>
        <w:spacing w:line="276" w:lineRule="auto"/>
      </w:pPr>
    </w:p>
    <w:p w14:paraId="4D5041FD" w14:textId="77777777" w:rsidR="00AB7A9C" w:rsidRDefault="00AB7A9C" w:rsidP="000428B2">
      <w:pPr>
        <w:tabs>
          <w:tab w:val="left" w:pos="3568"/>
        </w:tabs>
        <w:spacing w:line="276" w:lineRule="auto"/>
      </w:pPr>
    </w:p>
    <w:p w14:paraId="7B835547" w14:textId="77777777" w:rsidR="00AB7A9C" w:rsidRDefault="00AB7A9C" w:rsidP="000428B2">
      <w:pPr>
        <w:tabs>
          <w:tab w:val="left" w:pos="3568"/>
        </w:tabs>
        <w:spacing w:line="276" w:lineRule="auto"/>
      </w:pPr>
    </w:p>
    <w:p w14:paraId="4DB7D4F4" w14:textId="77777777" w:rsidR="00AB7A9C" w:rsidRDefault="00AB7A9C" w:rsidP="000428B2">
      <w:pPr>
        <w:tabs>
          <w:tab w:val="left" w:pos="3568"/>
        </w:tabs>
        <w:spacing w:line="276" w:lineRule="auto"/>
      </w:pPr>
    </w:p>
    <w:p w14:paraId="3E00CFD1" w14:textId="77777777" w:rsidR="00AB7A9C" w:rsidRDefault="00AB7A9C" w:rsidP="000428B2">
      <w:pPr>
        <w:tabs>
          <w:tab w:val="left" w:pos="3568"/>
        </w:tabs>
        <w:spacing w:line="276" w:lineRule="auto"/>
      </w:pPr>
    </w:p>
    <w:p w14:paraId="40EAD86D" w14:textId="77777777" w:rsidR="00AB7A9C" w:rsidRDefault="00AB7A9C" w:rsidP="000428B2">
      <w:pPr>
        <w:tabs>
          <w:tab w:val="left" w:pos="3568"/>
        </w:tabs>
        <w:spacing w:line="276" w:lineRule="auto"/>
      </w:pPr>
    </w:p>
    <w:p w14:paraId="4D2572FF" w14:textId="77777777" w:rsidR="00AB7A9C" w:rsidRDefault="00AB7A9C" w:rsidP="000428B2">
      <w:pPr>
        <w:tabs>
          <w:tab w:val="left" w:pos="3568"/>
        </w:tabs>
        <w:spacing w:line="276" w:lineRule="auto"/>
      </w:pPr>
    </w:p>
    <w:p w14:paraId="55157D94" w14:textId="77777777" w:rsidR="00AB7A9C" w:rsidRDefault="00AB7A9C" w:rsidP="000428B2">
      <w:pPr>
        <w:tabs>
          <w:tab w:val="left" w:pos="3568"/>
        </w:tabs>
        <w:spacing w:line="276" w:lineRule="auto"/>
      </w:pPr>
    </w:p>
    <w:p w14:paraId="1B7F5469" w14:textId="77777777" w:rsidR="00AB7A9C" w:rsidRDefault="00AB7A9C" w:rsidP="000428B2">
      <w:pPr>
        <w:tabs>
          <w:tab w:val="left" w:pos="3568"/>
        </w:tabs>
        <w:spacing w:line="276" w:lineRule="auto"/>
      </w:pPr>
    </w:p>
    <w:p w14:paraId="719C64AC" w14:textId="77777777" w:rsidR="00AB7A9C" w:rsidRDefault="00AB7A9C" w:rsidP="000428B2">
      <w:pPr>
        <w:tabs>
          <w:tab w:val="left" w:pos="3568"/>
        </w:tabs>
        <w:spacing w:line="276" w:lineRule="auto"/>
      </w:pPr>
    </w:p>
    <w:p w14:paraId="035FE228" w14:textId="17CF094E" w:rsidR="00A13048" w:rsidRPr="000428B2" w:rsidRDefault="00A13048" w:rsidP="00AB7A9C">
      <w:pPr>
        <w:tabs>
          <w:tab w:val="left" w:pos="3568"/>
        </w:tabs>
        <w:spacing w:line="276" w:lineRule="auto"/>
        <w:jc w:val="center"/>
      </w:pPr>
      <w:r w:rsidRPr="00C43EC8">
        <w:rPr>
          <w:b/>
          <w:bCs/>
          <w:sz w:val="24"/>
          <w:szCs w:val="24"/>
        </w:rPr>
        <w:lastRenderedPageBreak/>
        <w:t>References:</w:t>
      </w:r>
    </w:p>
    <w:p w14:paraId="1073BC80" w14:textId="77777777" w:rsidR="00A13048" w:rsidRPr="001A706C" w:rsidRDefault="00A13048" w:rsidP="00A13048">
      <w:pPr>
        <w:spacing w:line="276" w:lineRule="auto"/>
        <w:rPr>
          <w:sz w:val="24"/>
          <w:szCs w:val="24"/>
        </w:rPr>
      </w:pPr>
    </w:p>
    <w:p w14:paraId="4313352B"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Adler v George </w:t>
      </w:r>
      <w:r w:rsidRPr="001A706C">
        <w:rPr>
          <w:rFonts w:ascii="Times New Roman" w:hAnsi="Times New Roman" w:cs="Times New Roman"/>
          <w:noProof/>
          <w:sz w:val="24"/>
          <w:szCs w:val="24"/>
          <w:lang w:val="en-US"/>
        </w:rPr>
        <w:t xml:space="preserve">(1964) Queens Bench. </w:t>
      </w:r>
    </w:p>
    <w:p w14:paraId="52EB9513" w14:textId="77777777" w:rsidR="00A13048" w:rsidRPr="001A706C" w:rsidRDefault="00A13048" w:rsidP="00A13048">
      <w:pPr>
        <w:rPr>
          <w:sz w:val="24"/>
          <w:szCs w:val="24"/>
        </w:rPr>
      </w:pPr>
      <w:r w:rsidRPr="001A706C">
        <w:rPr>
          <w:sz w:val="24"/>
          <w:szCs w:val="24"/>
        </w:rPr>
        <w:t>Alder v George [1964] 2 QB 7</w:t>
      </w:r>
    </w:p>
    <w:p w14:paraId="32C2EDAB" w14:textId="77777777" w:rsidR="00A13048" w:rsidRDefault="00A13048" w:rsidP="00A13048">
      <w:pPr>
        <w:rPr>
          <w:color w:val="000000"/>
          <w:sz w:val="24"/>
          <w:szCs w:val="24"/>
          <w:shd w:val="clear" w:color="auto" w:fill="FFFFFF"/>
        </w:rPr>
      </w:pPr>
    </w:p>
    <w:p w14:paraId="7B2484F2"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Bennion, F., 2007. </w:t>
      </w:r>
      <w:r w:rsidRPr="001A706C">
        <w:rPr>
          <w:i/>
          <w:iCs/>
          <w:color w:val="000000"/>
          <w:sz w:val="24"/>
          <w:szCs w:val="24"/>
          <w:shd w:val="clear" w:color="auto" w:fill="FFFFFF"/>
        </w:rPr>
        <w:t>Statutory interpretation</w:t>
      </w:r>
      <w:r w:rsidRPr="001A706C">
        <w:rPr>
          <w:color w:val="000000"/>
          <w:sz w:val="24"/>
          <w:szCs w:val="24"/>
          <w:shd w:val="clear" w:color="auto" w:fill="FFFFFF"/>
        </w:rPr>
        <w:t>. 4th ed. London: Butterworths.</w:t>
      </w:r>
    </w:p>
    <w:p w14:paraId="430D3139" w14:textId="77777777" w:rsidR="00A13048" w:rsidRDefault="00A13048" w:rsidP="00A13048">
      <w:pPr>
        <w:tabs>
          <w:tab w:val="left" w:pos="5835"/>
        </w:tabs>
        <w:spacing w:line="480" w:lineRule="auto"/>
        <w:ind w:left="680" w:hanging="680"/>
        <w:rPr>
          <w:sz w:val="24"/>
          <w:szCs w:val="24"/>
        </w:rPr>
      </w:pPr>
    </w:p>
    <w:p w14:paraId="6C26348A"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Black, H.C., 1910. </w:t>
      </w:r>
      <w:r w:rsidRPr="001A706C">
        <w:rPr>
          <w:i/>
          <w:iCs/>
          <w:sz w:val="24"/>
          <w:szCs w:val="24"/>
        </w:rPr>
        <w:t>Law dictionary</w:t>
      </w:r>
      <w:r w:rsidRPr="001A706C">
        <w:rPr>
          <w:sz w:val="24"/>
          <w:szCs w:val="24"/>
        </w:rPr>
        <w:t> (Vol. 1188). St. Paul, Minn.: West Publishing Company.</w:t>
      </w:r>
    </w:p>
    <w:p w14:paraId="10BA945D" w14:textId="77777777" w:rsidR="00A13048" w:rsidRPr="001A706C" w:rsidRDefault="00A13048" w:rsidP="00A13048">
      <w:pPr>
        <w:rPr>
          <w:color w:val="2E414F"/>
          <w:sz w:val="24"/>
          <w:szCs w:val="24"/>
          <w:shd w:val="clear" w:color="auto" w:fill="FFFFFF"/>
        </w:rPr>
      </w:pPr>
      <w:r w:rsidRPr="001A706C">
        <w:rPr>
          <w:color w:val="2E414F"/>
          <w:sz w:val="24"/>
          <w:szCs w:val="24"/>
          <w:shd w:val="clear" w:color="auto" w:fill="FFFFFF"/>
        </w:rPr>
        <w:t>Bray, S.L., (2019). The Mischief Rule. </w:t>
      </w:r>
      <w:r w:rsidRPr="001A706C">
        <w:rPr>
          <w:rStyle w:val="Emphasis"/>
          <w:color w:val="2E414F"/>
          <w:sz w:val="24"/>
          <w:szCs w:val="24"/>
        </w:rPr>
        <w:t>LSN: Legislation &amp; Statutory Interpretation (Topic)</w:t>
      </w:r>
      <w:r w:rsidRPr="001A706C">
        <w:rPr>
          <w:color w:val="2E414F"/>
          <w:sz w:val="24"/>
          <w:szCs w:val="24"/>
          <w:shd w:val="clear" w:color="auto" w:fill="FFFFFF"/>
        </w:rPr>
        <w:t>.</w:t>
      </w:r>
    </w:p>
    <w:p w14:paraId="60DA5B92" w14:textId="77777777" w:rsidR="00A13048" w:rsidRPr="001A706C" w:rsidRDefault="00A13048" w:rsidP="00A13048">
      <w:pPr>
        <w:tabs>
          <w:tab w:val="left" w:pos="5835"/>
        </w:tabs>
        <w:spacing w:line="480" w:lineRule="auto"/>
        <w:ind w:left="680" w:hanging="680"/>
        <w:rPr>
          <w:sz w:val="24"/>
          <w:szCs w:val="24"/>
        </w:rPr>
      </w:pPr>
      <w:r w:rsidRPr="001A706C">
        <w:rPr>
          <w:sz w:val="24"/>
          <w:szCs w:val="24"/>
        </w:rPr>
        <w:t>ELLIOTT, C., &amp; QUINN, F. (2016). </w:t>
      </w:r>
      <w:r w:rsidRPr="001A706C">
        <w:rPr>
          <w:i/>
          <w:iCs/>
          <w:sz w:val="24"/>
          <w:szCs w:val="24"/>
        </w:rPr>
        <w:t>English Legal System: 2016/17 Edition</w:t>
      </w:r>
      <w:r w:rsidRPr="001A706C">
        <w:rPr>
          <w:sz w:val="24"/>
          <w:szCs w:val="24"/>
        </w:rPr>
        <w:t>. Harlow, Unit</w:t>
      </w:r>
      <w:r>
        <w:rPr>
          <w:sz w:val="24"/>
          <w:szCs w:val="24"/>
        </w:rPr>
        <w:t xml:space="preserve">ed   </w:t>
      </w:r>
      <w:r w:rsidRPr="001A706C">
        <w:rPr>
          <w:sz w:val="24"/>
          <w:szCs w:val="24"/>
        </w:rPr>
        <w:t>Kingdom, Pearson Education Limited.</w:t>
      </w:r>
    </w:p>
    <w:p w14:paraId="33F7DB30" w14:textId="77777777" w:rsidR="00A13048" w:rsidRPr="001A706C" w:rsidRDefault="00A13048" w:rsidP="00A13048">
      <w:pPr>
        <w:tabs>
          <w:tab w:val="left" w:pos="5835"/>
        </w:tabs>
        <w:spacing w:line="480" w:lineRule="auto"/>
        <w:ind w:left="680" w:hanging="680"/>
        <w:rPr>
          <w:sz w:val="24"/>
          <w:szCs w:val="24"/>
        </w:rPr>
      </w:pPr>
      <w:r w:rsidRPr="001A706C">
        <w:rPr>
          <w:i/>
          <w:sz w:val="24"/>
          <w:szCs w:val="24"/>
        </w:rPr>
        <w:t>Fisher v Bell</w:t>
      </w:r>
      <w:r w:rsidRPr="001A706C">
        <w:rPr>
          <w:sz w:val="24"/>
          <w:szCs w:val="24"/>
        </w:rPr>
        <w:t xml:space="preserve"> (1961) 1 QB 394.</w:t>
      </w:r>
    </w:p>
    <w:p w14:paraId="46A09089" w14:textId="77777777" w:rsidR="00A13048" w:rsidRPr="001A706C" w:rsidRDefault="00A13048" w:rsidP="00A13048">
      <w:pPr>
        <w:rPr>
          <w:sz w:val="24"/>
          <w:szCs w:val="24"/>
        </w:rPr>
      </w:pPr>
      <w:r w:rsidRPr="001A706C">
        <w:rPr>
          <w:sz w:val="24"/>
          <w:szCs w:val="24"/>
        </w:rPr>
        <w:t xml:space="preserve">FLANAGAN, B., (2010) Revisiting the Contribution of Literal Meaning to Legal Meaning. </w:t>
      </w:r>
      <w:r w:rsidRPr="001A706C">
        <w:rPr>
          <w:i/>
          <w:iCs/>
          <w:sz w:val="24"/>
          <w:szCs w:val="24"/>
        </w:rPr>
        <w:t>Oxford Journal of Legal Studies</w:t>
      </w:r>
      <w:r w:rsidRPr="001A706C">
        <w:rPr>
          <w:sz w:val="24"/>
          <w:szCs w:val="24"/>
        </w:rPr>
        <w:t xml:space="preserve">, </w:t>
      </w:r>
      <w:r w:rsidRPr="001A706C">
        <w:rPr>
          <w:i/>
          <w:iCs/>
          <w:sz w:val="24"/>
          <w:szCs w:val="24"/>
        </w:rPr>
        <w:t>30</w:t>
      </w:r>
      <w:r w:rsidRPr="001A706C">
        <w:rPr>
          <w:sz w:val="24"/>
          <w:szCs w:val="24"/>
        </w:rPr>
        <w:t xml:space="preserve">(2), 255–271. </w:t>
      </w:r>
      <w:hyperlink r:id="rId4" w:history="1">
        <w:r w:rsidRPr="001A706C">
          <w:rPr>
            <w:color w:val="0563C1" w:themeColor="hyperlink"/>
            <w:sz w:val="24"/>
            <w:szCs w:val="24"/>
            <w:u w:val="single"/>
          </w:rPr>
          <w:t>http://www.jstor.org/stable/40660488</w:t>
        </w:r>
      </w:hyperlink>
    </w:p>
    <w:p w14:paraId="0DE3200F" w14:textId="77777777" w:rsidR="00F43203" w:rsidRDefault="00F43203" w:rsidP="00A13048">
      <w:pPr>
        <w:pStyle w:val="Bibliography"/>
        <w:rPr>
          <w:rFonts w:ascii="Times New Roman" w:hAnsi="Times New Roman" w:cs="Times New Roman"/>
          <w:color w:val="000000"/>
          <w:sz w:val="24"/>
          <w:szCs w:val="24"/>
          <w:shd w:val="clear" w:color="auto" w:fill="FFFFFF"/>
        </w:rPr>
      </w:pPr>
    </w:p>
    <w:p w14:paraId="18D5B848" w14:textId="62E53305" w:rsidR="00A13048" w:rsidRPr="001A706C" w:rsidRDefault="00A13048" w:rsidP="00A13048">
      <w:pPr>
        <w:pStyle w:val="Bibliography"/>
        <w:rPr>
          <w:rFonts w:ascii="Times New Roman" w:hAnsi="Times New Roman" w:cs="Times New Roman"/>
          <w:color w:val="000000"/>
          <w:sz w:val="24"/>
          <w:szCs w:val="24"/>
          <w:shd w:val="clear" w:color="auto" w:fill="FFFFFF"/>
        </w:rPr>
      </w:pPr>
      <w:r w:rsidRPr="001A706C">
        <w:rPr>
          <w:rFonts w:ascii="Times New Roman" w:hAnsi="Times New Roman" w:cs="Times New Roman"/>
          <w:color w:val="000000"/>
          <w:sz w:val="24"/>
          <w:szCs w:val="24"/>
          <w:shd w:val="clear" w:color="auto" w:fill="FFFFFF"/>
        </w:rPr>
        <w:t>Greenawalt, K., (2013) </w:t>
      </w:r>
      <w:r w:rsidRPr="001A706C">
        <w:rPr>
          <w:rFonts w:ascii="Times New Roman" w:hAnsi="Times New Roman" w:cs="Times New Roman"/>
          <w:i/>
          <w:iCs/>
          <w:color w:val="000000"/>
          <w:sz w:val="24"/>
          <w:szCs w:val="24"/>
          <w:shd w:val="clear" w:color="auto" w:fill="FFFFFF"/>
        </w:rPr>
        <w:t>Statutory and common law interpretation</w:t>
      </w:r>
      <w:r w:rsidRPr="001A706C">
        <w:rPr>
          <w:rFonts w:ascii="Times New Roman" w:hAnsi="Times New Roman" w:cs="Times New Roman"/>
          <w:color w:val="000000"/>
          <w:sz w:val="24"/>
          <w:szCs w:val="24"/>
          <w:shd w:val="clear" w:color="auto" w:fill="FFFFFF"/>
        </w:rPr>
        <w:t>. New York: Oxford University Press.</w:t>
      </w:r>
    </w:p>
    <w:p w14:paraId="5A0B53D5" w14:textId="77777777" w:rsidR="00A13048" w:rsidRPr="001A706C" w:rsidRDefault="00A13048" w:rsidP="00A13048">
      <w:pPr>
        <w:spacing w:line="276" w:lineRule="auto"/>
        <w:rPr>
          <w:color w:val="000000"/>
          <w:sz w:val="24"/>
          <w:szCs w:val="24"/>
          <w:shd w:val="clear" w:color="auto" w:fill="FFFFFF"/>
        </w:rPr>
      </w:pPr>
      <w:r w:rsidRPr="001A706C">
        <w:rPr>
          <w:color w:val="000000"/>
          <w:sz w:val="24"/>
          <w:szCs w:val="24"/>
          <w:shd w:val="clear" w:color="auto" w:fill="FFFFFF"/>
        </w:rPr>
        <w:t>Heaton, R., (2013) </w:t>
      </w:r>
      <w:r w:rsidRPr="001A706C">
        <w:rPr>
          <w:i/>
          <w:iCs/>
          <w:color w:val="000000"/>
          <w:sz w:val="24"/>
          <w:szCs w:val="24"/>
          <w:shd w:val="clear" w:color="auto" w:fill="FFFFFF"/>
        </w:rPr>
        <w:t>When Laws Become Too Complex</w:t>
      </w:r>
      <w:r w:rsidRPr="001A706C">
        <w:rPr>
          <w:color w:val="000000"/>
          <w:sz w:val="24"/>
          <w:szCs w:val="24"/>
          <w:shd w:val="clear" w:color="auto" w:fill="FFFFFF"/>
        </w:rPr>
        <w:t>. [</w:t>
      </w:r>
      <w:proofErr w:type="spellStart"/>
      <w:r w:rsidRPr="001A706C">
        <w:rPr>
          <w:color w:val="000000"/>
          <w:sz w:val="24"/>
          <w:szCs w:val="24"/>
          <w:shd w:val="clear" w:color="auto" w:fill="FFFFFF"/>
        </w:rPr>
        <w:t>ebook</w:t>
      </w:r>
      <w:proofErr w:type="spellEnd"/>
      <w:r w:rsidRPr="001A706C">
        <w:rPr>
          <w:color w:val="000000"/>
          <w:sz w:val="24"/>
          <w:szCs w:val="24"/>
          <w:shd w:val="clear" w:color="auto" w:fill="FFFFFF"/>
        </w:rPr>
        <w:t>] England: Good Law. Available at:</w:t>
      </w:r>
      <w:r>
        <w:rPr>
          <w:color w:val="000000"/>
          <w:sz w:val="24"/>
          <w:szCs w:val="24"/>
          <w:shd w:val="clear" w:color="auto" w:fill="FFFFFF"/>
        </w:rPr>
        <w:t xml:space="preserve"> </w:t>
      </w:r>
      <w:r w:rsidRPr="001A706C">
        <w:rPr>
          <w:color w:val="000000"/>
          <w:sz w:val="24"/>
          <w:szCs w:val="24"/>
          <w:shd w:val="clear" w:color="auto" w:fill="FFFFFF"/>
        </w:rPr>
        <w:t>&lt;</w:t>
      </w:r>
      <w:r>
        <w:rPr>
          <w:color w:val="000000"/>
          <w:sz w:val="24"/>
          <w:szCs w:val="24"/>
          <w:shd w:val="clear" w:color="auto" w:fill="FFFFFF"/>
        </w:rPr>
        <w:t xml:space="preserve"> </w:t>
      </w:r>
      <w:hyperlink r:id="rId5" w:history="1">
        <w:r w:rsidRPr="00DE152D">
          <w:rPr>
            <w:rStyle w:val="Hyperlink"/>
            <w:sz w:val="24"/>
            <w:szCs w:val="24"/>
            <w:shd w:val="clear" w:color="auto" w:fill="FFFFFF"/>
          </w:rPr>
          <w:t>https://assets.publishing.service.gov.uk/government/uploads/system/uploads/attachment_data/file/187015/GoodLaw_report_8April_AP.pdf</w:t>
        </w:r>
      </w:hyperlink>
      <w:r>
        <w:rPr>
          <w:color w:val="000000"/>
          <w:sz w:val="24"/>
          <w:szCs w:val="24"/>
          <w:shd w:val="clear" w:color="auto" w:fill="FFFFFF"/>
        </w:rPr>
        <w:t xml:space="preserve"> </w:t>
      </w:r>
      <w:r w:rsidRPr="001A706C">
        <w:rPr>
          <w:color w:val="000000"/>
          <w:sz w:val="24"/>
          <w:szCs w:val="24"/>
          <w:shd w:val="clear" w:color="auto" w:fill="FFFFFF"/>
        </w:rPr>
        <w:t>&gt; [Accessed 29 April 2022].</w:t>
      </w:r>
    </w:p>
    <w:p w14:paraId="7F9BFCA0" w14:textId="77777777" w:rsidR="00A13048" w:rsidRDefault="00A13048" w:rsidP="00A13048">
      <w:pPr>
        <w:tabs>
          <w:tab w:val="left" w:pos="5835"/>
        </w:tabs>
        <w:spacing w:line="480" w:lineRule="auto"/>
        <w:ind w:left="680" w:hanging="680"/>
        <w:rPr>
          <w:i/>
          <w:sz w:val="24"/>
          <w:szCs w:val="24"/>
        </w:rPr>
      </w:pPr>
    </w:p>
    <w:p w14:paraId="1E3775B2" w14:textId="77777777" w:rsidR="00A13048" w:rsidRPr="001A706C" w:rsidRDefault="00A13048" w:rsidP="00A13048">
      <w:pPr>
        <w:tabs>
          <w:tab w:val="left" w:pos="5835"/>
        </w:tabs>
        <w:spacing w:line="480" w:lineRule="auto"/>
        <w:ind w:left="680" w:hanging="680"/>
        <w:rPr>
          <w:sz w:val="24"/>
          <w:szCs w:val="24"/>
        </w:rPr>
      </w:pPr>
      <w:r w:rsidRPr="001A706C">
        <w:rPr>
          <w:i/>
          <w:sz w:val="24"/>
          <w:szCs w:val="24"/>
        </w:rPr>
        <w:t>Heydon’s case</w:t>
      </w:r>
      <w:r w:rsidRPr="001A706C">
        <w:rPr>
          <w:sz w:val="24"/>
          <w:szCs w:val="24"/>
        </w:rPr>
        <w:t xml:space="preserve"> (1584) EWHC </w:t>
      </w:r>
      <w:proofErr w:type="spellStart"/>
      <w:r w:rsidRPr="001A706C">
        <w:rPr>
          <w:sz w:val="24"/>
          <w:szCs w:val="24"/>
        </w:rPr>
        <w:t>Exch</w:t>
      </w:r>
      <w:proofErr w:type="spellEnd"/>
      <w:r w:rsidRPr="001A706C">
        <w:rPr>
          <w:sz w:val="24"/>
          <w:szCs w:val="24"/>
        </w:rPr>
        <w:t xml:space="preserve"> J36.</w:t>
      </w:r>
    </w:p>
    <w:p w14:paraId="50AAF2F9"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Law Commission., (1969) </w:t>
      </w:r>
      <w:r w:rsidRPr="001A706C">
        <w:rPr>
          <w:i/>
          <w:iCs/>
          <w:color w:val="000000"/>
          <w:sz w:val="24"/>
          <w:szCs w:val="24"/>
          <w:shd w:val="clear" w:color="auto" w:fill="FFFFFF"/>
        </w:rPr>
        <w:t>The interpretation of statutes</w:t>
      </w:r>
      <w:r w:rsidRPr="001A706C">
        <w:rPr>
          <w:color w:val="000000"/>
          <w:sz w:val="24"/>
          <w:szCs w:val="24"/>
          <w:shd w:val="clear" w:color="auto" w:fill="FFFFFF"/>
        </w:rPr>
        <w:t>. London: gov.uk.</w:t>
      </w:r>
    </w:p>
    <w:p w14:paraId="493814F8" w14:textId="77777777" w:rsidR="00A13048" w:rsidRDefault="00A13048" w:rsidP="00A13048">
      <w:pPr>
        <w:rPr>
          <w:color w:val="000000"/>
          <w:spacing w:val="-5"/>
          <w:sz w:val="24"/>
          <w:szCs w:val="24"/>
          <w:shd w:val="clear" w:color="auto" w:fill="FFFFFF"/>
        </w:rPr>
      </w:pPr>
    </w:p>
    <w:p w14:paraId="0789581F" w14:textId="77777777" w:rsidR="00A13048" w:rsidRPr="001A706C" w:rsidRDefault="00A13048" w:rsidP="00A13048">
      <w:pPr>
        <w:rPr>
          <w:i/>
          <w:iCs/>
          <w:color w:val="000000"/>
          <w:spacing w:val="-5"/>
          <w:sz w:val="24"/>
          <w:szCs w:val="24"/>
          <w:shd w:val="clear" w:color="auto" w:fill="FFFFFF"/>
        </w:rPr>
      </w:pPr>
      <w:r w:rsidRPr="001A706C">
        <w:rPr>
          <w:color w:val="000000"/>
          <w:spacing w:val="-5"/>
          <w:sz w:val="24"/>
          <w:szCs w:val="24"/>
          <w:shd w:val="clear" w:color="auto" w:fill="FFFFFF"/>
        </w:rPr>
        <w:t>Lees, E., (2014) The Meaning of ‘Deposit’: Thames Water v Bromley Magistrates’ Court. </w:t>
      </w:r>
      <w:r w:rsidRPr="001A706C">
        <w:rPr>
          <w:i/>
          <w:iCs/>
          <w:color w:val="000000"/>
          <w:spacing w:val="-5"/>
          <w:sz w:val="24"/>
          <w:szCs w:val="24"/>
          <w:shd w:val="clear" w:color="auto" w:fill="FFFFFF"/>
        </w:rPr>
        <w:t>Journal of Environmental Law</w:t>
      </w:r>
      <w:r w:rsidRPr="001A706C">
        <w:rPr>
          <w:color w:val="000000"/>
          <w:spacing w:val="-5"/>
          <w:sz w:val="24"/>
          <w:szCs w:val="24"/>
          <w:shd w:val="clear" w:color="auto" w:fill="FFFFFF"/>
        </w:rPr>
        <w:t>, </w:t>
      </w:r>
      <w:r w:rsidRPr="001A706C">
        <w:rPr>
          <w:i/>
          <w:iCs/>
          <w:color w:val="000000"/>
          <w:spacing w:val="-5"/>
          <w:sz w:val="24"/>
          <w:szCs w:val="24"/>
          <w:shd w:val="clear" w:color="auto" w:fill="FFFFFF"/>
        </w:rPr>
        <w:t>26</w:t>
      </w:r>
      <w:r w:rsidRPr="001A706C">
        <w:rPr>
          <w:color w:val="000000"/>
          <w:spacing w:val="-5"/>
          <w:sz w:val="24"/>
          <w:szCs w:val="24"/>
          <w:shd w:val="clear" w:color="auto" w:fill="FFFFFF"/>
        </w:rPr>
        <w:t xml:space="preserve">(1), 129–137. </w:t>
      </w:r>
      <w:r>
        <w:rPr>
          <w:color w:val="000000"/>
          <w:spacing w:val="-5"/>
          <w:sz w:val="24"/>
          <w:szCs w:val="24"/>
          <w:shd w:val="clear" w:color="auto" w:fill="FFFFFF"/>
        </w:rPr>
        <w:t xml:space="preserve">&lt; </w:t>
      </w:r>
      <w:hyperlink r:id="rId6" w:history="1">
        <w:r w:rsidRPr="00DE152D">
          <w:rPr>
            <w:rStyle w:val="Hyperlink"/>
            <w:spacing w:val="-5"/>
            <w:sz w:val="24"/>
            <w:szCs w:val="24"/>
            <w:shd w:val="clear" w:color="auto" w:fill="FFFFFF"/>
          </w:rPr>
          <w:t>https://www.jstor.org/stable/26168509</w:t>
        </w:r>
      </w:hyperlink>
      <w:r>
        <w:rPr>
          <w:color w:val="000000"/>
          <w:spacing w:val="-5"/>
          <w:sz w:val="24"/>
          <w:szCs w:val="24"/>
          <w:shd w:val="clear" w:color="auto" w:fill="FFFFFF"/>
        </w:rPr>
        <w:t xml:space="preserve"> &gt;</w:t>
      </w:r>
    </w:p>
    <w:p w14:paraId="3B065190" w14:textId="77777777" w:rsidR="00A13048" w:rsidRDefault="00A13048" w:rsidP="00A13048">
      <w:pPr>
        <w:pStyle w:val="Bibliography"/>
        <w:rPr>
          <w:rFonts w:ascii="Times New Roman" w:hAnsi="Times New Roman" w:cs="Times New Roman"/>
          <w:i/>
          <w:iCs/>
          <w:noProof/>
          <w:sz w:val="24"/>
          <w:szCs w:val="24"/>
          <w:lang w:val="en-US"/>
        </w:rPr>
      </w:pPr>
    </w:p>
    <w:p w14:paraId="7C73D2E8"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London and North Eastern Railway v Berriman </w:t>
      </w:r>
      <w:r w:rsidRPr="001A706C">
        <w:rPr>
          <w:rFonts w:ascii="Times New Roman" w:hAnsi="Times New Roman" w:cs="Times New Roman"/>
          <w:noProof/>
          <w:sz w:val="24"/>
          <w:szCs w:val="24"/>
          <w:lang w:val="en-US"/>
        </w:rPr>
        <w:t xml:space="preserve">(1946) Court of Appeal. </w:t>
      </w:r>
    </w:p>
    <w:p w14:paraId="026F0712"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noProof/>
          <w:sz w:val="24"/>
          <w:szCs w:val="24"/>
          <w:lang w:val="en-US"/>
        </w:rPr>
        <w:t xml:space="preserve">Owens, K., 2001. </w:t>
      </w:r>
      <w:r w:rsidRPr="001A706C">
        <w:rPr>
          <w:rFonts w:ascii="Times New Roman" w:hAnsi="Times New Roman" w:cs="Times New Roman"/>
          <w:i/>
          <w:iCs/>
          <w:noProof/>
          <w:sz w:val="24"/>
          <w:szCs w:val="24"/>
          <w:lang w:val="en-US"/>
        </w:rPr>
        <w:t xml:space="preserve">Law for Non-law Students. </w:t>
      </w:r>
      <w:r w:rsidRPr="001A706C">
        <w:rPr>
          <w:rFonts w:ascii="Times New Roman" w:hAnsi="Times New Roman" w:cs="Times New Roman"/>
          <w:noProof/>
          <w:sz w:val="24"/>
          <w:szCs w:val="24"/>
          <w:lang w:val="en-US"/>
        </w:rPr>
        <w:t>3 ed. s.l.:Routledge-Cavendish.</w:t>
      </w:r>
    </w:p>
    <w:p w14:paraId="786EE985" w14:textId="76612918"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Parliament, (2022) </w:t>
      </w:r>
      <w:r w:rsidRPr="001A706C">
        <w:rPr>
          <w:i/>
          <w:iCs/>
          <w:color w:val="000000"/>
          <w:sz w:val="24"/>
          <w:szCs w:val="24"/>
          <w:shd w:val="clear" w:color="auto" w:fill="FFFFFF"/>
        </w:rPr>
        <w:t xml:space="preserve">How does a bill become a </w:t>
      </w:r>
      <w:r w:rsidR="00196643" w:rsidRPr="001A706C">
        <w:rPr>
          <w:i/>
          <w:iCs/>
          <w:color w:val="000000"/>
          <w:sz w:val="24"/>
          <w:szCs w:val="24"/>
          <w:shd w:val="clear" w:color="auto" w:fill="FFFFFF"/>
        </w:rPr>
        <w:t>law?</w:t>
      </w:r>
      <w:r w:rsidRPr="001A706C">
        <w:rPr>
          <w:color w:val="000000"/>
          <w:sz w:val="24"/>
          <w:szCs w:val="24"/>
          <w:shd w:val="clear" w:color="auto" w:fill="FFFFFF"/>
        </w:rPr>
        <w:t xml:space="preserve"> England: UK Parliament.</w:t>
      </w:r>
    </w:p>
    <w:p w14:paraId="5201850F" w14:textId="77777777" w:rsidR="00A13048" w:rsidRDefault="00A13048" w:rsidP="00A13048">
      <w:pPr>
        <w:spacing w:line="276" w:lineRule="auto"/>
        <w:rPr>
          <w:color w:val="000000"/>
          <w:sz w:val="24"/>
          <w:szCs w:val="24"/>
          <w:shd w:val="clear" w:color="auto" w:fill="FFFFFF"/>
        </w:rPr>
      </w:pPr>
    </w:p>
    <w:p w14:paraId="1F5A7707" w14:textId="77777777" w:rsidR="00A13048" w:rsidRPr="001A706C" w:rsidRDefault="00A13048" w:rsidP="00A13048">
      <w:pPr>
        <w:spacing w:line="276" w:lineRule="auto"/>
        <w:rPr>
          <w:sz w:val="24"/>
          <w:szCs w:val="24"/>
        </w:rPr>
      </w:pPr>
      <w:r w:rsidRPr="001A706C">
        <w:rPr>
          <w:color w:val="000000"/>
          <w:sz w:val="24"/>
          <w:szCs w:val="24"/>
          <w:shd w:val="clear" w:color="auto" w:fill="FFFFFF"/>
        </w:rPr>
        <w:t>Parliament</w:t>
      </w:r>
      <w:r>
        <w:rPr>
          <w:color w:val="000000"/>
          <w:sz w:val="24"/>
          <w:szCs w:val="24"/>
          <w:shd w:val="clear" w:color="auto" w:fill="FFFFFF"/>
        </w:rPr>
        <w:t>., (</w:t>
      </w:r>
      <w:r w:rsidRPr="001A706C">
        <w:rPr>
          <w:color w:val="000000"/>
          <w:sz w:val="24"/>
          <w:szCs w:val="24"/>
          <w:shd w:val="clear" w:color="auto" w:fill="FFFFFF"/>
        </w:rPr>
        <w:t>2013</w:t>
      </w:r>
      <w:r>
        <w:rPr>
          <w:color w:val="000000"/>
          <w:sz w:val="24"/>
          <w:szCs w:val="24"/>
          <w:shd w:val="clear" w:color="auto" w:fill="FFFFFF"/>
        </w:rPr>
        <w:t>)</w:t>
      </w:r>
      <w:r w:rsidRPr="001A706C">
        <w:rPr>
          <w:color w:val="000000"/>
          <w:sz w:val="24"/>
          <w:szCs w:val="24"/>
          <w:shd w:val="clear" w:color="auto" w:fill="FFFFFF"/>
        </w:rPr>
        <w:t> </w:t>
      </w:r>
      <w:r w:rsidRPr="001A706C">
        <w:rPr>
          <w:i/>
          <w:iCs/>
          <w:color w:val="000000"/>
          <w:sz w:val="24"/>
          <w:szCs w:val="24"/>
          <w:shd w:val="clear" w:color="auto" w:fill="FFFFFF"/>
        </w:rPr>
        <w:t>Ensuring standards in the quality of legislation - Political and Constitutional Reform</w:t>
      </w:r>
      <w:r w:rsidRPr="001A706C">
        <w:rPr>
          <w:color w:val="000000"/>
          <w:sz w:val="24"/>
          <w:szCs w:val="24"/>
          <w:shd w:val="clear" w:color="auto" w:fill="FFFFFF"/>
        </w:rPr>
        <w:t>. England: Parliament UK.</w:t>
      </w:r>
    </w:p>
    <w:p w14:paraId="1F69E9A8" w14:textId="77777777" w:rsidR="00F43203" w:rsidRDefault="00F43203" w:rsidP="00A13048">
      <w:pPr>
        <w:tabs>
          <w:tab w:val="left" w:pos="5835"/>
        </w:tabs>
        <w:spacing w:line="480" w:lineRule="auto"/>
        <w:ind w:left="680" w:hanging="680"/>
        <w:rPr>
          <w:sz w:val="24"/>
          <w:szCs w:val="24"/>
        </w:rPr>
      </w:pPr>
    </w:p>
    <w:p w14:paraId="6C951491" w14:textId="7FC2A2FA" w:rsidR="00A13048" w:rsidRPr="001A706C" w:rsidRDefault="00A13048" w:rsidP="00A13048">
      <w:pPr>
        <w:tabs>
          <w:tab w:val="left" w:pos="5835"/>
        </w:tabs>
        <w:spacing w:line="480" w:lineRule="auto"/>
        <w:ind w:left="680" w:hanging="680"/>
        <w:rPr>
          <w:sz w:val="24"/>
          <w:szCs w:val="24"/>
        </w:rPr>
      </w:pPr>
      <w:r w:rsidRPr="001A706C">
        <w:rPr>
          <w:sz w:val="24"/>
          <w:szCs w:val="24"/>
        </w:rPr>
        <w:lastRenderedPageBreak/>
        <w:t xml:space="preserve">Partington, M., </w:t>
      </w:r>
      <w:r w:rsidR="00F43203">
        <w:rPr>
          <w:sz w:val="24"/>
          <w:szCs w:val="24"/>
        </w:rPr>
        <w:t>(</w:t>
      </w:r>
      <w:r w:rsidRPr="001A706C">
        <w:rPr>
          <w:sz w:val="24"/>
          <w:szCs w:val="24"/>
        </w:rPr>
        <w:t>2021</w:t>
      </w:r>
      <w:r w:rsidR="00F43203">
        <w:rPr>
          <w:sz w:val="24"/>
          <w:szCs w:val="24"/>
        </w:rPr>
        <w:t>)</w:t>
      </w:r>
      <w:r w:rsidRPr="001A706C">
        <w:rPr>
          <w:sz w:val="24"/>
          <w:szCs w:val="24"/>
        </w:rPr>
        <w:t> </w:t>
      </w:r>
      <w:r w:rsidRPr="001A706C">
        <w:rPr>
          <w:i/>
          <w:iCs/>
          <w:sz w:val="24"/>
          <w:szCs w:val="24"/>
        </w:rPr>
        <w:t>Introduction to the English legal system</w:t>
      </w:r>
      <w:r w:rsidRPr="001A706C">
        <w:rPr>
          <w:sz w:val="24"/>
          <w:szCs w:val="24"/>
        </w:rPr>
        <w:t>. Oxford University Press.</w:t>
      </w:r>
    </w:p>
    <w:p w14:paraId="2E42F464"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Pepper v Hart </w:t>
      </w:r>
      <w:r w:rsidRPr="001A706C">
        <w:rPr>
          <w:rFonts w:ascii="Times New Roman" w:hAnsi="Times New Roman" w:cs="Times New Roman"/>
          <w:noProof/>
          <w:sz w:val="24"/>
          <w:szCs w:val="24"/>
          <w:lang w:val="en-US"/>
        </w:rPr>
        <w:t xml:space="preserve">(1992) House of Lords. </w:t>
      </w:r>
    </w:p>
    <w:p w14:paraId="59A66197"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noProof/>
          <w:sz w:val="24"/>
          <w:szCs w:val="24"/>
          <w:lang w:val="en-US"/>
        </w:rPr>
        <w:t xml:space="preserve">Quinn, E. a., </w:t>
      </w:r>
      <w:r>
        <w:rPr>
          <w:rFonts w:ascii="Times New Roman" w:hAnsi="Times New Roman" w:cs="Times New Roman"/>
          <w:noProof/>
          <w:sz w:val="24"/>
          <w:szCs w:val="24"/>
          <w:lang w:val="en-US"/>
        </w:rPr>
        <w:t>(</w:t>
      </w:r>
      <w:r w:rsidRPr="001A706C">
        <w:rPr>
          <w:rFonts w:ascii="Times New Roman" w:hAnsi="Times New Roman" w:cs="Times New Roman"/>
          <w:noProof/>
          <w:sz w:val="24"/>
          <w:szCs w:val="24"/>
          <w:lang w:val="en-US"/>
        </w:rPr>
        <w:t>2020</w:t>
      </w:r>
      <w:r>
        <w:rPr>
          <w:rFonts w:ascii="Times New Roman" w:hAnsi="Times New Roman" w:cs="Times New Roman"/>
          <w:noProof/>
          <w:sz w:val="24"/>
          <w:szCs w:val="24"/>
          <w:lang w:val="en-US"/>
        </w:rPr>
        <w:t>)</w:t>
      </w:r>
      <w:r w:rsidRPr="001A706C">
        <w:rPr>
          <w:rFonts w:ascii="Times New Roman" w:hAnsi="Times New Roman" w:cs="Times New Roman"/>
          <w:noProof/>
          <w:sz w:val="24"/>
          <w:szCs w:val="24"/>
          <w:lang w:val="en-US"/>
        </w:rPr>
        <w:t xml:space="preserve"> </w:t>
      </w:r>
      <w:r w:rsidRPr="001A706C">
        <w:rPr>
          <w:rFonts w:ascii="Times New Roman" w:hAnsi="Times New Roman" w:cs="Times New Roman"/>
          <w:i/>
          <w:iCs/>
          <w:noProof/>
          <w:sz w:val="24"/>
          <w:szCs w:val="24"/>
          <w:lang w:val="en-US"/>
        </w:rPr>
        <w:t xml:space="preserve">English Legal Systems. </w:t>
      </w:r>
      <w:r w:rsidRPr="001A706C">
        <w:rPr>
          <w:rFonts w:ascii="Times New Roman" w:hAnsi="Times New Roman" w:cs="Times New Roman"/>
          <w:noProof/>
          <w:sz w:val="24"/>
          <w:szCs w:val="24"/>
          <w:lang w:val="en-US"/>
        </w:rPr>
        <w:t>21 ed. s.l.:Harlow, Pearson Education Limited.</w:t>
      </w:r>
    </w:p>
    <w:p w14:paraId="5EFABFB6" w14:textId="77777777" w:rsidR="00A13048" w:rsidRPr="001A706C" w:rsidRDefault="00A13048" w:rsidP="00A13048">
      <w:pPr>
        <w:rPr>
          <w:sz w:val="24"/>
          <w:szCs w:val="24"/>
        </w:rPr>
      </w:pPr>
      <w:r w:rsidRPr="001A706C">
        <w:rPr>
          <w:sz w:val="24"/>
          <w:szCs w:val="24"/>
        </w:rPr>
        <w:t>R (</w:t>
      </w:r>
      <w:proofErr w:type="spellStart"/>
      <w:r w:rsidRPr="001A706C">
        <w:rPr>
          <w:sz w:val="24"/>
          <w:szCs w:val="24"/>
        </w:rPr>
        <w:t>Quintavalle</w:t>
      </w:r>
      <w:proofErr w:type="spellEnd"/>
      <w:r w:rsidRPr="001A706C">
        <w:rPr>
          <w:sz w:val="24"/>
          <w:szCs w:val="24"/>
        </w:rPr>
        <w:t>) v Secretary of State for Health [2003] 2 AC 687</w:t>
      </w:r>
    </w:p>
    <w:p w14:paraId="54998B7F" w14:textId="77777777" w:rsidR="00A13048" w:rsidRDefault="00A13048" w:rsidP="00A13048">
      <w:pPr>
        <w:pStyle w:val="Bibliography"/>
        <w:rPr>
          <w:rFonts w:ascii="Times New Roman" w:hAnsi="Times New Roman" w:cs="Times New Roman"/>
          <w:i/>
          <w:iCs/>
          <w:noProof/>
          <w:sz w:val="24"/>
          <w:szCs w:val="24"/>
          <w:lang w:val="en-US"/>
        </w:rPr>
      </w:pPr>
    </w:p>
    <w:p w14:paraId="218973EF"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R v Allen </w:t>
      </w:r>
      <w:r w:rsidRPr="001A706C">
        <w:rPr>
          <w:rFonts w:ascii="Times New Roman" w:hAnsi="Times New Roman" w:cs="Times New Roman"/>
          <w:noProof/>
          <w:sz w:val="24"/>
          <w:szCs w:val="24"/>
          <w:lang w:val="en-US"/>
        </w:rPr>
        <w:t xml:space="preserve">(1872). </w:t>
      </w:r>
    </w:p>
    <w:p w14:paraId="313167C6" w14:textId="77777777" w:rsidR="00A13048" w:rsidRPr="001A706C" w:rsidRDefault="00A13048" w:rsidP="00A13048">
      <w:pPr>
        <w:pStyle w:val="Bibliography"/>
        <w:rPr>
          <w:rFonts w:ascii="Times New Roman" w:hAnsi="Times New Roman" w:cs="Times New Roman"/>
          <w:noProof/>
          <w:sz w:val="24"/>
          <w:szCs w:val="24"/>
          <w:lang w:val="en-US"/>
        </w:rPr>
      </w:pPr>
      <w:r w:rsidRPr="001A706C">
        <w:rPr>
          <w:rFonts w:ascii="Times New Roman" w:hAnsi="Times New Roman" w:cs="Times New Roman"/>
          <w:i/>
          <w:iCs/>
          <w:noProof/>
          <w:sz w:val="24"/>
          <w:szCs w:val="24"/>
          <w:lang w:val="en-US"/>
        </w:rPr>
        <w:t xml:space="preserve">R v Maginis </w:t>
      </w:r>
      <w:r w:rsidRPr="001A706C">
        <w:rPr>
          <w:rFonts w:ascii="Times New Roman" w:hAnsi="Times New Roman" w:cs="Times New Roman"/>
          <w:noProof/>
          <w:sz w:val="24"/>
          <w:szCs w:val="24"/>
          <w:lang w:val="en-US"/>
        </w:rPr>
        <w:t xml:space="preserve">(1987) Court of Appeal . </w:t>
      </w:r>
    </w:p>
    <w:p w14:paraId="4F66E980" w14:textId="77777777" w:rsidR="00A13048" w:rsidRPr="001A706C" w:rsidRDefault="00A13048" w:rsidP="00A13048">
      <w:pPr>
        <w:rPr>
          <w:sz w:val="24"/>
          <w:szCs w:val="24"/>
        </w:rPr>
      </w:pPr>
      <w:r w:rsidRPr="001A706C">
        <w:rPr>
          <w:sz w:val="24"/>
          <w:szCs w:val="24"/>
        </w:rPr>
        <w:t xml:space="preserve">Styles, S. C., (1994) The Rule of Parliament: Statutory Interpretation after Pepper v Hart. </w:t>
      </w:r>
      <w:r w:rsidRPr="001A706C">
        <w:rPr>
          <w:i/>
          <w:iCs/>
          <w:sz w:val="24"/>
          <w:szCs w:val="24"/>
        </w:rPr>
        <w:t>Oxford Journal of Legal Studies</w:t>
      </w:r>
      <w:r w:rsidRPr="001A706C">
        <w:rPr>
          <w:sz w:val="24"/>
          <w:szCs w:val="24"/>
        </w:rPr>
        <w:t xml:space="preserve">, </w:t>
      </w:r>
      <w:r w:rsidRPr="001A706C">
        <w:rPr>
          <w:i/>
          <w:iCs/>
          <w:sz w:val="24"/>
          <w:szCs w:val="24"/>
        </w:rPr>
        <w:t>14</w:t>
      </w:r>
      <w:r w:rsidRPr="001A706C">
        <w:rPr>
          <w:sz w:val="24"/>
          <w:szCs w:val="24"/>
        </w:rPr>
        <w:t xml:space="preserve">(1), 151–158. </w:t>
      </w:r>
      <w:r>
        <w:rPr>
          <w:sz w:val="24"/>
          <w:szCs w:val="24"/>
        </w:rPr>
        <w:t xml:space="preserve">&lt; </w:t>
      </w:r>
      <w:hyperlink r:id="rId7" w:history="1">
        <w:r w:rsidRPr="00DE152D">
          <w:rPr>
            <w:rStyle w:val="Hyperlink"/>
            <w:sz w:val="24"/>
            <w:szCs w:val="24"/>
          </w:rPr>
          <w:t>http://www.jstor.org/stable/764768</w:t>
        </w:r>
      </w:hyperlink>
      <w:r>
        <w:rPr>
          <w:sz w:val="24"/>
          <w:szCs w:val="24"/>
        </w:rPr>
        <w:t xml:space="preserve"> &gt;</w:t>
      </w:r>
    </w:p>
    <w:p w14:paraId="3A18B3C9" w14:textId="77777777" w:rsidR="00A13048" w:rsidRDefault="00A13048" w:rsidP="00A13048">
      <w:pPr>
        <w:spacing w:line="276" w:lineRule="auto"/>
        <w:rPr>
          <w:color w:val="000000"/>
          <w:sz w:val="24"/>
          <w:szCs w:val="24"/>
          <w:shd w:val="clear" w:color="auto" w:fill="FFFFFF"/>
        </w:rPr>
      </w:pPr>
    </w:p>
    <w:p w14:paraId="60B5E927" w14:textId="77777777" w:rsidR="00A13048" w:rsidRPr="001A706C" w:rsidRDefault="00A13048" w:rsidP="00A13048">
      <w:pPr>
        <w:spacing w:line="276" w:lineRule="auto"/>
        <w:rPr>
          <w:color w:val="000000"/>
          <w:sz w:val="24"/>
          <w:szCs w:val="24"/>
          <w:shd w:val="clear" w:color="auto" w:fill="FFFFFF"/>
        </w:rPr>
      </w:pPr>
      <w:r w:rsidRPr="001A706C">
        <w:rPr>
          <w:color w:val="000000"/>
          <w:sz w:val="24"/>
          <w:szCs w:val="24"/>
          <w:shd w:val="clear" w:color="auto" w:fill="FFFFFF"/>
        </w:rPr>
        <w:t xml:space="preserve">The Scottish Law </w:t>
      </w:r>
      <w:proofErr w:type="spellStart"/>
      <w:r w:rsidRPr="001A706C">
        <w:rPr>
          <w:color w:val="000000"/>
          <w:sz w:val="24"/>
          <w:szCs w:val="24"/>
          <w:shd w:val="clear" w:color="auto" w:fill="FFFFFF"/>
        </w:rPr>
        <w:t>Commssion</w:t>
      </w:r>
      <w:proofErr w:type="spellEnd"/>
      <w:r w:rsidRPr="001A706C">
        <w:rPr>
          <w:color w:val="000000"/>
          <w:sz w:val="24"/>
          <w:szCs w:val="24"/>
          <w:shd w:val="clear" w:color="auto" w:fill="FFFFFF"/>
        </w:rPr>
        <w:t>, T., (2022) </w:t>
      </w:r>
      <w:r w:rsidRPr="001A706C">
        <w:rPr>
          <w:i/>
          <w:iCs/>
          <w:color w:val="000000"/>
          <w:sz w:val="24"/>
          <w:szCs w:val="24"/>
          <w:shd w:val="clear" w:color="auto" w:fill="FFFFFF"/>
        </w:rPr>
        <w:t>THE INTERPRETATION OF STATUTES</w:t>
      </w:r>
      <w:r w:rsidRPr="001A706C">
        <w:rPr>
          <w:color w:val="000000"/>
          <w:sz w:val="24"/>
          <w:szCs w:val="24"/>
          <w:shd w:val="clear" w:color="auto" w:fill="FFFFFF"/>
        </w:rPr>
        <w:t>. [</w:t>
      </w:r>
      <w:proofErr w:type="spellStart"/>
      <w:r w:rsidRPr="001A706C">
        <w:rPr>
          <w:color w:val="000000"/>
          <w:sz w:val="24"/>
          <w:szCs w:val="24"/>
          <w:shd w:val="clear" w:color="auto" w:fill="FFFFFF"/>
        </w:rPr>
        <w:t>ebook</w:t>
      </w:r>
      <w:proofErr w:type="spellEnd"/>
      <w:r w:rsidRPr="001A706C">
        <w:rPr>
          <w:color w:val="000000"/>
          <w:sz w:val="24"/>
          <w:szCs w:val="24"/>
          <w:shd w:val="clear" w:color="auto" w:fill="FFFFFF"/>
        </w:rPr>
        <w:t>] London: HER MAJESTY'S STATIONERY OFFICE. Available at: &lt;</w:t>
      </w:r>
      <w:r>
        <w:rPr>
          <w:color w:val="000000"/>
          <w:sz w:val="24"/>
          <w:szCs w:val="24"/>
          <w:shd w:val="clear" w:color="auto" w:fill="FFFFFF"/>
        </w:rPr>
        <w:t xml:space="preserve"> </w:t>
      </w:r>
      <w:hyperlink r:id="rId8" w:history="1">
        <w:r w:rsidRPr="00DE152D">
          <w:rPr>
            <w:rStyle w:val="Hyperlink"/>
            <w:sz w:val="24"/>
            <w:szCs w:val="24"/>
            <w:shd w:val="clear" w:color="auto" w:fill="FFFFFF"/>
          </w:rPr>
          <w:t>https://assets.publishing.service.gov.uk/government/uploads/system/uploads/attachment_data/file/228894/0256.pdf</w:t>
        </w:r>
      </w:hyperlink>
      <w:r>
        <w:rPr>
          <w:color w:val="000000"/>
          <w:sz w:val="24"/>
          <w:szCs w:val="24"/>
          <w:shd w:val="clear" w:color="auto" w:fill="FFFFFF"/>
        </w:rPr>
        <w:t xml:space="preserve"> </w:t>
      </w:r>
      <w:r w:rsidRPr="001A706C">
        <w:rPr>
          <w:color w:val="000000"/>
          <w:sz w:val="24"/>
          <w:szCs w:val="24"/>
          <w:shd w:val="clear" w:color="auto" w:fill="FFFFFF"/>
        </w:rPr>
        <w:t>&gt; [Accessed 27 April 2022].</w:t>
      </w:r>
    </w:p>
    <w:p w14:paraId="3DBE73C8" w14:textId="77777777" w:rsidR="00A13048" w:rsidRDefault="00A13048" w:rsidP="00A13048">
      <w:pPr>
        <w:rPr>
          <w:color w:val="000000"/>
          <w:sz w:val="24"/>
          <w:szCs w:val="24"/>
          <w:shd w:val="clear" w:color="auto" w:fill="FFFFFF"/>
        </w:rPr>
      </w:pPr>
    </w:p>
    <w:p w14:paraId="4E6C87BD" w14:textId="77777777" w:rsidR="00A13048" w:rsidRPr="001A706C" w:rsidRDefault="00A13048" w:rsidP="00A13048">
      <w:pPr>
        <w:rPr>
          <w:rStyle w:val="BookTitle"/>
          <w:rFonts w:ascii="Times New Roman" w:hAnsi="Times New Roman"/>
          <w:bCs w:val="0"/>
          <w:iCs w:val="0"/>
          <w:color w:val="000000"/>
          <w:sz w:val="24"/>
          <w:szCs w:val="24"/>
          <w:shd w:val="clear" w:color="auto" w:fill="FFFFFF"/>
        </w:rPr>
      </w:pPr>
      <w:r w:rsidRPr="001A706C">
        <w:rPr>
          <w:color w:val="000000"/>
          <w:sz w:val="24"/>
          <w:szCs w:val="24"/>
          <w:shd w:val="clear" w:color="auto" w:fill="FFFFFF"/>
        </w:rPr>
        <w:t xml:space="preserve">Thrombe Shrikant, P., (2019) General principles of statutory interpretation with special reference to golden rule &amp; mischief rule. International Journal of Law, Volume 5, Issue 6, Pages 135-140. &lt; </w:t>
      </w:r>
      <w:hyperlink r:id="rId9" w:history="1">
        <w:r w:rsidRPr="001A706C">
          <w:rPr>
            <w:rStyle w:val="Hyperlink"/>
            <w:sz w:val="24"/>
            <w:szCs w:val="24"/>
          </w:rPr>
          <w:t>http://www.lawjournals.org/archives/2019/vol5/issue6/5-6-45</w:t>
        </w:r>
      </w:hyperlink>
      <w:r w:rsidRPr="001A706C">
        <w:rPr>
          <w:rStyle w:val="BookTitle"/>
          <w:rFonts w:ascii="Times New Roman" w:hAnsi="Times New Roman"/>
          <w:sz w:val="24"/>
          <w:szCs w:val="24"/>
        </w:rPr>
        <w:t xml:space="preserve"> &gt;</w:t>
      </w:r>
    </w:p>
    <w:p w14:paraId="34A02D76" w14:textId="77777777" w:rsidR="00A13048" w:rsidRDefault="00A13048" w:rsidP="00A13048">
      <w:pPr>
        <w:rPr>
          <w:color w:val="000000"/>
          <w:sz w:val="24"/>
          <w:szCs w:val="24"/>
          <w:shd w:val="clear" w:color="auto" w:fill="FFFFFF"/>
        </w:rPr>
      </w:pPr>
    </w:p>
    <w:p w14:paraId="7FFCCC7F" w14:textId="77777777" w:rsidR="00A13048" w:rsidRPr="001A706C" w:rsidRDefault="00A13048" w:rsidP="00A13048">
      <w:pPr>
        <w:rPr>
          <w:color w:val="000000"/>
          <w:sz w:val="24"/>
          <w:szCs w:val="24"/>
          <w:shd w:val="clear" w:color="auto" w:fill="FFFFFF"/>
        </w:rPr>
      </w:pPr>
      <w:r w:rsidRPr="001A706C">
        <w:rPr>
          <w:color w:val="000000"/>
          <w:sz w:val="24"/>
          <w:szCs w:val="24"/>
          <w:shd w:val="clear" w:color="auto" w:fill="FFFFFF"/>
        </w:rPr>
        <w:t xml:space="preserve">UK Parliament., (2022) </w:t>
      </w:r>
      <w:r w:rsidRPr="001A706C">
        <w:rPr>
          <w:i/>
          <w:iCs/>
          <w:color w:val="000000"/>
          <w:sz w:val="24"/>
          <w:szCs w:val="24"/>
          <w:shd w:val="clear" w:color="auto" w:fill="FFFFFF"/>
        </w:rPr>
        <w:t>Delegated legislation</w:t>
      </w:r>
      <w:r w:rsidRPr="001A706C">
        <w:rPr>
          <w:color w:val="000000"/>
          <w:sz w:val="24"/>
          <w:szCs w:val="24"/>
          <w:shd w:val="clear" w:color="auto" w:fill="FFFFFF"/>
        </w:rPr>
        <w:t>. London: Parliament UK.</w:t>
      </w:r>
    </w:p>
    <w:p w14:paraId="07FB6A9E" w14:textId="77777777" w:rsidR="00201FA4" w:rsidRDefault="00201FA4" w:rsidP="00A13048">
      <w:pPr>
        <w:rPr>
          <w:sz w:val="24"/>
          <w:szCs w:val="24"/>
        </w:rPr>
      </w:pPr>
    </w:p>
    <w:p w14:paraId="454842A0" w14:textId="77777777" w:rsidR="00A13048" w:rsidRPr="001A706C" w:rsidRDefault="00A13048" w:rsidP="00BE7596">
      <w:pPr>
        <w:tabs>
          <w:tab w:val="left" w:pos="5835"/>
        </w:tabs>
        <w:spacing w:line="480" w:lineRule="auto"/>
        <w:rPr>
          <w:sz w:val="24"/>
          <w:szCs w:val="24"/>
        </w:rPr>
      </w:pPr>
      <w:r w:rsidRPr="001A706C">
        <w:rPr>
          <w:sz w:val="24"/>
          <w:szCs w:val="24"/>
        </w:rPr>
        <w:t>Walshaw, C., 2014. Concurrent legal interpretation versus moderate intentionalism. </w:t>
      </w:r>
      <w:r w:rsidRPr="001A706C">
        <w:rPr>
          <w:i/>
          <w:iCs/>
          <w:sz w:val="24"/>
          <w:szCs w:val="24"/>
        </w:rPr>
        <w:t>Statute law review</w:t>
      </w:r>
      <w:r w:rsidRPr="001A706C">
        <w:rPr>
          <w:sz w:val="24"/>
          <w:szCs w:val="24"/>
        </w:rPr>
        <w:t>, </w:t>
      </w:r>
      <w:r w:rsidRPr="001A706C">
        <w:rPr>
          <w:i/>
          <w:iCs/>
          <w:sz w:val="24"/>
          <w:szCs w:val="24"/>
        </w:rPr>
        <w:t>35</w:t>
      </w:r>
      <w:r w:rsidRPr="001A706C">
        <w:rPr>
          <w:sz w:val="24"/>
          <w:szCs w:val="24"/>
        </w:rPr>
        <w:t>(3), pp.244-260.</w:t>
      </w:r>
    </w:p>
    <w:p w14:paraId="0030BAF0" w14:textId="77777777" w:rsidR="00A13048" w:rsidRPr="001A706C" w:rsidRDefault="00A13048" w:rsidP="00A13048">
      <w:pPr>
        <w:pStyle w:val="Bibliography"/>
        <w:rPr>
          <w:rFonts w:ascii="Times New Roman" w:hAnsi="Times New Roman" w:cs="Times New Roman"/>
          <w:i/>
          <w:iCs/>
          <w:noProof/>
          <w:sz w:val="24"/>
          <w:szCs w:val="24"/>
          <w:lang w:val="en-US"/>
        </w:rPr>
      </w:pPr>
      <w:r w:rsidRPr="001A706C">
        <w:rPr>
          <w:rFonts w:ascii="Times New Roman" w:hAnsi="Times New Roman" w:cs="Times New Roman"/>
          <w:color w:val="000000"/>
          <w:sz w:val="24"/>
          <w:szCs w:val="24"/>
          <w:shd w:val="clear" w:color="auto" w:fill="FFFFFF"/>
        </w:rPr>
        <w:t xml:space="preserve">Wilson, S., Kotecha, B., Rutherford, H., Storey, T. and Wortley, N., (2020) </w:t>
      </w:r>
      <w:r w:rsidRPr="001A706C">
        <w:rPr>
          <w:rFonts w:ascii="Times New Roman" w:hAnsi="Times New Roman" w:cs="Times New Roman"/>
          <w:i/>
          <w:iCs/>
          <w:color w:val="000000"/>
          <w:sz w:val="24"/>
          <w:szCs w:val="24"/>
          <w:shd w:val="clear" w:color="auto" w:fill="FFFFFF"/>
        </w:rPr>
        <w:t>English legal system</w:t>
      </w:r>
      <w:r w:rsidRPr="001A706C">
        <w:rPr>
          <w:rFonts w:ascii="Times New Roman" w:hAnsi="Times New Roman" w:cs="Times New Roman"/>
          <w:color w:val="000000"/>
          <w:sz w:val="24"/>
          <w:szCs w:val="24"/>
          <w:shd w:val="clear" w:color="auto" w:fill="FFFFFF"/>
        </w:rPr>
        <w:t>. 4th ed. Oxford.</w:t>
      </w:r>
    </w:p>
    <w:p w14:paraId="3ADD6962" w14:textId="77777777" w:rsidR="00895559" w:rsidRDefault="00895559"/>
    <w:sectPr w:rsidR="00895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8031D"/>
    <w:rsid w:val="000428B2"/>
    <w:rsid w:val="000B4DFF"/>
    <w:rsid w:val="001863EA"/>
    <w:rsid w:val="00196643"/>
    <w:rsid w:val="001B6503"/>
    <w:rsid w:val="00201FA4"/>
    <w:rsid w:val="00256226"/>
    <w:rsid w:val="002F2A61"/>
    <w:rsid w:val="003474CB"/>
    <w:rsid w:val="00393159"/>
    <w:rsid w:val="004D3D0B"/>
    <w:rsid w:val="00536B0B"/>
    <w:rsid w:val="005842AA"/>
    <w:rsid w:val="006D6461"/>
    <w:rsid w:val="00727C41"/>
    <w:rsid w:val="008150F1"/>
    <w:rsid w:val="00852BBA"/>
    <w:rsid w:val="00895559"/>
    <w:rsid w:val="008B38B1"/>
    <w:rsid w:val="008B6542"/>
    <w:rsid w:val="00915290"/>
    <w:rsid w:val="009C2D6C"/>
    <w:rsid w:val="009D7B33"/>
    <w:rsid w:val="009F1B73"/>
    <w:rsid w:val="00A13048"/>
    <w:rsid w:val="00A156D1"/>
    <w:rsid w:val="00AB7A9C"/>
    <w:rsid w:val="00B1179F"/>
    <w:rsid w:val="00B555DD"/>
    <w:rsid w:val="00BE7596"/>
    <w:rsid w:val="00C8031D"/>
    <w:rsid w:val="00D60D71"/>
    <w:rsid w:val="00E16B79"/>
    <w:rsid w:val="00F16575"/>
    <w:rsid w:val="00F43203"/>
    <w:rsid w:val="00FE5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70756"/>
  <w15:chartTrackingRefBased/>
  <w15:docId w15:val="{22F281DE-94FD-4D2E-A401-CFED9C4D3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04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3048"/>
    <w:rPr>
      <w:color w:val="0000FF"/>
      <w:u w:val="single"/>
    </w:rPr>
  </w:style>
  <w:style w:type="paragraph" w:styleId="Bibliography">
    <w:name w:val="Bibliography"/>
    <w:basedOn w:val="Normal"/>
    <w:next w:val="Normal"/>
    <w:uiPriority w:val="37"/>
    <w:unhideWhenUsed/>
    <w:rsid w:val="00A13048"/>
    <w:pPr>
      <w:spacing w:after="200" w:line="276" w:lineRule="auto"/>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A13048"/>
    <w:rPr>
      <w:i/>
      <w:iCs/>
    </w:rPr>
  </w:style>
  <w:style w:type="character" w:styleId="BookTitle">
    <w:name w:val="Book Title"/>
    <w:basedOn w:val="DefaultParagraphFont"/>
    <w:uiPriority w:val="33"/>
    <w:qFormat/>
    <w:rsid w:val="00A13048"/>
    <w:rPr>
      <w:rFonts w:ascii="Verdana" w:hAnsi="Verdana"/>
      <w:b w:val="0"/>
      <w:bCs/>
      <w:i w:val="0"/>
      <w:iCs/>
      <w:spacing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8894/0256.pdf" TargetMode="External"/><Relationship Id="rId3" Type="http://schemas.openxmlformats.org/officeDocument/2006/relationships/webSettings" Target="webSettings.xml"/><Relationship Id="rId7" Type="http://schemas.openxmlformats.org/officeDocument/2006/relationships/hyperlink" Target="http://www.jstor.org/stable/76476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6168509" TargetMode="External"/><Relationship Id="rId11" Type="http://schemas.openxmlformats.org/officeDocument/2006/relationships/theme" Target="theme/theme1.xml"/><Relationship Id="rId5" Type="http://schemas.openxmlformats.org/officeDocument/2006/relationships/hyperlink" Target="https://assets.publishing.service.gov.uk/government/uploads/system/uploads/attachment_data/file/187015/GoodLaw_report_8April_AP.pdf" TargetMode="External"/><Relationship Id="rId10" Type="http://schemas.openxmlformats.org/officeDocument/2006/relationships/fontTable" Target="fontTable.xml"/><Relationship Id="rId4" Type="http://schemas.openxmlformats.org/officeDocument/2006/relationships/hyperlink" Target="http://www.jstor.org/stable/40660488" TargetMode="External"/><Relationship Id="rId9" Type="http://schemas.openxmlformats.org/officeDocument/2006/relationships/hyperlink" Target="http://www.lawjournals.org/archives/2019/vol5/issue6/5-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7</Pages>
  <Words>1954</Words>
  <Characters>11138</Characters>
  <Application>Microsoft Office Word</Application>
  <DocSecurity>0</DocSecurity>
  <Lines>92</Lines>
  <Paragraphs>26</Paragraphs>
  <ScaleCrop>false</ScaleCrop>
  <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34</cp:revision>
  <dcterms:created xsi:type="dcterms:W3CDTF">2022-05-05T17:04:00Z</dcterms:created>
  <dcterms:modified xsi:type="dcterms:W3CDTF">2022-05-05T19:23:00Z</dcterms:modified>
</cp:coreProperties>
</file>