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color w:val="000000" w:themeColor="text1"/>
          <w:sz w:val="28"/>
          <w:szCs w:val="28"/>
          <w:lang w:val="en-GB"/>
          <w14:textFill>
            <w14:solidFill>
              <w14:schemeClr w14:val="tx1"/>
            </w14:solidFill>
          </w14:textFill>
        </w:rPr>
      </w:pPr>
      <w:r>
        <w:rPr>
          <w:rFonts w:ascii="Times New Roman" w:hAnsi="Times New Roman" w:cs="Times New Roman"/>
          <w:color w:val="000000" w:themeColor="text1"/>
          <w:sz w:val="28"/>
          <w:szCs w:val="28"/>
          <w:lang w:val="en-GB" w:eastAsia="en-IN"/>
          <w14:textFill>
            <w14:solidFill>
              <w14:schemeClr w14:val="tx1"/>
            </w14:solidFill>
          </w14:textFill>
        </w:rPr>
        <w:drawing>
          <wp:inline distT="0" distB="0" distL="0" distR="0">
            <wp:extent cx="3302635" cy="1356360"/>
            <wp:effectExtent l="0" t="0" r="0" b="0"/>
            <wp:docPr id="1026" name="Picture 1"/>
            <wp:cNvGraphicFramePr/>
            <a:graphic xmlns:a="http://schemas.openxmlformats.org/drawingml/2006/main">
              <a:graphicData uri="http://schemas.openxmlformats.org/drawingml/2006/picture">
                <pic:pic xmlns:pic="http://schemas.openxmlformats.org/drawingml/2006/picture">
                  <pic:nvPicPr>
                    <pic:cNvPr id="1026" name="Picture 1"/>
                    <pic:cNvPicPr/>
                  </pic:nvPicPr>
                  <pic:blipFill>
                    <a:blip r:embed="rId7" cstate="print"/>
                    <a:stretch>
                      <a:fillRect/>
                    </a:stretch>
                  </pic:blipFill>
                  <pic:spPr>
                    <a:xfrm>
                      <a:off x="0" y="0"/>
                      <a:ext cx="3302758" cy="1356865"/>
                    </a:xfrm>
                    <a:prstGeom prst="rect">
                      <a:avLst/>
                    </a:prstGeom>
                  </pic:spPr>
                </pic:pic>
              </a:graphicData>
            </a:graphic>
          </wp:inline>
        </w:drawing>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bookmarkStart w:id="7" w:name="_GoBack"/>
      <w:bookmarkEnd w:id="7"/>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MBA- Masters of Business Administration</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Marketing Management – Assessment 2</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LCMB7001</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Lecturer: Tushara Balendran</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 xml:space="preserve">Name of the Student: Rimpalben Ajitsinh Yadav </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t>Student ID: 2132837</w:t>
      </w:r>
    </w:p>
    <w:p>
      <w:pPr>
        <w:spacing w:line="480" w:lineRule="auto"/>
        <w:jc w:val="center"/>
        <w:rPr>
          <w:rFonts w:ascii="Times New Roman" w:hAnsi="Times New Roman" w:cs="Times New Roman"/>
          <w:b/>
          <w:color w:val="000000" w:themeColor="text1"/>
          <w:sz w:val="28"/>
          <w:szCs w:val="28"/>
          <w:lang w:val="en-GB"/>
          <w14:textFill>
            <w14:solidFill>
              <w14:schemeClr w14:val="tx1"/>
            </w14:solidFill>
          </w14:textFill>
        </w:rPr>
      </w:pPr>
      <w:r>
        <w:rPr>
          <w:rFonts w:ascii="Times New Roman" w:hAnsi="Times New Roman" w:cs="Times New Roman"/>
          <w:b/>
          <w:color w:val="000000" w:themeColor="text1"/>
          <w:sz w:val="28"/>
          <w:szCs w:val="28"/>
          <w:lang w:val="en-GB"/>
          <w14:textFill>
            <w14:solidFill>
              <w14:schemeClr w14:val="tx1"/>
            </w14:solidFill>
          </w14:textFill>
        </w:rPr>
        <w:br w:type="page"/>
      </w:r>
    </w:p>
    <w:p>
      <w:pPr>
        <w:pStyle w:val="23"/>
        <w:spacing w:line="480" w:lineRule="auto"/>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"_Toc134021339"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_Toc134021339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"_Toc134021340"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External Analysis (PESTLE)</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"_Toc134021341"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Internal Analysis (SWOT)</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"_Toc134021342"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Role of the Internal and external environment in Marketing</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9</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"_Toc134021343"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Recommendations for the future</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"_Toc134021344" </w:instrText>
      </w:r>
      <w:r>
        <w:fldChar w:fldCharType="separate"/>
      </w:r>
      <w:r>
        <w:rPr>
          <w:rStyle w:val="8"/>
          <w:rFonts w:ascii="Times New Roman" w:hAnsi="Times New Roman" w:cs="Times New Roman"/>
          <w:color w:val="000000" w:themeColor="text1"/>
          <w:sz w:val="24"/>
          <w:szCs w:val="24"/>
          <w:lang w:val="en-US"/>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0"/>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"_Toc134021345" </w:instrText>
      </w:r>
      <w:r>
        <w:fldChar w:fldCharType="separate"/>
      </w:r>
      <w:r>
        <w:rPr>
          <w:rStyle w:val="8"/>
          <w:rFonts w:ascii="Times New Roman" w:hAnsi="Times New Roman" w:cs="Times New Roman"/>
          <w:color w:val="000000" w:themeColor="text1"/>
          <w:sz w:val="24"/>
          <w:szCs w:val="24"/>
          <w:lang w:val="en-GB"/>
          <w14:textFill>
            <w14:solidFill>
              <w14:schemeClr w14:val="tx1"/>
            </w14:solidFill>
          </w14:textFill>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_Toc134021345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spacing w:line="48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p>
      <w:pPr>
        <w:spacing w:line="480" w:lineRule="auto"/>
        <w:jc w:val="both"/>
        <w:rPr>
          <w:rFonts w:ascii="Times New Roman" w:hAnsi="Times New Roman" w:eastAsia="SimSun" w:cs="Times New Roman"/>
          <w:b/>
          <w:bCs/>
          <w:color w:val="000000" w:themeColor="text1"/>
          <w:sz w:val="24"/>
          <w:szCs w:val="24"/>
          <w:lang w:val="en-GB"/>
          <w14:textFill>
            <w14:solidFill>
              <w14:schemeClr w14:val="tx1"/>
            </w14:solidFill>
          </w14:textFill>
        </w:rPr>
      </w:pPr>
      <w:r>
        <w:rPr>
          <w:rFonts w:ascii="Times New Roman" w:hAnsi="Times New Roman" w:cs="Times New Roman"/>
          <w:color w:val="000000" w:themeColor="text1"/>
          <w:sz w:val="24"/>
          <w:szCs w:val="24"/>
          <w:lang w:val="en-GB"/>
          <w14:textFill>
            <w14:solidFill>
              <w14:schemeClr w14:val="tx1"/>
            </w14:solidFill>
          </w14:textFill>
        </w:rPr>
        <w:br w:type="page"/>
      </w: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0" w:name="_Toc134021339"/>
      <w:r>
        <w:rPr>
          <w:rFonts w:ascii="Times New Roman" w:hAnsi="Times New Roman" w:cs="Times New Roman"/>
          <w:color w:val="000000" w:themeColor="text1"/>
          <w:sz w:val="24"/>
          <w:szCs w:val="24"/>
          <w:lang w:val="en-US"/>
          <w14:textFill>
            <w14:solidFill>
              <w14:schemeClr w14:val="tx1"/>
            </w14:solidFill>
          </w14:textFill>
        </w:rPr>
        <w:t>Introduction</w:t>
      </w:r>
      <w:bookmarkEnd w:id="0"/>
    </w:p>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is a luxurious leading manufacturer in the automotive industry. The discussion will be focusing on the environmental marketing analysis of BMW. There will be a significant analysis of both internal as well as external environment of the company to understand its impacts. There will also be a proper explanation given relating to the role of marketing in the organisation on the basis of environments. The discussion will also include significant elaboration through recommendations which allow practical attempts that can be useful for the company in future. </w:t>
      </w: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1" w:name="_Toc134021340"/>
      <w:r>
        <w:rPr>
          <w:rFonts w:ascii="Times New Roman" w:hAnsi="Times New Roman" w:cs="Times New Roman"/>
          <w:color w:val="000000" w:themeColor="text1"/>
          <w:sz w:val="24"/>
          <w:szCs w:val="24"/>
          <w:lang w:val="en-US"/>
          <w14:textFill>
            <w14:solidFill>
              <w14:schemeClr w14:val="tx1"/>
            </w14:solidFill>
          </w14:textFill>
        </w:rPr>
        <w:t>External Analysis (PESTLE)</w:t>
      </w:r>
      <w:bookmarkEnd w:id="1"/>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PESTLE Analysis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p>
    <w:tbl>
      <w:tblPr>
        <w:tblStyle w:val="4"/>
        <w:tblW w:w="9841"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951"/>
        <w:gridCol w:w="7890"/>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3"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b/>
                <w:bCs/>
                <w:color w:val="000000" w:themeColor="text1"/>
                <w:kern w:val="1"/>
                <w:sz w:val="24"/>
                <w:szCs w:val="24"/>
                <w:lang w:val="en-US"/>
                <w14:textFill>
                  <w14:solidFill>
                    <w14:schemeClr w14:val="tx1"/>
                  </w14:solidFill>
                </w14:textFill>
              </w:rPr>
            </w:pPr>
            <w:r>
              <w:rPr>
                <w:rFonts w:ascii="Times New Roman" w:hAnsi="Times New Roman" w:eastAsia="SimSun" w:cs="Times New Roman"/>
                <w:b/>
                <w:bCs/>
                <w:color w:val="000000" w:themeColor="text1"/>
                <w:kern w:val="1"/>
                <w:sz w:val="24"/>
                <w:szCs w:val="24"/>
                <w:lang w:val="en-US"/>
                <w14:textFill>
                  <w14:solidFill>
                    <w14:schemeClr w14:val="tx1"/>
                  </w14:solidFill>
                </w14:textFill>
              </w:rPr>
              <w:t xml:space="preserve">Factors </w:t>
            </w: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b/>
                <w:bCs/>
                <w:color w:val="000000" w:themeColor="text1"/>
                <w:kern w:val="1"/>
                <w:sz w:val="24"/>
                <w:szCs w:val="24"/>
                <w:lang w:val="en-US"/>
                <w14:textFill>
                  <w14:solidFill>
                    <w14:schemeClr w14:val="tx1"/>
                  </w14:solidFill>
                </w14:textFill>
              </w:rPr>
            </w:pPr>
            <w:r>
              <w:rPr>
                <w:rFonts w:ascii="Times New Roman" w:hAnsi="Times New Roman" w:eastAsia="SimSun" w:cs="Times New Roman"/>
                <w:b/>
                <w:bCs/>
                <w:color w:val="000000" w:themeColor="text1"/>
                <w:kern w:val="1"/>
                <w:sz w:val="24"/>
                <w:szCs w:val="24"/>
                <w:lang w:val="en-US"/>
                <w14:textFill>
                  <w14:solidFill>
                    <w14:schemeClr w14:val="tx1"/>
                  </w14:solidFill>
                </w14:textFill>
              </w:rPr>
              <w:t xml:space="preserve">Influences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3"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Political factor </w:t>
            </w:r>
            <w:r>
              <w:rPr>
                <w:rFonts w:hAnsi="Times New Roman" w:eastAsia="SimSun" w:cs="Times New Roman"/>
                <w:b/>
                <w:color w:val="000000" w:themeColor="text1"/>
                <w:kern w:val="1"/>
                <w:sz w:val="24"/>
                <w:szCs w:val="24"/>
                <w:lang w:val="en-US"/>
                <w14:textFill>
                  <w14:solidFill>
                    <w14:schemeClr w14:val="tx1"/>
                  </w14:solidFill>
                </w14:textFill>
              </w:rPr>
              <w:t xml:space="preserve">(unfavorable)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BMW can be found affected by politics which impacts its marketing strategy. It can be seen that political instability is one of the major aspects which influences BMW. It can be seen that there are two separate ways of political instability which affect BMW. One of the ways is the changing pattern of consumers' behaviour towards the products of BMW </w:t>
            </w:r>
            <w:r>
              <w:rPr>
                <w:rFonts w:ascii="Times New Roman" w:hAnsi="Times New Roman" w:cs="Times New Roman"/>
                <w:color w:val="000000" w:themeColor="text1"/>
                <w:sz w:val="24"/>
                <w:szCs w:val="24"/>
                <w:shd w:val="clear" w:color="auto" w:fill="FFFFFF"/>
                <w:lang w:val="en-GB"/>
                <w14:textFill>
                  <w14:solidFill>
                    <w14:schemeClr w14:val="tx1"/>
                  </w14:solidFill>
                </w14:textFill>
              </w:rPr>
              <w:t>(Ashrafi et al., 2020)</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The major concern of this pattern is specifically found in Brazil, Russia as well as China. Another political instability can be found in the different countries where BMW operates. Some of these countries have an unstable political environment which leads to frequent changes in regulations affecting the strategies of the company. This strike was an unfavourable condition for the company.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000"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Economic factor </w:t>
            </w:r>
            <w:r>
              <w:rPr>
                <w:rFonts w:hAnsi="Times New Roman" w:eastAsia="SimSun" w:cs="Times New Roman"/>
                <w:b/>
                <w:color w:val="000000" w:themeColor="text1"/>
                <w:kern w:val="1"/>
                <w:sz w:val="24"/>
                <w:szCs w:val="24"/>
                <w:lang w:val="en-US"/>
                <w14:textFill>
                  <w14:solidFill>
                    <w14:schemeClr w14:val="tx1"/>
                  </w14:solidFill>
                </w14:textFill>
              </w:rPr>
              <w:t xml:space="preserve">(unfavorable)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It can be seen that the ongoing conflict in Ukraine has had a drastic impact on the overall global economy and that affected BMW as a company </w:t>
            </w:r>
            <w:r>
              <w:rPr>
                <w:rFonts w:ascii="Times New Roman" w:hAnsi="Times New Roman" w:cs="Times New Roman"/>
                <w:color w:val="000000" w:themeColor="text1"/>
                <w:sz w:val="24"/>
                <w:szCs w:val="24"/>
                <w:shd w:val="clear" w:color="auto" w:fill="FFFFFF"/>
                <w:lang w:val="en-GB"/>
                <w14:textFill>
                  <w14:solidFill>
                    <w14:schemeClr w14:val="tx1"/>
                  </w14:solidFill>
                </w14:textFill>
              </w:rPr>
              <w:t>(Chung, 2020)</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The crisis not only affected the revenue through disrupted trade but also brought uncertainty. It is the general understanding that Ukraine is an integral part of providing a source of raw materials for the automotive industry including steel and iron ore. It has severely disrupted the supply chain as well as caused price hikes for these materials, increasing the overall production cost of the company </w:t>
            </w:r>
            <w:r>
              <w:rPr>
                <w:rFonts w:ascii="Times New Roman" w:hAnsi="Times New Roman" w:cs="Times New Roman"/>
                <w:color w:val="000000" w:themeColor="text1"/>
                <w:sz w:val="24"/>
                <w:szCs w:val="24"/>
                <w:shd w:val="clear" w:color="auto" w:fill="FFFFFF"/>
                <w:lang w:val="en-GB"/>
                <w14:textFill>
                  <w14:solidFill>
                    <w14:schemeClr w14:val="tx1"/>
                  </w14:solidFill>
                </w14:textFill>
              </w:rPr>
              <w:t>(De Canio et al., 2021)</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Consumers can be found more cautious to buy BMW vehicles in economic difficulty. It is an unfavourable impact on the company.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18"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Social factor </w:t>
            </w:r>
            <w:r>
              <w:rPr>
                <w:rFonts w:hAnsi="Times New Roman" w:eastAsia="SimSun" w:cs="Times New Roman"/>
                <w:b/>
                <w:color w:val="000000" w:themeColor="text1"/>
                <w:kern w:val="1"/>
                <w:sz w:val="24"/>
                <w:szCs w:val="24"/>
                <w:lang w:val="en-US"/>
                <w14:textFill>
                  <w14:solidFill>
                    <w14:schemeClr w14:val="tx1"/>
                  </w14:solidFill>
                </w14:textFill>
              </w:rPr>
              <w:t xml:space="preserve">(favorable) </w:t>
            </w: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The cultural differences are diverse depending on the country and for which the automobile industry adjusts its marketing strategy. It can be seen that BMW has manufacturing companies throughout the world including South America, China as well as Austria. The selection of the plants in these locations is done considering heavy research and development </w:t>
            </w:r>
            <w:r>
              <w:rPr>
                <w:rFonts w:ascii="Times New Roman" w:hAnsi="Times New Roman" w:cs="Times New Roman"/>
                <w:color w:val="000000" w:themeColor="text1"/>
                <w:sz w:val="24"/>
                <w:szCs w:val="24"/>
                <w:shd w:val="clear" w:color="auto" w:fill="FFFFFF"/>
                <w:lang w:val="en-GB"/>
                <w14:textFill>
                  <w14:solidFill>
                    <w14:schemeClr w14:val="tx1"/>
                  </w14:solidFill>
                </w14:textFill>
              </w:rPr>
              <w:t>(Fatima et al., 2021)</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This covers the social landscape to understand the consumer and their buying behaviour. The mobile application of BMW provided easy booking services as well as the ability to track their maintenance history. The loyalty of the consumer and the company's reputation influences the kind of customer service BMW is committed to. This is a favourable condition for the company.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000"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Technological </w:t>
            </w:r>
            <w:r>
              <w:rPr>
                <w:rFonts w:hAnsi="Times New Roman" w:eastAsia="SimSun" w:cs="Times New Roman"/>
                <w:b/>
                <w:color w:val="000000" w:themeColor="text1"/>
                <w:kern w:val="1"/>
                <w:sz w:val="24"/>
                <w:szCs w:val="24"/>
                <w:lang w:val="en-US"/>
                <w14:textFill>
                  <w14:solidFill>
                    <w14:schemeClr w14:val="tx1"/>
                  </w14:solidFill>
                </w14:textFill>
              </w:rPr>
              <w:t xml:space="preserve">factor (favorable)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Technology has a major influence on the manufacturing process of BMW vehicles. It is the application of 3D printing, automation as well as robotics that makes it possible for BMW to keep the high-quality demands in a cost-effective manner </w:t>
            </w:r>
            <w:r>
              <w:rPr>
                <w:rFonts w:ascii="Times New Roman" w:hAnsi="Times New Roman" w:cs="Times New Roman"/>
                <w:color w:val="000000" w:themeColor="text1"/>
                <w:sz w:val="24"/>
                <w:szCs w:val="24"/>
                <w:shd w:val="clear" w:color="auto" w:fill="FFFFFF"/>
                <w:lang w:val="en-GB"/>
                <w14:textFill>
                  <w14:solidFill>
                    <w14:schemeClr w14:val="tx1"/>
                  </w14:solidFill>
                </w14:textFill>
              </w:rPr>
              <w:t>(Gazzola et al., 2020)</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The suitability of technology is highly based on the experience of customers which is why autonomous driving technology is installed. The heavy investment in digital connectivity has also integrated advanced technology in BMW vehicles such as the BMW Intelligent Personal Assistant allowing control of different functions and including voice commands. It attracts the customer since they have an interest towards companies with a strong culture of innovation. It is favourable as an effect since more accuracy with the customers is met.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18"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Legal factor </w:t>
            </w:r>
            <w:r>
              <w:rPr>
                <w:rFonts w:hAnsi="Times New Roman" w:eastAsia="SimSun" w:cs="Times New Roman"/>
                <w:b/>
                <w:color w:val="000000" w:themeColor="text1"/>
                <w:kern w:val="1"/>
                <w:sz w:val="24"/>
                <w:szCs w:val="24"/>
                <w:lang w:val="en-US"/>
                <w14:textFill>
                  <w14:solidFill>
                    <w14:schemeClr w14:val="tx1"/>
                  </w14:solidFill>
                </w14:textFill>
              </w:rPr>
              <w:t xml:space="preserve">(unfavorable) </w:t>
            </w: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It can be seen that as a global organisation, BMW has the obligation to follow the regulations of International Trade Law. This overall regulates the import and export of products between countries. It can be found the regulation is impacting the ability to conduct proper business as well as the significant access to new markets </w:t>
            </w:r>
            <w:r>
              <w:rPr>
                <w:rFonts w:ascii="Times New Roman" w:hAnsi="Times New Roman" w:cs="Times New Roman"/>
                <w:color w:val="000000" w:themeColor="text1"/>
                <w:sz w:val="24"/>
                <w:szCs w:val="24"/>
                <w:shd w:val="clear" w:color="auto" w:fill="FFFFFF"/>
                <w14:textFill>
                  <w14:solidFill>
                    <w14:schemeClr w14:val="tx1"/>
                  </w14:solidFill>
                </w14:textFill>
              </w:rPr>
              <w:t>(Giacomarra et al., 2020)</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Tariff and trade barrier of the regulation influences the cost of goods with higher tax that leaves the company to raise product cost in the foreign market. One of the effects can be found with agreements with WTO or World Trade Organisation which complexes BMW's operations and consume much of their valuable time. It is unfavourable due to reluctance in buying behaviour can be found in customers.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4414" w:hRule="atLeast"/>
        </w:trPr>
        <w:tc>
          <w:tcPr>
            <w:tcW w:w="1951"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 xml:space="preserve">Environmental factor </w:t>
            </w:r>
            <w:r>
              <w:rPr>
                <w:rFonts w:hAnsi="Times New Roman" w:eastAsia="SimSun" w:cs="Times New Roman"/>
                <w:b/>
                <w:color w:val="000000" w:themeColor="text1"/>
                <w:kern w:val="1"/>
                <w:sz w:val="24"/>
                <w:szCs w:val="24"/>
                <w:lang w:val="en-US"/>
                <w14:textFill>
                  <w14:solidFill>
                    <w14:schemeClr w14:val="tx1"/>
                  </w14:solidFill>
                </w14:textFill>
              </w:rPr>
              <w:t xml:space="preserve"> (favorable) </w:t>
            </w:r>
          </w:p>
        </w:tc>
        <w:tc>
          <w:tcPr>
            <w:tcW w:w="7890"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The international reputation of BMW is also the result of the various standards it fulfils. It can be seen that after the conference of the Paris Agreement, BMW has shiftily adapted to the strict regulations of the governments. The Paris Agreement has emphasized the adoption of electric vehicles as a </w:t>
            </w:r>
            <w:r>
              <w:rPr>
                <w:rFonts w:ascii="Times New Roman" w:hAnsi="Times New Roman" w:cs="Times New Roman"/>
                <w:color w:val="000000" w:themeColor="text1"/>
                <w:sz w:val="24"/>
                <w:szCs w:val="24"/>
                <w:lang w:val="en-US"/>
                <w14:textFill>
                  <w14:solidFill>
                    <w14:schemeClr w14:val="tx1"/>
                  </w14:solidFill>
                </w14:textFill>
              </w:rPr>
              <w:t>specific</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transition to emit carbon emissions which influenced the business pattern of the company. The demand has established potential consumers and is a step towards environmental awareness </w:t>
            </w:r>
            <w:r>
              <w:rPr>
                <w:rFonts w:ascii="Times New Roman" w:hAnsi="Times New Roman" w:cs="Times New Roman"/>
                <w:color w:val="000000" w:themeColor="text1"/>
                <w:sz w:val="24"/>
                <w:szCs w:val="24"/>
                <w:shd w:val="clear" w:color="auto" w:fill="FFFFFF"/>
                <w14:textFill>
                  <w14:solidFill>
                    <w14:schemeClr w14:val="tx1"/>
                  </w14:solidFill>
                </w14:textFill>
              </w:rPr>
              <w:t>(Kabeyi, 2019)</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There are specific investments in electric vehicle technology launched through various models like the BMW i3 and BMW i8 proving a massive enhancement. UNFCCC or United Nations Framework Convention on Climate Change has also been properly complied with by the company which upholds its brand value. It creates a favourable condition for BMW which has a direct effect on its outlook as a sustainable manufacturer. </w:t>
            </w:r>
          </w:p>
        </w:tc>
      </w:tr>
    </w:tbl>
    <w:p>
      <w:pPr>
        <w:spacing w:line="480" w:lineRule="auto"/>
        <w:jc w:val="both"/>
        <w:rPr>
          <w:rFonts w:ascii="Times New Roman" w:hAnsi="Times New Roman" w:cs="Times New Roman"/>
          <w:color w:val="000000" w:themeColor="text1"/>
          <w:sz w:val="24"/>
          <w:szCs w:val="24"/>
          <w14:textFill>
            <w14:solidFill>
              <w14:schemeClr w14:val="tx1"/>
            </w14:solidFill>
          </w14:textFill>
        </w:rPr>
      </w:pP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Porter's five forces</w:t>
      </w:r>
    </w:p>
    <w:tbl>
      <w:tblPr>
        <w:tblStyle w:val="9"/>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513"/>
        <w:gridCol w:w="4513"/>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Components </w:t>
            </w: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Explanation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The threat of new entrants (low) </w:t>
            </w: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The automotive industry can be considered as very highly capital-intensive which needs a significant amount of investment to enter the market. This makes it a barrier for new companies. An established company like BMW is difficult to penetrate because of its investment and brand value. This is why the threat is low.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Bargaining power of suppliers (moderate) </w:t>
            </w: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The bargaining power of suppliers remains moderate since BMW includes a variety of suppliers to meet its components as well as parts. There is only a balanced proportion which can be difficult to negotiate due to availability issues from the global economic crisis.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Bargaining power of buyers (high) </w:t>
            </w: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The bargaining power remains high since customers have too many options to not select luxurious cars from BMW and pick reliable features from a different renowned company. This may affect the overall potential to build customer loyalty on different levels. </w:t>
            </w:r>
          </w:p>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Threats of substitute products (moderate) </w:t>
            </w: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The threat of substitute products can be found moderate in the automotive industry since there are several luxurious brands with reputed backgrounds. The riding services like Uber and Lyft have started providing convenient services through electric cars as well as scooters.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The intensity of competitive rivalry  (high) </w:t>
            </w: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p>
        </w:tc>
        <w:tc>
          <w:tcPr>
            <w:tcW w:w="4513"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It can be seen that intensity of comparative rivalry is high in the automobile industry and BMW specifically have a bunch of innovative companies who are giving a constant challenge to the brand. Tesla and Mercedes-Benz are the top players in the industry who are improving services with their innovative steps for the future of the industry. </w:t>
            </w:r>
          </w:p>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p>
        </w:tc>
      </w:tr>
    </w:tbl>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2" w:name="_Toc134021341"/>
      <w:r>
        <w:rPr>
          <w:rFonts w:ascii="Times New Roman" w:hAnsi="Times New Roman" w:cs="Times New Roman"/>
          <w:color w:val="000000" w:themeColor="text1"/>
          <w:sz w:val="24"/>
          <w:szCs w:val="24"/>
          <w:lang w:val="en-US"/>
          <w14:textFill>
            <w14:solidFill>
              <w14:schemeClr w14:val="tx1"/>
            </w14:solidFill>
          </w14:textFill>
        </w:rPr>
        <w:t>Internal Analysis (SWOT)</w:t>
      </w:r>
      <w:bookmarkEnd w:id="2"/>
      <w:r>
        <w:rPr>
          <w:rFonts w:ascii="Times New Roman" w:hAnsi="Times New Roman" w:cs="Times New Roman"/>
          <w:color w:val="000000" w:themeColor="text1"/>
          <w:sz w:val="24"/>
          <w:szCs w:val="24"/>
          <w:lang w:val="en-US"/>
          <w14:textFill>
            <w14:solidFill>
              <w14:schemeClr w14:val="tx1"/>
            </w14:solidFill>
          </w14:textFill>
        </w:rPr>
        <w:t xml:space="preserve">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SWOT Analysis </w:t>
      </w:r>
    </w:p>
    <w:tbl>
      <w:tblPr>
        <w:tblStyle w:val="4"/>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809"/>
        <w:gridCol w:w="708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1809"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b/>
                <w:bCs/>
                <w:color w:val="000000" w:themeColor="text1"/>
                <w:kern w:val="1"/>
                <w:sz w:val="24"/>
                <w:szCs w:val="24"/>
                <w:lang w:val="en-US"/>
                <w14:textFill>
                  <w14:solidFill>
                    <w14:schemeClr w14:val="tx1"/>
                  </w14:solidFill>
                </w14:textFill>
              </w:rPr>
            </w:pPr>
            <w:r>
              <w:rPr>
                <w:rFonts w:ascii="Times New Roman" w:hAnsi="Times New Roman" w:eastAsia="SimSun" w:cs="Times New Roman"/>
                <w:b/>
                <w:bCs/>
                <w:color w:val="000000" w:themeColor="text1"/>
                <w:kern w:val="1"/>
                <w:sz w:val="24"/>
                <w:szCs w:val="24"/>
                <w:lang w:val="en-US"/>
                <w14:textFill>
                  <w14:solidFill>
                    <w14:schemeClr w14:val="tx1"/>
                  </w14:solidFill>
                </w14:textFill>
              </w:rPr>
              <w:t xml:space="preserve">Components </w:t>
            </w:r>
          </w:p>
        </w:tc>
        <w:tc>
          <w:tcPr>
            <w:tcW w:w="7088"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b/>
                <w:bCs/>
                <w:color w:val="000000" w:themeColor="text1"/>
                <w:kern w:val="1"/>
                <w:sz w:val="24"/>
                <w:szCs w:val="24"/>
                <w:lang w:val="en-US"/>
                <w14:textFill>
                  <w14:solidFill>
                    <w14:schemeClr w14:val="tx1"/>
                  </w14:solidFill>
                </w14:textFill>
              </w:rPr>
            </w:pPr>
            <w:r>
              <w:rPr>
                <w:rFonts w:ascii="Times New Roman" w:hAnsi="Times New Roman" w:eastAsia="SimSun" w:cs="Times New Roman"/>
                <w:b/>
                <w:bCs/>
                <w:color w:val="000000" w:themeColor="text1"/>
                <w:kern w:val="1"/>
                <w:sz w:val="24"/>
                <w:szCs w:val="24"/>
                <w:lang w:val="en-US"/>
                <w14:textFill>
                  <w14:solidFill>
                    <w14:schemeClr w14:val="tx1"/>
                  </w14:solidFill>
                </w14:textFill>
              </w:rPr>
              <w:t xml:space="preserve">Explanation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809"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Strengths</w:t>
            </w:r>
          </w:p>
        </w:tc>
        <w:tc>
          <w:tcPr>
            <w:tcW w:w="7088"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One of the major strengths of BMW can be found in its strong brand value in the market. It can be seen that the brand value has relied on quality with heavy investments in research and development. It also Reliance on the distinctive design language which BMW apply to the vehicle to give a stylish as well as modern look with clean lines </w:t>
            </w:r>
            <w:r>
              <w:rPr>
                <w:rFonts w:ascii="Times New Roman" w:hAnsi="Times New Roman" w:cs="Times New Roman"/>
                <w:color w:val="000000" w:themeColor="text1"/>
                <w:sz w:val="24"/>
                <w:szCs w:val="24"/>
                <w:shd w:val="clear" w:color="auto" w:fill="FFFFFF"/>
                <w14:textFill>
                  <w14:solidFill>
                    <w14:schemeClr w14:val="tx1"/>
                  </w14:solidFill>
                </w14:textFill>
              </w:rPr>
              <w:t>(Kiefer et al., 2019)</w:t>
            </w:r>
            <w:r>
              <w:rPr>
                <w:rFonts w:ascii="Times New Roman" w:hAnsi="Times New Roman" w:eastAsia="SimSun" w:cs="Times New Roman"/>
                <w:color w:val="000000" w:themeColor="text1"/>
                <w:kern w:val="1"/>
                <w:sz w:val="24"/>
                <w:szCs w:val="24"/>
                <w:lang w:val="en-US"/>
                <w14:textFill>
                  <w14:solidFill>
                    <w14:schemeClr w14:val="tx1"/>
                  </w14:solidFill>
                </w14:textFill>
              </w:rPr>
              <w:t>. Another important strength of BMW is the introduction of innovative technology in its business operations. The engagement of advanced performance, efficiency as well as safety in vehicles. It includes advanced technology including autonomous features in driving, electric and hybrid powertrains and high-end assistance systems. BMW also holds a strong financial position with a robust balance sheet as well as consistent profitability, boosting its strength. The organisation can be found with a strong credit rating as well as a cash position to make innovative investments.</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809"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Weaknesses</w:t>
            </w:r>
          </w:p>
        </w:tc>
        <w:tc>
          <w:tcPr>
            <w:tcW w:w="7088"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There is a significant weakness of BMW which is related to high production costs. It can be seen that the company is involved with introducing advanced technology which upholds its reputation in the automotive industry as a leading innovative manufacturer. The competition raised through global regulations and political conflicts like Ukraine War drives the production cost of certain regions higher than the revenues </w:t>
            </w:r>
            <w:r>
              <w:rPr>
                <w:rFonts w:ascii="Times New Roman" w:hAnsi="Times New Roman" w:cs="Times New Roman"/>
                <w:color w:val="000000" w:themeColor="text1"/>
                <w:sz w:val="24"/>
                <w:szCs w:val="24"/>
                <w:shd w:val="clear" w:color="auto" w:fill="FFFFFF"/>
                <w14:textFill>
                  <w14:solidFill>
                    <w14:schemeClr w14:val="tx1"/>
                  </w14:solidFill>
                </w14:textFill>
              </w:rPr>
              <w:t>(Kretschmer and Khashabi, 2020)</w:t>
            </w: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 The company as a luxurious brand primarily focuses on a limited set of vehicles which also limits its ability to earn a profit, especially in the time of economic difficulties. It can also be seen that the company has been involved with certain levels of debt both short-term like borrowing as well as long-term like bonds or loans. The current debt stands at $88.94 which is a matter of concern. </w:t>
            </w:r>
          </w:p>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809"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Opportunities</w:t>
            </w:r>
          </w:p>
        </w:tc>
        <w:tc>
          <w:tcPr>
            <w:tcW w:w="7088"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One of the major opportunities which BMW has is related to increasing the production of electric vehicles. It is the common understanding that demand for electric vehicles is growing throughout the world. The international legal authority has also emphasized the promotion of electric vehicles which may encourage the company to expand its electric vehicle lineup where it gets to meet both customer satisfaction as well as sustainability goals </w:t>
            </w:r>
            <w:r>
              <w:rPr>
                <w:rFonts w:ascii="Times New Roman" w:hAnsi="Times New Roman" w:cs="Times New Roman"/>
                <w:color w:val="000000" w:themeColor="text1"/>
                <w:sz w:val="24"/>
                <w:szCs w:val="24"/>
                <w:shd w:val="clear" w:color="auto" w:fill="FFFFFF"/>
                <w:lang w:val="en-GB"/>
                <w14:textFill>
                  <w14:solidFill>
                    <w14:schemeClr w14:val="tx1"/>
                  </w14:solidFill>
                </w14:textFill>
              </w:rPr>
              <w:t>(Pandey et al., 2020)</w:t>
            </w:r>
            <w:r>
              <w:rPr>
                <w:rFonts w:ascii="Times New Roman" w:hAnsi="Times New Roman" w:eastAsia="SimSun" w:cs="Times New Roman"/>
                <w:color w:val="000000" w:themeColor="text1"/>
                <w:kern w:val="1"/>
                <w:sz w:val="24"/>
                <w:szCs w:val="24"/>
                <w:lang w:val="en-US"/>
                <w14:textFill>
                  <w14:solidFill>
                    <w14:schemeClr w14:val="tx1"/>
                  </w14:solidFill>
                </w14:textFill>
              </w:rPr>
              <w:t>. Automation vehicle technology is the major area to put the attention of the company. BMW has partnered with Intel as well as Mobileye for self-driving car technology which can increase the potential for new car ideas as well. The successful partnership with China holds the significant opportunity to expand the business in Asian countries including India which has the potential to be the key growth market for the automotive industry</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809"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eastAsia="SimSun" w:cs="Times New Roman"/>
                <w:color w:val="000000" w:themeColor="text1"/>
                <w:kern w:val="1"/>
                <w:sz w:val="24"/>
                <w:szCs w:val="24"/>
                <w:lang w:val="en-US"/>
                <w14:textFill>
                  <w14:solidFill>
                    <w14:schemeClr w14:val="tx1"/>
                  </w14:solidFill>
                </w14:textFill>
              </w:rPr>
            </w:pPr>
            <w:r>
              <w:rPr>
                <w:rFonts w:ascii="Times New Roman" w:hAnsi="Times New Roman" w:eastAsia="SimSun" w:cs="Times New Roman"/>
                <w:b/>
                <w:color w:val="000000" w:themeColor="text1"/>
                <w:kern w:val="1"/>
                <w:sz w:val="24"/>
                <w:szCs w:val="24"/>
                <w:lang w:val="en-US"/>
                <w14:textFill>
                  <w14:solidFill>
                    <w14:schemeClr w14:val="tx1"/>
                  </w14:solidFill>
                </w14:textFill>
              </w:rPr>
              <w:t>Threats</w:t>
            </w:r>
          </w:p>
        </w:tc>
        <w:tc>
          <w:tcPr>
            <w:tcW w:w="7088" w:type="dxa"/>
            <w:tcBorders>
              <w:top w:val="single" w:color="auto" w:sz="4" w:space="0"/>
              <w:left w:val="single" w:color="auto" w:sz="4" w:space="0"/>
              <w:bottom w:val="single" w:color="auto" w:sz="4" w:space="0"/>
              <w:right w:val="single" w:color="auto" w:sz="4" w:space="0"/>
            </w:tcBorders>
            <w:shd w:val="clear" w:color="auto" w:fill="auto"/>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eastAsia="SimSun" w:cs="Times New Roman"/>
                <w:color w:val="000000" w:themeColor="text1"/>
                <w:kern w:val="1"/>
                <w:sz w:val="24"/>
                <w:szCs w:val="24"/>
                <w:lang w:val="en-US"/>
                <w14:textFill>
                  <w14:solidFill>
                    <w14:schemeClr w14:val="tx1"/>
                  </w14:solidFill>
                </w14:textFill>
              </w:rPr>
              <w:t xml:space="preserve">BMW has already experienced a series of debts in recent years which has some of to be an enormous amount. It can be seen that application of technological advancement has been responsible for the majority of these debts. This means that BMW can face serious threats which are related to conflict arising from the production of electric vehicles with high-end technologies </w:t>
            </w:r>
            <w:r>
              <w:rPr>
                <w:rFonts w:ascii="Times New Roman" w:hAnsi="Times New Roman" w:cs="Times New Roman"/>
                <w:color w:val="000000" w:themeColor="text1"/>
                <w:sz w:val="24"/>
                <w:szCs w:val="24"/>
                <w:shd w:val="clear" w:color="auto" w:fill="FFFFFF"/>
                <w:lang w:val="en-GB"/>
                <w14:textFill>
                  <w14:solidFill>
                    <w14:schemeClr w14:val="tx1"/>
                  </w14:solidFill>
                </w14:textFill>
              </w:rPr>
              <w:t>(Ramon-Jeronimo et al., 2019)</w:t>
            </w:r>
            <w:r>
              <w:rPr>
                <w:rFonts w:ascii="Times New Roman" w:hAnsi="Times New Roman" w:eastAsia="SimSun" w:cs="Times New Roman"/>
                <w:color w:val="000000" w:themeColor="text1"/>
                <w:kern w:val="1"/>
                <w:sz w:val="24"/>
                <w:szCs w:val="24"/>
                <w:lang w:val="en-US"/>
                <w14:textFill>
                  <w14:solidFill>
                    <w14:schemeClr w14:val="tx1"/>
                  </w14:solidFill>
                </w14:textFill>
              </w:rPr>
              <w:t>. There are also disruptions from the big competitors in the market like Tesla which may affect the customer base of BMW. It can be seen that the substitutes of technologies divide the opportunity to gather customers more effectively and cause major threats to the stability of profits.</w:t>
            </w:r>
          </w:p>
        </w:tc>
      </w:tr>
    </w:tbl>
    <w:p>
      <w:pPr>
        <w:spacing w:line="480" w:lineRule="auto"/>
        <w:jc w:val="both"/>
        <w:rPr>
          <w:rFonts w:ascii="Times New Roman" w:hAnsi="Times New Roman" w:cs="Times New Roman"/>
          <w:color w:val="000000" w:themeColor="text1"/>
          <w:sz w:val="24"/>
          <w:szCs w:val="24"/>
          <w14:textFill>
            <w14:solidFill>
              <w14:schemeClr w14:val="tx1"/>
            </w14:solidFill>
          </w14:textFill>
        </w:rPr>
      </w:pPr>
    </w:p>
    <w:p>
      <w:pPr>
        <w:spacing w:line="480" w:lineRule="auto"/>
        <w:jc w:val="both"/>
        <w:rPr>
          <w:rFonts w:ascii="Times New Roman" w:hAnsi="Times New Roman" w:cs="Times New Roman"/>
          <w:b/>
          <w:bCs/>
          <w:color w:val="000000" w:themeColor="text1"/>
          <w:sz w:val="24"/>
          <w:szCs w:val="24"/>
          <w:lang w:val="en-US"/>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PESTLE Analysis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Advantages </w:t>
      </w:r>
    </w:p>
    <w:p>
      <w:pPr>
        <w:pStyle w:val="22"/>
        <w:numPr>
          <w:ilvl w:val="0"/>
          <w:numId w:val="1"/>
        </w:num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It helps in analyzing cross functional skills and expertise.</w:t>
      </w:r>
    </w:p>
    <w:p>
      <w:pPr>
        <w:pStyle w:val="22"/>
        <w:numPr>
          <w:ilvl w:val="0"/>
          <w:numId w:val="1"/>
        </w:num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Allow to identify the implications of entering new market nationally as well as globally</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Disadvantages</w:t>
      </w:r>
    </w:p>
    <w:p>
      <w:pPr>
        <w:pStyle w:val="22"/>
        <w:numPr>
          <w:ilvl w:val="0"/>
          <w:numId w:val="2"/>
        </w:num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Over simplification by the use for decision making is a major disadvantage for PESTEL model</w:t>
      </w:r>
    </w:p>
    <w:p>
      <w:pPr>
        <w:pStyle w:val="22"/>
        <w:numPr>
          <w:ilvl w:val="0"/>
          <w:numId w:val="2"/>
        </w:num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Quality external information is restricted sometime because of cost and time, which is also an disadvantage of this model.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Determine the current segmentation, targeting and positioning strategies of the company</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STP analysis</w:t>
      </w:r>
    </w:p>
    <w:tbl>
      <w:tblPr>
        <w:tblStyle w:val="9"/>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980"/>
        <w:gridCol w:w="2528"/>
        <w:gridCol w:w="450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08"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Components </w:t>
            </w:r>
          </w:p>
        </w:tc>
        <w:tc>
          <w:tcPr>
            <w:tcW w:w="4508"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Explanation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980"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Segmentation</w:t>
            </w:r>
          </w:p>
        </w:tc>
        <w:tc>
          <w:tcPr>
            <w:tcW w:w="7036"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segments its target audience based on their behaviour, lifestyle as well as demographics. It has a premium targeted audience who mostly value luxury, performance and quality of vehicles. The company meet these through SUVs and EV vehicles.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980"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Targeting</w:t>
            </w:r>
          </w:p>
        </w:tc>
        <w:tc>
          <w:tcPr>
            <w:tcW w:w="7036"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The target of the company can be found relatively narrow the individuals of high income. They are willing to pay the company for their superior performance in vehicles through design as well as technologies.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1980"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Positioning</w:t>
            </w:r>
          </w:p>
        </w:tc>
        <w:tc>
          <w:tcPr>
            <w:tcW w:w="7036"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can be found positioning with superior quality by emphasising its overall engineering expertise, high-quality materials and others. The heritage of the company is maintained to establish significant relationships with its targeted audience.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tc>
      </w:tr>
    </w:tbl>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Determine the current marketing mix strategies of the company</w:t>
      </w:r>
      <w:r>
        <w:rPr>
          <w:rFonts w:ascii="Times New Roman" w:hAnsi="Times New Roman" w:cs="Times New Roman"/>
          <w:b/>
          <w:bCs/>
          <w:color w:val="000000" w:themeColor="text1"/>
          <w:sz w:val="24"/>
          <w:szCs w:val="24"/>
          <w:lang w:val="en-US"/>
          <w14:textFill>
            <w14:solidFill>
              <w14:schemeClr w14:val="tx1"/>
            </w14:solidFill>
          </w14:textFill>
        </w:rPr>
        <w:t xml:space="preserve">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 Marketing mix of BMW </w:t>
      </w:r>
    </w:p>
    <w:tbl>
      <w:tblPr>
        <w:tblStyle w:val="9"/>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122"/>
        <w:gridCol w:w="2386"/>
        <w:gridCol w:w="450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08"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Components </w:t>
            </w:r>
          </w:p>
        </w:tc>
        <w:tc>
          <w:tcPr>
            <w:tcW w:w="4508"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Explanation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122"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Product</w:t>
            </w:r>
          </w:p>
        </w:tc>
        <w:tc>
          <w:tcPr>
            <w:tcW w:w="6894"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offers a collection of luxurious vehicles which includes SUVs Ed as well as sedans. The major focus is to provide innovative technology and better convective systems on vehicles. BMW offers customization as well through a selected range of options to customers.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122"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Price</w:t>
            </w:r>
          </w:p>
        </w:tc>
        <w:tc>
          <w:tcPr>
            <w:tcW w:w="6894"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has a pricing strategy which significantly reflects its premium brand. The company put its vehicle on a premium pricing strategy based on its high-end technologies and the heritage of its luxurious background.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122"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 xml:space="preserve">Promotion </w:t>
            </w:r>
          </w:p>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p>
        </w:tc>
        <w:tc>
          <w:tcPr>
            <w:tcW w:w="6894"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emphasizes its reputation of quality through a variety of marketing channels including television and billboards or printing advertising. The company has made digital marketing channels like social media marketing to gain the attention of customers with innovative campaigns like its vehicles.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122"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lang w:val="en-US"/>
                <w14:textFill>
                  <w14:solidFill>
                    <w14:schemeClr w14:val="tx1"/>
                  </w14:solidFill>
                </w14:textFill>
              </w:rPr>
              <w:t>Place</w:t>
            </w:r>
          </w:p>
        </w:tc>
        <w:tc>
          <w:tcPr>
            <w:tcW w:w="6894" w:type="dxa"/>
            <w:gridSpan w:val="2"/>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has a global network of dealerships which offers convenient distribution to different continents like Europe and Asia. The company also allow online sales channels for making an easier way to include customers' buying experience.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p>
        </w:tc>
      </w:tr>
    </w:tbl>
    <w:p>
      <w:pPr>
        <w:spacing w:line="480" w:lineRule="auto"/>
        <w:jc w:val="both"/>
        <w:rPr>
          <w:rFonts w:ascii="Times New Roman" w:hAnsi="Times New Roman" w:cs="Times New Roman"/>
          <w:b/>
          <w:bCs/>
          <w:color w:val="000000" w:themeColor="text1"/>
          <w:sz w:val="24"/>
          <w:szCs w:val="24"/>
          <w14:textFill>
            <w14:solidFill>
              <w14:schemeClr w14:val="tx1"/>
            </w14:solidFill>
          </w14:textFill>
        </w:rPr>
      </w:pP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3" w:name="_Toc134021342"/>
      <w:r>
        <w:rPr>
          <w:rFonts w:ascii="Times New Roman" w:hAnsi="Times New Roman" w:cs="Times New Roman"/>
          <w:color w:val="000000" w:themeColor="text1"/>
          <w:sz w:val="24"/>
          <w:szCs w:val="24"/>
          <w:lang w:val="en-US"/>
          <w14:textFill>
            <w14:solidFill>
              <w14:schemeClr w14:val="tx1"/>
            </w14:solidFill>
          </w14:textFill>
        </w:rPr>
        <w:t>Role of the Internal and external environment in Marketing</w:t>
      </w:r>
      <w:bookmarkEnd w:id="3"/>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BMW is recognised as a reputed manufacturer in the automobile industry with a wide range of customer base. The marketing strategies of the organisation are effective which allows it to lead the industry. It can be seen that the environment also has major insurance based on which the company operates the marketing aspect </w:t>
      </w:r>
      <w:r>
        <w:rPr>
          <w:rFonts w:ascii="Times New Roman" w:hAnsi="Times New Roman" w:cs="Times New Roman"/>
          <w:color w:val="000000" w:themeColor="text1"/>
          <w:sz w:val="24"/>
          <w:szCs w:val="24"/>
          <w:shd w:val="clear" w:color="auto" w:fill="FFFFFF"/>
          <w14:textFill>
            <w14:solidFill>
              <w14:schemeClr w14:val="tx1"/>
            </w14:solidFill>
          </w14:textFill>
        </w:rPr>
        <w:t>(Suchek et al., 2021)</w:t>
      </w:r>
      <w:r>
        <w:rPr>
          <w:rFonts w:ascii="Times New Roman" w:hAnsi="Times New Roman" w:cs="Times New Roman"/>
          <w:color w:val="000000" w:themeColor="text1"/>
          <w:sz w:val="24"/>
          <w:szCs w:val="24"/>
          <w:lang w:val="en-US"/>
          <w14:textFill>
            <w14:solidFill>
              <w14:schemeClr w14:val="tx1"/>
            </w14:solidFill>
          </w14:textFill>
        </w:rPr>
        <w:t xml:space="preserve">. The internal environment includes its overall capability and structure which impacts the marketing. It can be seen that BMW has a brand reputation as a premium luxury which highly influences its strategy to market products. The organisation emphasises the exclusivity as well as status which comes along with acquiring a BMW vehicle in its marketing effort. This is the reason why BMW M are getting sold at a faster rate. There is also a major influence on the internal environment through the application of various company resources </w:t>
      </w:r>
      <w:r>
        <w:rPr>
          <w:rFonts w:ascii="Times New Roman" w:hAnsi="Times New Roman" w:cs="Times New Roman"/>
          <w:color w:val="000000" w:themeColor="text1"/>
          <w:sz w:val="24"/>
          <w:szCs w:val="24"/>
          <w:shd w:val="clear" w:color="auto" w:fill="FFFFFF"/>
          <w14:textFill>
            <w14:solidFill>
              <w14:schemeClr w14:val="tx1"/>
            </w14:solidFill>
          </w14:textFill>
        </w:rPr>
        <w:t>(Tien et al., 2019)</w:t>
      </w:r>
      <w:r>
        <w:rPr>
          <w:rFonts w:ascii="Times New Roman" w:hAnsi="Times New Roman" w:cs="Times New Roman"/>
          <w:color w:val="000000" w:themeColor="text1"/>
          <w:sz w:val="24"/>
          <w:szCs w:val="24"/>
          <w:lang w:val="en-US"/>
          <w14:textFill>
            <w14:solidFill>
              <w14:schemeClr w14:val="tx1"/>
            </w14:solidFill>
          </w14:textFill>
        </w:rPr>
        <w:t xml:space="preserve">. This allows to evaluate a significant understanding of the resource effectiveness and its overall availability. BMW can be found using its financial resources to highly invest in the research and development areas to enhance through marketing discussion for executing more features into the vehicles for achieving competitive advantages. It can also be seen that the external environment gives the global scenario to the company for creating effective marketing changes. The government as a major policymaker helps to create a set of standards which provide an obligation for the company to fulfil and take as a major element while preparing a marketing strategy </w:t>
      </w:r>
      <w:r>
        <w:rPr>
          <w:rFonts w:ascii="Times New Roman" w:hAnsi="Times New Roman" w:cs="Times New Roman"/>
          <w:color w:val="000000" w:themeColor="text1"/>
          <w:sz w:val="24"/>
          <w:szCs w:val="24"/>
          <w:shd w:val="clear" w:color="auto" w:fill="FFFFFF"/>
          <w:lang w:val="en-GB"/>
          <w14:textFill>
            <w14:solidFill>
              <w14:schemeClr w14:val="tx1"/>
            </w14:solidFill>
          </w14:textFill>
        </w:rPr>
        <w:t>(Yang and Lin, 2020)</w:t>
      </w:r>
      <w:r>
        <w:rPr>
          <w:rFonts w:ascii="Times New Roman" w:hAnsi="Times New Roman" w:cs="Times New Roman"/>
          <w:color w:val="000000" w:themeColor="text1"/>
          <w:sz w:val="24"/>
          <w:szCs w:val="24"/>
          <w:lang w:val="en-US"/>
          <w14:textFill>
            <w14:solidFill>
              <w14:schemeClr w14:val="tx1"/>
            </w14:solidFill>
          </w14:textFill>
        </w:rPr>
        <w:t xml:space="preserve">. The social media platforms like Instagram and Facebook are used by the company to aware customers of adapting to electric vehicles, a responsible step towards sustainability. It also provides significant knowledge about the social trends that are currently existing in the market to make marketing decisions that align with customer behaviours. It is involved with introducing mobile application and digital assistant systems which influences the customer experience. The external environment also focuses on the competitors of the company which helps to plan marketing strategies that can effectively acquire competitive advantages. </w:t>
      </w: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4" w:name="_Toc134021343"/>
      <w:r>
        <w:rPr>
          <w:rFonts w:ascii="Times New Roman" w:hAnsi="Times New Roman" w:cs="Times New Roman"/>
          <w:color w:val="000000" w:themeColor="text1"/>
          <w:sz w:val="24"/>
          <w:szCs w:val="24"/>
          <w:lang w:val="en-US"/>
          <w14:textFill>
            <w14:solidFill>
              <w14:schemeClr w14:val="tx1"/>
            </w14:solidFill>
          </w14:textFill>
        </w:rPr>
        <w:t>Recommendations for the future</w:t>
      </w:r>
      <w:bookmarkEnd w:id="4"/>
      <w:r>
        <w:rPr>
          <w:rFonts w:ascii="Times New Roman" w:hAnsi="Times New Roman" w:cs="Times New Roman"/>
          <w:color w:val="000000" w:themeColor="text1"/>
          <w:sz w:val="24"/>
          <w:szCs w:val="24"/>
          <w:lang w:val="en-US"/>
          <w14:textFill>
            <w14:solidFill>
              <w14:schemeClr w14:val="tx1"/>
            </w14:solidFill>
          </w14:textFill>
        </w:rPr>
        <w:t xml:space="preserve"> </w:t>
      </w:r>
    </w:p>
    <w:p>
      <w:pPr>
        <w:spacing w:line="480" w:lineRule="auto"/>
        <w:jc w:val="both"/>
        <w:rPr>
          <w:rFonts w:ascii="Times New Roman" w:hAnsi="Times New Roman" w:cs="Times New Roman"/>
          <w:color w:val="000000" w:themeColor="text1"/>
          <w:sz w:val="24"/>
          <w:szCs w:val="24"/>
          <w:lang w:val="en-US"/>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It can be seen that one of the major problems that BMW faces is related to political instability. The scope can be mitigated when an increasing number of joint ventures are used as significant strategies to market into the new region. The collaborating organisation must be a renowned one having a better understanding of the political structure of their country. This can reduce the complicated legal stress of BMW and make serious attention towards the innovation of new practices within its business model. It can also be seen that negotiation needs to be improved by alternating the suppliers for raw materials. Asia can be found to hold a significant percentage of iron ore that can be negotiated in a better pricing sense than other European countries </w:t>
      </w:r>
      <w:r>
        <w:rPr>
          <w:rFonts w:ascii="Times New Roman" w:hAnsi="Times New Roman" w:cs="Times New Roman"/>
          <w:color w:val="000000" w:themeColor="text1"/>
          <w:sz w:val="24"/>
          <w:szCs w:val="24"/>
          <w:shd w:val="clear" w:color="auto" w:fill="FFFFFF"/>
          <w:lang w:val="en-GB"/>
          <w14:textFill>
            <w14:solidFill>
              <w14:schemeClr w14:val="tx1"/>
            </w14:solidFill>
          </w14:textFill>
        </w:rPr>
        <w:t>(Zhang and Dong, 2020)</w:t>
      </w:r>
      <w:r>
        <w:rPr>
          <w:rFonts w:ascii="Times New Roman" w:hAnsi="Times New Roman" w:cs="Times New Roman"/>
          <w:color w:val="000000" w:themeColor="text1"/>
          <w:sz w:val="24"/>
          <w:szCs w:val="24"/>
          <w:lang w:val="en-US"/>
          <w14:textFill>
            <w14:solidFill>
              <w14:schemeClr w14:val="tx1"/>
            </w14:solidFill>
          </w14:textFill>
        </w:rPr>
        <w:t xml:space="preserve">. It can be said that BMW may apply a hedging strategy for understanding the overall fluctuation of raw materials. This might help especially when uncertainty is highly found in the global economic environment. BMW can also apply to refinance its debts to take benefits of lower interest rates with favourable terms. It might focus on renegotiating the existing terms of debt agreements or may issue new debt securities. The company can sell some of its non-core assets as well as divest business units that are underperforming. Digital marketing expenses have to be increased to majorly focus on the growing trends to get ahead in the market when substitute products take a significant ratio of profitability. The going rate pricing strategy can be applied to acquire comparative advantages and secure a wide range of customer base. </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 xml:space="preserve"> </w:t>
      </w:r>
      <w:r>
        <w:rPr>
          <w:rFonts w:ascii="Times New Roman" w:hAnsi="Times New Roman" w:cs="Times New Roman"/>
          <w:b/>
          <w:bCs/>
          <w:color w:val="000000" w:themeColor="text1"/>
          <w:sz w:val="24"/>
          <w:szCs w:val="24"/>
          <w:lang w:val="en-US"/>
          <w14:textFill>
            <w14:solidFill>
              <w14:schemeClr w14:val="tx1"/>
            </w14:solidFill>
          </w14:textFill>
        </w:rPr>
        <w:t>Relate any two strategies from the Ansoff matrix for the recommendations.</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Joint venture Strategy </w:t>
      </w:r>
    </w:p>
    <w:tbl>
      <w:tblPr>
        <w:tblStyle w:val="9"/>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689"/>
        <w:gridCol w:w="6327"/>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689"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 xml:space="preserve">Market penetration </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tc>
        <w:tc>
          <w:tcPr>
            <w:tcW w:w="6327"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It is majorly to focus on the existing market for selling existing products. BMW can get into partnerships with local SME businesses to spread brand awareness and take opportunities for attracting customers region to region under low legal burdens. This can be placed in Europe.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689"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Market development</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tc>
        <w:tc>
          <w:tcPr>
            <w:tcW w:w="6327"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The company can select China as a new region customer segment to implement the joint venture where it can team up with local manufacturers to produce as well as sell vehicles to new markets with proper legal sense. The partners can take responsibility to manage iron ore.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689"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 xml:space="preserve">Product development </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tc>
        <w:tc>
          <w:tcPr>
            <w:tcW w:w="6327"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could apply joint venture with its modified electric vehicles in Europe. It can participate in IT companies to take care of self-driving features and take a digital analysis of the regions to discuss with the company with more renewable choices. </w:t>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689"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Diversification</w:t>
            </w:r>
          </w:p>
        </w:tc>
        <w:tc>
          <w:tcPr>
            <w:tcW w:w="6327"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can apply the joint venture strategy to enter new Asian markets to acquire components at cheap rates and apply their new products to the same market. This can give the perfect understanding to be diverse and use the resources of Asian countries to apply in another foreign markets. </w:t>
            </w:r>
          </w:p>
        </w:tc>
      </w:tr>
    </w:tbl>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 </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 </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Hedging strategy </w:t>
      </w:r>
    </w:p>
    <w:tbl>
      <w:tblPr>
        <w:tblStyle w:val="9"/>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2405"/>
        <w:gridCol w:w="6611"/>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405"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Components </w:t>
            </w:r>
          </w:p>
        </w:tc>
        <w:tc>
          <w:tcPr>
            <w:tcW w:w="6611"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auto" w:fill="FFFFFF"/>
                <w:lang w:val="en-US"/>
                <w14:textFill>
                  <w14:solidFill>
                    <w14:schemeClr w14:val="tx1"/>
                  </w14:solidFill>
                </w14:textFill>
              </w:rPr>
              <w:t xml:space="preserve">Explanation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405"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Market penetration</w:t>
            </w:r>
          </w:p>
        </w:tc>
        <w:tc>
          <w:tcPr>
            <w:tcW w:w="6611"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can apply the hedging strategy in the existing Market by liquidating its unused or non-core components to make investments in research and development of the regions. </w:t>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405"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Market development</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tc>
        <w:tc>
          <w:tcPr>
            <w:tcW w:w="6611"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can pursue the hedging strategy to enter new markets where varieties of risk exposure are found especially the supply chain dynamics in China. </w:t>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405"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Product development</w:t>
            </w:r>
          </w:p>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tc>
        <w:tc>
          <w:tcPr>
            <w:tcW w:w="6611"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could apply the hedging strategy to customize its existing market with financial instruments as per industry specifications. </w:t>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2405"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r>
              <w:rPr>
                <w:rFonts w:ascii="Times New Roman" w:hAnsi="Times New Roman" w:cs="Times New Roman"/>
                <w:b/>
                <w:bCs/>
                <w:color w:val="000000" w:themeColor="text1"/>
                <w:sz w:val="24"/>
                <w:szCs w:val="24"/>
                <w:shd w:val="clear" w:color="FFFFFF" w:fill="FFFFFF"/>
                <w:lang w:val="en-US"/>
                <w14:textFill>
                  <w14:solidFill>
                    <w14:schemeClr w14:val="tx1"/>
                  </w14:solidFill>
                </w14:textFill>
              </w:rPr>
              <w:t>Diversification</w:t>
            </w:r>
          </w:p>
        </w:tc>
        <w:tc>
          <w:tcPr>
            <w:tcW w:w="6611" w:type="dxa"/>
            <w:tcBorders>
              <w:top w:val="single" w:color="auto" w:sz="4" w:space="0"/>
              <w:left w:val="single" w:color="auto" w:sz="4" w:space="0"/>
              <w:bottom w:val="single" w:color="auto" w:sz="4" w:space="0"/>
              <w:right w:val="single" w:color="auto" w:sz="4" w:space="0"/>
            </w:tcBorders>
          </w:tcPr>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FFFFFF" w:fill="FFFFFF"/>
                <w:lang w:val="en-US"/>
                <w14:textFill>
                  <w14:solidFill>
                    <w14:schemeClr w14:val="tx1"/>
                  </w14:solidFill>
                </w14:textFill>
              </w:rPr>
              <w:t xml:space="preserve">BMW needs to explore through hedging strategy by thinking beyond core automatic business and take the participation in making equipment in emerging industries like aviation. </w:t>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tc>
      </w:tr>
    </w:tbl>
    <w:p>
      <w:pPr>
        <w:spacing w:line="480" w:lineRule="auto"/>
        <w:jc w:val="both"/>
        <w:rPr>
          <w:rFonts w:ascii="Times New Roman" w:hAnsi="Times New Roman" w:cs="Times New Roman"/>
          <w:b/>
          <w:bCs/>
          <w:color w:val="000000" w:themeColor="text1"/>
          <w:sz w:val="24"/>
          <w:szCs w:val="24"/>
          <w:shd w:val="clear" w:color="auto" w:fill="FFFFFF"/>
          <w:lang w:val="en-GB"/>
          <w14:textFill>
            <w14:solidFill>
              <w14:schemeClr w14:val="tx1"/>
            </w14:solidFill>
          </w14:textFill>
        </w:rPr>
      </w:pPr>
    </w:p>
    <w:p>
      <w:pPr>
        <w:pStyle w:val="2"/>
        <w:spacing w:line="480" w:lineRule="auto"/>
        <w:jc w:val="both"/>
        <w:rPr>
          <w:rFonts w:ascii="Times New Roman" w:hAnsi="Times New Roman" w:cs="Times New Roman"/>
          <w:color w:val="000000" w:themeColor="text1"/>
          <w:sz w:val="24"/>
          <w:szCs w:val="24"/>
          <w14:textFill>
            <w14:solidFill>
              <w14:schemeClr w14:val="tx1"/>
            </w14:solidFill>
          </w14:textFill>
        </w:rPr>
      </w:pPr>
      <w:bookmarkStart w:id="5" w:name="_Toc134021344"/>
      <w:r>
        <w:rPr>
          <w:rFonts w:ascii="Times New Roman" w:hAnsi="Times New Roman" w:cs="Times New Roman"/>
          <w:color w:val="000000" w:themeColor="text1"/>
          <w:sz w:val="24"/>
          <w:szCs w:val="24"/>
          <w:lang w:val="en-US"/>
          <w14:textFill>
            <w14:solidFill>
              <w14:schemeClr w14:val="tx1"/>
            </w14:solidFill>
          </w14:textFill>
        </w:rPr>
        <w:t>Conclusion</w:t>
      </w:r>
      <w:bookmarkEnd w:id="5"/>
      <w:r>
        <w:rPr>
          <w:rFonts w:ascii="Times New Roman" w:hAnsi="Times New Roman" w:cs="Times New Roman"/>
          <w:color w:val="000000" w:themeColor="text1"/>
          <w:sz w:val="24"/>
          <w:szCs w:val="24"/>
          <w:lang w:val="en-US"/>
          <w14:textFill>
            <w14:solidFill>
              <w14:schemeClr w14:val="tx1"/>
            </w14:solidFill>
          </w14:textFill>
        </w:rPr>
        <w:t xml:space="preserve"> </w:t>
      </w:r>
    </w:p>
    <w:p>
      <w:pPr>
        <w:spacing w:line="48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lang w:val="en-US"/>
          <w14:textFill>
            <w14:solidFill>
              <w14:schemeClr w14:val="tx1"/>
            </w14:solidFill>
          </w14:textFill>
        </w:rPr>
        <w:t>From the above discussion, it can be concluded that both internal as well as external environment has a major significance to influence the business operations of BMW. There has been a proper explanation of the external environment of BMW with PESTLE Analysis which helped to acquire a critical understanding of the external factors affecting BMW. It also covered the internal environment of the company with SWOT Analysis. This help to understand the major activities within BMW. There is a brief explanation about the role of internal as well as external environments influencing the marketing of the company. It has also covered different types of recommendations which can be effective for the future of BMW.</w:t>
      </w:r>
    </w:p>
    <w:p>
      <w:pPr>
        <w:spacing w:line="480" w:lineRule="auto"/>
        <w:jc w:val="both"/>
        <w:rPr>
          <w:rFonts w:ascii="Times New Roman" w:hAnsi="Times New Roman" w:eastAsia="SimSun" w:cs="Times New Roman"/>
          <w:b/>
          <w:bCs/>
          <w:color w:val="000000" w:themeColor="text1"/>
          <w:sz w:val="24"/>
          <w:szCs w:val="24"/>
          <w:lang w:val="en-GB"/>
          <w14:textFill>
            <w14:solidFill>
              <w14:schemeClr w14:val="tx1"/>
            </w14:solidFill>
          </w14:textFill>
        </w:rPr>
      </w:pPr>
      <w:r>
        <w:rPr>
          <w:rFonts w:ascii="Times New Roman" w:hAnsi="Times New Roman" w:cs="Times New Roman"/>
          <w:color w:val="000000" w:themeColor="text1"/>
          <w:sz w:val="24"/>
          <w:szCs w:val="24"/>
          <w:lang w:val="en-GB"/>
          <w14:textFill>
            <w14:solidFill>
              <w14:schemeClr w14:val="tx1"/>
            </w14:solidFill>
          </w14:textFill>
        </w:rPr>
        <w:br w:type="page"/>
      </w:r>
    </w:p>
    <w:p>
      <w:pPr>
        <w:pStyle w:val="2"/>
        <w:spacing w:line="480" w:lineRule="auto"/>
        <w:jc w:val="both"/>
        <w:rPr>
          <w:rFonts w:ascii="Times New Roman" w:hAnsi="Times New Roman" w:cs="Times New Roman"/>
          <w:color w:val="000000" w:themeColor="text1"/>
          <w:sz w:val="24"/>
          <w:szCs w:val="24"/>
          <w:lang w:val="en-GB"/>
          <w14:textFill>
            <w14:solidFill>
              <w14:schemeClr w14:val="tx1"/>
            </w14:solidFill>
          </w14:textFill>
        </w:rPr>
      </w:pPr>
      <w:bookmarkStart w:id="6" w:name="_Toc134021345"/>
      <w:r>
        <w:rPr>
          <w:rFonts w:ascii="Times New Roman" w:hAnsi="Times New Roman" w:cs="Times New Roman"/>
          <w:color w:val="000000" w:themeColor="text1"/>
          <w:sz w:val="24"/>
          <w:szCs w:val="24"/>
          <w:lang w:val="en-GB"/>
          <w14:textFill>
            <w14:solidFill>
              <w14:schemeClr w14:val="tx1"/>
            </w14:solidFill>
          </w14:textFill>
        </w:rPr>
        <w:t>References</w:t>
      </w:r>
      <w:bookmarkEnd w:id="6"/>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Ashrafi, M., Walker, T.R., Magnan, G.M., Adams, M. and Acciaro, M., 2020. A review of corporate sustainability drivers in maritime ports: a multi-stakeholder perspective.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Maritime Policy &amp; Management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47</w:t>
      </w:r>
      <w:r>
        <w:rPr>
          <w:rFonts w:ascii="Times New Roman" w:hAnsi="Times New Roman" w:cs="Times New Roman"/>
          <w:color w:val="000000" w:themeColor="text1"/>
          <w:sz w:val="24"/>
          <w:szCs w:val="24"/>
          <w:shd w:val="clear" w:color="auto" w:fill="FFFFFF"/>
          <w:lang w:val="en-GB"/>
          <w14:textFill>
            <w14:solidFill>
              <w14:schemeClr w14:val="tx1"/>
            </w14:solidFill>
          </w14:textFill>
        </w:rPr>
        <w:t>(8), pp.1027-1044.</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"https://dalspace.library.dal.ca/bitstream/handle/10222/80306/Ashrafi-Mehrnaz-PhD-IDPhD-April-2020.pdf?sequence=5&amp;isAllowed=y" \l "page=97"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https://dalspace.library.dal.ca/bitstream/handle/10222/80306/Ashrafi-Mehrnaz-PhD-IDPhD-April-2020.pdf?sequence=5&amp;isAllowed=y#page=97</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Chung, K.C., 2020. Green marketing orientation: Achieving sustainable development in green hotel management.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Journal of Hospitality Marketing &amp; Management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29</w:t>
      </w:r>
      <w:r>
        <w:rPr>
          <w:rFonts w:ascii="Times New Roman" w:hAnsi="Times New Roman" w:cs="Times New Roman"/>
          <w:color w:val="000000" w:themeColor="text1"/>
          <w:sz w:val="24"/>
          <w:szCs w:val="24"/>
          <w:shd w:val="clear" w:color="auto" w:fill="FFFFFF"/>
          <w:lang w:val="en-GB"/>
          <w14:textFill>
            <w14:solidFill>
              <w14:schemeClr w14:val="tx1"/>
            </w14:solidFill>
          </w14:textFill>
        </w:rPr>
        <w:t>(6), pp.722-738.</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"https://www.tandfonline.com/doi/abs/10.1080/19368623.2020.1693471"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https://www.tandfonline.com/doi/abs/10.1080/19368623.2020.1693471</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De Canio, F., Martinelli, E. and Endrighi, E., 2021. Enhancing consumers' pro-environmental purchase intentions: the moderating role of environmental concern.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International Journal of Retail &amp; Distribution Management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"https://www.emerald.com/insight/content/doi/10.1108/IJRDM-08-2020-0301/full/html"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https://www.emerald.com/insight/content/doi/10.1108/IJRDM-08-2020-0301/full/html</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Fatima, N., Li, Y., Ahmad, M., Jabeen, G. and Li, X., 2021. Factors influencing renewable energy generation development: a way to environmental sustainability.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Environmental Science and Pollution Research</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28</w:t>
      </w:r>
      <w:r>
        <w:rPr>
          <w:rFonts w:ascii="Times New Roman" w:hAnsi="Times New Roman" w:cs="Times New Roman"/>
          <w:color w:val="000000" w:themeColor="text1"/>
          <w:sz w:val="24"/>
          <w:szCs w:val="24"/>
          <w:shd w:val="clear" w:color="auto" w:fill="FFFFFF"/>
          <w:lang w:val="en-GB"/>
          <w14:textFill>
            <w14:solidFill>
              <w14:schemeClr w14:val="tx1"/>
            </w14:solidFill>
          </w14:textFill>
        </w:rPr>
        <w:t>(37), pp.51714-51732.</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researchgate.net/profile/Nousheen-Fatima-2/publication/351588956_Factors_influencing_renewable_energy_generation_development_a_way_to_environmental_sustainability/links/62aeed6240d84c1401b7d343/Factors-influencing-renewable-energy-generation-development-a-way-to-environmental-sustainability.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researchgate.net/profile/Nousheen-Fatima-2/publication/351588956_Factors_influencing_renewable_energy_generation_development_a_way_to_environmental_sustainability/links/62aeed6240d84c1401b7d343/Factors-influencing-renewable-energy-generation-development-a-way-to-environmental-sustainability.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Gazzola, P., Pavione, E., Pezzetti, R. and Grechi, D., 2020. Trends in the fashion industry. The perception of sustainability and circular economy: A gender/generation quantitative approach.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Sustainability</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12</w:t>
      </w:r>
      <w:r>
        <w:rPr>
          <w:rFonts w:ascii="Times New Roman" w:hAnsi="Times New Roman" w:cs="Times New Roman"/>
          <w:color w:val="000000" w:themeColor="text1"/>
          <w:sz w:val="24"/>
          <w:szCs w:val="24"/>
          <w:shd w:val="clear" w:color="auto" w:fill="FFFFFF"/>
          <w:lang w:val="en-GB"/>
          <w14:textFill>
            <w14:solidFill>
              <w14:schemeClr w14:val="tx1"/>
            </w14:solidFill>
          </w14:textFill>
        </w:rPr>
        <w:t>(7), p.2809.</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"https://www.mdpi.com/2071-1050/12/7/2809/pdf"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https://www.mdpi.com/2071-1050/12/7/2809/pdf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Giacomarra, M., Crescimanno, M., Sakka, G. and Galati, A., 2020. Stakeholder engagement toward value co-creation in the F&amp;B packaging industry.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EuroMed Journal of Business</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15</w:t>
      </w:r>
      <w:r>
        <w:rPr>
          <w:rFonts w:ascii="Times New Roman" w:hAnsi="Times New Roman" w:cs="Times New Roman"/>
          <w:color w:val="000000" w:themeColor="text1"/>
          <w:sz w:val="24"/>
          <w:szCs w:val="24"/>
          <w:shd w:val="clear" w:color="auto" w:fill="FFFFFF"/>
          <w:lang w:val="en-GB"/>
          <w14:textFill>
            <w14:solidFill>
              <w14:schemeClr w14:val="tx1"/>
            </w14:solidFill>
          </w14:textFill>
        </w:rPr>
        <w:t>(3), pp.315-331.</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"https://www.emerald.com/insight/content/doi/10.1108/EMJB-06-2019-0077/full/html"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https://www.emerald.com/insight/content/doi/10.1108/EMJB-06-2019-0077/full/html</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Kabeyi, M., 2019. Organizational strategic planning, implementation and evaluation with analysis of challenges and benefits.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International Journal of Applied Research and Studies</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5</w:t>
      </w:r>
      <w:r>
        <w:rPr>
          <w:rFonts w:ascii="Times New Roman" w:hAnsi="Times New Roman" w:cs="Times New Roman"/>
          <w:color w:val="000000" w:themeColor="text1"/>
          <w:sz w:val="24"/>
          <w:szCs w:val="24"/>
          <w:shd w:val="clear" w:color="auto" w:fill="FFFFFF"/>
          <w:lang w:val="en-GB"/>
          <w14:textFill>
            <w14:solidFill>
              <w14:schemeClr w14:val="tx1"/>
            </w14:solidFill>
          </w14:textFill>
        </w:rPr>
        <w:t>(6), pp.27-32.</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Kiefer, C.P., Del Río González, P. and Carrillo‐Hermosilla, J., 2019. Drivers and barriers of eco‐innovation types for sustainable transitions: A quantitative perspective.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Business Strategy and the Environment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28</w:t>
      </w:r>
      <w:r>
        <w:rPr>
          <w:rFonts w:ascii="Times New Roman" w:hAnsi="Times New Roman" w:cs="Times New Roman"/>
          <w:color w:val="000000" w:themeColor="text1"/>
          <w:sz w:val="24"/>
          <w:szCs w:val="24"/>
          <w:shd w:val="clear" w:color="auto" w:fill="FFFFFF"/>
          <w:lang w:val="en-GB"/>
          <w14:textFill>
            <w14:solidFill>
              <w14:schemeClr w14:val="tx1"/>
            </w14:solidFill>
          </w14:textFill>
        </w:rPr>
        <w:t>(1), pp.155-172.</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"https://www.isi.fraunhofer.de/content/dam/isi/dokumente/ccx/2021/Drivers_and_barriers_of_eco-innovation_types_for_sustainable_transitions.pdf"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https://www.isi.fraunhofer.de/content/dam/isi/dokumente/ccx/2021/Drivers_and_barriers_of_eco-innovation_types_for_sustainable_transitions.pdf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de-DE"/>
          <w14:textFill>
            <w14:solidFill>
              <w14:schemeClr w14:val="tx1"/>
            </w14:solidFill>
          </w14:textFill>
        </w:rPr>
        <w:t xml:space="preserve">Kretschmer, T. and Khashabi, P., 2020. </w:t>
      </w:r>
      <w:r>
        <w:rPr>
          <w:rFonts w:ascii="Times New Roman" w:hAnsi="Times New Roman" w:cs="Times New Roman"/>
          <w:color w:val="000000" w:themeColor="text1"/>
          <w:sz w:val="24"/>
          <w:szCs w:val="24"/>
          <w:shd w:val="clear" w:color="auto" w:fill="FFFFFF"/>
          <w:lang w:val="en-GB"/>
          <w14:textFill>
            <w14:solidFill>
              <w14:schemeClr w14:val="tx1"/>
            </w14:solidFill>
          </w14:textFill>
        </w:rPr>
        <w:t>Digital transformation and organization design: An integrated approach.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California Management Review</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62</w:t>
      </w:r>
      <w:r>
        <w:rPr>
          <w:rFonts w:ascii="Times New Roman" w:hAnsi="Times New Roman" w:cs="Times New Roman"/>
          <w:color w:val="000000" w:themeColor="text1"/>
          <w:sz w:val="24"/>
          <w:szCs w:val="24"/>
          <w:shd w:val="clear" w:color="auto" w:fill="FFFFFF"/>
          <w:lang w:val="en-GB"/>
          <w14:textFill>
            <w14:solidFill>
              <w14:schemeClr w14:val="tx1"/>
            </w14:solidFill>
          </w14:textFill>
        </w:rPr>
        <w:t>(4), pp.86-104.</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"https://www.researchgate.net/profile/Pooyan-Khashabi-4/publication/343372083_Two_to_Tango_Psychological_Contract_Breach_on_Online_Labor_Markets/links/61ee9a93c5e3103375b9f681/Two-to-Tango-Psychological-Contract-Breach-on-Online-Labor-Markets.pdf"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https://www.researchgate.net/profile/Pooyan-Khashabi-4/publication/343372083_Two_to_Tango_Psychological_Contract_Breach_on_Online_Labor_Markets/links/61ee9a93c5e3103375b9f681/Two-to-Tango-Psychological-Contract-Breach-on-Online-Labor-Markets.pdf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Mio, C., Costantini, A. and Panfilo, S., 2022. Performance measurement tools for sustainable business: A systematic literature review on the sustainability balanced scorecard use.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Corporate social responsibility and environmental management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29</w:t>
      </w:r>
      <w:r>
        <w:rPr>
          <w:rFonts w:ascii="Times New Roman" w:hAnsi="Times New Roman" w:cs="Times New Roman"/>
          <w:color w:val="000000" w:themeColor="text1"/>
          <w:sz w:val="24"/>
          <w:szCs w:val="24"/>
          <w:shd w:val="clear" w:color="auto" w:fill="FFFFFF"/>
          <w:lang w:val="en-GB"/>
          <w14:textFill>
            <w14:solidFill>
              <w14:schemeClr w14:val="tx1"/>
            </w14:solidFill>
          </w14:textFill>
        </w:rPr>
        <w:t>(2), pp.367-384.</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"https://onlinelibrary.wiley.com/doi/pdf/10.1002/csr.2206"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https://onlinelibrary.wiley.com/doi/pdf/10.1002/csr.2206</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Pandey, N., Nayal, P. and Rathore, A.S., 2020. Digital marketing for B2B organizations: structured literature review and future research directions.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Journal of Business &amp; Industrial Marketing</w:t>
      </w:r>
      <w:r>
        <w:rPr>
          <w:rFonts w:ascii="Times New Roman" w:hAnsi="Times New Roman" w:cs="Times New Roman"/>
          <w:color w:val="000000" w:themeColor="text1"/>
          <w:sz w:val="24"/>
          <w:szCs w:val="24"/>
          <w:shd w:val="clear" w:color="auto" w:fill="FFFFFF"/>
          <w:lang w:val="en-GB"/>
          <w14:textFill>
            <w14:solidFill>
              <w14:schemeClr w14:val="tx1"/>
            </w14:solidFill>
          </w14:textFill>
        </w:rPr>
        <w:t>.</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"https://www.emerald.com/insight/content/doi/10.1108/JBIM-06-2019-0283/full/html"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https://www.emerald.com/insight/content/doi/10.1108/JBIM-06-2019-0283/full/html</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Ramon-Jeronimo, J.M., Florez-Lopez, R. and Araujo-Pinzon, P., 2019. Resource-based view and SMEs performance exporting through foreign intermediaries: The mediating effect of management controls.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Sustainability</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11</w:t>
      </w:r>
      <w:r>
        <w:rPr>
          <w:rFonts w:ascii="Times New Roman" w:hAnsi="Times New Roman" w:cs="Times New Roman"/>
          <w:color w:val="000000" w:themeColor="text1"/>
          <w:sz w:val="24"/>
          <w:szCs w:val="24"/>
          <w:shd w:val="clear" w:color="auto" w:fill="FFFFFF"/>
          <w:lang w:val="en-GB"/>
          <w14:textFill>
            <w14:solidFill>
              <w14:schemeClr w14:val="tx1"/>
            </w14:solidFill>
          </w14:textFill>
        </w:rPr>
        <w:t>(12), p.3241.</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"https://www.mdpi.com/2071-1050/11/12/3241/pdf"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https://www.mdpi.com/2071-1050/11/12/3241/pdf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Suchek, N., Fernandes, C.I., Kraus, S., Filser, M. and Sjögrén, H., 2021. Innovation and the circular economy: A systematic literature review.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Business Strategy and the Environment</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30</w:t>
      </w:r>
      <w:r>
        <w:rPr>
          <w:rFonts w:ascii="Times New Roman" w:hAnsi="Times New Roman" w:cs="Times New Roman"/>
          <w:color w:val="000000" w:themeColor="text1"/>
          <w:sz w:val="24"/>
          <w:szCs w:val="24"/>
          <w:shd w:val="clear" w:color="auto" w:fill="FFFFFF"/>
          <w:lang w:val="en-GB"/>
          <w14:textFill>
            <w14:solidFill>
              <w14:schemeClr w14:val="tx1"/>
            </w14:solidFill>
          </w14:textFill>
        </w:rPr>
        <w:t>(8), pp.3686-3702.</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"https://onlinelibrary.wiley.com/doi/pdf/10.1002/bse.2834"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https://onlinelibrary.wiley.com/doi/pdf/10.1002/bse.2834</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Tien, N.H., Phu, P.P. and Chi, D.T.P., 2019. The role of international marketing in international business strategy.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International journal of research in marketing management and sales</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1</w:t>
      </w:r>
      <w:r>
        <w:rPr>
          <w:rFonts w:ascii="Times New Roman" w:hAnsi="Times New Roman" w:cs="Times New Roman"/>
          <w:color w:val="000000" w:themeColor="text1"/>
          <w:sz w:val="24"/>
          <w:szCs w:val="24"/>
          <w:shd w:val="clear" w:color="auto" w:fill="FFFFFF"/>
          <w:lang w:val="en-GB"/>
          <w14:textFill>
            <w14:solidFill>
              <w14:schemeClr w14:val="tx1"/>
            </w14:solidFill>
          </w14:textFill>
        </w:rPr>
        <w:t>(2), pp.134-138.</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"https://www.researchgate.net/profile/Nguyen-Tien-32/publication/338752307_The_role_of_international_marketing_in_international_business_strategy/links/632c5662873eca0c00a8f7ae/The-role-of-international-marketing-in-international-business-strategy.pdf"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https://www.researchgate.net/profile/Nguyen-Tien-32/publication/338752307_The_role_of_international_marketing_in_international_business_strategy/links/632c5662873eca0c00a8f7ae/The-role-of-international-marketing-in-international-business-strategy.pdf</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Yang, Z. and Lin, Y., 2020. The effects of supply chain collaboration on green innovation performance: An interpretive structural modeling analysis.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Sustainable Production and Consumption</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23</w:t>
      </w:r>
      <w:r>
        <w:rPr>
          <w:rFonts w:ascii="Times New Roman" w:hAnsi="Times New Roman" w:cs="Times New Roman"/>
          <w:color w:val="000000" w:themeColor="text1"/>
          <w:sz w:val="24"/>
          <w:szCs w:val="24"/>
          <w:shd w:val="clear" w:color="auto" w:fill="FFFFFF"/>
          <w:lang w:val="en-GB"/>
          <w14:textFill>
            <w14:solidFill>
              <w14:schemeClr w14:val="tx1"/>
            </w14:solidFill>
          </w14:textFill>
        </w:rPr>
        <w:t>, pp.1-10.</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"https://www.sciencedirect.com/science/article/pii/S2352550920300919"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https://www.sciencedirect.com/science/article/pii/S2352550920300919</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r>
        <w:rPr>
          <w:rFonts w:ascii="Times New Roman" w:hAnsi="Times New Roman" w:cs="Times New Roman"/>
          <w:color w:val="000000" w:themeColor="text1"/>
          <w:sz w:val="24"/>
          <w:szCs w:val="24"/>
          <w:shd w:val="clear" w:color="auto" w:fill="FFFFFF"/>
          <w:lang w:val="en-GB"/>
          <w14:textFill>
            <w14:solidFill>
              <w14:schemeClr w14:val="tx1"/>
            </w14:solidFill>
          </w14:textFill>
        </w:rPr>
        <w:t>Zhang, X. and Dong, F., 2020. Why do consumers make green purchase decisions? Insights from a systematic review.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International journal of environmental research and public health</w:t>
      </w:r>
      <w:r>
        <w:rPr>
          <w:rFonts w:ascii="Times New Roman" w:hAnsi="Times New Roman" w:cs="Times New Roman"/>
          <w:color w:val="000000" w:themeColor="text1"/>
          <w:sz w:val="24"/>
          <w:szCs w:val="24"/>
          <w:shd w:val="clear" w:color="auto" w:fill="FFFFFF"/>
          <w:lang w:val="en-GB"/>
          <w14:textFill>
            <w14:solidFill>
              <w14:schemeClr w14:val="tx1"/>
            </w14:solidFill>
          </w14:textFill>
        </w:rPr>
        <w:t>, </w:t>
      </w:r>
      <w:r>
        <w:rPr>
          <w:rFonts w:ascii="Times New Roman" w:hAnsi="Times New Roman" w:cs="Times New Roman"/>
          <w:i/>
          <w:iCs/>
          <w:color w:val="000000" w:themeColor="text1"/>
          <w:sz w:val="24"/>
          <w:szCs w:val="24"/>
          <w:shd w:val="clear" w:color="auto" w:fill="FFFFFF"/>
          <w:lang w:val="en-GB"/>
          <w14:textFill>
            <w14:solidFill>
              <w14:schemeClr w14:val="tx1"/>
            </w14:solidFill>
          </w14:textFill>
        </w:rPr>
        <w:t>17</w:t>
      </w:r>
      <w:r>
        <w:rPr>
          <w:rFonts w:ascii="Times New Roman" w:hAnsi="Times New Roman" w:cs="Times New Roman"/>
          <w:color w:val="000000" w:themeColor="text1"/>
          <w:sz w:val="24"/>
          <w:szCs w:val="24"/>
          <w:shd w:val="clear" w:color="auto" w:fill="FFFFFF"/>
          <w:lang w:val="en-GB"/>
          <w14:textFill>
            <w14:solidFill>
              <w14:schemeClr w14:val="tx1"/>
            </w14:solidFill>
          </w14:textFill>
        </w:rPr>
        <w:t>(18), p.6607.</w:t>
      </w:r>
      <w:r>
        <w:rPr>
          <w:rFonts w:ascii="Times New Roman" w:hAnsi="Times New Roman" w:cs="Times New Roman"/>
          <w:color w:val="000000" w:themeColor="text1"/>
          <w:sz w:val="24"/>
          <w:szCs w:val="24"/>
          <w:lang w:val="en-GB"/>
          <w14:textFill>
            <w14:solidFill>
              <w14:schemeClr w14:val="tx1"/>
            </w14:solidFill>
          </w14:textFill>
        </w:rPr>
        <w:t xml:space="preserve"> </w:t>
      </w:r>
      <w:r>
        <w:fldChar w:fldCharType="begin"/>
      </w:r>
      <w:r>
        <w:instrText xml:space="preserve"> HYPERLINK "https://www.mdpi.com/824014" </w:instrText>
      </w:r>
      <w:r>
        <w:fldChar w:fldCharType="separate"/>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t>https://www.mdpi.com/824014</w:t>
      </w:r>
      <w:r>
        <w:rPr>
          <w:rStyle w:val="8"/>
          <w:rFonts w:ascii="Times New Roman" w:hAnsi="Times New Roman" w:cs="Times New Roman"/>
          <w:color w:val="000000" w:themeColor="text1"/>
          <w:sz w:val="24"/>
          <w:szCs w:val="24"/>
          <w:shd w:val="clear" w:color="auto" w:fill="FFFFFF"/>
          <w:lang w:val="en-GB"/>
          <w14:textFill>
            <w14:solidFill>
              <w14:schemeClr w14:val="tx1"/>
            </w14:solidFill>
          </w14:textFill>
        </w:rPr>
        <w:fldChar w:fldCharType="end"/>
      </w: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p>
      <w:pPr>
        <w:spacing w:line="480" w:lineRule="auto"/>
        <w:jc w:val="both"/>
        <w:rPr>
          <w:rFonts w:ascii="Times New Roman" w:hAnsi="Times New Roman" w:cs="Times New Roman"/>
          <w:color w:val="000000" w:themeColor="text1"/>
          <w:sz w:val="24"/>
          <w:szCs w:val="24"/>
          <w:shd w:val="clear" w:color="auto" w:fill="FFFFFF"/>
          <w:lang w:val="en-GB"/>
          <w14:textFill>
            <w14:solidFill>
              <w14:schemeClr w14:val="tx1"/>
            </w14:solidFill>
          </w14:textFill>
        </w:rPr>
      </w:pPr>
    </w:p>
    <w:p>
      <w:pPr>
        <w:spacing w:line="480" w:lineRule="auto"/>
        <w:jc w:val="both"/>
        <w:rPr>
          <w:rFonts w:ascii="Times New Roman" w:hAnsi="Times New Roman" w:cs="Times New Roman"/>
          <w:color w:val="000000" w:themeColor="text1"/>
          <w:sz w:val="24"/>
          <w:szCs w:val="24"/>
          <w:lang w:val="en-GB"/>
          <w14:textFill>
            <w14:solidFill>
              <w14:schemeClr w14:val="tx1"/>
            </w14:solidFill>
          </w14:textFill>
        </w:rPr>
      </w:pPr>
    </w:p>
    <w:p>
      <w:pPr>
        <w:spacing w:line="480" w:lineRule="auto"/>
        <w:jc w:val="both"/>
        <w:rPr>
          <w:rFonts w:ascii="Times New Roman" w:hAnsi="Times New Roman" w:cs="Times New Roman"/>
          <w:b/>
          <w:color w:val="000000" w:themeColor="text1"/>
          <w:sz w:val="24"/>
          <w:szCs w:val="24"/>
          <w:lang w:val="en-GB"/>
          <w14:textFill>
            <w14:solidFill>
              <w14:schemeClr w14:val="tx1"/>
            </w14:solidFill>
          </w14:textFill>
        </w:rPr>
      </w:pPr>
      <w:r>
        <w:rPr>
          <w:rFonts w:ascii="Times New Roman" w:hAnsi="Times New Roman" w:cs="Times New Roman"/>
          <w:b/>
          <w:color w:val="000000" w:themeColor="text1"/>
          <w:sz w:val="24"/>
          <w:szCs w:val="24"/>
          <w:lang w:val="en-GB"/>
          <w14:textFill>
            <w14:solidFill>
              <w14:schemeClr w14:val="tx1"/>
            </w14:solidFill>
          </w14:textFill>
        </w:rPr>
        <w:t xml:space="preserve"> </w:t>
      </w:r>
    </w:p>
    <w:p>
      <w:pPr>
        <w:spacing w:line="480" w:lineRule="auto"/>
        <w:jc w:val="both"/>
        <w:rPr>
          <w:rFonts w:ascii="Times New Roman" w:hAnsi="Times New Roman" w:cs="Times New Roman"/>
          <w:b/>
          <w:color w:val="000000" w:themeColor="text1"/>
          <w:sz w:val="24"/>
          <w:szCs w:val="24"/>
          <w:lang w:val="en-GB"/>
          <w14:textFill>
            <w14:solidFill>
              <w14:schemeClr w14:val="tx1"/>
            </w14:solidFill>
          </w14:textFill>
        </w:rPr>
      </w:pPr>
    </w:p>
    <w:sectPr>
      <w:footerReference r:id="rId5" w:type="default"/>
      <w:pgSz w:w="11906" w:h="16838"/>
      <w:pgMar w:top="1440" w:right="1440" w:bottom="1440" w:left="1440" w:header="708" w:footer="708" w:gutter="0"/>
      <w:pgBorders w:offsetFrom="page">
        <w:top w:val="double" w:color="auto" w:sz="4" w:space="24"/>
        <w:left w:val="double" w:color="auto" w:sz="4" w:space="24"/>
        <w:bottom w:val="double" w:color="auto" w:sz="4" w:space="24"/>
        <w:right w:val="doub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top w:val="single" w:color="D9D9D9" w:sz="4" w:space="1"/>
      </w:pBdr>
      <w:jc w:val="right"/>
      <w:rPr>
        <w:rFonts w:ascii="Times New Roman" w:hAnsi="Times New Roman" w:cs="Times New Roman"/>
        <w:b/>
        <w:bCs/>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b/>
        <w:bCs/>
        <w:sz w:val="24"/>
        <w:szCs w:val="24"/>
      </w:rPr>
      <w:t>1</w:t>
    </w:r>
    <w:r>
      <w:rPr>
        <w:rFonts w:ascii="Times New Roman" w:hAnsi="Times New Roman" w:cs="Times New Roman"/>
        <w:b/>
        <w:bCs/>
        <w:sz w:val="24"/>
        <w:szCs w:val="24"/>
      </w:rPr>
      <w:fldChar w:fldCharType="end"/>
    </w:r>
    <w:r>
      <w:rPr>
        <w:rFonts w:ascii="Times New Roman" w:hAnsi="Times New Roman" w:cs="Times New Roman"/>
        <w:b/>
        <w:bCs/>
        <w:sz w:val="24"/>
        <w:szCs w:val="24"/>
      </w:rPr>
      <w:t xml:space="preserve"> | </w:t>
    </w:r>
    <w:r>
      <w:rPr>
        <w:rFonts w:ascii="Times New Roman" w:hAnsi="Times New Roman" w:cs="Times New Roman"/>
        <w:color w:val="808080"/>
        <w:spacing w:val="60"/>
        <w:sz w:val="24"/>
        <w:szCs w:val="24"/>
      </w:rPr>
      <w:t>Page</w:t>
    </w:r>
  </w:p>
  <w:p>
    <w:pPr>
      <w:pStyle w:val="6"/>
      <w:jc w:val="right"/>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5D0704D"/>
    <w:multiLevelType w:val="multilevel"/>
    <w:tmpl w:val="05D0704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6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AC9"/>
    <w:rsid w:val="001177E1"/>
    <w:rsid w:val="00135AC9"/>
    <w:rsid w:val="002B66B6"/>
    <w:rsid w:val="00333D9E"/>
    <w:rsid w:val="00557667"/>
    <w:rsid w:val="005767DA"/>
    <w:rsid w:val="005B1591"/>
    <w:rsid w:val="00621DF1"/>
    <w:rsid w:val="0072588D"/>
    <w:rsid w:val="00761019"/>
    <w:rsid w:val="0077622E"/>
    <w:rsid w:val="00937ACB"/>
    <w:rsid w:val="0097737B"/>
    <w:rsid w:val="00BD5FC3"/>
    <w:rsid w:val="00BF25AE"/>
    <w:rsid w:val="00CA4ED9"/>
    <w:rsid w:val="00F64AF2"/>
    <w:rsid w:val="126B5C4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SimSu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semiHidden="0"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semiHidden="0"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SimSun"/>
      <w:sz w:val="22"/>
      <w:szCs w:val="22"/>
      <w:lang w:val="en-IN" w:eastAsia="en-US" w:bidi="ar-SA"/>
    </w:rPr>
  </w:style>
  <w:style w:type="paragraph" w:styleId="2">
    <w:name w:val="heading 1"/>
    <w:basedOn w:val="1"/>
    <w:next w:val="1"/>
    <w:link w:val="21"/>
    <w:qFormat/>
    <w:uiPriority w:val="9"/>
    <w:pPr>
      <w:keepNext/>
      <w:keepLines/>
      <w:spacing w:before="480" w:after="0"/>
      <w:outlineLvl w:val="0"/>
    </w:pPr>
    <w:rPr>
      <w:rFonts w:ascii="Cambria" w:hAnsi="Cambria" w:eastAsia="SimSun"/>
      <w:b/>
      <w:bCs/>
      <w:color w:val="365F91"/>
      <w:sz w:val="28"/>
      <w:szCs w:val="28"/>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8"/>
    <w:qFormat/>
    <w:uiPriority w:val="99"/>
    <w:pPr>
      <w:spacing w:after="0" w:line="240" w:lineRule="auto"/>
    </w:pPr>
    <w:rPr>
      <w:rFonts w:ascii="Tahoma" w:hAnsi="Tahoma" w:cs="Tahoma"/>
      <w:sz w:val="16"/>
      <w:szCs w:val="16"/>
    </w:rPr>
  </w:style>
  <w:style w:type="paragraph" w:styleId="6">
    <w:name w:val="footer"/>
    <w:basedOn w:val="1"/>
    <w:link w:val="20"/>
    <w:qFormat/>
    <w:uiPriority w:val="99"/>
    <w:pPr>
      <w:tabs>
        <w:tab w:val="center" w:pos="4513"/>
        <w:tab w:val="right" w:pos="9026"/>
      </w:tabs>
      <w:spacing w:after="0" w:line="240" w:lineRule="auto"/>
    </w:pPr>
  </w:style>
  <w:style w:type="paragraph" w:styleId="7">
    <w:name w:val="header"/>
    <w:basedOn w:val="1"/>
    <w:link w:val="19"/>
    <w:uiPriority w:val="99"/>
    <w:pPr>
      <w:tabs>
        <w:tab w:val="center" w:pos="4513"/>
        <w:tab w:val="right" w:pos="9026"/>
      </w:tabs>
      <w:spacing w:after="0" w:line="240" w:lineRule="auto"/>
    </w:pPr>
  </w:style>
  <w:style w:type="character" w:styleId="8">
    <w:name w:val="Hyperlink"/>
    <w:basedOn w:val="3"/>
    <w:qFormat/>
    <w:uiPriority w:val="99"/>
    <w:rPr>
      <w:color w:val="0000FF"/>
      <w:u w:val="single"/>
    </w:rPr>
  </w:style>
  <w:style w:type="table" w:styleId="9">
    <w:name w:val="Table Grid"/>
    <w:basedOn w:val="4"/>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toc 1"/>
    <w:basedOn w:val="1"/>
    <w:next w:val="1"/>
    <w:qFormat/>
    <w:uiPriority w:val="39"/>
    <w:pPr>
      <w:spacing w:after="100"/>
    </w:pPr>
  </w:style>
  <w:style w:type="table" w:styleId="11">
    <w:name w:val="Medium Grid 3"/>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C0C0C0"/>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000000"/>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000000"/>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000000"/>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000000"/>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808080"/>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808080"/>
      </w:tcPr>
    </w:tblStylePr>
  </w:style>
  <w:style w:type="table" w:styleId="12">
    <w:name w:val="Medium Grid 3 Accent 1"/>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D3DFEE"/>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4F81BD"/>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4F81BD"/>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4F81BD"/>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4F81BD"/>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A7BFDE"/>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A7BFDE"/>
      </w:tcPr>
    </w:tblStylePr>
  </w:style>
  <w:style w:type="table" w:styleId="13">
    <w:name w:val="Medium Grid 3 Accent 2"/>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EFD3D2"/>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C0504D"/>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C0504D"/>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C0504D"/>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C0504D"/>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DFA7A6"/>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DFA7A6"/>
      </w:tcPr>
    </w:tblStylePr>
  </w:style>
  <w:style w:type="table" w:styleId="14">
    <w:name w:val="Medium Grid 3 Accent 3"/>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E6EED5"/>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9BBB59"/>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9BBB59"/>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9BBB59"/>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9BBB59"/>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CDDDAC"/>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CDDDAC"/>
      </w:tcPr>
    </w:tblStylePr>
  </w:style>
  <w:style w:type="table" w:styleId="15">
    <w:name w:val="Medium Grid 3 Accent 4"/>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DFD8E8"/>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8064A2"/>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8064A2"/>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8064A2"/>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8064A2"/>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BFB1D0"/>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BFB1D0"/>
      </w:tcPr>
    </w:tblStylePr>
  </w:style>
  <w:style w:type="table" w:styleId="16">
    <w:name w:val="Medium Grid 3 Accent 5"/>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D2EAF1"/>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4BACC6"/>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4BACC6"/>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4BACC6"/>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4BACC6"/>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A5D5E2"/>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A5D5E2"/>
      </w:tcPr>
    </w:tblStylePr>
  </w:style>
  <w:style w:type="table" w:styleId="17">
    <w:name w:val="Medium Grid 3 Accent 6"/>
    <w:basedOn w:val="4"/>
    <w:uiPriority w:val="69"/>
    <w:tblPr>
      <w:tblBorders>
        <w:top w:val="single" w:color="CCE8CF" w:sz="8" w:space="0"/>
        <w:left w:val="single" w:color="CCE8CF" w:sz="8" w:space="0"/>
        <w:bottom w:val="single" w:color="CCE8CF" w:sz="8" w:space="0"/>
        <w:right w:val="single" w:color="CCE8CF" w:sz="8" w:space="0"/>
        <w:insideH w:val="single" w:color="CCE8CF" w:sz="6" w:space="0"/>
        <w:insideV w:val="single" w:color="CCE8CF" w:sz="6" w:space="0"/>
      </w:tblBorders>
    </w:tblPr>
    <w:tcPr>
      <w:shd w:val="clear" w:color="auto" w:fill="FDE4D0"/>
    </w:tcPr>
    <w:tblStylePr w:type="firstRow">
      <w:rPr>
        <w:b/>
        <w:bCs/>
        <w:i w:val="0"/>
        <w:iCs w:val="0"/>
        <w:color w:val="CCE8CF"/>
      </w:rPr>
      <w:tblPr/>
      <w:tcPr>
        <w:tcBorders>
          <w:top w:val="single" w:color="CCE8CF" w:sz="8" w:space="0"/>
          <w:left w:val="single" w:color="CCE8CF" w:sz="8" w:space="0"/>
          <w:bottom w:val="single" w:color="CCE8CF" w:sz="24" w:space="0"/>
          <w:right w:val="single" w:color="CCE8CF" w:sz="8" w:space="0"/>
          <w:insideH w:val="nil"/>
          <w:insideV w:val="single" w:sz="8" w:space="0"/>
        </w:tcBorders>
        <w:shd w:val="clear" w:color="auto" w:fill="F79646"/>
      </w:tcPr>
    </w:tblStylePr>
    <w:tblStylePr w:type="lastRow">
      <w:rPr>
        <w:b/>
        <w:bCs/>
        <w:i w:val="0"/>
        <w:iCs w:val="0"/>
        <w:color w:val="CCE8CF"/>
      </w:rPr>
      <w:tblPr/>
      <w:tcPr>
        <w:tcBorders>
          <w:top w:val="single" w:color="CCE8CF" w:sz="24" w:space="0"/>
          <w:left w:val="single" w:color="CCE8CF" w:sz="8" w:space="0"/>
          <w:bottom w:val="single" w:color="CCE8CF" w:sz="8" w:space="0"/>
          <w:right w:val="single" w:color="CCE8CF" w:sz="8" w:space="0"/>
          <w:insideH w:val="nil"/>
          <w:insideV w:val="single" w:sz="8" w:space="0"/>
        </w:tcBorders>
        <w:shd w:val="clear" w:color="auto" w:fill="F79646"/>
      </w:tcPr>
    </w:tblStylePr>
    <w:tblStylePr w:type="firstCol">
      <w:rPr>
        <w:b/>
        <w:bCs/>
        <w:i w:val="0"/>
        <w:iCs w:val="0"/>
        <w:color w:val="CCE8CF"/>
      </w:rPr>
      <w:tblPr/>
      <w:tcPr>
        <w:tcBorders>
          <w:left w:val="single" w:color="CCE8CF" w:sz="8" w:space="0"/>
          <w:right w:val="single" w:color="CCE8CF" w:sz="24" w:space="0"/>
          <w:insideH w:val="nil"/>
          <w:insideV w:val="nil"/>
        </w:tcBorders>
        <w:shd w:val="clear" w:color="auto" w:fill="F79646"/>
      </w:tcPr>
    </w:tblStylePr>
    <w:tblStylePr w:type="lastCol">
      <w:rPr>
        <w:b/>
        <w:bCs/>
        <w:i w:val="0"/>
        <w:iCs w:val="0"/>
        <w:color w:val="CCE8CF"/>
      </w:rPr>
      <w:tblPr/>
      <w:tcPr>
        <w:tcBorders>
          <w:top w:val="nil"/>
          <w:left w:val="single" w:color="CCE8CF" w:sz="24" w:space="0"/>
          <w:bottom w:val="nil"/>
          <w:right w:val="nil"/>
          <w:insideH w:val="nil"/>
          <w:insideV w:val="nil"/>
        </w:tcBorders>
        <w:shd w:val="clear" w:color="auto" w:fill="F79646"/>
      </w:tcPr>
    </w:tblStylePr>
    <w:tblStylePr w:type="band1Vert">
      <w:tblPr/>
      <w:tcPr>
        <w:tcBorders>
          <w:top w:val="single" w:color="CCE8CF" w:sz="8" w:space="0"/>
          <w:left w:val="single" w:color="CCE8CF" w:sz="8" w:space="0"/>
          <w:bottom w:val="single" w:color="CCE8CF" w:sz="8" w:space="0"/>
          <w:right w:val="single" w:color="CCE8CF" w:sz="8" w:space="0"/>
          <w:insideH w:val="nil"/>
          <w:insideV w:val="nil"/>
        </w:tcBorders>
        <w:shd w:val="clear" w:color="auto" w:fill="FBCAA2"/>
      </w:tcPr>
    </w:tblStylePr>
    <w:tblStylePr w:type="band1Horz">
      <w:tblPr/>
      <w:tcPr>
        <w:tcBorders>
          <w:top w:val="single" w:color="CCE8CF" w:sz="8" w:space="0"/>
          <w:left w:val="single" w:color="CCE8CF" w:sz="8" w:space="0"/>
          <w:bottom w:val="single" w:color="CCE8CF" w:sz="8" w:space="0"/>
          <w:right w:val="single" w:color="CCE8CF" w:sz="8" w:space="0"/>
          <w:insideH w:val="single" w:sz="8" w:space="0"/>
          <w:insideV w:val="single" w:sz="8" w:space="0"/>
        </w:tcBorders>
        <w:shd w:val="clear" w:color="auto" w:fill="FBCAA2"/>
      </w:tcPr>
    </w:tblStylePr>
  </w:style>
  <w:style w:type="character" w:customStyle="1" w:styleId="18">
    <w:name w:val="Balloon Text Char"/>
    <w:basedOn w:val="3"/>
    <w:link w:val="5"/>
    <w:uiPriority w:val="99"/>
    <w:rPr>
      <w:rFonts w:ascii="Tahoma" w:hAnsi="Tahoma" w:cs="Tahoma"/>
      <w:sz w:val="16"/>
      <w:szCs w:val="16"/>
    </w:rPr>
  </w:style>
  <w:style w:type="character" w:customStyle="1" w:styleId="19">
    <w:name w:val="Header Char"/>
    <w:basedOn w:val="3"/>
    <w:link w:val="7"/>
    <w:qFormat/>
    <w:uiPriority w:val="99"/>
  </w:style>
  <w:style w:type="character" w:customStyle="1" w:styleId="20">
    <w:name w:val="Footer Char"/>
    <w:basedOn w:val="3"/>
    <w:link w:val="6"/>
    <w:qFormat/>
    <w:uiPriority w:val="99"/>
  </w:style>
  <w:style w:type="character" w:customStyle="1" w:styleId="21">
    <w:name w:val="Heading 1 Char"/>
    <w:basedOn w:val="3"/>
    <w:link w:val="2"/>
    <w:qFormat/>
    <w:uiPriority w:val="9"/>
    <w:rPr>
      <w:rFonts w:ascii="Cambria" w:hAnsi="Cambria" w:eastAsia="SimSun" w:cs="SimSun"/>
      <w:b/>
      <w:bCs/>
      <w:color w:val="365F91"/>
      <w:sz w:val="28"/>
      <w:szCs w:val="28"/>
    </w:rPr>
  </w:style>
  <w:style w:type="paragraph" w:styleId="22">
    <w:name w:val="List Paragraph"/>
    <w:basedOn w:val="1"/>
    <w:qFormat/>
    <w:uiPriority w:val="34"/>
    <w:pPr>
      <w:ind w:left="720"/>
      <w:contextualSpacing/>
    </w:pPr>
  </w:style>
  <w:style w:type="paragraph" w:customStyle="1" w:styleId="23">
    <w:name w:val="TOC Heading"/>
    <w:basedOn w:val="2"/>
    <w:next w:val="1"/>
    <w:qFormat/>
    <w:uiPriority w:val="39"/>
    <w:pPr>
      <w:spacing w:before="240" w:line="259" w:lineRule="auto"/>
      <w:outlineLvl w:val="9"/>
    </w:pPr>
    <w:rPr>
      <w:b w:val="0"/>
      <w:bCs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C27940-9675-4229-9623-31F255521793}">
  <ds:schemaRefs/>
</ds:datastoreItem>
</file>

<file path=docProps/app.xml><?xml version="1.0" encoding="utf-8"?>
<Properties xmlns="http://schemas.openxmlformats.org/officeDocument/2006/extended-properties" xmlns:vt="http://schemas.openxmlformats.org/officeDocument/2006/docPropsVTypes">
  <Template>Normal</Template>
  <Pages>21</Pages>
  <Words>3589</Words>
  <Characters>21990</Characters>
  <Lines>202</Lines>
  <Paragraphs>56</Paragraphs>
  <TotalTime>4</TotalTime>
  <ScaleCrop>false</ScaleCrop>
  <LinksUpToDate>false</LinksUpToDate>
  <CharactersWithSpaces>25524</CharactersWithSpaces>
  <Application>WPS Office_11.2.0.11536_F1E327BC-269C-435d-A152-05C5408002CA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2023-05-05T21:07:00Z</dcterms:created>
  <dc:creator>Rimpal Yadav</dc:creator>
  <cp:lastModifiedBy>Rimpal Yadav</cp:lastModifiedBy>
  <dcterms:modified xsi:type="dcterms:W3CDTF">2023-05-05T21:13:18Z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7db386bdc5c744349d540ea024e53ea9</vt:lpwstr>
  </property>
  <property fmtid="{D5CDD505-2E9C-101B-9397-08002B2CF9AE}" pid="3" name="KSOProductBuildVer">
    <vt:lpwstr>1033-11.2.0.11536</vt:lpwstr>
  </property>
</Properties>
</file>