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contextualSpacing/>
        <w:jc w:val="center"/>
        <w:rPr>
          <w:rFonts w:ascii="Times New Roman" w:hAnsi="Times New Roman" w:cs="Times New Roman"/>
          <w:sz w:val="24"/>
          <w:szCs w:val="24"/>
        </w:rPr>
      </w:pPr>
      <w:r>
        <w:rPr>
          <w:sz w:val="21"/>
        </w:rPr>
        <mc:AlternateContent>
          <mc:Choice Requires="wps">
            <w:drawing>
              <wp:anchor distT="0" distB="0" distL="114300" distR="114300" simplePos="0" relativeHeight="251659264" behindDoc="1" locked="0" layoutInCell="1" allowOverlap="1">
                <wp:simplePos x="0" y="0"/>
                <wp:positionH relativeFrom="column">
                  <wp:posOffset>-945515</wp:posOffset>
                </wp:positionH>
                <wp:positionV relativeFrom="paragraph">
                  <wp:posOffset>-731520</wp:posOffset>
                </wp:positionV>
                <wp:extent cx="5154295" cy="10114280"/>
                <wp:effectExtent l="0" t="0" r="1905" b="7620"/>
                <wp:wrapNone/>
                <wp:docPr id="2" name="矩形 2"/>
                <wp:cNvGraphicFramePr/>
                <a:graphic xmlns:a="http://schemas.openxmlformats.org/drawingml/2006/main">
                  <a:graphicData uri="http://schemas.microsoft.com/office/word/2010/wordprocessingShape">
                    <wps:wsp>
                      <wps:cNvSpPr/>
                      <wps:spPr>
                        <a:xfrm>
                          <a:off x="0" y="0"/>
                          <a:ext cx="5154295" cy="10114280"/>
                        </a:xfrm>
                        <a:prstGeom prst="rect">
                          <a:avLst/>
                        </a:prstGeom>
                        <a:solidFill>
                          <a:srgbClr val="90A9D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74.45pt;margin-top:-57.6pt;height:796.4pt;width:405.85pt;z-index:-251657216;v-text-anchor:middle;mso-width-relative:page;mso-height-relative:page;" fillcolor="#90A9DC" filled="t" stroked="f" coordsize="21600,21600" o:gfxdata="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">
                <v:fill on="t" focussize="0,0"/>
                <v:stroke on="f" weight="1pt" miterlimit="8" joinstyle="miter"/>
                <v:imagedata o:title=""/>
                <o:lock v:ext="edit" aspectratio="f"/>
              </v:rect>
            </w:pict>
          </mc:Fallback>
        </mc:AlternateContent>
      </w:r>
      <w:r>
        <w:rPr>
          <w:sz w:val="24"/>
        </w:rPr>
        <mc:AlternateContent>
          <mc:Choice Requires="wps">
            <w:drawing>
              <wp:anchor distT="0" distB="0" distL="114300" distR="114300" simplePos="0" relativeHeight="251660288" behindDoc="0" locked="0" layoutInCell="1" allowOverlap="1">
                <wp:simplePos x="0" y="0"/>
                <wp:positionH relativeFrom="column">
                  <wp:posOffset>4347845</wp:posOffset>
                </wp:positionH>
                <wp:positionV relativeFrom="paragraph">
                  <wp:posOffset>-367665</wp:posOffset>
                </wp:positionV>
                <wp:extent cx="1947545" cy="451485"/>
                <wp:effectExtent l="4445" t="4445" r="16510" b="13970"/>
                <wp:wrapNone/>
                <wp:docPr id="3" name="文本框 3"/>
                <wp:cNvGraphicFramePr/>
                <a:graphic xmlns:a="http://schemas.openxmlformats.org/drawingml/2006/main">
                  <a:graphicData uri="http://schemas.microsoft.com/office/word/2010/wordprocessingShape">
                    <wps:wsp>
                      <wps:cNvSpPr txBox="1"/>
                      <wps:spPr>
                        <a:xfrm>
                          <a:off x="5504815" y="1202690"/>
                          <a:ext cx="1947545" cy="451485"/>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line="360" w:lineRule="auto"/>
                              <w:contextualSpacing/>
                              <w:jc w:val="center"/>
                              <w:rPr>
                                <w:rFonts w:hint="eastAsia" w:ascii="Times New Roman" w:hAnsi="Times New Roman" w:cs="Times New Roman"/>
                                <w:sz w:val="24"/>
                                <w:szCs w:val="24"/>
                              </w:rPr>
                            </w:pPr>
                            <w:r>
                              <w:rPr>
                                <w:rFonts w:ascii="Times New Roman" w:hAnsi="Times New Roman" w:cs="Times New Roman"/>
                                <w:b/>
                                <w:bCs/>
                                <w:sz w:val="24"/>
                                <w:szCs w:val="24"/>
                              </w:rPr>
                              <w:t>Module Code:</w:t>
                            </w:r>
                            <w:r>
                              <w:rPr>
                                <w:rFonts w:hint="eastAsia" w:ascii="Times New Roman" w:hAnsi="Times New Roman" w:cs="Times New Roman"/>
                                <w:b/>
                                <w:bCs/>
                                <w:sz w:val="24"/>
                                <w:szCs w:val="24"/>
                              </w:rPr>
                              <w:t xml:space="preserve"> </w:t>
                            </w:r>
                            <w:r>
                              <w:rPr>
                                <w:rFonts w:ascii="Times New Roman" w:hAnsi="Times New Roman" w:cs="Times New Roman"/>
                                <w:sz w:val="24"/>
                                <w:szCs w:val="24"/>
                              </w:rPr>
                              <w:t>BMBM6016</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2.35pt;margin-top:-28.95pt;height:35.55pt;width:153.35pt;z-index:251660288;mso-width-relative:page;mso-height-relative:page;" fillcolor="#F8CBAD [1301]" filled="t" stroked="t" coordsize="21600,21600" o:gfxdata="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">
                <v:fill on="t" focussize="0,0"/>
                <v:stroke weight="0.5pt" color="#000000 [3204]" joinstyle="round"/>
                <v:imagedata o:title=""/>
                <o:lock v:ext="edit" aspectratio="f"/>
                <v:textbox>
                  <w:txbxContent>
                    <w:p>
                      <w:pPr>
                        <w:spacing w:line="360" w:lineRule="auto"/>
                        <w:contextualSpacing/>
                        <w:jc w:val="center"/>
                        <w:rPr>
                          <w:rFonts w:hint="eastAsia" w:ascii="Times New Roman" w:hAnsi="Times New Roman" w:cs="Times New Roman"/>
                          <w:sz w:val="24"/>
                          <w:szCs w:val="24"/>
                        </w:rPr>
                      </w:pPr>
                      <w:r>
                        <w:rPr>
                          <w:rFonts w:ascii="Times New Roman" w:hAnsi="Times New Roman" w:cs="Times New Roman"/>
                          <w:b/>
                          <w:bCs/>
                          <w:sz w:val="24"/>
                          <w:szCs w:val="24"/>
                        </w:rPr>
                        <w:t>Module Code:</w:t>
                      </w:r>
                      <w:r>
                        <w:rPr>
                          <w:rFonts w:hint="eastAsia" w:ascii="Times New Roman" w:hAnsi="Times New Roman" w:cs="Times New Roman"/>
                          <w:b/>
                          <w:bCs/>
                          <w:sz w:val="24"/>
                          <w:szCs w:val="24"/>
                        </w:rPr>
                        <w:t xml:space="preserve"> </w:t>
                      </w:r>
                      <w:r>
                        <w:rPr>
                          <w:rFonts w:ascii="Times New Roman" w:hAnsi="Times New Roman" w:cs="Times New Roman"/>
                          <w:sz w:val="24"/>
                          <w:szCs w:val="24"/>
                        </w:rPr>
                        <w:t>BMBM6016</w:t>
                      </w:r>
                    </w:p>
                    <w:p/>
                  </w:txbxContent>
                </v:textbox>
              </v:shape>
            </w:pict>
          </mc:Fallback>
        </mc:AlternateContent>
      </w:r>
    </w:p>
    <w:p>
      <w:pPr>
        <w:spacing w:line="360" w:lineRule="auto"/>
        <w:contextualSpacing/>
        <w:jc w:val="center"/>
        <w:rPr>
          <w:rFonts w:ascii="Times New Roman" w:hAnsi="Times New Roman" w:cs="Times New Roman"/>
          <w:sz w:val="24"/>
          <w:szCs w:val="24"/>
        </w:rPr>
      </w:pPr>
    </w:p>
    <w:p>
      <w:pPr>
        <w:spacing w:line="360" w:lineRule="auto"/>
        <w:contextualSpacing/>
        <w:jc w:val="center"/>
        <w:rPr>
          <w:rFonts w:ascii="Times New Roman" w:hAnsi="Times New Roman" w:cs="Times New Roman"/>
          <w:sz w:val="24"/>
          <w:szCs w:val="24"/>
        </w:rPr>
      </w:pPr>
      <w:r>
        <w:rPr>
          <w:sz w:val="24"/>
        </w:rPr>
        <mc:AlternateContent>
          <mc:Choice Requires="wps">
            <w:drawing>
              <wp:anchor distT="0" distB="0" distL="114300" distR="114300" simplePos="0" relativeHeight="251661312" behindDoc="0" locked="0" layoutInCell="1" allowOverlap="1">
                <wp:simplePos x="0" y="0"/>
                <wp:positionH relativeFrom="column">
                  <wp:posOffset>-485140</wp:posOffset>
                </wp:positionH>
                <wp:positionV relativeFrom="paragraph">
                  <wp:posOffset>201930</wp:posOffset>
                </wp:positionV>
                <wp:extent cx="4445000" cy="903605"/>
                <wp:effectExtent l="5080" t="4445" r="7620" b="6350"/>
                <wp:wrapNone/>
                <wp:docPr id="6" name="文本框 6"/>
                <wp:cNvGraphicFramePr/>
                <a:graphic xmlns:a="http://schemas.openxmlformats.org/drawingml/2006/main">
                  <a:graphicData uri="http://schemas.microsoft.com/office/word/2010/wordprocessingShape">
                    <wps:wsp>
                      <wps:cNvSpPr txBox="1"/>
                      <wps:spPr>
                        <a:xfrm>
                          <a:off x="657860" y="1710690"/>
                          <a:ext cx="4445000" cy="903605"/>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line="360" w:lineRule="auto"/>
                              <w:contextualSpacing/>
                              <w:jc w:val="center"/>
                              <w:rPr>
                                <w:rFonts w:hint="eastAsia" w:ascii="Times New Roman" w:hAnsi="Times New Roman" w:cs="Times New Roman"/>
                                <w:b/>
                                <w:bCs/>
                                <w:sz w:val="44"/>
                                <w:szCs w:val="44"/>
                              </w:rPr>
                            </w:pPr>
                            <w:r>
                              <w:rPr>
                                <w:rFonts w:ascii="Times New Roman" w:hAnsi="Times New Roman" w:cs="Times New Roman"/>
                                <w:b/>
                                <w:bCs/>
                                <w:sz w:val="44"/>
                                <w:szCs w:val="44"/>
                              </w:rPr>
                              <w:t>Assessment Title:</w:t>
                            </w:r>
                            <w:r>
                              <w:rPr>
                                <w:rFonts w:hint="eastAsia" w:ascii="Times New Roman" w:hAnsi="Times New Roman" w:cs="Times New Roman"/>
                                <w:b/>
                                <w:bCs/>
                                <w:sz w:val="44"/>
                                <w:szCs w:val="44"/>
                              </w:rPr>
                              <w:t xml:space="preserve"> Report on the Environmental Analysis of </w:t>
                            </w:r>
                            <w:r>
                              <w:rPr>
                                <w:rFonts w:ascii="Times New Roman" w:hAnsi="Times New Roman" w:cs="Times New Roman"/>
                                <w:b/>
                                <w:bCs/>
                                <w:sz w:val="44"/>
                                <w:szCs w:val="44"/>
                              </w:rPr>
                              <w:t>Tesco</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2pt;margin-top:15.9pt;height:71.15pt;width:350pt;z-index:251661312;mso-width-relative:page;mso-height-relative:page;" fillcolor="#F8CBAD [1301]" filled="t" stroked="t" coordsize="21600,21600" o:gfxdata="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NixdbHbAAAACgEAAA8AAAAAAAAA&#10;AQAgAAAAIgAAAGRycy9kb3ducmV2LnhtbFBLAQIUABQAAAAIAIdO4kAkg2hFgAIAAPsEAAAOAAAA&#10;AAAAAAEAIAAAACoBAABkcnMvZTJvRG9jLnhtbFBLBQYAAAAABgAGAFkBAAAcBgAAAAA=&#10;">
                <v:fill on="t" focussize="0,0"/>
                <v:stroke weight="0.5pt" color="#000000 [3204]" joinstyle="round"/>
                <v:imagedata o:title=""/>
                <o:lock v:ext="edit" aspectratio="f"/>
                <v:textbox>
                  <w:txbxContent>
                    <w:p>
                      <w:pPr>
                        <w:spacing w:line="360" w:lineRule="auto"/>
                        <w:contextualSpacing/>
                        <w:jc w:val="center"/>
                        <w:rPr>
                          <w:rFonts w:hint="eastAsia" w:ascii="Times New Roman" w:hAnsi="Times New Roman" w:cs="Times New Roman"/>
                          <w:b/>
                          <w:bCs/>
                          <w:sz w:val="44"/>
                          <w:szCs w:val="44"/>
                        </w:rPr>
                      </w:pPr>
                      <w:r>
                        <w:rPr>
                          <w:rFonts w:ascii="Times New Roman" w:hAnsi="Times New Roman" w:cs="Times New Roman"/>
                          <w:b/>
                          <w:bCs/>
                          <w:sz w:val="44"/>
                          <w:szCs w:val="44"/>
                        </w:rPr>
                        <w:t>Assessment Title:</w:t>
                      </w:r>
                      <w:r>
                        <w:rPr>
                          <w:rFonts w:hint="eastAsia" w:ascii="Times New Roman" w:hAnsi="Times New Roman" w:cs="Times New Roman"/>
                          <w:b/>
                          <w:bCs/>
                          <w:sz w:val="44"/>
                          <w:szCs w:val="44"/>
                        </w:rPr>
                        <w:t xml:space="preserve"> Report on the Environmental Analysis of </w:t>
                      </w:r>
                      <w:r>
                        <w:rPr>
                          <w:rFonts w:ascii="Times New Roman" w:hAnsi="Times New Roman" w:cs="Times New Roman"/>
                          <w:b/>
                          <w:bCs/>
                          <w:sz w:val="44"/>
                          <w:szCs w:val="44"/>
                        </w:rPr>
                        <w:t>Tesco</w:t>
                      </w:r>
                    </w:p>
                    <w:p/>
                  </w:txbxContent>
                </v:textbox>
              </v:shape>
            </w:pict>
          </mc:Fallback>
        </mc:AlternateContent>
      </w:r>
    </w:p>
    <w:p>
      <w:pPr>
        <w:spacing w:line="360" w:lineRule="auto"/>
        <w:contextualSpacing/>
        <w:jc w:val="center"/>
        <w:rPr>
          <w:rFonts w:ascii="Times New Roman" w:hAnsi="Times New Roman" w:cs="Times New Roman"/>
          <w:sz w:val="24"/>
          <w:szCs w:val="24"/>
        </w:rPr>
      </w:pPr>
    </w:p>
    <w:p>
      <w:pPr>
        <w:spacing w:line="360" w:lineRule="auto"/>
        <w:contextualSpacing/>
        <w:jc w:val="center"/>
        <w:rPr>
          <w:rFonts w:ascii="Times New Roman" w:hAnsi="Times New Roman" w:cs="Times New Roman"/>
          <w:sz w:val="24"/>
          <w:szCs w:val="24"/>
        </w:rPr>
      </w:pPr>
    </w:p>
    <w:p>
      <w:pPr>
        <w:spacing w:line="360" w:lineRule="auto"/>
        <w:contextualSpacing/>
        <w:jc w:val="center"/>
        <w:rPr>
          <w:rFonts w:ascii="Times New Roman" w:hAnsi="Times New Roman" w:cs="Times New Roman"/>
          <w:sz w:val="24"/>
          <w:szCs w:val="24"/>
        </w:rPr>
      </w:pPr>
    </w:p>
    <w:p>
      <w:pPr>
        <w:spacing w:line="360" w:lineRule="auto"/>
        <w:contextualSpacing/>
        <w:jc w:val="center"/>
        <w:rPr>
          <w:rFonts w:ascii="Times New Roman" w:hAnsi="Times New Roman" w:cs="Times New Roman"/>
          <w:sz w:val="24"/>
          <w:szCs w:val="24"/>
        </w:rPr>
      </w:pPr>
    </w:p>
    <w:p>
      <w:pPr>
        <w:spacing w:line="360" w:lineRule="auto"/>
        <w:contextualSpacing/>
        <w:jc w:val="center"/>
        <w:rPr>
          <w:rFonts w:ascii="Times New Roman" w:hAnsi="Times New Roman" w:cs="Times New Roman"/>
          <w:sz w:val="24"/>
          <w:szCs w:val="24"/>
        </w:rPr>
      </w:pPr>
      <w:r>
        <w:rPr>
          <w:sz w:val="24"/>
        </w:rPr>
        <mc:AlternateContent>
          <mc:Choice Requires="wps">
            <w:drawing>
              <wp:anchor distT="0" distB="0" distL="114300" distR="114300" simplePos="0" relativeHeight="251662336" behindDoc="0" locked="0" layoutInCell="1" allowOverlap="1">
                <wp:simplePos x="0" y="0"/>
                <wp:positionH relativeFrom="column">
                  <wp:posOffset>294640</wp:posOffset>
                </wp:positionH>
                <wp:positionV relativeFrom="paragraph">
                  <wp:posOffset>161290</wp:posOffset>
                </wp:positionV>
                <wp:extent cx="2561590" cy="529590"/>
                <wp:effectExtent l="4445" t="4445" r="12065" b="12065"/>
                <wp:wrapNone/>
                <wp:docPr id="7" name="文本框 7"/>
                <wp:cNvGraphicFramePr/>
                <a:graphic xmlns:a="http://schemas.openxmlformats.org/drawingml/2006/main">
                  <a:graphicData uri="http://schemas.microsoft.com/office/word/2010/wordprocessingShape">
                    <wps:wsp>
                      <wps:cNvSpPr txBox="1"/>
                      <wps:spPr>
                        <a:xfrm>
                          <a:off x="1762125" y="3155950"/>
                          <a:ext cx="2561590" cy="529590"/>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30"/>
                                <w:szCs w:val="30"/>
                              </w:rPr>
                            </w:pPr>
                            <w:r>
                              <w:rPr>
                                <w:rFonts w:ascii="Times New Roman" w:hAnsi="Times New Roman" w:cs="Times New Roman"/>
                                <w:b/>
                                <w:bCs/>
                                <w:sz w:val="30"/>
                                <w:szCs w:val="30"/>
                              </w:rPr>
                              <w:t>Module Code:</w:t>
                            </w:r>
                            <w:r>
                              <w:rPr>
                                <w:rFonts w:hint="eastAsia" w:ascii="Times New Roman" w:hAnsi="Times New Roman" w:cs="Times New Roman"/>
                                <w:b/>
                                <w:bCs/>
                                <w:sz w:val="30"/>
                                <w:szCs w:val="30"/>
                              </w:rPr>
                              <w:t xml:space="preserve"> </w:t>
                            </w:r>
                            <w:r>
                              <w:rPr>
                                <w:rFonts w:ascii="Times New Roman" w:hAnsi="Times New Roman" w:cs="Times New Roman"/>
                                <w:sz w:val="30"/>
                                <w:szCs w:val="30"/>
                              </w:rPr>
                              <w:t>BMBM6016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3.2pt;margin-top:12.7pt;height:41.7pt;width:201.7pt;z-index:251662336;mso-width-relative:page;mso-height-relative:page;" fillcolor="#F8CBAD [1301]" filled="t" stroked="t" coordsize="21600,21600" o:gfxdata="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Qv9jLdkAAAAJAQAADwAAAAAAAAAB&#10;ACAAAAAiAAAAZHJzL2Rvd25yZXYueG1sUEsBAhQAFAAAAAgAh07iQI3HvFmBAgAA/AQAAA4AAAAA&#10;AAAAAQAgAAAAKAEAAGRycy9lMm9Eb2MueG1sUEsFBgAAAAAGAAYAWQEAABsGAAAAAA==&#10;">
                <v:fill on="t" focussize="0,0"/>
                <v:stroke weight="0.5pt" color="#000000 [3204]" joinstyle="round"/>
                <v:imagedata o:title=""/>
                <o:lock v:ext="edit" aspectratio="f"/>
                <v:textbox>
                  <w:txbxContent>
                    <w:p>
                      <w:pPr>
                        <w:rPr>
                          <w:sz w:val="30"/>
                          <w:szCs w:val="30"/>
                        </w:rPr>
                      </w:pPr>
                      <w:r>
                        <w:rPr>
                          <w:rFonts w:ascii="Times New Roman" w:hAnsi="Times New Roman" w:cs="Times New Roman"/>
                          <w:b/>
                          <w:bCs/>
                          <w:sz w:val="30"/>
                          <w:szCs w:val="30"/>
                        </w:rPr>
                        <w:t>Module Code:</w:t>
                      </w:r>
                      <w:r>
                        <w:rPr>
                          <w:rFonts w:hint="eastAsia" w:ascii="Times New Roman" w:hAnsi="Times New Roman" w:cs="Times New Roman"/>
                          <w:b/>
                          <w:bCs/>
                          <w:sz w:val="30"/>
                          <w:szCs w:val="30"/>
                        </w:rPr>
                        <w:t xml:space="preserve"> </w:t>
                      </w:r>
                      <w:r>
                        <w:rPr>
                          <w:rFonts w:ascii="Times New Roman" w:hAnsi="Times New Roman" w:cs="Times New Roman"/>
                          <w:sz w:val="30"/>
                          <w:szCs w:val="30"/>
                        </w:rPr>
                        <w:t>BMBM6016</w:t>
                      </w:r>
                    </w:p>
                  </w:txbxContent>
                </v:textbox>
              </v:shape>
            </w:pict>
          </mc:Fallback>
        </mc:AlternateContent>
      </w:r>
    </w:p>
    <w:p>
      <w:pPr>
        <w:spacing w:line="360" w:lineRule="auto"/>
        <w:contextualSpacing/>
        <w:jc w:val="center"/>
        <w:rPr>
          <w:rFonts w:hint="eastAsia" w:ascii="Times New Roman" w:hAnsi="Times New Roman" w:cs="Times New Roman"/>
          <w:sz w:val="24"/>
          <w:szCs w:val="24"/>
        </w:rPr>
      </w:pPr>
    </w:p>
    <w:p>
      <w:pPr>
        <w:spacing w:line="360" w:lineRule="auto"/>
        <w:contextualSpacing/>
        <w:jc w:val="center"/>
        <w:rPr>
          <w:rFonts w:hint="eastAsia" w:ascii="Times New Roman" w:hAnsi="Times New Roman" w:cs="Times New Roman"/>
          <w:sz w:val="24"/>
          <w:szCs w:val="24"/>
        </w:rPr>
      </w:pPr>
    </w:p>
    <w:p>
      <w:pPr>
        <w:spacing w:line="360" w:lineRule="auto"/>
        <w:contextualSpacing/>
      </w:pPr>
    </w:p>
    <w:p>
      <w:pPr>
        <w:widowControl/>
        <w:jc w:val="left"/>
      </w:pPr>
      <w:r>
        <w:rPr>
          <w:sz w:val="21"/>
        </w:rPr>
        <mc:AlternateContent>
          <mc:Choice Requires="wps">
            <w:drawing>
              <wp:anchor distT="0" distB="0" distL="114300" distR="114300" simplePos="0" relativeHeight="251663360" behindDoc="0" locked="0" layoutInCell="1" allowOverlap="1">
                <wp:simplePos x="0" y="0"/>
                <wp:positionH relativeFrom="column">
                  <wp:posOffset>-643890</wp:posOffset>
                </wp:positionH>
                <wp:positionV relativeFrom="paragraph">
                  <wp:posOffset>3923665</wp:posOffset>
                </wp:positionV>
                <wp:extent cx="1926590" cy="394970"/>
                <wp:effectExtent l="4445" t="5080" r="12065" b="6350"/>
                <wp:wrapNone/>
                <wp:docPr id="9" name="文本框 9"/>
                <wp:cNvGraphicFramePr/>
                <a:graphic xmlns:a="http://schemas.openxmlformats.org/drawingml/2006/main">
                  <a:graphicData uri="http://schemas.microsoft.com/office/word/2010/wordprocessingShape">
                    <wps:wsp>
                      <wps:cNvSpPr txBox="1"/>
                      <wps:spPr>
                        <a:xfrm>
                          <a:off x="492125" y="8547100"/>
                          <a:ext cx="1926590" cy="394970"/>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line="360" w:lineRule="auto"/>
                              <w:contextualSpacing/>
                              <w:jc w:val="center"/>
                              <w:rPr>
                                <w:rFonts w:hint="eastAsia" w:ascii="Times New Roman" w:hAnsi="Times New Roman" w:cs="Times New Roman"/>
                                <w:sz w:val="24"/>
                                <w:szCs w:val="24"/>
                              </w:rPr>
                            </w:pPr>
                            <w:r>
                              <w:rPr>
                                <w:rFonts w:ascii="Times New Roman" w:hAnsi="Times New Roman" w:cs="Times New Roman"/>
                                <w:b/>
                                <w:bCs/>
                                <w:sz w:val="24"/>
                                <w:szCs w:val="24"/>
                              </w:rPr>
                              <w:t>Student name:</w:t>
                            </w:r>
                            <w:r>
                              <w:rPr>
                                <w:rFonts w:hint="eastAsia" w:ascii="Times New Roman" w:hAnsi="Times New Roman" w:cs="Times New Roman"/>
                                <w:sz w:val="24"/>
                                <w:szCs w:val="24"/>
                              </w:rPr>
                              <w:t xml:space="preserve"> </w:t>
                            </w:r>
                            <w:r>
                              <w:rPr>
                                <w:rFonts w:ascii="Times New Roman" w:hAnsi="Times New Roman" w:cs="Times New Roman"/>
                                <w:sz w:val="24"/>
                                <w:szCs w:val="24"/>
                              </w:rPr>
                              <w:t>Yuxin Ren</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0.7pt;margin-top:308.95pt;height:31.1pt;width:151.7pt;z-index:251663360;mso-width-relative:page;mso-height-relative:page;" fillcolor="#F8CBAD [1301]" filled="t" stroked="t" coordsize="21600,21600" o:gfxdata="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">
                <v:fill on="t" focussize="0,0"/>
                <v:stroke weight="0.5pt" color="#000000 [3204]" joinstyle="round"/>
                <v:imagedata o:title=""/>
                <o:lock v:ext="edit" aspectratio="f"/>
                <v:textbox>
                  <w:txbxContent>
                    <w:p>
                      <w:pPr>
                        <w:spacing w:line="360" w:lineRule="auto"/>
                        <w:contextualSpacing/>
                        <w:jc w:val="center"/>
                        <w:rPr>
                          <w:rFonts w:hint="eastAsia" w:ascii="Times New Roman" w:hAnsi="Times New Roman" w:cs="Times New Roman"/>
                          <w:sz w:val="24"/>
                          <w:szCs w:val="24"/>
                        </w:rPr>
                      </w:pPr>
                      <w:r>
                        <w:rPr>
                          <w:rFonts w:ascii="Times New Roman" w:hAnsi="Times New Roman" w:cs="Times New Roman"/>
                          <w:b/>
                          <w:bCs/>
                          <w:sz w:val="24"/>
                          <w:szCs w:val="24"/>
                        </w:rPr>
                        <w:t>Student name:</w:t>
                      </w:r>
                      <w:r>
                        <w:rPr>
                          <w:rFonts w:hint="eastAsia" w:ascii="Times New Roman" w:hAnsi="Times New Roman" w:cs="Times New Roman"/>
                          <w:sz w:val="24"/>
                          <w:szCs w:val="24"/>
                        </w:rPr>
                        <w:t xml:space="preserve"> </w:t>
                      </w:r>
                      <w:r>
                        <w:rPr>
                          <w:rFonts w:ascii="Times New Roman" w:hAnsi="Times New Roman" w:cs="Times New Roman"/>
                          <w:sz w:val="24"/>
                          <w:szCs w:val="24"/>
                        </w:rPr>
                        <w:t>Yuxin Ren</w:t>
                      </w:r>
                    </w:p>
                    <w:p/>
                  </w:txbxContent>
                </v:textbox>
              </v:shape>
            </w:pict>
          </mc:Fallback>
        </mc:AlternateContent>
      </w:r>
      <w:r>
        <w:rPr>
          <w:sz w:val="21"/>
        </w:rPr>
        <mc:AlternateContent>
          <mc:Choice Requires="wps">
            <w:drawing>
              <wp:anchor distT="0" distB="0" distL="114300" distR="114300" simplePos="0" relativeHeight="251665408" behindDoc="0" locked="0" layoutInCell="1" allowOverlap="1">
                <wp:simplePos x="0" y="0"/>
                <wp:positionH relativeFrom="column">
                  <wp:posOffset>4309745</wp:posOffset>
                </wp:positionH>
                <wp:positionV relativeFrom="paragraph">
                  <wp:posOffset>5102225</wp:posOffset>
                </wp:positionV>
                <wp:extent cx="2017395" cy="472440"/>
                <wp:effectExtent l="4445" t="4445" r="10160" b="5715"/>
                <wp:wrapNone/>
                <wp:docPr id="13" name="文本框 13"/>
                <wp:cNvGraphicFramePr/>
                <a:graphic xmlns:a="http://schemas.openxmlformats.org/drawingml/2006/main">
                  <a:graphicData uri="http://schemas.microsoft.com/office/word/2010/wordprocessingShape">
                    <wps:wsp>
                      <wps:cNvSpPr txBox="1"/>
                      <wps:spPr>
                        <a:xfrm>
                          <a:off x="5530215" y="9582785"/>
                          <a:ext cx="2017395" cy="472440"/>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line="360" w:lineRule="auto"/>
                              <w:contextualSpacing/>
                              <w:jc w:val="center"/>
                              <w:rPr>
                                <w:rFonts w:hint="eastAsia" w:ascii="Times New Roman" w:hAnsi="Times New Roman" w:cs="Times New Roman"/>
                                <w:sz w:val="21"/>
                                <w:szCs w:val="21"/>
                              </w:rPr>
                            </w:pPr>
                            <w:r>
                              <w:rPr>
                                <w:rFonts w:ascii="Times New Roman" w:hAnsi="Times New Roman" w:cs="Times New Roman"/>
                                <w:b/>
                                <w:bCs/>
                                <w:sz w:val="21"/>
                                <w:szCs w:val="21"/>
                              </w:rPr>
                              <w:t>Lecturer name:</w:t>
                            </w:r>
                            <w:r>
                              <w:rPr>
                                <w:rFonts w:hint="eastAsia" w:ascii="Times New Roman" w:hAnsi="Times New Roman" w:cs="Times New Roman"/>
                                <w:sz w:val="21"/>
                                <w:szCs w:val="21"/>
                              </w:rPr>
                              <w:t xml:space="preserve"> </w:t>
                            </w:r>
                            <w:r>
                              <w:rPr>
                                <w:rFonts w:ascii="Times New Roman" w:hAnsi="Times New Roman" w:cs="Times New Roman"/>
                                <w:sz w:val="21"/>
                                <w:szCs w:val="21"/>
                              </w:rPr>
                              <w:t>Gwyneth Jones</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9.35pt;margin-top:401.75pt;height:37.2pt;width:158.85pt;z-index:251665408;mso-width-relative:page;mso-height-relative:page;" fillcolor="#F8CBAD [1301]" filled="t" stroked="t" coordsize="21600,21600" o:gfxdata="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CBR/1w3AAAAAsBAAAP&#10;AAAAAAAAAAEAIAAAACIAAABkcnMvZG93bnJldi54bWxQSwECFAAUAAAACACHTuJAB5db+4YCAAD+&#10;BAAADgAAAAAAAAABACAAAAArAQAAZHJzL2Uyb0RvYy54bWxQSwUGAAAAAAYABgBZAQAAIwYAAAAA&#10;">
                <v:fill on="t" focussize="0,0"/>
                <v:stroke weight="0.5pt" color="#000000 [3204]" joinstyle="round"/>
                <v:imagedata o:title=""/>
                <o:lock v:ext="edit" aspectratio="f"/>
                <v:textbox>
                  <w:txbxContent>
                    <w:p>
                      <w:pPr>
                        <w:spacing w:line="360" w:lineRule="auto"/>
                        <w:contextualSpacing/>
                        <w:jc w:val="center"/>
                        <w:rPr>
                          <w:rFonts w:hint="eastAsia" w:ascii="Times New Roman" w:hAnsi="Times New Roman" w:cs="Times New Roman"/>
                          <w:sz w:val="21"/>
                          <w:szCs w:val="21"/>
                        </w:rPr>
                      </w:pPr>
                      <w:r>
                        <w:rPr>
                          <w:rFonts w:ascii="Times New Roman" w:hAnsi="Times New Roman" w:cs="Times New Roman"/>
                          <w:b/>
                          <w:bCs/>
                          <w:sz w:val="21"/>
                          <w:szCs w:val="21"/>
                        </w:rPr>
                        <w:t>Lecturer name:</w:t>
                      </w:r>
                      <w:r>
                        <w:rPr>
                          <w:rFonts w:hint="eastAsia" w:ascii="Times New Roman" w:hAnsi="Times New Roman" w:cs="Times New Roman"/>
                          <w:sz w:val="21"/>
                          <w:szCs w:val="21"/>
                        </w:rPr>
                        <w:t xml:space="preserve"> </w:t>
                      </w:r>
                      <w:r>
                        <w:rPr>
                          <w:rFonts w:ascii="Times New Roman" w:hAnsi="Times New Roman" w:cs="Times New Roman"/>
                          <w:sz w:val="21"/>
                          <w:szCs w:val="21"/>
                        </w:rPr>
                        <w:t>Gwyneth Jones</w:t>
                      </w:r>
                    </w:p>
                    <w:p/>
                  </w:txbxContent>
                </v:textbox>
              </v:shape>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-650875</wp:posOffset>
                </wp:positionH>
                <wp:positionV relativeFrom="paragraph">
                  <wp:posOffset>4093210</wp:posOffset>
                </wp:positionV>
                <wp:extent cx="1926590" cy="380365"/>
                <wp:effectExtent l="4445" t="5080" r="12065" b="8255"/>
                <wp:wrapNone/>
                <wp:docPr id="11" name="文本框 11"/>
                <wp:cNvGraphicFramePr/>
                <a:graphic xmlns:a="http://schemas.openxmlformats.org/drawingml/2006/main">
                  <a:graphicData uri="http://schemas.microsoft.com/office/word/2010/wordprocessingShape">
                    <wps:wsp>
                      <wps:cNvSpPr txBox="1"/>
                      <wps:spPr>
                        <a:xfrm>
                          <a:off x="492125" y="8870950"/>
                          <a:ext cx="1926590" cy="380365"/>
                        </a:xfrm>
                        <a:prstGeom prst="rect">
                          <a:avLst/>
                        </a:prstGeom>
                        <a:solidFill>
                          <a:schemeClr val="accent2">
                            <a:lumMod val="40000"/>
                            <a:lumOff val="6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line="360" w:lineRule="auto"/>
                              <w:contextualSpacing/>
                              <w:jc w:val="center"/>
                              <w:rPr>
                                <w:rFonts w:hint="default" w:ascii="Times New Roman" w:hAnsi="Times New Roman" w:cs="Times New Roman" w:eastAsiaTheme="minorEastAsia"/>
                                <w:b/>
                                <w:bCs/>
                                <w:sz w:val="24"/>
                                <w:szCs w:val="24"/>
                                <w:lang w:val="en-US" w:eastAsia="zh-CN"/>
                              </w:rPr>
                            </w:pPr>
                            <w:r>
                              <w:rPr>
                                <w:rFonts w:ascii="Times New Roman" w:hAnsi="Times New Roman" w:cs="Times New Roman"/>
                                <w:b/>
                                <w:bCs/>
                                <w:sz w:val="24"/>
                                <w:szCs w:val="24"/>
                              </w:rPr>
                              <w:t>Student ID:</w:t>
                            </w:r>
                            <w:r>
                              <w:rPr>
                                <w:rFonts w:hint="eastAsia" w:ascii="Times New Roman" w:hAnsi="Times New Roman" w:cs="Times New Roman"/>
                                <w:b/>
                                <w:bCs/>
                                <w:sz w:val="24"/>
                                <w:szCs w:val="24"/>
                              </w:rPr>
                              <w:t xml:space="preserve"> </w:t>
                            </w:r>
                            <w:r>
                              <w:rPr>
                                <w:rFonts w:hint="eastAsia" w:ascii="Times New Roman" w:hAnsi="Times New Roman" w:cs="Times New Roman"/>
                                <w:b/>
                                <w:bCs/>
                                <w:sz w:val="24"/>
                                <w:szCs w:val="24"/>
                                <w:lang w:val="en-US" w:eastAsia="zh-CN"/>
                              </w:rPr>
                              <w:t>2300437</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1.25pt;margin-top:322.3pt;height:29.95pt;width:151.7pt;z-index:251664384;mso-width-relative:page;mso-height-relative:page;" fillcolor="#F8CBAD [1301]" filled="t" stroked="t" coordsize="21600,21600" o:gfxdata="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MAXSc/cAAAADAEAAA8AAAAA&#10;AAAAAQAgAAAAIgAAAGRycy9kb3ducmV2LnhtbFBLAQIUABQAAAAIAIdO4kAejeg7ggIAAP0EAAAO&#10;AAAAAAAAAAEAIAAAACsBAABkcnMvZTJvRG9jLnhtbFBLBQYAAAAABgAGAFkBAAAfBgAAAAA=&#10;">
                <v:fill on="t" focussize="0,0"/>
                <v:stroke weight="0.5pt" color="#000000 [3204]" joinstyle="round"/>
                <v:imagedata o:title=""/>
                <o:lock v:ext="edit" aspectratio="f"/>
                <v:textbox>
                  <w:txbxContent>
                    <w:p>
                      <w:pPr>
                        <w:spacing w:line="360" w:lineRule="auto"/>
                        <w:contextualSpacing/>
                        <w:jc w:val="center"/>
                        <w:rPr>
                          <w:rFonts w:hint="default" w:ascii="Times New Roman" w:hAnsi="Times New Roman" w:cs="Times New Roman" w:eastAsiaTheme="minorEastAsia"/>
                          <w:b/>
                          <w:bCs/>
                          <w:sz w:val="24"/>
                          <w:szCs w:val="24"/>
                          <w:lang w:val="en-US" w:eastAsia="zh-CN"/>
                        </w:rPr>
                      </w:pPr>
                      <w:r>
                        <w:rPr>
                          <w:rFonts w:ascii="Times New Roman" w:hAnsi="Times New Roman" w:cs="Times New Roman"/>
                          <w:b/>
                          <w:bCs/>
                          <w:sz w:val="24"/>
                          <w:szCs w:val="24"/>
                        </w:rPr>
                        <w:t>Student ID:</w:t>
                      </w:r>
                      <w:r>
                        <w:rPr>
                          <w:rFonts w:hint="eastAsia" w:ascii="Times New Roman" w:hAnsi="Times New Roman" w:cs="Times New Roman"/>
                          <w:b/>
                          <w:bCs/>
                          <w:sz w:val="24"/>
                          <w:szCs w:val="24"/>
                        </w:rPr>
                        <w:t xml:space="preserve"> </w:t>
                      </w:r>
                      <w:r>
                        <w:rPr>
                          <w:rFonts w:hint="eastAsia" w:ascii="Times New Roman" w:hAnsi="Times New Roman" w:cs="Times New Roman"/>
                          <w:b/>
                          <w:bCs/>
                          <w:sz w:val="24"/>
                          <w:szCs w:val="24"/>
                          <w:lang w:val="en-US" w:eastAsia="zh-CN"/>
                        </w:rPr>
                        <w:t>2300437</w:t>
                      </w:r>
                    </w:p>
                    <w:p/>
                  </w:txbxContent>
                </v:textbox>
              </v:shape>
            </w:pict>
          </mc:Fallback>
        </mc:AlternateContent>
      </w:r>
      <w:r>
        <w:br w:type="page"/>
      </w:r>
      <w:bookmarkStart w:id="0" w:name="_GoBack"/>
      <w:bookmarkEnd w:id="0"/>
    </w:p>
    <w:p>
      <w:pPr>
        <w:spacing w:line="360" w:lineRule="auto"/>
        <w:contextualSpacing/>
        <w:jc w:val="center"/>
        <w:rPr>
          <w:rFonts w:hint="eastAsia" w:ascii="Times New Roman" w:hAnsi="Times New Roman" w:cs="Times New Roman"/>
          <w:b/>
          <w:bCs/>
          <w:sz w:val="24"/>
          <w:szCs w:val="24"/>
        </w:rPr>
      </w:pPr>
      <w:r>
        <w:rPr>
          <w:rFonts w:ascii="Times New Roman" w:hAnsi="Times New Roman" w:cs="Times New Roman"/>
          <w:b/>
          <w:bCs/>
          <w:sz w:val="24"/>
          <w:szCs w:val="24"/>
        </w:rPr>
        <w:t>Executive Summary</w:t>
      </w:r>
    </w:p>
    <w:p>
      <w:pPr>
        <w:spacing w:line="360" w:lineRule="auto"/>
        <w:contextualSpacing/>
        <w:rPr>
          <w:rFonts w:ascii="Times New Roman" w:hAnsi="Times New Roman" w:cs="Times New Roman"/>
          <w:sz w:val="24"/>
          <w:szCs w:val="24"/>
        </w:rPr>
      </w:pPr>
      <w:r>
        <w:rPr>
          <w:rFonts w:ascii="Times New Roman" w:hAnsi="Times New Roman" w:cs="Times New Roman"/>
          <w:sz w:val="24"/>
          <w:szCs w:val="24"/>
        </w:rPr>
        <w:t>The purpose of this report is to comprehensively analyze the external and internal environment faced by the British supermarket chain Tesco at present and in the future, so as to meet the global economic challenges. Through the use of theoretical tools such as PESTEL, SWOT, Porter’s Generic Value Chain, McKinsey’s 7S Framework and Porter’s 5 Forces, this paper makes an in-depth analysis and puts forward corresponding suggestions. Through PESTEL analysis, Tesco faces many challenges in the external environment, such as politics, economy, social culture, technology, environment and law, among which environmental factors are particularly prominent, and the use of plastic packaging and food waste are the core issues. SWOT analysis reveals Tesco's obvious advantages in sustainable development and environmental protection, but at the same time there are shortcomings in supply chain management and innovation. Porter's five-force model reveals the fierce competition in the industry. Substitutes and potential entrants pose a threat to Tesco, and the bargaining power of suppliers and buyers also affects its competitiveness. Efforts are still needed in packaging sustainability and reducing food waste. Through the analysis of Porter’s Generic Value Chain, it is found that Tesco has strong capabilities in procurement and logistics, but it lacks innovation in sales and service, which cannot meet the increasingly diversified needs of consumers. McKinsey’s 7S Framework reveals the challenges Tesco faces in organizational collaboration, mainly focusing on structure, system and style. Based on the above findings, this report suggests that Tesco strengthen the implementation of environmental sustainability strategy, especially reducing food waste and plastic packaging. Secondly, Tesco can improve the innovation and personalization of sales and services, and use big data and artificial intelligence technology to accurately recommend products and services. Finally, optimizing the organizational structure, strengthening internal coordination and adjusting the organizational structure are also feasible strategies.</w:t>
      </w:r>
    </w:p>
    <w:p>
      <w:pPr>
        <w:spacing w:line="360" w:lineRule="auto"/>
        <w:contextualSpacing/>
        <w:rPr>
          <w:rFonts w:ascii="Times New Roman" w:hAnsi="Times New Roman" w:cs="Times New Roman"/>
          <w:sz w:val="24"/>
          <w:szCs w:val="24"/>
        </w:rPr>
      </w:pPr>
    </w:p>
    <w:p>
      <w:pPr>
        <w:spacing w:line="360" w:lineRule="auto"/>
        <w:contextualSpacing/>
        <w:rPr>
          <w:rFonts w:ascii="Times New Roman" w:hAnsi="Times New Roman" w:cs="Times New Roman"/>
          <w:sz w:val="24"/>
          <w:szCs w:val="24"/>
        </w:rPr>
      </w:pPr>
    </w:p>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1. Introduction</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view of the complex and changeable global economic situation, the retail industry is facing unprecedented challenges. In order to meet these challenges, the strategic marketing department of Tesco was entrusted by the manager to conduct a comprehensive and in-depth audit of the internal and external environment of Tesco supermarket chains. As one of the leading supermarket chains in Britain, Tesco has a wide brand portfolio and a huge market share. However, in the changing economic environment, Tesco must constantly adjust and optimize its strategy to ensure its continuous market competitiveness and profitability. This audit will use theoretical tools such as PESTEL, SWOT, Porter’s Generic Value Chain, McKinsey’s 7S Framework and Porter’s 5 Forces to critically analyze the current and future situation of Tesco, with a view to providing strong support for the company to formulate more accurate and effective strategies.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2. Main Findings</w:t>
      </w: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2.1 PESTEL Analysis: Environmental Challenges of Plastic Packaging</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Based on PESTEL analysis, Tesco Plc, a British supermarket chain, faces a series of external challenges in politics, economy, social culture, technology, environment and law (Song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xml:space="preserve">, 2017). </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From the political point of view, new regulations and guidelines, such as the provisions on food packaging and sustainability, are having a far-reaching impact on the operation mode of Tesco. For example, the United Nations estimates that food waste accounts for 8-10% of global greenhouse gases (TESCO, 2023). If food waste is a country, it will become the third largest source of greenhouse gas emissions. In response to this global problem, the government is strengthening the supervision of food packaging and waste management, which requires Tesco Plc to make major improvements in supply chain management, product packaging and waste treatment.</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Economically, global economic fluctuations, inflation and currency value fluctuations pose a direct threat to the profitability of Tesco. Especially in the food industry, 30% of global greenhouse gas emissions come from this field, which makes Tesco Plc face great pressure to reduce carbon emissions while maintaining economic growth (Tesco, 2024).</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At the social and cultural level, consumers pay more and more attention to healthy food and environmental protection packaging. For example, 70% of plastic waste in Britain is packaging material, while only 46% of household waste is recycled (Tesco, 2023). This shows that consumers are more and more inclined to choose environmentally friendly and sustainable products and packaging, which puts forward new requirements for Tesco Plc's product supply strategy.</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terms of technology, the development of digitalization and automation has brought Tesco opportunities to improve operational efficiency and customer experience, but at the same time it has also brought new challenges to data security and privacy protection. With the popularity of online shopping, how to ensure the security and privacy of customer data has become an important issue for companies.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terms of environment, Tesco faces the dual challenges of reducing carbon emissions and food waste. The company promises to achieve carbon neutrality in its own operations by 2035 and net zero emissions in the whole business scope by 2050 (Tesco, 2023). In order to achieve this goal, Tesco Plc needs to make major improvements in energy use, refrigeration efficiency and the adoption of renewable energy.</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Among all these factors, the challenge of environmental factors to Tesco Plc is particularly prominent. Specifically, the use of plastic packaging and food waste are the core of environmental challenges. Packaging plays an important role in Tesco's business, but it is also an environmental burden. 70% of British plastic waste comes from packaging, and Tesco has removed nearly 2.2 billion plastic products from its British business (Packaging and plastic, 2024). Nevertheless, plastic pollution is still a global problem, posing a potential threat to Tesco's brand image. Tesco can turn these external challenges into the driving force for the sustainable development of enterprises. By actively responding to environmental laws and regulations, Tesco can strengthen its brand image and attract consumers with strong environmental awareness. If Tesco fails to meet these challenges in time, it may face risks such as brand image damage and market share decline. Therefore, Tesco needs to pay close attention to relevant regulations and market trends and adjust its strategy in time to avoid potential threats.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2.2 SWOT Analysis: Sustainable Development Advantage and Supply Chain Dependence Coexist</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SWOT analysis points out that there are advantages and disadvantages within the company (Phadermrod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2019). On the one hand, Tesco has shown remarkable advantages in sustainability and environmental protection. Tesco has successfully removed nearly 2.2 billion pieces of plastic from its UK business (Packaging and plastic, 2024), including plastic fragments in various product packages and greeting cards, which will not only help to enhance the company's environmental image, but also attract more and more consumers who pay attention to sustainability. Although Tesco has made remarkable progress in sustainability and employee treatment, it still faces some internal disadvantages. Tesco has dependence in supply chain management. However, if suppliers are unable or unwilling to meet the company's sustainability standards, Tesco may face the risk of supply chain interruption or rising costs.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From the perspective of external threats and opportunities, on the one hand, Tesco has market opportunities to expand its brand influence. As consumers pay attention to the topic of sustainability, Tesco's practice of sustainability is in line with consumers' preferences (Nyame-Asiamah and Ghulam, 2020). On the other hand, external threats also exist. In the UK, some large supermarket chains have also begun to pursue sustainable business ideas through environmentally-friendly packaging, which may pose a threat to Tesco's market share (bilińska-formatter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2019). In addition, due to the dependence on policies (Ellsworth-Krebs, 2022), Tesco may face the threat of rapidly changing its marketing strategy if the government introduces stricter packaging recycling policies.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Based on the above SWOT analysis, it can be seen that Tesco has advantages in sustainable strategy. However, changes in external rivals and policies will also threaten Tesco's market share. In order to gain sustainable advantages, Tesco can promote its pursuit of sustainable strategies through publicity channels to attract more consumers. If Tesco ignores these internal disadvantages and external threats, it may face the risks of market share erosion and rising costs. Therefore, Tesco needs to continuously pay attention to market dynamics and competitors' strategies to maintain its competitive advantage.</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2.3 Porter’s 5 Forces: Fierce Competition and the Challenge of New Retail Channels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Porter’s 5 Forces model classifies the elements of competitive environment in the industry as competitors, potential entrants, suppliers, buyers and substitutes (Mugo, 2020). From the perspective of industry competitors, the competition in British supermarket industry is extremely fierce. Competitors such as Aldi and Sainsburys have high market share and customer loyalty (Hökelekli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2017). For example, the popularity of Aldi is 81%, slightly higher than that of Tesco's 79% (YouGov, 2024). In the fierce market competition, Tesco has adopted innovative strategies to continuously expand its market share.</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New entrants refer to those enterprises that may enter the large supermarket chain industry to participate in the competition. For Tesco, the threat of new entrants is relatively small. Large barriers to entry are the main signs. The expansion of formal chain is actually the expansion of single capital. With the increase of store sales, more and more funds are needed. Therefore, the development of large-scale supermarket chains must have a substantial source of funds (Song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2020). However, some new retail forms of online grocery stores may still pose an entry threat to traditional large supermarket chains (Dannenberg, 2020).</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Tesco is also facing the threat of substitutes. The rise of e-commerce enables consumers to purchase goods directly through the Internet without going to a physical store. This has severely impacted the sales channels of traditional retail industry (Kusz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xml:space="preserve"> 2023). Consumers began to choose to shop on the e-commerce platform, because the e-commerce platform provided more convenient services. Tesco needs to pay attention to the threat of e-commerce companies.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It is worth noting that the bargaining power of suppliers may also have an impact on Tesco's competitive advantage. As one of the largest retailers in Britain, Tesco has the advantage of negotiating with suppliers. However, in the course of its operation, Tesco takes packaging materials into key consideration (Johnsen, 2020). Therefore, due to its dependence on suppliers of packaging materials, Tesco needs to pay attention to their bargaining power. </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Finally, the buyer's bargaining power refers to the customer's demand for lower product prices or high-quality products. In the large supermarket chain industry, price and brand influence affect consumers' purchasing decisions (Sivaram, 2019). Tesco strengthens its relationship with consumers through the Clubcard program and other loyalty programs, and attracts price-sensitive customers through regular price promotions (Xia, 2023). However, with the increasing demands of consumers for price, quality and service, Tesco needs to continuously improve the quality and value of its products and services.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the analysis, a key finding is that the competition in the industry is fierce, and the new retail model and the change of consumers' shopping habits pose a threat to traditional supermarkets. Facing the challenge of the new retail model, Tesco can actively explore the new retail model of online and offline integration, such as opening online supermarkets. If it fails to keep up with industry trends and changes in consumer demand in time, Tesco may face risks such as market share decline and customer loss.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2.4 Porter’s Generic Value Chain: Insufficient Innovation in Sales and Service</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Porter’s Generic Value Chain divides the activities of increasing internal and external value into basic activities and supporting activities (Simatupang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2017). In the procurement process, Tesco Supermarket has demonstrated its strong supplier network and excellent bargaining power. According to the data, Tesco's group sales reached an astonishing 57.7 billion pounds, which is inseparable from its close cooperation with many suppliers around the world (Tesco, 2023). In terms of logistics, Tesco's efficient distribution system is the key to its rapid response to market changes and meeting customer needs. However, with the rapid development of e-commerce and home delivery services, consumers put forward higher requirements for the speed and accuracy of logistics distribution (Deshpande, 2023). Although Tesco has done a good job in logistics, it still needs to constantly optimize its logistics system to adapt to this market change.</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In the sales and service process, it can be seen that the shortcomings of Tesco in innovation and personalization. Although Tesco has a huge physical storefront and online sales platform, it is still unable to meet the increasingly diverse needs of consumers. For example, Tesco still adopts the traditional retail industry model when it goes offline, which may weaken consumers' willingness to buy (Shin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xml:space="preserve">, 2020). </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Based on Porter's Generic Value Chain, it can be seen that Tesco's market share and market share bring it a competitive advantage, but also bring difficulties to potential entrants. However, Tesco is not innovative enough in sales. By increasing innovative investment in sales and services, consumers' shopping experience and satisfaction will be improved. In order to improve the sales level, Tesco can actively introduce new technologies and new models, such as virtual reality technology and smart shopping carts, to provide consumers with a more convenient and personalized shopping experience. If Tesco ignores the lack of innovation in sales and services, it may face risks such as loss of consumers and decline in market competitiveness.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2.5 McKinsey’s 7S Framework: Challenge of Organizational Synergy</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McKinsey’s 7S Framework emphasizes the importance of strategy, structure, system, style, employees, skills and shared values. The strategy of supermarket is clear and focuses on customer value. According to the data, Tesco raised the hourly wage to 12.02 pounds per hour, aiming at better attracting and retaining excellent employees, thus providing better service to customers. However, its organizational structure may be too rigid, which makes it impossible to respond to market changes quickly. For example, the sales of supermarkets in 2022 were 54.8 billion pounds, which was lower than the previous year's 57.7 billion pounds, which may be related to the inability of organizational structure to adapt to market changes quickly (Tesco, 2023).</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Systematically, although supermarkets have efficient operation processes, there are obvious deficiencies in data analysis and customer insight. In key areas such as digital marketing and data analysis, the skill level of supermarkets has failed to reach the forefront of the industry, which limits their ability of precise marketing and personalized service (Vieira </w:t>
      </w:r>
      <w:r>
        <w:rPr>
          <w:rFonts w:ascii="Times New Roman" w:hAnsi="Times New Roman" w:cs="Times New Roman"/>
          <w:i/>
          <w:iCs/>
          <w:color w:val="000000" w:themeColor="text1"/>
          <w:sz w:val="24"/>
          <w:szCs w:val="24"/>
          <w14:textFill>
            <w14:solidFill>
              <w14:schemeClr w14:val="tx1"/>
            </w14:solidFill>
          </w14:textFill>
        </w:rPr>
        <w:t>et al.</w:t>
      </w:r>
      <w:r>
        <w:rPr>
          <w:rFonts w:ascii="Times New Roman" w:hAnsi="Times New Roman" w:cs="Times New Roman"/>
          <w:color w:val="000000" w:themeColor="text1"/>
          <w:sz w:val="24"/>
          <w:szCs w:val="24"/>
          <w14:textFill>
            <w14:solidFill>
              <w14:schemeClr w14:val="tx1"/>
            </w14:solidFill>
          </w14:textFill>
        </w:rPr>
        <w:t>, 2022). Specifically, the adjusted operating profit of supermarkets in 2022 was 2.825 billion pounds, an increase from 2.63 billion pounds in the previous year, but there is still room for improvement (TESCO, 2024).</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It can be found that the challenges faced by Tesco in organizational collaboration mainly focus on structure, system and style. In response to these challenges, Tesco can adopt active and passive strategies. On one hand, Tesco can actively seek cooperation and exchanges with industry leaders and introduce advanced management concepts and technical means. On the other hand, from a passive perspective, Tesco needs to pay close attention to market dynamics and competitors' behaviors, and adjust its own strategies and measures in time to deal with potential threats.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3. Recommendations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In order to strengthen its advantages in sustainability, Tesco should continue to deepen its efforts in environmental protection and sustainable development, especially in reducing food waste and plastic packaging. It is suggested that the company increase investment, develop more environmentally friendly and recyclable packaging materials, and gradually eliminate unsustainable products. At the same time, by optimizing supply chain management, the waste of food during transportation and storage can be reduced (Heising, 2017). </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terms of the increasingly diverse needs of consumers, Tesco needs to innovate in sales and services. It is suggested that company use big data and artificial intelligence technology to conduct in-depth analysis of consumer behavior in order to recommend products and services more accurately (Mariani, 2020). On the online platform, Tesco can optimize the shopping process, increase personalized customization options, and improve the response speed and quality of customer service.</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Facing the problem of rigid organizational structure and insufficient internal coordination, Tesco can adjust the organizational structure, reduce the decision-making level and improve the response speed. It is suggested that the company introduce advanced management concepts and technical means, such as digital management and process automation, to improve management efficiency and synergy.</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p>
    <w:p>
      <w:pPr>
        <w:spacing w:line="360" w:lineRule="auto"/>
        <w:contextualSpacing/>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4. Conclusions</w:t>
      </w:r>
    </w:p>
    <w:p>
      <w:pPr>
        <w:spacing w:line="360" w:lineRule="auto"/>
        <w:contextualSpacing/>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This audit comprehensively analyzes the internal and external environment of Tesco supermarket chain, and makes in-depth analysis by using theoretical tools such as PESTEL, SWOT, Porter’s Generic Value Chain, McKinsey’s 7S Framework and Porter’s 5 Forces. In terms of external environment, Tesco faces challenges in politics, economy, social culture, technology, environment and law, among which environmental factors are particularly prominent. In terms of internal environment, the company has shown obvious advantages in sustainable development and environmental protection, but there are still disadvantages such as strong dependence on supply chain management. In addition, five forces model revealed the fierce competition in the industry, while Porter's Universal Value Chain pointed out the company's lack of innovation in sales and services. McKinsey’s 7S Framework further reveals the problems of organizational synergy. To sum up, Tesco needs to strengthen the implementation of environmental sustainability strategy, improve the innovation and personalization of sales and services, optimize the organizational structure and strengthen internal coordination to meet the current and future challenges.</w:t>
      </w:r>
    </w:p>
    <w:p>
      <w:pPr>
        <w:spacing w:line="360" w:lineRule="auto"/>
        <w:contextualSpacing/>
        <w:rPr>
          <w:rFonts w:ascii="Times New Roman" w:hAnsi="Times New Roman" w:cs="Times New Roman"/>
          <w:sz w:val="24"/>
          <w:szCs w:val="24"/>
        </w:rPr>
      </w:pPr>
    </w:p>
    <w:p>
      <w:pPr>
        <w:spacing w:line="360" w:lineRule="auto"/>
        <w:contextualSpacing/>
        <w:rPr>
          <w:rFonts w:ascii="Times New Roman" w:hAnsi="Times New Roman" w:cs="Times New Roman"/>
          <w:sz w:val="24"/>
          <w:szCs w:val="24"/>
        </w:rPr>
      </w:pPr>
    </w:p>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spacing w:line="360" w:lineRule="auto"/>
        <w:contextualSpacing/>
        <w:rPr>
          <w:rFonts w:ascii="Times New Roman" w:hAnsi="Times New Roman" w:cs="Times New Roman"/>
          <w:b/>
          <w:bCs/>
          <w:sz w:val="24"/>
          <w:szCs w:val="24"/>
        </w:rPr>
      </w:pPr>
      <w:r>
        <w:rPr>
          <w:rFonts w:hint="eastAsia" w:ascii="Times New Roman" w:hAnsi="Times New Roman" w:cs="Times New Roman"/>
          <w:b/>
          <w:bCs/>
          <w:sz w:val="24"/>
          <w:szCs w:val="24"/>
        </w:rPr>
        <w:t>References</w:t>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i/>
          <w:iCs/>
          <w:sz w:val="24"/>
          <w:szCs w:val="24"/>
        </w:rPr>
        <w:t>Annual Report 2023</w:t>
      </w:r>
      <w:r>
        <w:rPr>
          <w:rFonts w:ascii="Times New Roman" w:hAnsi="Times New Roman" w:cs="Times New Roman"/>
          <w:sz w:val="24"/>
          <w:szCs w:val="24"/>
        </w:rPr>
        <w:t xml:space="preserve"> (2023) Available at: </w:t>
      </w:r>
      <w:r>
        <w:fldChar w:fldCharType="begin"/>
      </w:r>
      <w:r>
        <w:instrText xml:space="preserve"> HYPERLINK "https://www.tescoplc.com/media/u1wlq2qf/tesco-plc-annual-report-2023.pdf" </w:instrText>
      </w:r>
      <w:r>
        <w:fldChar w:fldCharType="separate"/>
      </w:r>
      <w:r>
        <w:rPr>
          <w:rStyle w:val="5"/>
          <w:rFonts w:ascii="Times New Roman" w:hAnsi="Times New Roman" w:cs="Times New Roman"/>
          <w:sz w:val="24"/>
          <w:szCs w:val="24"/>
        </w:rPr>
        <w:t>https://www.tescoplc.com/media/u1wlq2qf/tesco-plc-annual-report-2023.pdf</w:t>
      </w:r>
      <w:r>
        <w:rPr>
          <w:rStyle w:val="5"/>
          <w:rFonts w:ascii="Times New Roman" w:hAnsi="Times New Roman" w:cs="Times New Roman"/>
          <w:sz w:val="24"/>
          <w:szCs w:val="24"/>
        </w:rPr>
        <w:fldChar w:fldCharType="end"/>
      </w:r>
      <w:r>
        <w:rPr>
          <w:rFonts w:ascii="Times New Roman" w:hAnsi="Times New Roman" w:cs="Times New Roman"/>
          <w:sz w:val="24"/>
          <w:szCs w:val="24"/>
        </w:rPr>
        <w:t xml:space="preserve"> (Accessed: 8 March 2024).</w:t>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Bilińska-Reformat, K., Kucharska, B., Twardzik, M. and Dolega, L. (2019) ‘Sustainable development concept and creation of innovative business models by retail chains’, </w:t>
      </w:r>
      <w:r>
        <w:rPr>
          <w:rFonts w:ascii="Times New Roman" w:hAnsi="Times New Roman" w:cs="Times New Roman"/>
          <w:i/>
          <w:iCs/>
          <w:sz w:val="24"/>
          <w:szCs w:val="24"/>
        </w:rPr>
        <w:t>International Journal of Retail &amp; Distribution Management</w:t>
      </w:r>
      <w:r>
        <w:rPr>
          <w:rFonts w:ascii="Times New Roman" w:hAnsi="Times New Roman" w:cs="Times New Roman"/>
          <w:sz w:val="24"/>
          <w:szCs w:val="24"/>
        </w:rPr>
        <w:t xml:space="preserve">, 47(1), pp. 2-18. Available at: </w:t>
      </w:r>
      <w:r>
        <w:fldChar w:fldCharType="begin"/>
      </w:r>
      <w:r>
        <w:instrText xml:space="preserve"> HYPERLINK "https://doi.org/10.1108/IJRDM-04-2017-0071" </w:instrText>
      </w:r>
      <w:r>
        <w:fldChar w:fldCharType="separate"/>
      </w:r>
      <w:r>
        <w:rPr>
          <w:rStyle w:val="5"/>
          <w:rFonts w:ascii="Times New Roman" w:hAnsi="Times New Roman" w:cs="Times New Roman"/>
          <w:sz w:val="24"/>
          <w:szCs w:val="24"/>
        </w:rPr>
        <w:t>https://doi.org/10.1108/IJRDM-04-2017-0071</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Dannenberg, P., Fuchs, M., Riedler, T. and Wiedemann, C. (2020) ‘Digital transition by COVID‐19 pandemic? The German food online retail’, </w:t>
      </w:r>
      <w:r>
        <w:rPr>
          <w:rFonts w:ascii="Times New Roman" w:hAnsi="Times New Roman" w:cs="Times New Roman"/>
          <w:i/>
          <w:iCs/>
          <w:sz w:val="24"/>
          <w:szCs w:val="24"/>
        </w:rPr>
        <w:t>Tijdschrift voor economische en sociale geografie</w:t>
      </w:r>
      <w:r>
        <w:rPr>
          <w:rFonts w:ascii="Times New Roman" w:hAnsi="Times New Roman" w:cs="Times New Roman"/>
          <w:sz w:val="24"/>
          <w:szCs w:val="24"/>
        </w:rPr>
        <w:t xml:space="preserve">, 111(3), pp. 543-560. Available at: </w:t>
      </w:r>
      <w:r>
        <w:fldChar w:fldCharType="begin"/>
      </w:r>
      <w:r>
        <w:instrText xml:space="preserve"> HYPERLINK "https://doi.org/10.1111/tesg.12453" </w:instrText>
      </w:r>
      <w:r>
        <w:fldChar w:fldCharType="separate"/>
      </w:r>
      <w:r>
        <w:rPr>
          <w:rStyle w:val="5"/>
          <w:rFonts w:ascii="Times New Roman" w:hAnsi="Times New Roman" w:cs="Times New Roman"/>
          <w:sz w:val="24"/>
          <w:szCs w:val="24"/>
        </w:rPr>
        <w:t>https://doi.org/10.1111/tesg.12453</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Deshpande, V. and Pendem, P. K. (2023) ‘Logistics performance, ratings, and its impact on customer purchasing behavior and sales in e-commerce platforms’, </w:t>
      </w:r>
      <w:r>
        <w:rPr>
          <w:rFonts w:ascii="Times New Roman" w:hAnsi="Times New Roman" w:cs="Times New Roman"/>
          <w:i/>
          <w:iCs/>
          <w:sz w:val="24"/>
          <w:szCs w:val="24"/>
        </w:rPr>
        <w:t>Manufacturing &amp; Service Operations Management</w:t>
      </w:r>
      <w:r>
        <w:rPr>
          <w:rFonts w:ascii="Times New Roman" w:hAnsi="Times New Roman" w:cs="Times New Roman"/>
          <w:sz w:val="24"/>
          <w:szCs w:val="24"/>
        </w:rPr>
        <w:t xml:space="preserve">, 25(3), pp. 827-845. Available at: </w:t>
      </w:r>
      <w:r>
        <w:fldChar w:fldCharType="begin"/>
      </w:r>
      <w:r>
        <w:instrText xml:space="preserve"> HYPERLINK "https://doi.org/10.1287/msom.2021.1045" </w:instrText>
      </w:r>
      <w:r>
        <w:fldChar w:fldCharType="separate"/>
      </w:r>
      <w:r>
        <w:rPr>
          <w:rStyle w:val="5"/>
          <w:rFonts w:ascii="Times New Roman" w:hAnsi="Times New Roman" w:cs="Times New Roman"/>
          <w:sz w:val="24"/>
          <w:szCs w:val="24"/>
        </w:rPr>
        <w:t>https://doi.org/10.1287/msom.2021.1045</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Ellsworth-Krebs, K., Rampen, C., Rogers, E., Dudley, L.</w:t>
      </w:r>
      <w:r>
        <w:rPr>
          <w:rFonts w:hint="eastAsia" w:ascii="Times New Roman" w:hAnsi="Times New Roman" w:cs="Times New Roman"/>
          <w:sz w:val="24"/>
          <w:szCs w:val="24"/>
        </w:rPr>
        <w:t xml:space="preserve"> and</w:t>
      </w:r>
      <w:r>
        <w:rPr>
          <w:rFonts w:ascii="Times New Roman" w:hAnsi="Times New Roman" w:cs="Times New Roman"/>
          <w:sz w:val="24"/>
          <w:szCs w:val="24"/>
        </w:rPr>
        <w:t xml:space="preserve"> Wishart, L. (2022) ‘Circular economy infrastructure: Why we need track and trace for reusable packaging’</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Sustainable Production and Consumption</w:t>
      </w:r>
      <w:r>
        <w:rPr>
          <w:rFonts w:ascii="Times New Roman" w:hAnsi="Times New Roman" w:cs="Times New Roman"/>
          <w:sz w:val="24"/>
          <w:szCs w:val="24"/>
        </w:rPr>
        <w:t xml:space="preserve">, 29, </w:t>
      </w:r>
      <w:r>
        <w:rPr>
          <w:rFonts w:hint="eastAsia" w:ascii="Times New Roman" w:hAnsi="Times New Roman" w:cs="Times New Roman"/>
          <w:sz w:val="24"/>
          <w:szCs w:val="24"/>
        </w:rPr>
        <w:t xml:space="preserve">pp. </w:t>
      </w:r>
      <w:r>
        <w:rPr>
          <w:rFonts w:ascii="Times New Roman" w:hAnsi="Times New Roman" w:cs="Times New Roman"/>
          <w:sz w:val="24"/>
          <w:szCs w:val="24"/>
        </w:rPr>
        <w:t>249-258.</w:t>
      </w:r>
      <w:r>
        <w:rPr>
          <w:rFonts w:hint="eastAsia" w:ascii="Times New Roman" w:hAnsi="Times New Roman" w:cs="Times New Roman"/>
          <w:sz w:val="24"/>
          <w:szCs w:val="24"/>
        </w:rPr>
        <w:t xml:space="preserve"> </w:t>
      </w:r>
      <w:r>
        <w:rPr>
          <w:rFonts w:ascii="Times New Roman" w:hAnsi="Times New Roman" w:cs="Times New Roman"/>
          <w:sz w:val="24"/>
          <w:szCs w:val="24"/>
        </w:rPr>
        <w:t>Available at:</w:t>
      </w:r>
      <w:r>
        <w:rPr>
          <w:rFonts w:hint="eastAsia" w:ascii="Times New Roman" w:hAnsi="Times New Roman" w:cs="Times New Roman"/>
          <w:sz w:val="24"/>
          <w:szCs w:val="24"/>
        </w:rPr>
        <w:t xml:space="preserve"> </w:t>
      </w:r>
      <w:r>
        <w:fldChar w:fldCharType="begin"/>
      </w:r>
      <w:r>
        <w:instrText xml:space="preserve"> HYPERLINK "https://doi.org/10.1016/j.spc.2021.10.007" </w:instrText>
      </w:r>
      <w:r>
        <w:fldChar w:fldCharType="separate"/>
      </w:r>
      <w:r>
        <w:rPr>
          <w:rStyle w:val="5"/>
          <w:rFonts w:ascii="Times New Roman" w:hAnsi="Times New Roman" w:cs="Times New Roman"/>
          <w:sz w:val="24"/>
          <w:szCs w:val="24"/>
        </w:rPr>
        <w:t>https://doi.org/10.1016/j.spc.2021.10.007</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Heising, J. K., Claassen, G. D. H.</w:t>
      </w:r>
      <w:r>
        <w:rPr>
          <w:rFonts w:hint="eastAsia" w:ascii="Times New Roman" w:hAnsi="Times New Roman" w:cs="Times New Roman"/>
          <w:sz w:val="24"/>
          <w:szCs w:val="24"/>
        </w:rPr>
        <w:t xml:space="preserve"> and</w:t>
      </w:r>
      <w:r>
        <w:rPr>
          <w:rFonts w:ascii="Times New Roman" w:hAnsi="Times New Roman" w:cs="Times New Roman"/>
          <w:sz w:val="24"/>
          <w:szCs w:val="24"/>
        </w:rPr>
        <w:t xml:space="preserve"> Dekker, M. (2017)</w:t>
      </w:r>
      <w:r>
        <w:rPr>
          <w:rFonts w:hint="eastAsia" w:ascii="Times New Roman" w:hAnsi="Times New Roman" w:cs="Times New Roman"/>
          <w:sz w:val="24"/>
          <w:szCs w:val="24"/>
        </w:rPr>
        <w:t xml:space="preserve"> </w:t>
      </w:r>
      <w:r>
        <w:rPr>
          <w:rFonts w:ascii="Times New Roman" w:hAnsi="Times New Roman" w:cs="Times New Roman"/>
          <w:sz w:val="24"/>
          <w:szCs w:val="24"/>
        </w:rPr>
        <w:t>‘Options for reducing food waste by quality-controlled logistics using intelligent packaging along the supply chain’</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Food Additives &amp; Contaminants: Part A</w:t>
      </w:r>
      <w:r>
        <w:rPr>
          <w:rFonts w:ascii="Times New Roman" w:hAnsi="Times New Roman" w:cs="Times New Roman"/>
          <w:sz w:val="24"/>
          <w:szCs w:val="24"/>
        </w:rPr>
        <w:t xml:space="preserve">, 34(10), </w:t>
      </w:r>
      <w:r>
        <w:rPr>
          <w:rFonts w:hint="eastAsia" w:ascii="Times New Roman" w:hAnsi="Times New Roman" w:cs="Times New Roman"/>
          <w:sz w:val="24"/>
          <w:szCs w:val="24"/>
        </w:rPr>
        <w:t xml:space="preserve">pp. </w:t>
      </w:r>
      <w:r>
        <w:rPr>
          <w:rFonts w:ascii="Times New Roman" w:hAnsi="Times New Roman" w:cs="Times New Roman"/>
          <w:sz w:val="24"/>
          <w:szCs w:val="24"/>
        </w:rPr>
        <w:t>1672-1680.</w:t>
      </w:r>
      <w:r>
        <w:rPr>
          <w:rFonts w:hint="eastAsia" w:ascii="Times New Roman" w:hAnsi="Times New Roman" w:cs="Times New Roman"/>
          <w:sz w:val="24"/>
          <w:szCs w:val="24"/>
        </w:rPr>
        <w:t xml:space="preserve"> </w:t>
      </w:r>
      <w:r>
        <w:rPr>
          <w:rFonts w:ascii="Times New Roman" w:hAnsi="Times New Roman" w:cs="Times New Roman"/>
          <w:sz w:val="24"/>
          <w:szCs w:val="24"/>
        </w:rPr>
        <w:t>Available at:</w:t>
      </w:r>
      <w:r>
        <w:rPr>
          <w:rFonts w:hint="eastAsia" w:ascii="Times New Roman" w:hAnsi="Times New Roman" w:cs="Times New Roman"/>
          <w:sz w:val="24"/>
          <w:szCs w:val="24"/>
        </w:rPr>
        <w:t xml:space="preserve"> </w:t>
      </w:r>
      <w:r>
        <w:fldChar w:fldCharType="begin"/>
      </w:r>
      <w:r>
        <w:instrText xml:space="preserve"> HYPERLINK "https://doi.org/10.1080/19440049.2017.1315776" </w:instrText>
      </w:r>
      <w:r>
        <w:fldChar w:fldCharType="separate"/>
      </w:r>
      <w:r>
        <w:rPr>
          <w:rStyle w:val="5"/>
          <w:rFonts w:ascii="Times New Roman" w:hAnsi="Times New Roman" w:cs="Times New Roman"/>
          <w:sz w:val="24"/>
          <w:szCs w:val="24"/>
        </w:rPr>
        <w:t>https://doi.org/10.1080/19440049.2017.1315776</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Hökelekli, G., Lamey, L. and Verboven, F. (2017) ‘The battle of traditional retailers versus discounters: The role of PL tiers’, Journal of Retailing and Consumer Services, 39, pp. 11-22. Available at: </w:t>
      </w:r>
      <w:r>
        <w:fldChar w:fldCharType="begin"/>
      </w:r>
      <w:r>
        <w:instrText xml:space="preserve"> HYPERLINK "https://doi.org/10.1016/j.jretconser.2017.06.011" </w:instrText>
      </w:r>
      <w:r>
        <w:fldChar w:fldCharType="separate"/>
      </w:r>
      <w:r>
        <w:rPr>
          <w:rStyle w:val="5"/>
          <w:rFonts w:ascii="Times New Roman" w:hAnsi="Times New Roman" w:cs="Times New Roman"/>
          <w:sz w:val="24"/>
          <w:szCs w:val="24"/>
        </w:rPr>
        <w:t>https://doi.org/10.1016/j.jretconser.2017.06.011</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Johnsen, R. E., Lacoste, S. and Meehan, J. (2020) ‘Hegemony in asymmetric customer-supplier relationships’, Industrial Marketing Management, 87, pp. 63-75. Available at: </w:t>
      </w:r>
      <w:r>
        <w:fldChar w:fldCharType="begin"/>
      </w:r>
      <w:r>
        <w:instrText xml:space="preserve"> HYPERLINK "https://doi.org/10.1016/j.indmarman.2020.01.013" </w:instrText>
      </w:r>
      <w:r>
        <w:fldChar w:fldCharType="separate"/>
      </w:r>
      <w:r>
        <w:rPr>
          <w:rStyle w:val="5"/>
          <w:rFonts w:ascii="Times New Roman" w:hAnsi="Times New Roman" w:cs="Times New Roman"/>
          <w:sz w:val="24"/>
          <w:szCs w:val="24"/>
        </w:rPr>
        <w:t>https://doi.org/10.1016/j.indmarman.2020.01.013</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Kusz, B., Witek, L., Kusz, D., Chudy-Laskowska, K., Ostyńska, P. and Walenia, A. (2023) ‘The Effect of COVID-19 on Food Consumers’ Channel Purchasing Behaviors: An Empirical Study from Poland’, </w:t>
      </w:r>
      <w:r>
        <w:rPr>
          <w:rFonts w:ascii="Times New Roman" w:hAnsi="Times New Roman" w:cs="Times New Roman"/>
          <w:i/>
          <w:iCs/>
          <w:sz w:val="24"/>
          <w:szCs w:val="24"/>
        </w:rPr>
        <w:t>Sustainability</w:t>
      </w:r>
      <w:r>
        <w:rPr>
          <w:rFonts w:ascii="Times New Roman" w:hAnsi="Times New Roman" w:cs="Times New Roman"/>
          <w:sz w:val="24"/>
          <w:szCs w:val="24"/>
        </w:rPr>
        <w:t xml:space="preserve">, 15(5), pp. 4661. Available at: </w:t>
      </w:r>
      <w:r>
        <w:fldChar w:fldCharType="begin"/>
      </w:r>
      <w:r>
        <w:instrText xml:space="preserve"> HYPERLINK "https://doi.org/10.3390/su15054661" </w:instrText>
      </w:r>
      <w:r>
        <w:fldChar w:fldCharType="separate"/>
      </w:r>
      <w:r>
        <w:rPr>
          <w:rStyle w:val="5"/>
          <w:rFonts w:ascii="Times New Roman" w:hAnsi="Times New Roman" w:cs="Times New Roman"/>
          <w:sz w:val="24"/>
          <w:szCs w:val="24"/>
        </w:rPr>
        <w:t>https://doi.org/10.3390/su15054661</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Mariani, M. M.</w:t>
      </w:r>
      <w:r>
        <w:rPr>
          <w:rFonts w:hint="eastAsia" w:ascii="Times New Roman" w:hAnsi="Times New Roman" w:cs="Times New Roman"/>
          <w:sz w:val="24"/>
          <w:szCs w:val="24"/>
        </w:rPr>
        <w:t xml:space="preserve"> and</w:t>
      </w:r>
      <w:r>
        <w:rPr>
          <w:rFonts w:ascii="Times New Roman" w:hAnsi="Times New Roman" w:cs="Times New Roman"/>
          <w:sz w:val="24"/>
          <w:szCs w:val="24"/>
        </w:rPr>
        <w:t xml:space="preserve"> Wamba, S. F. (2020) ‘Exploring how consumer goods companies innovate in the digital age: The role of big data analytics companies’</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Journal of Business Research,</w:t>
      </w:r>
      <w:r>
        <w:rPr>
          <w:rFonts w:ascii="Times New Roman" w:hAnsi="Times New Roman" w:cs="Times New Roman"/>
          <w:sz w:val="24"/>
          <w:szCs w:val="24"/>
        </w:rPr>
        <w:t xml:space="preserve"> 121, </w:t>
      </w:r>
      <w:r>
        <w:rPr>
          <w:rFonts w:hint="eastAsia" w:ascii="Times New Roman" w:hAnsi="Times New Roman" w:cs="Times New Roman"/>
          <w:sz w:val="24"/>
          <w:szCs w:val="24"/>
        </w:rPr>
        <w:t xml:space="preserve">pp. </w:t>
      </w:r>
      <w:r>
        <w:rPr>
          <w:rFonts w:ascii="Times New Roman" w:hAnsi="Times New Roman" w:cs="Times New Roman"/>
          <w:sz w:val="24"/>
          <w:szCs w:val="24"/>
        </w:rPr>
        <w:t>338-352.</w:t>
      </w:r>
      <w:r>
        <w:rPr>
          <w:rFonts w:hint="eastAsia" w:ascii="Times New Roman" w:hAnsi="Times New Roman" w:cs="Times New Roman"/>
          <w:sz w:val="24"/>
          <w:szCs w:val="24"/>
        </w:rPr>
        <w:t xml:space="preserve"> </w:t>
      </w:r>
      <w:r>
        <w:rPr>
          <w:rFonts w:ascii="Times New Roman" w:hAnsi="Times New Roman" w:cs="Times New Roman"/>
          <w:sz w:val="24"/>
          <w:szCs w:val="24"/>
        </w:rPr>
        <w:t>Available at:</w:t>
      </w:r>
      <w:r>
        <w:rPr>
          <w:rFonts w:hint="eastAsia" w:ascii="Times New Roman" w:hAnsi="Times New Roman" w:cs="Times New Roman"/>
          <w:sz w:val="24"/>
          <w:szCs w:val="24"/>
        </w:rPr>
        <w:t xml:space="preserve"> </w:t>
      </w:r>
      <w:r>
        <w:fldChar w:fldCharType="begin"/>
      </w:r>
      <w:r>
        <w:instrText xml:space="preserve"> HYPERLINK "https://doi.org/10.1016/j.jbusres.2020.09.012" </w:instrText>
      </w:r>
      <w:r>
        <w:fldChar w:fldCharType="separate"/>
      </w:r>
      <w:r>
        <w:rPr>
          <w:rStyle w:val="5"/>
          <w:rFonts w:ascii="Times New Roman" w:hAnsi="Times New Roman" w:cs="Times New Roman"/>
          <w:sz w:val="24"/>
          <w:szCs w:val="24"/>
        </w:rPr>
        <w:t>https://doi.org/10.1016/j.jbusres.2020.09.012</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Masfi, A. and Sukartini, T. (2022) ‘Effectiveness of using the Mc Kinsey 7s framework model in assessing organizational performance: A systematics review’, </w:t>
      </w:r>
      <w:r>
        <w:rPr>
          <w:rFonts w:ascii="Times New Roman" w:hAnsi="Times New Roman" w:cs="Times New Roman"/>
          <w:i/>
          <w:iCs/>
          <w:sz w:val="24"/>
          <w:szCs w:val="24"/>
        </w:rPr>
        <w:t>Journal of Positive School Psychology</w:t>
      </w:r>
      <w:r>
        <w:rPr>
          <w:rFonts w:ascii="Times New Roman" w:hAnsi="Times New Roman" w:cs="Times New Roman"/>
          <w:sz w:val="24"/>
          <w:szCs w:val="24"/>
        </w:rPr>
        <w:t>, 6(8), pp. 9136-9148. Available at:</w:t>
      </w:r>
      <w:r>
        <w:rPr>
          <w:rFonts w:hint="eastAsia" w:ascii="Times New Roman" w:hAnsi="Times New Roman" w:cs="Times New Roman"/>
          <w:sz w:val="24"/>
          <w:szCs w:val="24"/>
        </w:rPr>
        <w:t xml:space="preserve"> </w:t>
      </w:r>
      <w:r>
        <w:fldChar w:fldCharType="begin"/>
      </w:r>
      <w:r>
        <w:instrText xml:space="preserve"> HYPERLINK "https://doi.org/10.1186/s12913-021-07402-3" </w:instrText>
      </w:r>
      <w:r>
        <w:fldChar w:fldCharType="separate"/>
      </w:r>
      <w:r>
        <w:rPr>
          <w:rStyle w:val="5"/>
          <w:rFonts w:ascii="Times New Roman" w:hAnsi="Times New Roman" w:cs="Times New Roman"/>
          <w:sz w:val="24"/>
          <w:szCs w:val="24"/>
        </w:rPr>
        <w:t>https://doi.org/10.1186/s12913-021-07402-3</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Mugo, P. (2020) ‘Porter’s five forces influence on competitive advantage in telecommunication industry in Kenya’, </w:t>
      </w:r>
      <w:r>
        <w:rPr>
          <w:rFonts w:ascii="Times New Roman" w:hAnsi="Times New Roman" w:cs="Times New Roman"/>
          <w:i/>
          <w:iCs/>
          <w:sz w:val="24"/>
          <w:szCs w:val="24"/>
        </w:rPr>
        <w:t>European Journal of Business and Strategic Management</w:t>
      </w:r>
      <w:r>
        <w:rPr>
          <w:rFonts w:ascii="Times New Roman" w:hAnsi="Times New Roman" w:cs="Times New Roman"/>
          <w:sz w:val="24"/>
          <w:szCs w:val="24"/>
        </w:rPr>
        <w:t xml:space="preserve">, 5(2), pp. 30-49. Available at: </w:t>
      </w:r>
      <w:r>
        <w:fldChar w:fldCharType="begin"/>
      </w:r>
      <w:r>
        <w:instrText xml:space="preserve"> HYPERLINK "https://doi.org/10.47604/ejbsm.1140" </w:instrText>
      </w:r>
      <w:r>
        <w:fldChar w:fldCharType="separate"/>
      </w:r>
      <w:r>
        <w:rPr>
          <w:rStyle w:val="5"/>
          <w:rFonts w:ascii="Times New Roman" w:hAnsi="Times New Roman" w:cs="Times New Roman"/>
          <w:sz w:val="24"/>
          <w:szCs w:val="24"/>
        </w:rPr>
        <w:t>https://doi.org/10.47604/ejbsm.1140</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Nyame-Asiamah, F. and Ghulam, S. (2020) ‘The relationship between CSR activity and sales growth in the UK retailing sector’, </w:t>
      </w:r>
      <w:r>
        <w:rPr>
          <w:rFonts w:ascii="Times New Roman" w:hAnsi="Times New Roman" w:cs="Times New Roman"/>
          <w:i/>
          <w:iCs/>
          <w:sz w:val="24"/>
          <w:szCs w:val="24"/>
        </w:rPr>
        <w:t>Social Responsibility Journal</w:t>
      </w:r>
      <w:r>
        <w:rPr>
          <w:rFonts w:ascii="Times New Roman" w:hAnsi="Times New Roman" w:cs="Times New Roman"/>
          <w:sz w:val="24"/>
          <w:szCs w:val="24"/>
        </w:rPr>
        <w:t xml:space="preserve">, 16(3), pp. 387-401. Available at: </w:t>
      </w:r>
      <w:r>
        <w:fldChar w:fldCharType="begin"/>
      </w:r>
      <w:r>
        <w:instrText xml:space="preserve"> HYPERLINK "https://doi.org/10.1108/SRJ-09-2018-0245" </w:instrText>
      </w:r>
      <w:r>
        <w:fldChar w:fldCharType="separate"/>
      </w:r>
      <w:r>
        <w:rPr>
          <w:rStyle w:val="5"/>
          <w:rFonts w:ascii="Times New Roman" w:hAnsi="Times New Roman" w:cs="Times New Roman"/>
          <w:sz w:val="24"/>
          <w:szCs w:val="24"/>
        </w:rPr>
        <w:t>https://doi.org/10.1108/SRJ-09-2018-0245</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Packaging and plastic (2024) Available at: </w:t>
      </w:r>
      <w:r>
        <w:fldChar w:fldCharType="begin"/>
      </w:r>
      <w:r>
        <w:instrText xml:space="preserve"> HYPERLINK "https://www.tescoplc.com/sustainability/planet/packaging-and-plastic" </w:instrText>
      </w:r>
      <w:r>
        <w:fldChar w:fldCharType="separate"/>
      </w:r>
      <w:r>
        <w:rPr>
          <w:rStyle w:val="5"/>
          <w:rFonts w:ascii="Times New Roman" w:hAnsi="Times New Roman" w:cs="Times New Roman"/>
          <w:sz w:val="24"/>
          <w:szCs w:val="24"/>
        </w:rPr>
        <w:t>https://www.tescoplc.com/sustainability/planet/packaging-and-plastic</w:t>
      </w:r>
      <w:r>
        <w:rPr>
          <w:rStyle w:val="5"/>
          <w:rFonts w:ascii="Times New Roman" w:hAnsi="Times New Roman" w:cs="Times New Roman"/>
          <w:sz w:val="24"/>
          <w:szCs w:val="24"/>
        </w:rPr>
        <w:fldChar w:fldCharType="end"/>
      </w:r>
      <w:r>
        <w:rPr>
          <w:rFonts w:ascii="Times New Roman" w:hAnsi="Times New Roman" w:cs="Times New Roman"/>
          <w:sz w:val="24"/>
          <w:szCs w:val="24"/>
        </w:rPr>
        <w:t xml:space="preserve"> (Accessed: 8 March 2024).</w:t>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Phadermrod, B., Crowder, R. M. and Wills, G. B. (2019) ‘Importance-performance analysis based SWOT analysis’, </w:t>
      </w:r>
      <w:r>
        <w:rPr>
          <w:rFonts w:ascii="Times New Roman" w:hAnsi="Times New Roman" w:cs="Times New Roman"/>
          <w:i/>
          <w:iCs/>
          <w:sz w:val="24"/>
          <w:szCs w:val="24"/>
        </w:rPr>
        <w:t>International Journal of Information Management</w:t>
      </w:r>
      <w:r>
        <w:rPr>
          <w:rFonts w:ascii="Times New Roman" w:hAnsi="Times New Roman" w:cs="Times New Roman"/>
          <w:sz w:val="24"/>
          <w:szCs w:val="24"/>
        </w:rPr>
        <w:t xml:space="preserve">, 44, pp. 194-203. Available at: </w:t>
      </w:r>
      <w:r>
        <w:fldChar w:fldCharType="begin"/>
      </w:r>
      <w:r>
        <w:instrText xml:space="preserve"> HYPERLINK "https://doi.org/10.1016/j.ijinfomgt.2016.03.009" </w:instrText>
      </w:r>
      <w:r>
        <w:fldChar w:fldCharType="separate"/>
      </w:r>
      <w:r>
        <w:rPr>
          <w:rStyle w:val="5"/>
          <w:rFonts w:ascii="Times New Roman" w:hAnsi="Times New Roman" w:cs="Times New Roman"/>
          <w:sz w:val="24"/>
          <w:szCs w:val="24"/>
        </w:rPr>
        <w:t>https://doi.org/10.1016/j.ijinfomgt.2016.03.009</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Shin, S., Kim, H. and Kim, W. (2020) ‘Transnational corporations’ localization strategies via retail attributes: Focus on Chinese Market’, </w:t>
      </w:r>
      <w:r>
        <w:rPr>
          <w:rFonts w:ascii="Times New Roman" w:hAnsi="Times New Roman" w:cs="Times New Roman"/>
          <w:i/>
          <w:iCs/>
          <w:sz w:val="24"/>
          <w:szCs w:val="24"/>
        </w:rPr>
        <w:t>Journal of Retailing and Consumer Services</w:t>
      </w:r>
      <w:r>
        <w:rPr>
          <w:rFonts w:ascii="Times New Roman" w:hAnsi="Times New Roman" w:cs="Times New Roman"/>
          <w:sz w:val="24"/>
          <w:szCs w:val="24"/>
        </w:rPr>
        <w:t xml:space="preserve">, 55, pp. 102088. Available at: </w:t>
      </w:r>
      <w:r>
        <w:fldChar w:fldCharType="begin"/>
      </w:r>
      <w:r>
        <w:instrText xml:space="preserve"> HYPERLINK "https://doi.org/10.1016/j.jretconser.2020.102088" </w:instrText>
      </w:r>
      <w:r>
        <w:fldChar w:fldCharType="separate"/>
      </w:r>
      <w:r>
        <w:rPr>
          <w:rStyle w:val="5"/>
          <w:rFonts w:ascii="Times New Roman" w:hAnsi="Times New Roman" w:cs="Times New Roman"/>
          <w:sz w:val="24"/>
          <w:szCs w:val="24"/>
        </w:rPr>
        <w:t>https://doi.org/10.1016/j.jretconser.2020.102088</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Simatupang, T. M., Piboonrungroj, P. and Williams, S. J. (2017) ‘The emergence of value chain thinking’, </w:t>
      </w:r>
      <w:r>
        <w:rPr>
          <w:rFonts w:ascii="Times New Roman" w:hAnsi="Times New Roman" w:cs="Times New Roman"/>
          <w:i/>
          <w:iCs/>
          <w:sz w:val="24"/>
          <w:szCs w:val="24"/>
        </w:rPr>
        <w:t>International Journal of Value Chain Management</w:t>
      </w:r>
      <w:r>
        <w:rPr>
          <w:rFonts w:ascii="Times New Roman" w:hAnsi="Times New Roman" w:cs="Times New Roman"/>
          <w:sz w:val="24"/>
          <w:szCs w:val="24"/>
        </w:rPr>
        <w:t xml:space="preserve">, 8(1), pp. 40-57. Available at: </w:t>
      </w:r>
      <w:r>
        <w:fldChar w:fldCharType="begin"/>
      </w:r>
      <w:r>
        <w:instrText xml:space="preserve"> HYPERLINK "https://doi.org/10.1504/IJVCM.2017.082685" </w:instrText>
      </w:r>
      <w:r>
        <w:fldChar w:fldCharType="separate"/>
      </w:r>
      <w:r>
        <w:rPr>
          <w:rStyle w:val="5"/>
          <w:rFonts w:ascii="Times New Roman" w:hAnsi="Times New Roman" w:cs="Times New Roman"/>
          <w:sz w:val="24"/>
          <w:szCs w:val="24"/>
        </w:rPr>
        <w:t>https://doi.org/10.1504/IJVCM.2017.082685</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Sivaram, M., Hudaya, A. and Ali, H. (2019) ‘Building a purchase and purchase decision: Analysis of brand awareness and brand loyalty’, </w:t>
      </w:r>
      <w:r>
        <w:rPr>
          <w:rFonts w:ascii="Times New Roman" w:hAnsi="Times New Roman" w:cs="Times New Roman"/>
          <w:i/>
          <w:iCs/>
          <w:sz w:val="24"/>
          <w:szCs w:val="24"/>
        </w:rPr>
        <w:t>Dinasti International Journal of Education Management and Social Science</w:t>
      </w:r>
      <w:r>
        <w:rPr>
          <w:rFonts w:ascii="Times New Roman" w:hAnsi="Times New Roman" w:cs="Times New Roman"/>
          <w:sz w:val="24"/>
          <w:szCs w:val="24"/>
        </w:rPr>
        <w:t xml:space="preserve">, 1(2), pp. 235-248. Available at: </w:t>
      </w:r>
      <w:r>
        <w:fldChar w:fldCharType="begin"/>
      </w:r>
      <w:r>
        <w:instrText xml:space="preserve"> HYPERLINK "https://dinastipub.org/DIJEMSS/article/view/125" </w:instrText>
      </w:r>
      <w:r>
        <w:fldChar w:fldCharType="separate"/>
      </w:r>
      <w:r>
        <w:rPr>
          <w:rStyle w:val="5"/>
          <w:rFonts w:ascii="Times New Roman" w:hAnsi="Times New Roman" w:cs="Times New Roman"/>
          <w:sz w:val="24"/>
          <w:szCs w:val="24"/>
        </w:rPr>
        <w:t>https://dinastipub.org/DIJEMSS/article/view/125</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Song, H., Yang, X. and Yu, K. (2020) ‘How do supply chain network and SMEs’ operational capabilities enhance working capital financing? An integrative signaling view’, </w:t>
      </w:r>
      <w:r>
        <w:rPr>
          <w:rFonts w:ascii="Times New Roman" w:hAnsi="Times New Roman" w:cs="Times New Roman"/>
          <w:i/>
          <w:iCs/>
          <w:sz w:val="24"/>
          <w:szCs w:val="24"/>
        </w:rPr>
        <w:t>International Journal of Production Economics</w:t>
      </w:r>
      <w:r>
        <w:rPr>
          <w:rFonts w:ascii="Times New Roman" w:hAnsi="Times New Roman" w:cs="Times New Roman"/>
          <w:sz w:val="24"/>
          <w:szCs w:val="24"/>
        </w:rPr>
        <w:t xml:space="preserve">, 220, pp. 107447. Available at: </w:t>
      </w:r>
      <w:r>
        <w:fldChar w:fldCharType="begin"/>
      </w:r>
      <w:r>
        <w:instrText xml:space="preserve"> HYPERLINK "https://doi.org/10.1016/j.ijpe.2019.07.020" </w:instrText>
      </w:r>
      <w:r>
        <w:fldChar w:fldCharType="separate"/>
      </w:r>
      <w:r>
        <w:rPr>
          <w:rStyle w:val="5"/>
          <w:rFonts w:ascii="Times New Roman" w:hAnsi="Times New Roman" w:cs="Times New Roman"/>
          <w:sz w:val="24"/>
          <w:szCs w:val="24"/>
        </w:rPr>
        <w:t>https://doi.org/10.1016/j.ijpe.2019.07.020</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Song, J., Sun, Y. and Jin, L (2017) ‘PESTEL analysis of the development of the waste-to-energy incineration industry in China’, </w:t>
      </w:r>
      <w:r>
        <w:rPr>
          <w:rFonts w:ascii="Times New Roman" w:hAnsi="Times New Roman" w:cs="Times New Roman"/>
          <w:i/>
          <w:iCs/>
          <w:sz w:val="24"/>
          <w:szCs w:val="24"/>
        </w:rPr>
        <w:t>Renewable and Sustainable Energy Reviews</w:t>
      </w:r>
      <w:r>
        <w:rPr>
          <w:rFonts w:ascii="Times New Roman" w:hAnsi="Times New Roman" w:cs="Times New Roman"/>
          <w:sz w:val="24"/>
          <w:szCs w:val="24"/>
        </w:rPr>
        <w:t xml:space="preserve">, 80, pp. 276-289. Available at: </w:t>
      </w:r>
      <w:r>
        <w:fldChar w:fldCharType="begin"/>
      </w:r>
      <w:r>
        <w:instrText xml:space="preserve"> HYPERLINK "https://doi.org/10.1016/j.rser.2017.05.066" </w:instrText>
      </w:r>
      <w:r>
        <w:fldChar w:fldCharType="separate"/>
      </w:r>
      <w:r>
        <w:rPr>
          <w:rStyle w:val="5"/>
          <w:rFonts w:ascii="Times New Roman" w:hAnsi="Times New Roman" w:cs="Times New Roman"/>
          <w:sz w:val="24"/>
          <w:szCs w:val="24"/>
        </w:rPr>
        <w:t>https://doi.org/10.1016/j.rser.2017.05.066</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TESCO (2023) </w:t>
      </w:r>
      <w:r>
        <w:rPr>
          <w:rFonts w:ascii="Times New Roman" w:hAnsi="Times New Roman" w:cs="Times New Roman"/>
          <w:i/>
          <w:iCs/>
          <w:sz w:val="24"/>
          <w:szCs w:val="24"/>
        </w:rPr>
        <w:t>Core Purpose and Values</w:t>
      </w:r>
      <w:r>
        <w:rPr>
          <w:rFonts w:ascii="Times New Roman" w:hAnsi="Times New Roman" w:cs="Times New Roman"/>
          <w:sz w:val="24"/>
          <w:szCs w:val="24"/>
        </w:rPr>
        <w:t xml:space="preserve">. Available at: </w:t>
      </w:r>
      <w:r>
        <w:fldChar w:fldCharType="begin"/>
      </w:r>
      <w:r>
        <w:instrText xml:space="preserve"> HYPERLINK "https://www.tescoplc.com/about/how-we-do-business/core-purpose-and-values" </w:instrText>
      </w:r>
      <w:r>
        <w:fldChar w:fldCharType="separate"/>
      </w:r>
      <w:r>
        <w:rPr>
          <w:rStyle w:val="5"/>
          <w:rFonts w:ascii="Times New Roman" w:hAnsi="Times New Roman" w:cs="Times New Roman"/>
          <w:sz w:val="24"/>
          <w:szCs w:val="24"/>
        </w:rPr>
        <w:t>https://www.tescoplc.com/about/how-we-do-business/core-purpose-and-values</w:t>
      </w:r>
      <w:r>
        <w:rPr>
          <w:rStyle w:val="5"/>
          <w:rFonts w:ascii="Times New Roman" w:hAnsi="Times New Roman" w:cs="Times New Roman"/>
          <w:sz w:val="24"/>
          <w:szCs w:val="24"/>
        </w:rPr>
        <w:fldChar w:fldCharType="end"/>
      </w:r>
      <w:r>
        <w:rPr>
          <w:rFonts w:ascii="Times New Roman" w:hAnsi="Times New Roman" w:cs="Times New Roman"/>
          <w:sz w:val="24"/>
          <w:szCs w:val="24"/>
        </w:rPr>
        <w:t xml:space="preserve"> (Accessed: 8 March 2024).</w:t>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TESCO (2024) </w:t>
      </w:r>
      <w:r>
        <w:rPr>
          <w:rFonts w:ascii="Times New Roman" w:hAnsi="Times New Roman" w:cs="Times New Roman"/>
          <w:i/>
          <w:iCs/>
          <w:sz w:val="24"/>
          <w:szCs w:val="24"/>
        </w:rPr>
        <w:t xml:space="preserve">Tesco announces biggest ever single investment in store colleague pay, bringing hourly rate up to £12.02 per hour. </w:t>
      </w:r>
      <w:r>
        <w:rPr>
          <w:rFonts w:ascii="Times New Roman" w:hAnsi="Times New Roman" w:cs="Times New Roman"/>
          <w:sz w:val="24"/>
          <w:szCs w:val="24"/>
        </w:rPr>
        <w:t xml:space="preserve">Available at: </w:t>
      </w:r>
      <w:r>
        <w:fldChar w:fldCharType="begin"/>
      </w:r>
      <w:r>
        <w:instrText xml:space="preserve"> HYPERLINK "https://www.tescoplc.com/tesco-announces-biggest-ever-single-investment-in-store-colleague-pay-bringing-hourly-rate-up-to-1202-per-hour/" </w:instrText>
      </w:r>
      <w:r>
        <w:fldChar w:fldCharType="separate"/>
      </w:r>
      <w:r>
        <w:rPr>
          <w:rStyle w:val="5"/>
          <w:rFonts w:ascii="Times New Roman" w:hAnsi="Times New Roman" w:cs="Times New Roman"/>
          <w:sz w:val="24"/>
          <w:szCs w:val="24"/>
        </w:rPr>
        <w:t>https://www.tescoplc.com/tesco-announces-biggest-ever-single-investment-in-store-colleague-pay-bringing-hourly-rate-up-to-1202-per-hour/</w:t>
      </w:r>
      <w:r>
        <w:rPr>
          <w:rStyle w:val="5"/>
          <w:rFonts w:ascii="Times New Roman" w:hAnsi="Times New Roman" w:cs="Times New Roman"/>
          <w:sz w:val="24"/>
          <w:szCs w:val="24"/>
        </w:rPr>
        <w:fldChar w:fldCharType="end"/>
      </w:r>
      <w:r>
        <w:rPr>
          <w:rFonts w:ascii="Times New Roman" w:hAnsi="Times New Roman" w:cs="Times New Roman"/>
          <w:sz w:val="24"/>
          <w:szCs w:val="24"/>
        </w:rPr>
        <w:t xml:space="preserve"> (Accessed: 8 March 2024).</w:t>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Vieira, V. A., Severo de Almeida, M. I., Gabler, C. B., Limongi, R., Costa, M</w:t>
      </w:r>
      <w:r>
        <w:rPr>
          <w:rFonts w:hint="eastAsia" w:ascii="Times New Roman" w:hAnsi="Times New Roman" w:cs="Times New Roman"/>
          <w:sz w:val="24"/>
          <w:szCs w:val="24"/>
        </w:rPr>
        <w:t>. and</w:t>
      </w:r>
      <w:r>
        <w:rPr>
          <w:rFonts w:ascii="Times New Roman" w:hAnsi="Times New Roman" w:cs="Times New Roman"/>
          <w:sz w:val="24"/>
          <w:szCs w:val="24"/>
        </w:rPr>
        <w:t xml:space="preserve"> Pires da Costa, M. (2022) ‘Optimising digital marketing and social media strategy: from push to pull to performance’</w:t>
      </w:r>
      <w:r>
        <w:rPr>
          <w:rFonts w:hint="eastAsia" w:ascii="Times New Roman" w:hAnsi="Times New Roman" w:cs="Times New Roman"/>
          <w:sz w:val="24"/>
          <w:szCs w:val="24"/>
        </w:rPr>
        <w:t>,</w:t>
      </w:r>
      <w:r>
        <w:rPr>
          <w:rFonts w:ascii="Times New Roman" w:hAnsi="Times New Roman" w:cs="Times New Roman"/>
          <w:sz w:val="24"/>
          <w:szCs w:val="24"/>
        </w:rPr>
        <w:t xml:space="preserve"> Journal of Marketing Management, 38(7), </w:t>
      </w:r>
      <w:r>
        <w:rPr>
          <w:rFonts w:hint="eastAsia" w:ascii="Times New Roman" w:hAnsi="Times New Roman" w:cs="Times New Roman"/>
          <w:sz w:val="24"/>
          <w:szCs w:val="24"/>
        </w:rPr>
        <w:t xml:space="preserve">pp. </w:t>
      </w:r>
      <w:r>
        <w:rPr>
          <w:rFonts w:ascii="Times New Roman" w:hAnsi="Times New Roman" w:cs="Times New Roman"/>
          <w:sz w:val="24"/>
          <w:szCs w:val="24"/>
        </w:rPr>
        <w:t>709-739.</w:t>
      </w:r>
      <w:r>
        <w:rPr>
          <w:rFonts w:hint="eastAsia" w:ascii="Times New Roman" w:hAnsi="Times New Roman" w:cs="Times New Roman"/>
          <w:sz w:val="24"/>
          <w:szCs w:val="24"/>
        </w:rPr>
        <w:t xml:space="preserve"> </w:t>
      </w:r>
      <w:r>
        <w:rPr>
          <w:rFonts w:ascii="Times New Roman" w:hAnsi="Times New Roman" w:cs="Times New Roman"/>
          <w:sz w:val="24"/>
          <w:szCs w:val="24"/>
        </w:rPr>
        <w:t>Available at:</w:t>
      </w:r>
      <w:r>
        <w:rPr>
          <w:rFonts w:hint="eastAsia" w:ascii="Times New Roman" w:hAnsi="Times New Roman" w:cs="Times New Roman"/>
          <w:sz w:val="24"/>
          <w:szCs w:val="24"/>
        </w:rPr>
        <w:t xml:space="preserve"> </w:t>
      </w:r>
      <w:r>
        <w:fldChar w:fldCharType="begin"/>
      </w:r>
      <w:r>
        <w:instrText xml:space="preserve"> HYPERLINK "https://doi.org/10.1080/0267257X.2021.1996444" </w:instrText>
      </w:r>
      <w:r>
        <w:fldChar w:fldCharType="separate"/>
      </w:r>
      <w:r>
        <w:rPr>
          <w:rStyle w:val="5"/>
          <w:rFonts w:ascii="Times New Roman" w:hAnsi="Times New Roman" w:cs="Times New Roman"/>
          <w:sz w:val="24"/>
          <w:szCs w:val="24"/>
        </w:rPr>
        <w:t>https://doi.org/10.1080/0267257X.2021.1996444</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Xia, Y. (2023)</w:t>
      </w:r>
      <w:r>
        <w:rPr>
          <w:rFonts w:hint="eastAsia" w:ascii="Times New Roman" w:hAnsi="Times New Roman" w:cs="Times New Roman"/>
          <w:sz w:val="24"/>
          <w:szCs w:val="24"/>
        </w:rPr>
        <w:t xml:space="preserve"> </w:t>
      </w:r>
      <w:r>
        <w:rPr>
          <w:rFonts w:ascii="Times New Roman" w:hAnsi="Times New Roman" w:cs="Times New Roman"/>
          <w:sz w:val="24"/>
          <w:szCs w:val="24"/>
        </w:rPr>
        <w:t>‘The 4Ps of Marketing and Applications in Various Brands’</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Journal of Education, Humanities and Social Sciences</w:t>
      </w:r>
      <w:r>
        <w:rPr>
          <w:rFonts w:ascii="Times New Roman" w:hAnsi="Times New Roman" w:cs="Times New Roman"/>
          <w:sz w:val="24"/>
          <w:szCs w:val="24"/>
        </w:rPr>
        <w:t xml:space="preserve">, 16, </w:t>
      </w:r>
      <w:r>
        <w:rPr>
          <w:rFonts w:hint="eastAsia" w:ascii="Times New Roman" w:hAnsi="Times New Roman" w:cs="Times New Roman"/>
          <w:sz w:val="24"/>
          <w:szCs w:val="24"/>
        </w:rPr>
        <w:t xml:space="preserve">pp. </w:t>
      </w:r>
      <w:r>
        <w:rPr>
          <w:rFonts w:ascii="Times New Roman" w:hAnsi="Times New Roman" w:cs="Times New Roman"/>
          <w:sz w:val="24"/>
          <w:szCs w:val="24"/>
        </w:rPr>
        <w:t>165-170.</w:t>
      </w:r>
      <w:r>
        <w:rPr>
          <w:rFonts w:hint="eastAsia" w:ascii="Times New Roman" w:hAnsi="Times New Roman" w:cs="Times New Roman"/>
          <w:sz w:val="24"/>
          <w:szCs w:val="24"/>
        </w:rPr>
        <w:t xml:space="preserve"> </w:t>
      </w:r>
      <w:r>
        <w:rPr>
          <w:rFonts w:ascii="Times New Roman" w:hAnsi="Times New Roman" w:cs="Times New Roman"/>
          <w:sz w:val="24"/>
          <w:szCs w:val="24"/>
        </w:rPr>
        <w:t>Available at:</w:t>
      </w:r>
      <w:r>
        <w:rPr>
          <w:rFonts w:hint="eastAsia" w:ascii="Times New Roman" w:hAnsi="Times New Roman" w:cs="Times New Roman"/>
          <w:sz w:val="24"/>
          <w:szCs w:val="24"/>
        </w:rPr>
        <w:t xml:space="preserve"> </w:t>
      </w:r>
      <w:r>
        <w:fldChar w:fldCharType="begin"/>
      </w:r>
      <w:r>
        <w:instrText xml:space="preserve"> HYPERLINK "https://doi.org/10.54097/ehss.v16i.9601" </w:instrText>
      </w:r>
      <w:r>
        <w:fldChar w:fldCharType="separate"/>
      </w:r>
      <w:r>
        <w:rPr>
          <w:rStyle w:val="5"/>
          <w:rFonts w:ascii="Times New Roman" w:hAnsi="Times New Roman" w:cs="Times New Roman"/>
          <w:sz w:val="24"/>
          <w:szCs w:val="24"/>
        </w:rPr>
        <w:t>https://doi.org/10.54097/ehss.v16i.9601</w:t>
      </w:r>
      <w:r>
        <w:rPr>
          <w:rStyle w:val="5"/>
          <w:rFonts w:ascii="Times New Roman" w:hAnsi="Times New Roman" w:cs="Times New Roman"/>
          <w:sz w:val="24"/>
          <w:szCs w:val="24"/>
        </w:rPr>
        <w:fldChar w:fldCharType="end"/>
      </w:r>
    </w:p>
    <w:p>
      <w:pPr>
        <w:spacing w:line="360" w:lineRule="auto"/>
        <w:ind w:left="480" w:hanging="480" w:hangingChars="200"/>
        <w:contextualSpacing/>
        <w:rPr>
          <w:rFonts w:ascii="Times New Roman" w:hAnsi="Times New Roman" w:cs="Times New Roman"/>
          <w:sz w:val="24"/>
          <w:szCs w:val="24"/>
        </w:rPr>
      </w:pPr>
      <w:r>
        <w:rPr>
          <w:rFonts w:ascii="Times New Roman" w:hAnsi="Times New Roman" w:cs="Times New Roman"/>
          <w:sz w:val="24"/>
          <w:szCs w:val="24"/>
        </w:rPr>
        <w:t xml:space="preserve">YouGov (2024) </w:t>
      </w:r>
      <w:r>
        <w:rPr>
          <w:rFonts w:ascii="Times New Roman" w:hAnsi="Times New Roman" w:cs="Times New Roman"/>
          <w:i/>
          <w:iCs/>
          <w:sz w:val="24"/>
          <w:szCs w:val="24"/>
        </w:rPr>
        <w:t>The most popular supermarket chains in the UK.</w:t>
      </w:r>
      <w:r>
        <w:rPr>
          <w:rFonts w:ascii="Times New Roman" w:hAnsi="Times New Roman" w:cs="Times New Roman"/>
          <w:sz w:val="24"/>
          <w:szCs w:val="24"/>
        </w:rPr>
        <w:t xml:space="preserve"> </w:t>
      </w:r>
      <w:r>
        <w:fldChar w:fldCharType="begin"/>
      </w:r>
      <w:r>
        <w:instrText xml:space="preserve"> HYPERLINK "https://yougov.co.uk/topics/consumer/explore/brand/Tesco" </w:instrText>
      </w:r>
      <w:r>
        <w:fldChar w:fldCharType="separate"/>
      </w:r>
      <w:r>
        <w:rPr>
          <w:rStyle w:val="5"/>
          <w:rFonts w:ascii="Times New Roman" w:hAnsi="Times New Roman" w:cs="Times New Roman"/>
          <w:sz w:val="24"/>
          <w:szCs w:val="24"/>
        </w:rPr>
        <w:t>https://yougov.co.uk/topics/consumer/explore/brand/Tesco</w:t>
      </w:r>
      <w:r>
        <w:rPr>
          <w:rStyle w:val="5"/>
          <w:rFonts w:ascii="Times New Roman" w:hAnsi="Times New Roman" w:cs="Times New Roman"/>
          <w:sz w:val="24"/>
          <w:szCs w:val="24"/>
        </w:rPr>
        <w:fldChar w:fldCharType="end"/>
      </w:r>
      <w:r>
        <w:rPr>
          <w:rFonts w:ascii="Times New Roman" w:hAnsi="Times New Roman" w:cs="Times New Roman"/>
          <w:sz w:val="24"/>
          <w:szCs w:val="24"/>
        </w:rPr>
        <w:t xml:space="preserve"> (Accessed: 8 March 2024).</w:t>
      </w:r>
    </w:p>
    <w:p>
      <w:pPr>
        <w:spacing w:line="360" w:lineRule="auto"/>
        <w:contextualSpacing/>
        <w:rPr>
          <w:rFonts w:hint="eastAsia"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TkzYWJmNjMxMzI2NWRkOTFiMDNhZDkxNjIzMGE5NDgifQ=="/>
  </w:docVars>
  <w:rsids>
    <w:rsidRoot w:val="009B1B1D"/>
    <w:rsid w:val="00036069"/>
    <w:rsid w:val="00064B29"/>
    <w:rsid w:val="000740D2"/>
    <w:rsid w:val="000B471E"/>
    <w:rsid w:val="000C2007"/>
    <w:rsid w:val="000C45F9"/>
    <w:rsid w:val="000E6ECF"/>
    <w:rsid w:val="00156EC3"/>
    <w:rsid w:val="001704F5"/>
    <w:rsid w:val="0017254A"/>
    <w:rsid w:val="001732A2"/>
    <w:rsid w:val="001A31AE"/>
    <w:rsid w:val="001B60F5"/>
    <w:rsid w:val="001C687E"/>
    <w:rsid w:val="001D1024"/>
    <w:rsid w:val="001D605B"/>
    <w:rsid w:val="001E3D69"/>
    <w:rsid w:val="002002A6"/>
    <w:rsid w:val="002075CE"/>
    <w:rsid w:val="002114EF"/>
    <w:rsid w:val="002506DB"/>
    <w:rsid w:val="00292275"/>
    <w:rsid w:val="002B4DB1"/>
    <w:rsid w:val="002D1221"/>
    <w:rsid w:val="002F2787"/>
    <w:rsid w:val="00312B21"/>
    <w:rsid w:val="00341E11"/>
    <w:rsid w:val="003D3827"/>
    <w:rsid w:val="003F489D"/>
    <w:rsid w:val="003F7C41"/>
    <w:rsid w:val="00450F93"/>
    <w:rsid w:val="00496FDB"/>
    <w:rsid w:val="004B7643"/>
    <w:rsid w:val="004D7B44"/>
    <w:rsid w:val="00510174"/>
    <w:rsid w:val="0054466C"/>
    <w:rsid w:val="00552934"/>
    <w:rsid w:val="00554DC7"/>
    <w:rsid w:val="00563089"/>
    <w:rsid w:val="00567599"/>
    <w:rsid w:val="005E3E17"/>
    <w:rsid w:val="005F7FAD"/>
    <w:rsid w:val="00604F43"/>
    <w:rsid w:val="006413B6"/>
    <w:rsid w:val="00662908"/>
    <w:rsid w:val="00684753"/>
    <w:rsid w:val="006A2DE4"/>
    <w:rsid w:val="006E44D7"/>
    <w:rsid w:val="00725F69"/>
    <w:rsid w:val="00726DEB"/>
    <w:rsid w:val="007B630C"/>
    <w:rsid w:val="007C56A2"/>
    <w:rsid w:val="007F033E"/>
    <w:rsid w:val="0081728A"/>
    <w:rsid w:val="00854651"/>
    <w:rsid w:val="00856682"/>
    <w:rsid w:val="008E5CF0"/>
    <w:rsid w:val="008F3B5B"/>
    <w:rsid w:val="00903501"/>
    <w:rsid w:val="009044D0"/>
    <w:rsid w:val="009B1B1D"/>
    <w:rsid w:val="009B46BE"/>
    <w:rsid w:val="009D5CC6"/>
    <w:rsid w:val="009F0F23"/>
    <w:rsid w:val="009F404C"/>
    <w:rsid w:val="00A3200B"/>
    <w:rsid w:val="00A50AF3"/>
    <w:rsid w:val="00A63B65"/>
    <w:rsid w:val="00A66090"/>
    <w:rsid w:val="00A96DDF"/>
    <w:rsid w:val="00B17CE7"/>
    <w:rsid w:val="00B6454F"/>
    <w:rsid w:val="00B80199"/>
    <w:rsid w:val="00B83EC8"/>
    <w:rsid w:val="00C22EFB"/>
    <w:rsid w:val="00C30E55"/>
    <w:rsid w:val="00C3606A"/>
    <w:rsid w:val="00C400B3"/>
    <w:rsid w:val="00C4236C"/>
    <w:rsid w:val="00C60CFD"/>
    <w:rsid w:val="00C61277"/>
    <w:rsid w:val="00C61D65"/>
    <w:rsid w:val="00C838D7"/>
    <w:rsid w:val="00CC581A"/>
    <w:rsid w:val="00CE12F0"/>
    <w:rsid w:val="00D03EEA"/>
    <w:rsid w:val="00D17253"/>
    <w:rsid w:val="00D47E0D"/>
    <w:rsid w:val="00D96BB4"/>
    <w:rsid w:val="00DC36E2"/>
    <w:rsid w:val="00DC4338"/>
    <w:rsid w:val="00DD3D72"/>
    <w:rsid w:val="00E0376D"/>
    <w:rsid w:val="00E051F8"/>
    <w:rsid w:val="00E27D9F"/>
    <w:rsid w:val="00E454C8"/>
    <w:rsid w:val="00E677FE"/>
    <w:rsid w:val="00E83A06"/>
    <w:rsid w:val="00E8511A"/>
    <w:rsid w:val="00EF2FA3"/>
    <w:rsid w:val="00F16590"/>
    <w:rsid w:val="00F60EF9"/>
    <w:rsid w:val="00F6527F"/>
    <w:rsid w:val="00F70DAB"/>
    <w:rsid w:val="00FA5509"/>
    <w:rsid w:val="00FB63D9"/>
    <w:rsid w:val="00FF797F"/>
    <w:rsid w:val="12AD1F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character" w:default="1" w:styleId="3">
    <w:name w:val="Default Paragraph Font"/>
    <w:semiHidden/>
    <w:unhideWhenUsed/>
    <w:uiPriority w:val="1"/>
  </w:style>
  <w:style w:type="table" w:default="1" w:styleId="2">
    <w:name w:val="Normal Table"/>
    <w:semiHidden/>
    <w:unhideWhenUsed/>
    <w:uiPriority w:val="99"/>
    <w:tblPr>
      <w:tblCellMar>
        <w:top w:w="0" w:type="dxa"/>
        <w:left w:w="108" w:type="dxa"/>
        <w:bottom w:w="0" w:type="dxa"/>
        <w:right w:w="108" w:type="dxa"/>
      </w:tblCellMar>
    </w:tblPr>
  </w:style>
  <w:style w:type="character" w:styleId="4">
    <w:name w:val="FollowedHyperlink"/>
    <w:basedOn w:val="3"/>
    <w:semiHidden/>
    <w:unhideWhenUsed/>
    <w:uiPriority w:val="99"/>
    <w:rPr>
      <w:color w:val="954F72" w:themeColor="followedHyperlink"/>
      <w:u w:val="single"/>
      <w14:textFill>
        <w14:solidFill>
          <w14:schemeClr w14:val="folHlink"/>
        </w14:solidFill>
      </w14:textFill>
    </w:rPr>
  </w:style>
  <w:style w:type="character" w:styleId="5">
    <w:name w:val="Hyperlink"/>
    <w:basedOn w:val="3"/>
    <w:unhideWhenUsed/>
    <w:uiPriority w:val="99"/>
    <w:rPr>
      <w:color w:val="0563C1" w:themeColor="hyperlink"/>
      <w:u w:val="single"/>
      <w14:textFill>
        <w14:solidFill>
          <w14:schemeClr w14:val="hlink"/>
        </w14:solidFill>
      </w14:textFill>
    </w:rPr>
  </w:style>
  <w:style w:type="paragraph" w:styleId="6">
    <w:name w:val="List Paragraph"/>
    <w:basedOn w:val="1"/>
    <w:qFormat/>
    <w:uiPriority w:val="34"/>
    <w:pPr>
      <w:ind w:firstLine="420" w:firstLineChars="200"/>
    </w:pPr>
  </w:style>
  <w:style w:type="character" w:customStyle="1" w:styleId="7">
    <w:name w:val="Unresolved Mention"/>
    <w:basedOn w:val="3"/>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4073</Words>
  <Characters>23220</Characters>
  <Lines>193</Lines>
  <Paragraphs>54</Paragraphs>
  <TotalTime>3</TotalTime>
  <ScaleCrop>false</ScaleCrop>
  <LinksUpToDate>false</LinksUpToDate>
  <CharactersWithSpaces>27239</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2024-03-09T06:59:00Z</dcterms:created>
  <dc:creator>Jialing Miao</dc:creator>
  <cp:lastModifiedBy>很简单</cp:lastModifiedBy>
  <dcterms:modified xsi:type="dcterms:W3CDTF">2024-03-21T20:47:46Z</dcterms:modified>
  <cp:revision>295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38BD321761964A3E825A1E8192647B46_12</vt:lpwstr>
  </property>
</Properties>
</file>